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C9" w:rsidRPr="002928AA" w:rsidRDefault="00BB4418" w:rsidP="001163D7">
      <w:pPr>
        <w:jc w:val="center"/>
        <w:rPr>
          <w:rFonts w:ascii="Times New Roman" w:hAnsi="Times New Roman" w:cs="Times New Roman"/>
          <w:b/>
          <w:bCs/>
          <w:sz w:val="28"/>
          <w:szCs w:val="28"/>
          <w:lang w:val="en-US"/>
        </w:rPr>
      </w:pPr>
      <w:r w:rsidRPr="002928AA">
        <w:rPr>
          <w:rFonts w:ascii="Times New Roman" w:hAnsi="Times New Roman" w:cs="Times New Roman"/>
          <w:b/>
          <w:bCs/>
          <w:sz w:val="28"/>
          <w:szCs w:val="28"/>
          <w:lang w:val="en-US"/>
        </w:rPr>
        <w:t xml:space="preserve">Pollution </w:t>
      </w:r>
      <w:r w:rsidR="00321BE5" w:rsidRPr="002928AA">
        <w:rPr>
          <w:rFonts w:ascii="Times New Roman" w:hAnsi="Times New Roman" w:cs="Times New Roman"/>
          <w:b/>
          <w:bCs/>
          <w:sz w:val="28"/>
          <w:szCs w:val="28"/>
          <w:lang w:val="en-US"/>
        </w:rPr>
        <w:t>H</w:t>
      </w:r>
      <w:r w:rsidRPr="002928AA">
        <w:rPr>
          <w:rFonts w:ascii="Times New Roman" w:hAnsi="Times New Roman" w:cs="Times New Roman"/>
          <w:b/>
          <w:bCs/>
          <w:sz w:val="28"/>
          <w:szCs w:val="28"/>
          <w:lang w:val="en-US"/>
        </w:rPr>
        <w:t xml:space="preserve">avens </w:t>
      </w:r>
      <w:r w:rsidR="00321BE5" w:rsidRPr="002928AA">
        <w:rPr>
          <w:rFonts w:ascii="Times New Roman" w:hAnsi="Times New Roman" w:cs="Times New Roman"/>
          <w:b/>
          <w:bCs/>
          <w:sz w:val="28"/>
          <w:szCs w:val="28"/>
          <w:lang w:val="en-US"/>
        </w:rPr>
        <w:t>H</w:t>
      </w:r>
      <w:r w:rsidRPr="002928AA">
        <w:rPr>
          <w:rFonts w:ascii="Times New Roman" w:hAnsi="Times New Roman" w:cs="Times New Roman"/>
          <w:b/>
          <w:bCs/>
          <w:sz w:val="28"/>
          <w:szCs w:val="28"/>
          <w:lang w:val="en-US"/>
        </w:rPr>
        <w:t xml:space="preserve">ypothesis: Smooth </w:t>
      </w:r>
      <w:r w:rsidR="00B108B7" w:rsidRPr="002928AA">
        <w:rPr>
          <w:rFonts w:ascii="Times New Roman" w:hAnsi="Times New Roman" w:cs="Times New Roman"/>
          <w:b/>
          <w:bCs/>
          <w:sz w:val="28"/>
          <w:szCs w:val="28"/>
          <w:lang w:val="en-US"/>
        </w:rPr>
        <w:t>Quantile</w:t>
      </w:r>
      <w:r w:rsidRPr="002928AA">
        <w:rPr>
          <w:rFonts w:ascii="Times New Roman" w:hAnsi="Times New Roman" w:cs="Times New Roman"/>
          <w:b/>
          <w:bCs/>
          <w:sz w:val="28"/>
          <w:szCs w:val="28"/>
          <w:lang w:val="en-US"/>
        </w:rPr>
        <w:t xml:space="preserve"> Ev</w:t>
      </w:r>
      <w:r w:rsidR="00B108B7" w:rsidRPr="002928AA">
        <w:rPr>
          <w:rFonts w:ascii="Times New Roman" w:hAnsi="Times New Roman" w:cs="Times New Roman"/>
          <w:b/>
          <w:bCs/>
          <w:sz w:val="28"/>
          <w:szCs w:val="28"/>
          <w:lang w:val="en-US"/>
        </w:rPr>
        <w:t>i</w:t>
      </w:r>
      <w:r w:rsidRPr="002928AA">
        <w:rPr>
          <w:rFonts w:ascii="Times New Roman" w:hAnsi="Times New Roman" w:cs="Times New Roman"/>
          <w:b/>
          <w:bCs/>
          <w:sz w:val="28"/>
          <w:szCs w:val="28"/>
          <w:lang w:val="en-US"/>
        </w:rPr>
        <w:t>dence from BRICS</w:t>
      </w:r>
    </w:p>
    <w:p w:rsidR="00BB4418" w:rsidRPr="001B737F" w:rsidRDefault="00BB4418" w:rsidP="00BB4418">
      <w:pPr>
        <w:spacing w:after="0"/>
        <w:jc w:val="right"/>
        <w:rPr>
          <w:rFonts w:ascii="Times New Roman" w:hAnsi="Times New Roman" w:cs="Times New Roman"/>
          <w:sz w:val="24"/>
          <w:szCs w:val="24"/>
          <w:lang w:val="en-US"/>
        </w:rPr>
      </w:pPr>
      <w:r w:rsidRPr="001B737F">
        <w:rPr>
          <w:rFonts w:ascii="Times New Roman" w:hAnsi="Times New Roman" w:cs="Times New Roman"/>
          <w:sz w:val="24"/>
          <w:szCs w:val="24"/>
          <w:lang w:val="en-US"/>
        </w:rPr>
        <w:t>İbrahim ÖZMEN</w:t>
      </w:r>
      <w:r w:rsidR="002928AA" w:rsidRPr="001B737F">
        <w:rPr>
          <w:rFonts w:ascii="Times New Roman" w:hAnsi="Times New Roman" w:cs="Times New Roman"/>
          <w:sz w:val="24"/>
          <w:szCs w:val="24"/>
          <w:lang w:val="en-US"/>
        </w:rPr>
        <w:t xml:space="preserve"> </w:t>
      </w:r>
      <w:r w:rsidR="003975C9" w:rsidRPr="001B737F">
        <w:rPr>
          <w:rStyle w:val="DipnotBavurusu"/>
          <w:rFonts w:ascii="Times New Roman" w:hAnsi="Times New Roman" w:cs="Times New Roman"/>
          <w:sz w:val="24"/>
          <w:szCs w:val="24"/>
          <w:lang w:val="en-US"/>
        </w:rPr>
        <w:footnoteReference w:id="2"/>
      </w:r>
    </w:p>
    <w:p w:rsidR="003975C9" w:rsidRPr="001B737F" w:rsidRDefault="002928AA" w:rsidP="001163D7">
      <w:pPr>
        <w:spacing w:after="0"/>
        <w:jc w:val="right"/>
        <w:rPr>
          <w:rFonts w:ascii="Times New Roman" w:hAnsi="Times New Roman" w:cs="Times New Roman"/>
          <w:sz w:val="24"/>
          <w:szCs w:val="24"/>
          <w:lang w:val="en-US"/>
        </w:rPr>
      </w:pPr>
      <w:r w:rsidRPr="001B737F">
        <w:rPr>
          <w:rFonts w:ascii="Times New Roman" w:hAnsi="Times New Roman" w:cs="Times New Roman"/>
          <w:sz w:val="24"/>
          <w:szCs w:val="24"/>
          <w:lang w:val="en-US"/>
        </w:rPr>
        <w:t>Selç</w:t>
      </w:r>
      <w:r w:rsidR="00BB4418" w:rsidRPr="001B737F">
        <w:rPr>
          <w:rFonts w:ascii="Times New Roman" w:hAnsi="Times New Roman" w:cs="Times New Roman"/>
          <w:sz w:val="24"/>
          <w:szCs w:val="24"/>
          <w:lang w:val="en-US"/>
        </w:rPr>
        <w:t>uk BALI</w:t>
      </w:r>
      <w:r w:rsidRPr="001B737F">
        <w:rPr>
          <w:rFonts w:ascii="Times New Roman" w:hAnsi="Times New Roman" w:cs="Times New Roman"/>
          <w:sz w:val="24"/>
          <w:szCs w:val="24"/>
          <w:lang w:val="en-US"/>
        </w:rPr>
        <w:t xml:space="preserve"> </w:t>
      </w:r>
      <w:r w:rsidR="003975C9" w:rsidRPr="001B737F">
        <w:rPr>
          <w:rStyle w:val="DipnotBavurusu"/>
          <w:rFonts w:ascii="Times New Roman" w:hAnsi="Times New Roman" w:cs="Times New Roman"/>
          <w:sz w:val="24"/>
          <w:szCs w:val="24"/>
          <w:lang w:val="en-US"/>
        </w:rPr>
        <w:footnoteReference w:id="3"/>
      </w:r>
    </w:p>
    <w:p w:rsidR="009511EC" w:rsidRPr="00644CE5" w:rsidRDefault="009511EC" w:rsidP="00644CE5">
      <w:pPr>
        <w:spacing w:before="120" w:after="120" w:line="300" w:lineRule="auto"/>
        <w:jc w:val="both"/>
        <w:rPr>
          <w:rFonts w:ascii="Times New Roman" w:hAnsi="Times New Roman" w:cs="Times New Roman"/>
          <w:b/>
          <w:bCs/>
          <w:sz w:val="24"/>
          <w:szCs w:val="24"/>
          <w:lang w:val="en-US"/>
        </w:rPr>
      </w:pPr>
      <w:r w:rsidRPr="00644CE5">
        <w:rPr>
          <w:rFonts w:ascii="Times New Roman" w:hAnsi="Times New Roman" w:cs="Times New Roman"/>
          <w:b/>
          <w:bCs/>
          <w:sz w:val="24"/>
          <w:szCs w:val="24"/>
          <w:lang w:val="en-US"/>
        </w:rPr>
        <w:t>Abstract</w:t>
      </w:r>
    </w:p>
    <w:p w:rsidR="00E522A5" w:rsidRPr="00644CE5" w:rsidRDefault="00E522A5"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 xml:space="preserve">Pollution, like everything else, can be carried along with globalization. This approach, which refers to the pollution carried by the capital, is the pollution haven hypothesis. This study investigates the effects of foreign direct investment </w:t>
      </w:r>
      <w:r w:rsidR="00897302" w:rsidRPr="00644CE5">
        <w:rPr>
          <w:rFonts w:ascii="Times New Roman" w:hAnsi="Times New Roman" w:cs="Times New Roman"/>
          <w:sz w:val="24"/>
          <w:szCs w:val="24"/>
          <w:lang w:val="en-US"/>
        </w:rPr>
        <w:t xml:space="preserve">(FDI) </w:t>
      </w:r>
      <w:r w:rsidRPr="00644CE5">
        <w:rPr>
          <w:rFonts w:ascii="Times New Roman" w:hAnsi="Times New Roman" w:cs="Times New Roman"/>
          <w:sz w:val="24"/>
          <w:szCs w:val="24"/>
          <w:lang w:val="en-US"/>
        </w:rPr>
        <w:t xml:space="preserve">on carbon dioxide </w:t>
      </w:r>
      <w:r w:rsidR="00897302" w:rsidRPr="00644CE5">
        <w:rPr>
          <w:rFonts w:ascii="Times New Roman" w:hAnsi="Times New Roman" w:cs="Times New Roman"/>
          <w:sz w:val="24"/>
          <w:szCs w:val="24"/>
          <w:lang w:val="en-US"/>
        </w:rPr>
        <w:t>(C</w:t>
      </w:r>
      <w:r w:rsidR="002928AA" w:rsidRPr="00644CE5">
        <w:rPr>
          <w:rFonts w:ascii="Times New Roman" w:hAnsi="Times New Roman" w:cs="Times New Roman"/>
          <w:sz w:val="24"/>
          <w:szCs w:val="24"/>
          <w:lang w:val="en-US"/>
        </w:rPr>
        <w:t>O</w:t>
      </w:r>
      <w:r w:rsidR="00897302" w:rsidRPr="00644CE5">
        <w:rPr>
          <w:rFonts w:ascii="Times New Roman" w:hAnsi="Times New Roman" w:cs="Times New Roman"/>
          <w:sz w:val="24"/>
          <w:szCs w:val="24"/>
          <w:vertAlign w:val="subscript"/>
          <w:lang w:val="en-US"/>
        </w:rPr>
        <w:t>2</w:t>
      </w:r>
      <w:r w:rsidR="00897302" w:rsidRPr="00644CE5">
        <w:rPr>
          <w:rFonts w:ascii="Times New Roman" w:hAnsi="Times New Roman" w:cs="Times New Roman"/>
          <w:sz w:val="24"/>
          <w:szCs w:val="24"/>
          <w:lang w:val="en-US"/>
        </w:rPr>
        <w:t xml:space="preserve">) </w:t>
      </w:r>
      <w:r w:rsidRPr="00644CE5">
        <w:rPr>
          <w:rFonts w:ascii="Times New Roman" w:hAnsi="Times New Roman" w:cs="Times New Roman"/>
          <w:sz w:val="24"/>
          <w:szCs w:val="24"/>
          <w:lang w:val="en-US"/>
        </w:rPr>
        <w:t xml:space="preserve">emissions from 1995 to 2021 </w:t>
      </w:r>
      <w:r w:rsidR="004D7CC6" w:rsidRPr="00644CE5">
        <w:rPr>
          <w:rFonts w:ascii="Times New Roman" w:hAnsi="Times New Roman" w:cs="Times New Roman"/>
          <w:sz w:val="24"/>
          <w:szCs w:val="24"/>
          <w:lang w:val="en-US"/>
        </w:rPr>
        <w:t>in</w:t>
      </w:r>
      <w:r w:rsidRPr="00644CE5">
        <w:rPr>
          <w:rFonts w:ascii="Times New Roman" w:hAnsi="Times New Roman" w:cs="Times New Roman"/>
          <w:sz w:val="24"/>
          <w:szCs w:val="24"/>
          <w:lang w:val="en-US"/>
        </w:rPr>
        <w:t xml:space="preserve"> BRICS countries. We employed the instrumental variables smooth quantile regression (SIV-QR) method, which is novel in panel econometry. Our findings indicate the negative effects of FDI flows on C</w:t>
      </w:r>
      <w:r w:rsidR="002928AA" w:rsidRPr="00644CE5">
        <w:rPr>
          <w:rFonts w:ascii="Times New Roman" w:hAnsi="Times New Roman" w:cs="Times New Roman"/>
          <w:sz w:val="24"/>
          <w:szCs w:val="24"/>
          <w:lang w:val="en-US"/>
        </w:rPr>
        <w:t>O</w:t>
      </w:r>
      <w:r w:rsidRPr="00644CE5">
        <w:rPr>
          <w:rFonts w:ascii="Times New Roman" w:hAnsi="Times New Roman" w:cs="Times New Roman"/>
          <w:sz w:val="24"/>
          <w:szCs w:val="24"/>
          <w:vertAlign w:val="subscript"/>
          <w:lang w:val="en-US"/>
        </w:rPr>
        <w:t>2</w:t>
      </w:r>
      <w:r w:rsidRPr="00644CE5">
        <w:rPr>
          <w:rFonts w:ascii="Times New Roman" w:hAnsi="Times New Roman" w:cs="Times New Roman"/>
          <w:sz w:val="24"/>
          <w:szCs w:val="24"/>
          <w:lang w:val="en-US"/>
        </w:rPr>
        <w:t xml:space="preserve"> in low quantiles and the positive effects of economic growth. However, </w:t>
      </w:r>
      <w:r w:rsidR="00FF48A2" w:rsidRPr="00644CE5">
        <w:rPr>
          <w:rFonts w:ascii="Times New Roman" w:hAnsi="Times New Roman" w:cs="Times New Roman"/>
          <w:sz w:val="24"/>
          <w:szCs w:val="24"/>
          <w:lang w:val="en-US"/>
        </w:rPr>
        <w:t xml:space="preserve">FDI flow </w:t>
      </w:r>
      <w:r w:rsidRPr="00644CE5">
        <w:rPr>
          <w:rFonts w:ascii="Times New Roman" w:hAnsi="Times New Roman" w:cs="Times New Roman"/>
          <w:sz w:val="24"/>
          <w:szCs w:val="24"/>
          <w:lang w:val="en-US"/>
        </w:rPr>
        <w:t xml:space="preserve">plot estimates of the instrumental variables’ smooth quantile regression show that this effect turns positive. This can help uncover possible relationships between the routes of money and carbon dioxide emissions. </w:t>
      </w:r>
    </w:p>
    <w:p w:rsidR="00A2525C" w:rsidRPr="00644CE5" w:rsidRDefault="009511EC" w:rsidP="00644CE5">
      <w:pPr>
        <w:spacing w:before="120" w:after="120" w:line="300" w:lineRule="auto"/>
        <w:jc w:val="both"/>
        <w:rPr>
          <w:rFonts w:ascii="Times New Roman" w:hAnsi="Times New Roman" w:cs="Times New Roman"/>
          <w:sz w:val="24"/>
          <w:szCs w:val="24"/>
        </w:rPr>
      </w:pPr>
      <w:r w:rsidRPr="00644CE5">
        <w:rPr>
          <w:rFonts w:ascii="Times New Roman" w:hAnsi="Times New Roman" w:cs="Times New Roman"/>
          <w:b/>
          <w:bCs/>
          <w:sz w:val="24"/>
          <w:szCs w:val="24"/>
          <w:lang w:val="en-US"/>
        </w:rPr>
        <w:t>Key Words</w:t>
      </w:r>
      <w:r w:rsidRPr="00644CE5">
        <w:rPr>
          <w:rFonts w:ascii="Times New Roman" w:hAnsi="Times New Roman" w:cs="Times New Roman"/>
          <w:b/>
          <w:bCs/>
          <w:sz w:val="24"/>
          <w:szCs w:val="24"/>
        </w:rPr>
        <w:t>:</w:t>
      </w:r>
      <w:r w:rsidR="00321BE5" w:rsidRPr="00644CE5">
        <w:rPr>
          <w:rFonts w:ascii="Times New Roman" w:hAnsi="Times New Roman" w:cs="Times New Roman"/>
          <w:b/>
          <w:bCs/>
          <w:sz w:val="24"/>
          <w:szCs w:val="24"/>
        </w:rPr>
        <w:t xml:space="preserve"> </w:t>
      </w:r>
      <w:r w:rsidRPr="00644CE5">
        <w:rPr>
          <w:rFonts w:ascii="Times New Roman" w:hAnsi="Times New Roman" w:cs="Times New Roman"/>
          <w:sz w:val="24"/>
          <w:szCs w:val="24"/>
          <w:lang w:val="en-US"/>
        </w:rPr>
        <w:t>Pollutions havens, carbon dioxide emission, smooth quantile regression</w:t>
      </w:r>
    </w:p>
    <w:p w:rsidR="00186D34" w:rsidRPr="00644CE5" w:rsidRDefault="00186D34" w:rsidP="00644CE5">
      <w:pPr>
        <w:spacing w:before="120" w:after="120" w:line="300" w:lineRule="auto"/>
        <w:jc w:val="both"/>
        <w:rPr>
          <w:rFonts w:ascii="Times New Roman" w:hAnsi="Times New Roman" w:cs="Times New Roman"/>
          <w:b/>
          <w:bCs/>
          <w:sz w:val="24"/>
          <w:szCs w:val="24"/>
          <w:lang w:val="en-US"/>
        </w:rPr>
      </w:pPr>
      <w:r w:rsidRPr="00644CE5">
        <w:rPr>
          <w:rFonts w:ascii="Times New Roman" w:hAnsi="Times New Roman" w:cs="Times New Roman"/>
          <w:b/>
          <w:bCs/>
          <w:sz w:val="24"/>
          <w:szCs w:val="24"/>
          <w:lang w:val="en-US"/>
        </w:rPr>
        <w:t>Introduction</w:t>
      </w:r>
    </w:p>
    <w:p w:rsidR="001E4521" w:rsidRPr="00644CE5" w:rsidRDefault="001E4521"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Global warming and the resulting climate crisis are leading global problems in the 21</w:t>
      </w:r>
      <w:r w:rsidRPr="00644CE5">
        <w:rPr>
          <w:rFonts w:ascii="Times New Roman" w:hAnsi="Times New Roman" w:cs="Times New Roman"/>
          <w:sz w:val="24"/>
          <w:szCs w:val="24"/>
          <w:vertAlign w:val="superscript"/>
          <w:lang w:val="en-US"/>
        </w:rPr>
        <w:t>st</w:t>
      </w:r>
      <w:r w:rsidRPr="00644CE5">
        <w:rPr>
          <w:rFonts w:ascii="Times New Roman" w:hAnsi="Times New Roman" w:cs="Times New Roman"/>
          <w:sz w:val="24"/>
          <w:szCs w:val="24"/>
          <w:lang w:val="en-US"/>
        </w:rPr>
        <w:t xml:space="preserve"> century. One of the mother-lode feedings in the climate crisis is greenhouse gas and carbon dioxide emissions. Carbon dioxide emissions, which are closely related to the consumption of fossil fuels, are also the subject of trade between regions and countries. It is a cap-and-trade system or an emissions trading system. On the one hand, economic growth is of core importance for the markets. Environmental measures implemented by countries or regional associations can also determine the route of carbon emissions. Globalization has not only mobilized capital but also activated carbon emissions.</w:t>
      </w:r>
    </w:p>
    <w:p w:rsidR="005756D9" w:rsidRPr="00644CE5" w:rsidRDefault="005756D9"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 xml:space="preserve">One of the issues emphasized in recent years is economic growth, energy consumption, and pollution </w:t>
      </w:r>
      <w:r w:rsidR="006A5680" w:rsidRPr="00644CE5">
        <w:rPr>
          <w:rFonts w:ascii="Times New Roman" w:hAnsi="Times New Roman" w:cs="Times New Roman"/>
          <w:sz w:val="24"/>
          <w:szCs w:val="24"/>
          <w:lang w:val="en-US"/>
        </w:rPr>
        <w:t>(Muhammad, 2019</w:t>
      </w:r>
      <w:r w:rsidR="00513244" w:rsidRPr="00644CE5">
        <w:rPr>
          <w:rFonts w:ascii="Times New Roman" w:hAnsi="Times New Roman" w:cs="Times New Roman"/>
          <w:sz w:val="24"/>
          <w:szCs w:val="24"/>
          <w:lang w:val="en-US"/>
        </w:rPr>
        <w:t>; Chang and Li, 2018</w:t>
      </w:r>
      <w:r w:rsidR="006A5680" w:rsidRPr="00644CE5">
        <w:rPr>
          <w:rFonts w:ascii="Times New Roman" w:hAnsi="Times New Roman" w:cs="Times New Roman"/>
          <w:sz w:val="24"/>
          <w:szCs w:val="24"/>
          <w:lang w:val="en-US"/>
        </w:rPr>
        <w:t xml:space="preserve">). </w:t>
      </w:r>
      <w:r w:rsidRPr="00644CE5">
        <w:rPr>
          <w:rFonts w:ascii="Times New Roman" w:hAnsi="Times New Roman" w:cs="Times New Roman"/>
          <w:sz w:val="24"/>
          <w:szCs w:val="24"/>
          <w:lang w:val="en-US"/>
        </w:rPr>
        <w:t xml:space="preserve">While most studies focus on economic growth, energy consumption, and pollution, the effects of foreign direct investment flow on pollution </w:t>
      </w:r>
      <w:r w:rsidR="00546546" w:rsidRPr="00644CE5">
        <w:rPr>
          <w:rFonts w:ascii="Times New Roman" w:hAnsi="Times New Roman" w:cs="Times New Roman"/>
          <w:sz w:val="24"/>
          <w:szCs w:val="24"/>
          <w:lang w:val="en-US"/>
        </w:rPr>
        <w:t xml:space="preserve">have been </w:t>
      </w:r>
      <w:r w:rsidRPr="00644CE5">
        <w:rPr>
          <w:rFonts w:ascii="Times New Roman" w:hAnsi="Times New Roman" w:cs="Times New Roman"/>
          <w:sz w:val="24"/>
          <w:szCs w:val="24"/>
          <w:lang w:val="en-US"/>
        </w:rPr>
        <w:t xml:space="preserve">relatively less researched </w:t>
      </w:r>
      <w:r w:rsidR="006B71BA" w:rsidRPr="00644CE5">
        <w:rPr>
          <w:rFonts w:ascii="Times New Roman" w:hAnsi="Times New Roman" w:cs="Times New Roman"/>
          <w:sz w:val="24"/>
          <w:szCs w:val="24"/>
          <w:lang w:val="en-US"/>
        </w:rPr>
        <w:t>(</w:t>
      </w:r>
      <w:bookmarkStart w:id="0" w:name="_Hlk133620158"/>
      <w:r w:rsidR="006B71BA" w:rsidRPr="00644CE5">
        <w:rPr>
          <w:rFonts w:ascii="Times New Roman" w:hAnsi="Times New Roman" w:cs="Times New Roman"/>
          <w:sz w:val="24"/>
          <w:szCs w:val="24"/>
          <w:lang w:val="en-US"/>
        </w:rPr>
        <w:t>Bakhsh et al</w:t>
      </w:r>
      <w:r w:rsidR="00546546" w:rsidRPr="00644CE5">
        <w:rPr>
          <w:rFonts w:ascii="Times New Roman" w:hAnsi="Times New Roman" w:cs="Times New Roman"/>
          <w:sz w:val="24"/>
          <w:szCs w:val="24"/>
          <w:lang w:val="en-US"/>
        </w:rPr>
        <w:t>.</w:t>
      </w:r>
      <w:r w:rsidR="006B71BA" w:rsidRPr="00644CE5">
        <w:rPr>
          <w:rFonts w:ascii="Times New Roman" w:hAnsi="Times New Roman" w:cs="Times New Roman"/>
          <w:sz w:val="24"/>
          <w:szCs w:val="24"/>
          <w:lang w:val="en-US"/>
        </w:rPr>
        <w:t>, 2017</w:t>
      </w:r>
      <w:bookmarkEnd w:id="0"/>
      <w:r w:rsidR="006B71BA" w:rsidRPr="00644CE5">
        <w:rPr>
          <w:rFonts w:ascii="Times New Roman" w:hAnsi="Times New Roman" w:cs="Times New Roman"/>
          <w:sz w:val="24"/>
          <w:szCs w:val="24"/>
          <w:lang w:val="en-US"/>
        </w:rPr>
        <w:t>)</w:t>
      </w:r>
      <w:r w:rsidR="00780F90" w:rsidRPr="00644CE5">
        <w:rPr>
          <w:rFonts w:ascii="Times New Roman" w:hAnsi="Times New Roman" w:cs="Times New Roman"/>
          <w:sz w:val="24"/>
          <w:szCs w:val="24"/>
          <w:lang w:val="en-US"/>
        </w:rPr>
        <w:t>.</w:t>
      </w:r>
      <w:bookmarkStart w:id="1" w:name="_Hlk133531485"/>
      <w:r w:rsidRPr="00644CE5">
        <w:rPr>
          <w:rFonts w:ascii="Times New Roman" w:hAnsi="Times New Roman" w:cs="Times New Roman"/>
          <w:sz w:val="24"/>
          <w:szCs w:val="24"/>
          <w:lang w:val="en-US"/>
        </w:rPr>
        <w:t>To fill this gap, our study aimed to discover the relationship between foreign direct investment, C</w:t>
      </w:r>
      <w:r w:rsidR="002928AA" w:rsidRPr="00644CE5">
        <w:rPr>
          <w:rFonts w:ascii="Times New Roman" w:hAnsi="Times New Roman" w:cs="Times New Roman"/>
          <w:sz w:val="24"/>
          <w:szCs w:val="24"/>
          <w:lang w:val="en-US"/>
        </w:rPr>
        <w:t>O</w:t>
      </w:r>
      <w:r w:rsidRPr="00644CE5">
        <w:rPr>
          <w:rFonts w:ascii="Times New Roman" w:hAnsi="Times New Roman" w:cs="Times New Roman"/>
          <w:sz w:val="24"/>
          <w:szCs w:val="24"/>
          <w:vertAlign w:val="subscript"/>
          <w:lang w:val="en-US"/>
        </w:rPr>
        <w:t>2</w:t>
      </w:r>
      <w:r w:rsidRPr="00644CE5">
        <w:rPr>
          <w:rFonts w:ascii="Times New Roman" w:hAnsi="Times New Roman" w:cs="Times New Roman"/>
          <w:sz w:val="24"/>
          <w:szCs w:val="24"/>
          <w:lang w:val="en-US"/>
        </w:rPr>
        <w:t xml:space="preserve">, and economic growth. </w:t>
      </w:r>
    </w:p>
    <w:bookmarkEnd w:id="1"/>
    <w:p w:rsidR="000E08B8" w:rsidRPr="00644CE5" w:rsidRDefault="000E08B8"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 xml:space="preserve">“Increased” environmental awareness in developed countries may affect the location or amount of production geographically. Environmentally friendly policies of developed countries or clean production (Cole, 2004) affect the profitability of production processes more or less through various factors. One of the ways to prevent a possible decline in profit rates may be to shift production centers to developing countries with relatively weak environmental policies (Cole, 2004). Apart from this, costs per unit can be reduced with </w:t>
      </w:r>
      <w:r w:rsidRPr="00644CE5">
        <w:rPr>
          <w:rFonts w:ascii="Times New Roman" w:hAnsi="Times New Roman" w:cs="Times New Roman"/>
          <w:sz w:val="24"/>
          <w:szCs w:val="24"/>
          <w:lang w:val="en-US"/>
        </w:rPr>
        <w:lastRenderedPageBreak/>
        <w:t xml:space="preserve">environmentally friendly technologies, and for this, developing environmentally friendly production relations with intensive technology is among the possibilities. The second possibility emphasizes the reducing effects of investments in technology on pollution. In other words, this effect is an approach known as the technological effect in which direct foreign investment flows reduce pollution (Chang and Li, 2018). The first possibility is referred to as the pollution havens hypothesis or </w:t>
      </w:r>
      <w:r w:rsidR="00FD78F2" w:rsidRPr="00644CE5">
        <w:rPr>
          <w:rFonts w:ascii="Times New Roman" w:hAnsi="Times New Roman" w:cs="Times New Roman"/>
          <w:sz w:val="24"/>
          <w:szCs w:val="24"/>
          <w:lang w:val="en-US"/>
        </w:rPr>
        <w:t xml:space="preserve">the </w:t>
      </w:r>
      <w:r w:rsidRPr="00644CE5">
        <w:rPr>
          <w:rFonts w:ascii="Times New Roman" w:hAnsi="Times New Roman" w:cs="Times New Roman"/>
          <w:sz w:val="24"/>
          <w:szCs w:val="24"/>
          <w:lang w:val="en-US"/>
        </w:rPr>
        <w:t>race to the bottom concept (Dean et al., 2009; Khan and Öztürk, 202</w:t>
      </w:r>
      <w:r w:rsidR="00CF1F01" w:rsidRPr="00644CE5">
        <w:rPr>
          <w:rFonts w:ascii="Times New Roman" w:hAnsi="Times New Roman" w:cs="Times New Roman"/>
          <w:sz w:val="24"/>
          <w:szCs w:val="24"/>
          <w:lang w:val="en-US"/>
        </w:rPr>
        <w:t>0</w:t>
      </w:r>
      <w:r w:rsidRPr="00644CE5">
        <w:rPr>
          <w:rFonts w:ascii="Times New Roman" w:hAnsi="Times New Roman" w:cs="Times New Roman"/>
          <w:sz w:val="24"/>
          <w:szCs w:val="24"/>
          <w:lang w:val="en-US"/>
        </w:rPr>
        <w:t xml:space="preserve">). While both can be observed in modern economies, this study focuses on the first possibility. </w:t>
      </w:r>
    </w:p>
    <w:p w:rsidR="00E50843" w:rsidRPr="00644CE5" w:rsidRDefault="00E50843"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While foreign direct investment incre</w:t>
      </w:r>
      <w:r w:rsidR="00907FAF" w:rsidRPr="00644CE5">
        <w:rPr>
          <w:rFonts w:ascii="Times New Roman" w:hAnsi="Times New Roman" w:cs="Times New Roman"/>
          <w:sz w:val="24"/>
          <w:szCs w:val="24"/>
          <w:lang w:val="en-US"/>
        </w:rPr>
        <w:t>a</w:t>
      </w:r>
      <w:r w:rsidRPr="00644CE5">
        <w:rPr>
          <w:rFonts w:ascii="Times New Roman" w:hAnsi="Times New Roman" w:cs="Times New Roman"/>
          <w:sz w:val="24"/>
          <w:szCs w:val="24"/>
          <w:lang w:val="en-US"/>
        </w:rPr>
        <w:t>se</w:t>
      </w:r>
      <w:r w:rsidR="00907FAF" w:rsidRPr="00644CE5">
        <w:rPr>
          <w:rFonts w:ascii="Times New Roman" w:hAnsi="Times New Roman" w:cs="Times New Roman"/>
          <w:sz w:val="24"/>
          <w:szCs w:val="24"/>
          <w:lang w:val="en-US"/>
        </w:rPr>
        <w:t>s</w:t>
      </w:r>
      <w:r w:rsidRPr="00644CE5">
        <w:rPr>
          <w:rFonts w:ascii="Times New Roman" w:hAnsi="Times New Roman" w:cs="Times New Roman"/>
          <w:sz w:val="24"/>
          <w:szCs w:val="24"/>
          <w:lang w:val="en-US"/>
        </w:rPr>
        <w:t xml:space="preserve"> economic growth, it can also increase environmental pollution through industrial activit</w:t>
      </w:r>
      <w:r w:rsidR="00523132" w:rsidRPr="00644CE5">
        <w:rPr>
          <w:rFonts w:ascii="Times New Roman" w:hAnsi="Times New Roman" w:cs="Times New Roman"/>
          <w:sz w:val="24"/>
          <w:szCs w:val="24"/>
          <w:lang w:val="en-US"/>
        </w:rPr>
        <w:t>y</w:t>
      </w:r>
      <w:r w:rsidR="002928AA" w:rsidRPr="00644CE5">
        <w:rPr>
          <w:rFonts w:ascii="Times New Roman" w:hAnsi="Times New Roman" w:cs="Times New Roman"/>
          <w:sz w:val="24"/>
          <w:szCs w:val="24"/>
          <w:lang w:val="en-US"/>
        </w:rPr>
        <w:t xml:space="preserve"> </w:t>
      </w:r>
      <w:r w:rsidRPr="00644CE5">
        <w:rPr>
          <w:rFonts w:ascii="Times New Roman" w:hAnsi="Times New Roman" w:cs="Times New Roman"/>
          <w:sz w:val="24"/>
          <w:szCs w:val="24"/>
          <w:lang w:val="en-US"/>
        </w:rPr>
        <w:t>(Aslan et al., 202</w:t>
      </w:r>
      <w:r w:rsidR="00CB7B10" w:rsidRPr="00644CE5">
        <w:rPr>
          <w:rFonts w:ascii="Times New Roman" w:hAnsi="Times New Roman" w:cs="Times New Roman"/>
          <w:sz w:val="24"/>
          <w:szCs w:val="24"/>
          <w:lang w:val="en-US"/>
        </w:rPr>
        <w:t>1</w:t>
      </w:r>
      <w:r w:rsidRPr="00644CE5">
        <w:rPr>
          <w:rFonts w:ascii="Times New Roman" w:hAnsi="Times New Roman" w:cs="Times New Roman"/>
          <w:sz w:val="24"/>
          <w:szCs w:val="24"/>
          <w:lang w:val="en-US"/>
        </w:rPr>
        <w:t>; Khan and Öztürk, 202</w:t>
      </w:r>
      <w:r w:rsidR="00A630ED" w:rsidRPr="00644CE5">
        <w:rPr>
          <w:rFonts w:ascii="Times New Roman" w:hAnsi="Times New Roman" w:cs="Times New Roman"/>
          <w:sz w:val="24"/>
          <w:szCs w:val="24"/>
          <w:lang w:val="en-US"/>
        </w:rPr>
        <w:t>0</w:t>
      </w:r>
      <w:r w:rsidRPr="00644CE5">
        <w:rPr>
          <w:rFonts w:ascii="Times New Roman" w:hAnsi="Times New Roman" w:cs="Times New Roman"/>
          <w:sz w:val="24"/>
          <w:szCs w:val="24"/>
          <w:lang w:val="en-US"/>
        </w:rPr>
        <w:t>; Koçak and Şar</w:t>
      </w:r>
      <w:r w:rsidR="00321BE5" w:rsidRPr="00644CE5">
        <w:rPr>
          <w:rFonts w:ascii="Times New Roman" w:hAnsi="Times New Roman" w:cs="Times New Roman"/>
          <w:sz w:val="24"/>
          <w:szCs w:val="24"/>
          <w:lang w:val="en-US"/>
        </w:rPr>
        <w:t>k</w:t>
      </w:r>
      <w:r w:rsidRPr="00644CE5">
        <w:rPr>
          <w:rFonts w:ascii="Times New Roman" w:hAnsi="Times New Roman" w:cs="Times New Roman"/>
          <w:sz w:val="24"/>
          <w:szCs w:val="24"/>
          <w:lang w:val="en-US"/>
        </w:rPr>
        <w:t xml:space="preserve">güneşi, 2018). Foreign direct investment (FDI) flow, which is currently considered one of the driving forces of economic growth, can also be the driving force of an insidious result. Among mainstream approaches, studies such as French (1998), Cole (2004), and Dean et al. (2009), Pao and Tsai (2011), and Omri et al. (2014) are pioneering studies that draw attention to the effects of foreign direct investments on pollution. </w:t>
      </w:r>
    </w:p>
    <w:p w:rsidR="003F1F73" w:rsidRPr="00644CE5" w:rsidRDefault="003F1F73"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Today, as in the past (Pao and Tsai, 2011), BRICS countries are pioneers of investment destinations in the world. These countries also have a large share of the world economy in terms of economic growth, energy exports, technology exports, and trade. In addition, since 2006, China has surpassed the USA in terms of C</w:t>
      </w:r>
      <w:r w:rsidR="002928AA" w:rsidRPr="00644CE5">
        <w:rPr>
          <w:rFonts w:ascii="Times New Roman" w:hAnsi="Times New Roman" w:cs="Times New Roman"/>
          <w:sz w:val="24"/>
          <w:szCs w:val="24"/>
          <w:lang w:val="en-US"/>
        </w:rPr>
        <w:t>O</w:t>
      </w:r>
      <w:r w:rsidRPr="00644CE5">
        <w:rPr>
          <w:rFonts w:ascii="Times New Roman" w:hAnsi="Times New Roman" w:cs="Times New Roman"/>
          <w:sz w:val="24"/>
          <w:szCs w:val="24"/>
          <w:lang w:val="en-US"/>
        </w:rPr>
        <w:t xml:space="preserve">₂ from fossil fuels and industry (OWD, 2023a). </w:t>
      </w:r>
    </w:p>
    <w:p w:rsidR="004F5F4C" w:rsidRPr="00644CE5" w:rsidRDefault="004F5F4C"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Based on these explanations, this study examines the effects of FDI flows on carbon emissions in BRICS countries. We employed the instrumental variable smooth quantile regression method developed by Kaplan and Sun (2017), which can be considered a novel method in panel econometrics. This method smooths the tool function rather than the goal, thereby increasing its reliability relative to other instrumental methods. While our findings indicate the negative effects of FDI flows on C</w:t>
      </w:r>
      <w:r w:rsidR="002928AA" w:rsidRPr="00644CE5">
        <w:rPr>
          <w:rFonts w:ascii="Times New Roman" w:hAnsi="Times New Roman" w:cs="Times New Roman"/>
          <w:sz w:val="24"/>
          <w:szCs w:val="24"/>
          <w:lang w:val="en-US"/>
        </w:rPr>
        <w:t>O</w:t>
      </w:r>
      <w:r w:rsidRPr="00644CE5">
        <w:rPr>
          <w:rFonts w:ascii="Times New Roman" w:hAnsi="Times New Roman" w:cs="Times New Roman"/>
          <w:sz w:val="24"/>
          <w:szCs w:val="24"/>
          <w:vertAlign w:val="subscript"/>
          <w:lang w:val="en-US"/>
        </w:rPr>
        <w:t>2</w:t>
      </w:r>
      <w:r w:rsidRPr="00644CE5">
        <w:rPr>
          <w:rFonts w:ascii="Times New Roman" w:hAnsi="Times New Roman" w:cs="Times New Roman"/>
          <w:sz w:val="24"/>
          <w:szCs w:val="24"/>
          <w:lang w:val="en-US"/>
        </w:rPr>
        <w:t xml:space="preserve"> in low quantiles, the quantile plot estimates show that this effect turns positive. </w:t>
      </w:r>
    </w:p>
    <w:p w:rsidR="000A3888" w:rsidRPr="00644CE5" w:rsidRDefault="000A3888"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 xml:space="preserve">This manuscript is organized as follows: Section 2 presents the most recent studies.  Section 3 provides information on the dataset, method, and model. Section 4 concludes and provides policy recommendations after presenting a robustness check of the main findings. </w:t>
      </w:r>
    </w:p>
    <w:p w:rsidR="00547CE9" w:rsidRPr="00644CE5" w:rsidRDefault="00FC2D42" w:rsidP="00644CE5">
      <w:pPr>
        <w:spacing w:before="120" w:after="120" w:line="300" w:lineRule="auto"/>
        <w:jc w:val="both"/>
        <w:rPr>
          <w:rFonts w:ascii="Times New Roman" w:hAnsi="Times New Roman" w:cs="Times New Roman"/>
          <w:b/>
          <w:bCs/>
          <w:sz w:val="24"/>
          <w:szCs w:val="24"/>
          <w:lang w:val="en-US"/>
        </w:rPr>
      </w:pPr>
      <w:r w:rsidRPr="00644CE5">
        <w:rPr>
          <w:rFonts w:ascii="Times New Roman" w:hAnsi="Times New Roman" w:cs="Times New Roman"/>
          <w:b/>
          <w:bCs/>
          <w:sz w:val="24"/>
          <w:szCs w:val="24"/>
          <w:lang w:val="en-US"/>
        </w:rPr>
        <w:t xml:space="preserve">2. </w:t>
      </w:r>
      <w:r w:rsidR="00186D34" w:rsidRPr="00644CE5">
        <w:rPr>
          <w:rFonts w:ascii="Times New Roman" w:hAnsi="Times New Roman" w:cs="Times New Roman"/>
          <w:b/>
          <w:bCs/>
          <w:sz w:val="24"/>
          <w:szCs w:val="24"/>
          <w:lang w:val="en-US"/>
        </w:rPr>
        <w:t>Literature Review</w:t>
      </w:r>
    </w:p>
    <w:p w:rsidR="0065610A" w:rsidRDefault="0065610A" w:rsidP="00644CE5">
      <w:pPr>
        <w:spacing w:before="120" w:after="120" w:line="300" w:lineRule="auto"/>
        <w:jc w:val="both"/>
        <w:rPr>
          <w:rFonts w:ascii="Times New Roman" w:hAnsi="Times New Roman" w:cs="Times New Roman"/>
          <w:sz w:val="24"/>
          <w:szCs w:val="24"/>
          <w:lang w:val="en-US"/>
        </w:rPr>
      </w:pPr>
      <w:r w:rsidRPr="00644CE5">
        <w:rPr>
          <w:rFonts w:ascii="Times New Roman" w:hAnsi="Times New Roman" w:cs="Times New Roman"/>
          <w:sz w:val="24"/>
          <w:szCs w:val="24"/>
          <w:lang w:val="en-US"/>
        </w:rPr>
        <w:t>Many empirical studies have been conducted on the direction and magnitude of the relationship between Co2 emissions and macroeconomic variables. In addition to carbon dioxide emissions and foreign direct investment, some studies have focused on variables such as economic growth (Xiong and Xu, 2021), exports (Li et al., 2023), foreign trade (Kander and Lindmark, 2006), imports, and debt (Boly et al., 2022). Some studies on the relationship between FDI flows and C</w:t>
      </w:r>
      <w:r w:rsidR="002928AA" w:rsidRPr="00644CE5">
        <w:rPr>
          <w:rFonts w:ascii="Times New Roman" w:hAnsi="Times New Roman" w:cs="Times New Roman"/>
          <w:sz w:val="24"/>
          <w:szCs w:val="24"/>
          <w:lang w:val="en-US"/>
        </w:rPr>
        <w:t>O</w:t>
      </w:r>
      <w:r w:rsidRPr="00644CE5">
        <w:rPr>
          <w:rFonts w:ascii="Times New Roman" w:hAnsi="Times New Roman" w:cs="Times New Roman"/>
          <w:sz w:val="24"/>
          <w:szCs w:val="24"/>
          <w:lang w:val="en-US"/>
        </w:rPr>
        <w:t xml:space="preserve">2 emissions are listed in Table 1. </w:t>
      </w:r>
    </w:p>
    <w:p w:rsidR="00644CE5" w:rsidRPr="00644CE5" w:rsidRDefault="00644CE5" w:rsidP="00644CE5">
      <w:pPr>
        <w:spacing w:before="120" w:after="120" w:line="300" w:lineRule="auto"/>
        <w:jc w:val="both"/>
        <w:rPr>
          <w:rFonts w:ascii="Times New Roman" w:hAnsi="Times New Roman" w:cs="Times New Roman"/>
          <w:sz w:val="24"/>
          <w:szCs w:val="24"/>
          <w:lang w:val="en-US"/>
        </w:rPr>
      </w:pPr>
    </w:p>
    <w:p w:rsidR="00547CE9" w:rsidRPr="002928AA" w:rsidRDefault="00736EE4" w:rsidP="00644CE5">
      <w:pPr>
        <w:spacing w:after="0" w:line="300" w:lineRule="auto"/>
        <w:jc w:val="both"/>
        <w:rPr>
          <w:rFonts w:ascii="Times New Roman" w:hAnsi="Times New Roman" w:cs="Times New Roman"/>
          <w:sz w:val="20"/>
          <w:szCs w:val="20"/>
          <w:lang w:val="en-US"/>
        </w:rPr>
      </w:pPr>
      <w:r w:rsidRPr="00644CE5">
        <w:rPr>
          <w:rFonts w:ascii="Times New Roman" w:hAnsi="Times New Roman" w:cs="Times New Roman"/>
          <w:b/>
          <w:bCs/>
          <w:sz w:val="24"/>
          <w:szCs w:val="24"/>
          <w:lang w:val="en-US"/>
        </w:rPr>
        <w:lastRenderedPageBreak/>
        <w:t>Table 1.</w:t>
      </w:r>
      <w:r w:rsidRPr="00644CE5">
        <w:rPr>
          <w:rFonts w:ascii="Times New Roman" w:hAnsi="Times New Roman" w:cs="Times New Roman"/>
          <w:sz w:val="24"/>
          <w:szCs w:val="24"/>
          <w:lang w:val="en-US"/>
        </w:rPr>
        <w:t xml:space="preserve"> Literature Review</w:t>
      </w:r>
    </w:p>
    <w:tbl>
      <w:tblPr>
        <w:tblStyle w:val="TabloKlavuzu"/>
        <w:tblW w:w="0" w:type="auto"/>
        <w:jc w:val="center"/>
        <w:tblLook w:val="04A0"/>
      </w:tblPr>
      <w:tblGrid>
        <w:gridCol w:w="1525"/>
        <w:gridCol w:w="1980"/>
        <w:gridCol w:w="2070"/>
        <w:gridCol w:w="1260"/>
        <w:gridCol w:w="2227"/>
      </w:tblGrid>
      <w:tr w:rsidR="00B0596A" w:rsidRPr="002928AA" w:rsidTr="00C628D7">
        <w:trPr>
          <w:trHeight w:val="217"/>
          <w:jc w:val="center"/>
        </w:trPr>
        <w:tc>
          <w:tcPr>
            <w:tcW w:w="1525" w:type="dxa"/>
            <w:vAlign w:val="center"/>
          </w:tcPr>
          <w:p w:rsidR="00736EE4" w:rsidRPr="002928AA" w:rsidRDefault="00736EE4" w:rsidP="00C628D7">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Author/s</w:t>
            </w:r>
          </w:p>
        </w:tc>
        <w:tc>
          <w:tcPr>
            <w:tcW w:w="1980" w:type="dxa"/>
            <w:vAlign w:val="center"/>
          </w:tcPr>
          <w:p w:rsidR="00736EE4" w:rsidRPr="002928AA" w:rsidRDefault="00736EE4" w:rsidP="00C628D7">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Sample</w:t>
            </w:r>
          </w:p>
        </w:tc>
        <w:tc>
          <w:tcPr>
            <w:tcW w:w="2070" w:type="dxa"/>
            <w:vAlign w:val="center"/>
          </w:tcPr>
          <w:p w:rsidR="00736EE4" w:rsidRPr="002928AA" w:rsidRDefault="00736EE4" w:rsidP="00C628D7">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Variables</w:t>
            </w:r>
          </w:p>
        </w:tc>
        <w:tc>
          <w:tcPr>
            <w:tcW w:w="1260" w:type="dxa"/>
            <w:vAlign w:val="center"/>
          </w:tcPr>
          <w:p w:rsidR="00736EE4" w:rsidRPr="002928AA" w:rsidRDefault="00736EE4" w:rsidP="00C628D7">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Methods</w:t>
            </w:r>
          </w:p>
        </w:tc>
        <w:tc>
          <w:tcPr>
            <w:tcW w:w="2227" w:type="dxa"/>
            <w:vAlign w:val="center"/>
          </w:tcPr>
          <w:p w:rsidR="00736EE4" w:rsidRPr="002928AA" w:rsidRDefault="00736EE4" w:rsidP="00C628D7">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Findings</w:t>
            </w:r>
          </w:p>
        </w:tc>
      </w:tr>
      <w:tr w:rsidR="00B0596A" w:rsidRPr="002928AA" w:rsidTr="00C628D7">
        <w:trPr>
          <w:trHeight w:val="700"/>
          <w:jc w:val="center"/>
        </w:trPr>
        <w:tc>
          <w:tcPr>
            <w:tcW w:w="1525" w:type="dxa"/>
            <w:vAlign w:val="center"/>
          </w:tcPr>
          <w:p w:rsidR="001B737F"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Keho</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(2015)</w:t>
            </w:r>
          </w:p>
        </w:tc>
        <w:tc>
          <w:tcPr>
            <w:tcW w:w="1980"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12 ECOWAS </w:t>
            </w:r>
            <w:r w:rsidR="002928AA">
              <w:rPr>
                <w:rFonts w:ascii="Times New Roman" w:hAnsi="Times New Roman" w:cs="Times New Roman"/>
                <w:sz w:val="20"/>
                <w:szCs w:val="20"/>
                <w:lang w:val="en-US"/>
              </w:rPr>
              <w:t>C</w:t>
            </w:r>
            <w:r w:rsidRPr="002928AA">
              <w:rPr>
                <w:rFonts w:ascii="Times New Roman" w:hAnsi="Times New Roman" w:cs="Times New Roman"/>
                <w:sz w:val="20"/>
                <w:szCs w:val="20"/>
                <w:lang w:val="en-US"/>
              </w:rPr>
              <w:t>ountries</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1970</w:t>
            </w:r>
            <w:r w:rsidR="00A27B89" w:rsidRPr="002928AA">
              <w:rPr>
                <w:rFonts w:ascii="Times New Roman" w:hAnsi="Times New Roman" w:cs="Times New Roman"/>
                <w:sz w:val="20"/>
                <w:szCs w:val="20"/>
                <w:lang w:val="en-US"/>
              </w:rPr>
              <w:t>-</w:t>
            </w:r>
            <w:r w:rsidRPr="002928AA">
              <w:rPr>
                <w:rFonts w:ascii="Times New Roman" w:hAnsi="Times New Roman" w:cs="Times New Roman"/>
                <w:sz w:val="20"/>
                <w:szCs w:val="20"/>
                <w:lang w:val="en-US"/>
              </w:rPr>
              <w:t>2010</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C</w:t>
            </w:r>
            <w:r w:rsidR="002928AA">
              <w:rPr>
                <w:rFonts w:ascii="Times New Roman" w:hAnsi="Times New Roman" w:cs="Times New Roman"/>
                <w:sz w:val="20"/>
                <w:szCs w:val="20"/>
                <w:lang w:val="en-US"/>
              </w:rPr>
              <w:t>O</w:t>
            </w:r>
            <w:r w:rsidRPr="002928AA">
              <w:rPr>
                <w:rFonts w:ascii="Times New Roman" w:hAnsi="Times New Roman" w:cs="Times New Roman"/>
                <w:sz w:val="20"/>
                <w:szCs w:val="20"/>
                <w:vertAlign w:val="subscript"/>
                <w:lang w:val="en-US"/>
              </w:rPr>
              <w:t>2</w:t>
            </w:r>
            <w:r w:rsidRPr="002928AA">
              <w:rPr>
                <w:rFonts w:ascii="Times New Roman" w:hAnsi="Times New Roman" w:cs="Times New Roman"/>
                <w:sz w:val="20"/>
                <w:szCs w:val="20"/>
                <w:lang w:val="en-US"/>
              </w:rPr>
              <w:t xml:space="preserve">, FDI, </w:t>
            </w:r>
            <w:r w:rsidR="002928AA">
              <w:rPr>
                <w:rFonts w:ascii="Times New Roman" w:hAnsi="Times New Roman" w:cs="Times New Roman"/>
                <w:sz w:val="20"/>
                <w:szCs w:val="20"/>
                <w:lang w:val="en-US"/>
              </w:rPr>
              <w:t>P</w:t>
            </w:r>
            <w:r w:rsidR="00CE45CA" w:rsidRPr="002928AA">
              <w:rPr>
                <w:rFonts w:ascii="Times New Roman" w:hAnsi="Times New Roman" w:cs="Times New Roman"/>
                <w:sz w:val="20"/>
                <w:szCs w:val="20"/>
                <w:lang w:val="en-US"/>
              </w:rPr>
              <w:t>op</w:t>
            </w:r>
            <w:r w:rsidRPr="002928AA">
              <w:rPr>
                <w:rFonts w:ascii="Times New Roman" w:hAnsi="Times New Roman" w:cs="Times New Roman"/>
                <w:sz w:val="20"/>
                <w:szCs w:val="20"/>
                <w:lang w:val="en-US"/>
              </w:rPr>
              <w:t>,</w:t>
            </w:r>
            <w:r w:rsidR="00D55414" w:rsidRPr="002928AA">
              <w:rPr>
                <w:rFonts w:ascii="Times New Roman" w:hAnsi="Times New Roman" w:cs="Times New Roman"/>
                <w:sz w:val="20"/>
                <w:szCs w:val="20"/>
                <w:lang w:val="en-US"/>
              </w:rPr>
              <w:t xml:space="preserve"> pGDP</w:t>
            </w:r>
          </w:p>
        </w:tc>
        <w:tc>
          <w:tcPr>
            <w:tcW w:w="1260" w:type="dxa"/>
            <w:vAlign w:val="center"/>
          </w:tcPr>
          <w:p w:rsidR="00736EE4" w:rsidRPr="002928AA" w:rsidRDefault="00736EE4" w:rsidP="00C628D7">
            <w:pPr>
              <w:autoSpaceDE w:val="0"/>
              <w:autoSpaceDN w:val="0"/>
              <w:adjustRightInd w:val="0"/>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ARDL</w:t>
            </w:r>
          </w:p>
        </w:tc>
        <w:tc>
          <w:tcPr>
            <w:tcW w:w="2227"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FDI</w:t>
            </w:r>
            <w:r w:rsidR="009075AB" w:rsidRPr="002928AA">
              <w:rPr>
                <w:rFonts w:ascii="Times New Roman" w:hAnsi="Times New Roman" w:cs="Times New Roman"/>
                <w:sz w:val="20"/>
                <w:szCs w:val="20"/>
                <w:lang w:val="en-US"/>
              </w:rPr>
              <w:t>, + and – effects on C</w:t>
            </w:r>
            <w:r w:rsidR="002928AA">
              <w:rPr>
                <w:rFonts w:ascii="Times New Roman" w:hAnsi="Times New Roman" w:cs="Times New Roman"/>
                <w:sz w:val="20"/>
                <w:szCs w:val="20"/>
                <w:lang w:val="en-US"/>
              </w:rPr>
              <w:t>O</w:t>
            </w:r>
            <w:r w:rsidR="009075AB" w:rsidRPr="002928AA">
              <w:rPr>
                <w:rFonts w:ascii="Times New Roman" w:hAnsi="Times New Roman" w:cs="Times New Roman"/>
                <w:sz w:val="20"/>
                <w:szCs w:val="20"/>
                <w:vertAlign w:val="subscript"/>
                <w:lang w:val="en-US"/>
              </w:rPr>
              <w:t>2</w:t>
            </w:r>
          </w:p>
        </w:tc>
      </w:tr>
      <w:tr w:rsidR="00B0596A" w:rsidRPr="002928AA" w:rsidTr="00C628D7">
        <w:trPr>
          <w:trHeight w:val="826"/>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Tang </w:t>
            </w:r>
            <w:r w:rsidR="008D3B71" w:rsidRPr="002928AA">
              <w:rPr>
                <w:rFonts w:ascii="Times New Roman" w:hAnsi="Times New Roman" w:cs="Times New Roman"/>
                <w:sz w:val="20"/>
                <w:szCs w:val="20"/>
                <w:lang w:val="en-US"/>
              </w:rPr>
              <w:t>and</w:t>
            </w:r>
            <w:r w:rsidRPr="002928AA">
              <w:rPr>
                <w:rFonts w:ascii="Times New Roman" w:hAnsi="Times New Roman" w:cs="Times New Roman"/>
                <w:sz w:val="20"/>
                <w:szCs w:val="20"/>
                <w:lang w:val="en-US"/>
              </w:rPr>
              <w:t xml:space="preserve"> Tan (2015)</w:t>
            </w:r>
          </w:p>
        </w:tc>
        <w:tc>
          <w:tcPr>
            <w:tcW w:w="1980"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Vietnam</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1976</w:t>
            </w:r>
            <w:r w:rsidR="00A27B89" w:rsidRPr="002928AA">
              <w:rPr>
                <w:rFonts w:ascii="Times New Roman" w:hAnsi="Times New Roman" w:cs="Times New Roman"/>
                <w:sz w:val="20"/>
                <w:szCs w:val="20"/>
                <w:lang w:val="en-US"/>
              </w:rPr>
              <w:t>-</w:t>
            </w:r>
            <w:r w:rsidRPr="002928AA">
              <w:rPr>
                <w:rFonts w:ascii="Times New Roman" w:hAnsi="Times New Roman" w:cs="Times New Roman"/>
                <w:sz w:val="20"/>
                <w:szCs w:val="20"/>
                <w:lang w:val="en-US"/>
              </w:rPr>
              <w:t>2009</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C</w:t>
            </w:r>
            <w:r w:rsidR="002928AA">
              <w:rPr>
                <w:rFonts w:ascii="Times New Roman" w:hAnsi="Times New Roman" w:cs="Times New Roman"/>
                <w:sz w:val="20"/>
                <w:szCs w:val="20"/>
                <w:lang w:val="en-US"/>
              </w:rPr>
              <w:t>O</w:t>
            </w:r>
            <w:r w:rsidRPr="002928AA">
              <w:rPr>
                <w:rFonts w:ascii="Times New Roman" w:hAnsi="Times New Roman" w:cs="Times New Roman"/>
                <w:sz w:val="20"/>
                <w:szCs w:val="20"/>
                <w:vertAlign w:val="subscript"/>
                <w:lang w:val="en-US"/>
              </w:rPr>
              <w:t>2</w:t>
            </w:r>
            <w:r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EU</w:t>
            </w:r>
            <w:r w:rsidRPr="002928AA">
              <w:rPr>
                <w:rFonts w:ascii="Times New Roman" w:hAnsi="Times New Roman" w:cs="Times New Roman"/>
                <w:sz w:val="20"/>
                <w:szCs w:val="20"/>
                <w:lang w:val="en-US"/>
              </w:rPr>
              <w:t xml:space="preserve">, FDI, </w:t>
            </w:r>
            <w:r w:rsidR="00D55414" w:rsidRPr="002928AA">
              <w:rPr>
                <w:rFonts w:ascii="Times New Roman" w:hAnsi="Times New Roman" w:cs="Times New Roman"/>
                <w:sz w:val="20"/>
                <w:szCs w:val="20"/>
                <w:lang w:val="en-US"/>
              </w:rPr>
              <w:t>Eg</w:t>
            </w:r>
          </w:p>
        </w:tc>
        <w:tc>
          <w:tcPr>
            <w:tcW w:w="1260" w:type="dxa"/>
            <w:vAlign w:val="center"/>
          </w:tcPr>
          <w:p w:rsidR="00736EE4" w:rsidRPr="002928AA" w:rsidRDefault="00736EE4" w:rsidP="00C628D7">
            <w:pPr>
              <w:autoSpaceDE w:val="0"/>
              <w:autoSpaceDN w:val="0"/>
              <w:adjustRightInd w:val="0"/>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VECM</w:t>
            </w:r>
            <w:r w:rsidR="00C628D7">
              <w:rPr>
                <w:rFonts w:ascii="Times New Roman" w:hAnsi="Times New Roman" w:cs="Times New Roman"/>
                <w:sz w:val="20"/>
                <w:szCs w:val="20"/>
                <w:lang w:val="en-US"/>
              </w:rPr>
              <w:t>,</w:t>
            </w:r>
            <w:r w:rsidRPr="002928AA">
              <w:rPr>
                <w:rFonts w:ascii="Times New Roman" w:hAnsi="Times New Roman" w:cs="Times New Roman"/>
                <w:sz w:val="20"/>
                <w:szCs w:val="20"/>
                <w:lang w:val="en-US"/>
              </w:rPr>
              <w:t xml:space="preserve"> Granger causality</w:t>
            </w:r>
          </w:p>
        </w:tc>
        <w:tc>
          <w:tcPr>
            <w:tcW w:w="2227"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FDI</w:t>
            </w:r>
            <w:r w:rsidR="000F1ACB" w:rsidRPr="002928AA">
              <w:rPr>
                <w:rFonts w:ascii="Times New Roman" w:hAnsi="Times New Roman" w:cs="Times New Roman"/>
                <w:sz w:val="20"/>
                <w:szCs w:val="20"/>
                <w:lang w:val="en-US"/>
              </w:rPr>
              <w:t>,</w:t>
            </w:r>
            <w:r w:rsidR="002928AA">
              <w:rPr>
                <w:rFonts w:ascii="Times New Roman" w:hAnsi="Times New Roman" w:cs="Times New Roman"/>
                <w:sz w:val="20"/>
                <w:szCs w:val="20"/>
                <w:lang w:val="en-US"/>
              </w:rPr>
              <w:t xml:space="preserve"> </w:t>
            </w:r>
            <w:r w:rsidR="000F1ACB" w:rsidRPr="002928AA">
              <w:rPr>
                <w:rFonts w:ascii="Times New Roman" w:hAnsi="Times New Roman" w:cs="Times New Roman"/>
                <w:sz w:val="20"/>
                <w:szCs w:val="20"/>
                <w:lang w:val="en-US"/>
              </w:rPr>
              <w:t xml:space="preserve">– </w:t>
            </w:r>
            <w:r w:rsidR="009075AB" w:rsidRPr="002928AA">
              <w:rPr>
                <w:rFonts w:ascii="Times New Roman" w:hAnsi="Times New Roman" w:cs="Times New Roman"/>
                <w:sz w:val="20"/>
                <w:szCs w:val="20"/>
                <w:lang w:val="en-US"/>
              </w:rPr>
              <w:t>effect</w:t>
            </w:r>
            <w:r w:rsidR="0014474D" w:rsidRPr="002928AA">
              <w:rPr>
                <w:rFonts w:ascii="Times New Roman" w:hAnsi="Times New Roman" w:cs="Times New Roman"/>
                <w:sz w:val="20"/>
                <w:szCs w:val="20"/>
                <w:lang w:val="en-US"/>
              </w:rPr>
              <w:t>s</w:t>
            </w:r>
            <w:r w:rsidR="009075AB" w:rsidRPr="002928AA">
              <w:rPr>
                <w:rFonts w:ascii="Times New Roman" w:hAnsi="Times New Roman" w:cs="Times New Roman"/>
                <w:sz w:val="20"/>
                <w:szCs w:val="20"/>
                <w:lang w:val="en-US"/>
              </w:rPr>
              <w:t xml:space="preserve"> on </w:t>
            </w:r>
            <w:r w:rsidRPr="002928AA">
              <w:rPr>
                <w:rFonts w:ascii="Times New Roman" w:hAnsi="Times New Roman" w:cs="Times New Roman"/>
                <w:sz w:val="20"/>
                <w:szCs w:val="20"/>
                <w:lang w:val="en-US"/>
              </w:rPr>
              <w:t>C</w:t>
            </w:r>
            <w:r w:rsidR="002928AA">
              <w:rPr>
                <w:rFonts w:ascii="Times New Roman" w:hAnsi="Times New Roman" w:cs="Times New Roman"/>
                <w:sz w:val="20"/>
                <w:szCs w:val="20"/>
                <w:lang w:val="en-US"/>
              </w:rPr>
              <w:t>O</w:t>
            </w:r>
            <w:r w:rsidRPr="002928AA">
              <w:rPr>
                <w:rFonts w:ascii="Times New Roman" w:hAnsi="Times New Roman" w:cs="Times New Roman"/>
                <w:sz w:val="20"/>
                <w:szCs w:val="20"/>
                <w:vertAlign w:val="subscript"/>
                <w:lang w:val="en-US"/>
              </w:rPr>
              <w:t>2</w:t>
            </w:r>
          </w:p>
        </w:tc>
      </w:tr>
      <w:tr w:rsidR="00B0596A" w:rsidRPr="002928AA" w:rsidTr="00C628D7">
        <w:trPr>
          <w:trHeight w:val="556"/>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Peng et al. (2016)</w:t>
            </w:r>
          </w:p>
        </w:tc>
        <w:tc>
          <w:tcPr>
            <w:tcW w:w="1980"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Provinces of </w:t>
            </w:r>
            <w:r w:rsidR="00B0596A" w:rsidRPr="002928AA">
              <w:rPr>
                <w:rFonts w:ascii="Times New Roman" w:hAnsi="Times New Roman" w:cs="Times New Roman"/>
                <w:sz w:val="20"/>
                <w:szCs w:val="20"/>
                <w:lang w:val="en-US"/>
              </w:rPr>
              <w:t>China</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1985-2012</w:t>
            </w:r>
          </w:p>
        </w:tc>
        <w:tc>
          <w:tcPr>
            <w:tcW w:w="2070" w:type="dxa"/>
            <w:vAlign w:val="center"/>
          </w:tcPr>
          <w:p w:rsidR="00736EE4" w:rsidRPr="002928AA" w:rsidRDefault="002928AA" w:rsidP="00C628D7">
            <w:pPr>
              <w:jc w:val="both"/>
              <w:rPr>
                <w:rFonts w:ascii="Times New Roman" w:hAnsi="Times New Roman" w:cs="Times New Roman"/>
                <w:sz w:val="20"/>
                <w:szCs w:val="20"/>
                <w:lang w:val="en-US"/>
              </w:rPr>
            </w:pPr>
            <w:r>
              <w:rPr>
                <w:rFonts w:ascii="Times New Roman" w:hAnsi="Times New Roman" w:cs="Times New Roman"/>
                <w:sz w:val="20"/>
                <w:szCs w:val="20"/>
                <w:lang w:val="en-US"/>
              </w:rPr>
              <w:t>CO</w:t>
            </w:r>
            <w:r w:rsidR="00736EE4" w:rsidRPr="002928AA">
              <w:rPr>
                <w:rFonts w:ascii="Times New Roman" w:hAnsi="Times New Roman" w:cs="Times New Roman"/>
                <w:sz w:val="20"/>
                <w:szCs w:val="20"/>
                <w:vertAlign w:val="subscript"/>
                <w:lang w:val="en-US"/>
              </w:rPr>
              <w:t>2</w:t>
            </w:r>
            <w:r w:rsidR="00736EE4" w:rsidRPr="002928AA">
              <w:rPr>
                <w:rFonts w:ascii="Times New Roman" w:hAnsi="Times New Roman" w:cs="Times New Roman"/>
                <w:sz w:val="20"/>
                <w:szCs w:val="20"/>
                <w:lang w:val="en-US"/>
              </w:rPr>
              <w:t xml:space="preserve">, FDI, </w:t>
            </w:r>
            <w:r w:rsidR="00D55414" w:rsidRPr="002928AA">
              <w:rPr>
                <w:rFonts w:ascii="Times New Roman" w:hAnsi="Times New Roman" w:cs="Times New Roman"/>
                <w:sz w:val="20"/>
                <w:szCs w:val="20"/>
                <w:lang w:val="en-US"/>
              </w:rPr>
              <w:t>Eg</w:t>
            </w:r>
          </w:p>
        </w:tc>
        <w:tc>
          <w:tcPr>
            <w:tcW w:w="1260" w:type="dxa"/>
            <w:vAlign w:val="center"/>
          </w:tcPr>
          <w:p w:rsidR="00736EE4" w:rsidRPr="002928AA" w:rsidRDefault="00736EE4" w:rsidP="00C628D7">
            <w:pPr>
              <w:autoSpaceDE w:val="0"/>
              <w:autoSpaceDN w:val="0"/>
              <w:adjustRightInd w:val="0"/>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OLS, panel VAR</w:t>
            </w:r>
          </w:p>
        </w:tc>
        <w:tc>
          <w:tcPr>
            <w:tcW w:w="2227" w:type="dxa"/>
            <w:vAlign w:val="center"/>
          </w:tcPr>
          <w:p w:rsidR="00736EE4" w:rsidRPr="002928AA" w:rsidRDefault="009075AB"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 and – effects on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p>
        </w:tc>
      </w:tr>
      <w:tr w:rsidR="00B0596A" w:rsidRPr="002928AA" w:rsidTr="00C628D7">
        <w:trPr>
          <w:trHeight w:val="584"/>
          <w:jc w:val="center"/>
        </w:trPr>
        <w:tc>
          <w:tcPr>
            <w:tcW w:w="1525" w:type="dxa"/>
            <w:vAlign w:val="center"/>
          </w:tcPr>
          <w:p w:rsidR="001B737F"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Ali et al.</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(2017)</w:t>
            </w:r>
          </w:p>
        </w:tc>
        <w:tc>
          <w:tcPr>
            <w:tcW w:w="1980"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Malaysia</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1971</w:t>
            </w:r>
            <w:r w:rsidR="00A27B89" w:rsidRPr="002928AA">
              <w:rPr>
                <w:rFonts w:ascii="Times New Roman" w:hAnsi="Times New Roman" w:cs="Times New Roman"/>
                <w:sz w:val="20"/>
                <w:szCs w:val="20"/>
                <w:lang w:val="en-US"/>
              </w:rPr>
              <w:t>-</w:t>
            </w:r>
            <w:r w:rsidRPr="002928AA">
              <w:rPr>
                <w:rFonts w:ascii="Times New Roman" w:hAnsi="Times New Roman" w:cs="Times New Roman"/>
                <w:sz w:val="20"/>
                <w:szCs w:val="20"/>
                <w:lang w:val="en-US"/>
              </w:rPr>
              <w:t>2012</w:t>
            </w:r>
          </w:p>
        </w:tc>
        <w:tc>
          <w:tcPr>
            <w:tcW w:w="2070" w:type="dxa"/>
            <w:vAlign w:val="center"/>
          </w:tcPr>
          <w:p w:rsidR="00736EE4" w:rsidRPr="002928AA" w:rsidRDefault="002928AA" w:rsidP="00C628D7">
            <w:pPr>
              <w:jc w:val="both"/>
              <w:rPr>
                <w:rFonts w:ascii="Times New Roman" w:hAnsi="Times New Roman" w:cs="Times New Roman"/>
                <w:sz w:val="20"/>
                <w:szCs w:val="20"/>
                <w:lang w:val="en-US"/>
              </w:rPr>
            </w:pPr>
            <w:r>
              <w:rPr>
                <w:rFonts w:ascii="Times New Roman" w:hAnsi="Times New Roman" w:cs="Times New Roman"/>
                <w:sz w:val="20"/>
                <w:szCs w:val="20"/>
                <w:lang w:val="en-US"/>
              </w:rPr>
              <w:t>CO</w:t>
            </w:r>
            <w:r w:rsidR="00736EE4" w:rsidRPr="002928AA">
              <w:rPr>
                <w:rFonts w:ascii="Times New Roman" w:hAnsi="Times New Roman" w:cs="Times New Roman"/>
                <w:sz w:val="20"/>
                <w:szCs w:val="20"/>
                <w:vertAlign w:val="subscript"/>
                <w:lang w:val="en-US"/>
              </w:rPr>
              <w:t>2</w:t>
            </w:r>
            <w:r w:rsidR="00736EE4"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Eu,p</w:t>
            </w:r>
            <w:r w:rsidR="00736EE4" w:rsidRPr="002928AA">
              <w:rPr>
                <w:rFonts w:ascii="Times New Roman" w:hAnsi="Times New Roman" w:cs="Times New Roman"/>
                <w:sz w:val="20"/>
                <w:szCs w:val="20"/>
                <w:lang w:val="en-US"/>
              </w:rPr>
              <w:t xml:space="preserve">GDP, FDI, </w:t>
            </w:r>
            <w:r w:rsidR="00D55414" w:rsidRPr="002928AA">
              <w:rPr>
                <w:rFonts w:ascii="Times New Roman" w:hAnsi="Times New Roman" w:cs="Times New Roman"/>
                <w:sz w:val="20"/>
                <w:szCs w:val="20"/>
                <w:lang w:val="en-US"/>
              </w:rPr>
              <w:t>Tr</w:t>
            </w:r>
            <w:r w:rsidR="00736EE4"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Fd</w:t>
            </w:r>
          </w:p>
        </w:tc>
        <w:tc>
          <w:tcPr>
            <w:tcW w:w="1260" w:type="dxa"/>
            <w:vAlign w:val="center"/>
          </w:tcPr>
          <w:p w:rsidR="00736EE4" w:rsidRPr="002928AA" w:rsidRDefault="00736EE4" w:rsidP="00C628D7">
            <w:pPr>
              <w:autoSpaceDE w:val="0"/>
              <w:autoSpaceDN w:val="0"/>
              <w:adjustRightInd w:val="0"/>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ARDL</w:t>
            </w:r>
          </w:p>
        </w:tc>
        <w:tc>
          <w:tcPr>
            <w:tcW w:w="2227" w:type="dxa"/>
            <w:vAlign w:val="center"/>
          </w:tcPr>
          <w:p w:rsidR="00736EE4" w:rsidRPr="002928AA" w:rsidRDefault="009075AB"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 and – effects on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p>
        </w:tc>
      </w:tr>
      <w:tr w:rsidR="00B0596A" w:rsidRPr="002928AA" w:rsidTr="00C628D7">
        <w:trPr>
          <w:trHeight w:val="564"/>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Bakhsh </w:t>
            </w:r>
            <w:r w:rsidR="008D3B71" w:rsidRPr="002928AA">
              <w:rPr>
                <w:rFonts w:ascii="Times New Roman" w:hAnsi="Times New Roman" w:cs="Times New Roman"/>
                <w:sz w:val="20"/>
                <w:szCs w:val="20"/>
                <w:lang w:val="en-US"/>
              </w:rPr>
              <w:t>et al</w:t>
            </w:r>
            <w:r w:rsidRPr="002928AA">
              <w:rPr>
                <w:rFonts w:ascii="Times New Roman" w:hAnsi="Times New Roman" w:cs="Times New Roman"/>
                <w:sz w:val="20"/>
                <w:szCs w:val="20"/>
                <w:lang w:val="en-US"/>
              </w:rPr>
              <w:t>. (2017)</w:t>
            </w:r>
          </w:p>
        </w:tc>
        <w:tc>
          <w:tcPr>
            <w:tcW w:w="1980"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Pakistan</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1980-2014</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w:t>
            </w:r>
            <w:r w:rsidR="002928AA">
              <w:rPr>
                <w:rFonts w:ascii="Times New Roman" w:hAnsi="Times New Roman" w:cs="Times New Roman"/>
                <w:sz w:val="20"/>
                <w:szCs w:val="20"/>
                <w:lang w:val="en-US"/>
              </w:rPr>
              <w:t>CO</w:t>
            </w:r>
            <w:r w:rsidR="00ED3F7A" w:rsidRPr="002928AA">
              <w:rPr>
                <w:rFonts w:ascii="Times New Roman" w:hAnsi="Times New Roman" w:cs="Times New Roman"/>
                <w:sz w:val="20"/>
                <w:szCs w:val="20"/>
                <w:vertAlign w:val="subscript"/>
                <w:lang w:val="en-US"/>
              </w:rPr>
              <w:t>2</w:t>
            </w:r>
            <w:r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Ec</w:t>
            </w:r>
          </w:p>
        </w:tc>
        <w:tc>
          <w:tcPr>
            <w:tcW w:w="1260" w:type="dxa"/>
            <w:vAlign w:val="center"/>
          </w:tcPr>
          <w:p w:rsidR="00736EE4" w:rsidRPr="002928AA" w:rsidRDefault="00736EE4" w:rsidP="00C628D7">
            <w:pPr>
              <w:autoSpaceDE w:val="0"/>
              <w:autoSpaceDN w:val="0"/>
              <w:adjustRightInd w:val="0"/>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3SLS</w:t>
            </w:r>
          </w:p>
        </w:tc>
        <w:tc>
          <w:tcPr>
            <w:tcW w:w="2227" w:type="dxa"/>
            <w:vAlign w:val="center"/>
          </w:tcPr>
          <w:p w:rsidR="00736EE4" w:rsidRPr="002928AA" w:rsidRDefault="009075AB"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 effects on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p>
        </w:tc>
      </w:tr>
      <w:tr w:rsidR="00B0596A" w:rsidRPr="002928AA" w:rsidTr="00C628D7">
        <w:trPr>
          <w:trHeight w:val="723"/>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Behera </w:t>
            </w:r>
            <w:r w:rsidR="008D3B71" w:rsidRPr="002928AA">
              <w:rPr>
                <w:rFonts w:ascii="Times New Roman" w:hAnsi="Times New Roman" w:cs="Times New Roman"/>
                <w:sz w:val="20"/>
                <w:szCs w:val="20"/>
                <w:lang w:val="en-US"/>
              </w:rPr>
              <w:t>and</w:t>
            </w:r>
            <w:r w:rsidRPr="002928AA">
              <w:rPr>
                <w:rFonts w:ascii="Times New Roman" w:hAnsi="Times New Roman" w:cs="Times New Roman"/>
                <w:sz w:val="20"/>
                <w:szCs w:val="20"/>
                <w:lang w:val="en-US"/>
              </w:rPr>
              <w:t xml:space="preserve"> Dash (2017)</w:t>
            </w:r>
          </w:p>
        </w:tc>
        <w:tc>
          <w:tcPr>
            <w:tcW w:w="1980"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17 South and Southeast</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Asian </w:t>
            </w:r>
            <w:r w:rsidR="002928AA">
              <w:rPr>
                <w:rFonts w:ascii="Times New Roman" w:hAnsi="Times New Roman" w:cs="Times New Roman"/>
                <w:sz w:val="20"/>
                <w:szCs w:val="20"/>
                <w:lang w:val="en-US"/>
              </w:rPr>
              <w:t>C</w:t>
            </w:r>
            <w:r w:rsidRPr="002928AA">
              <w:rPr>
                <w:rFonts w:ascii="Times New Roman" w:hAnsi="Times New Roman" w:cs="Times New Roman"/>
                <w:sz w:val="20"/>
                <w:szCs w:val="20"/>
                <w:lang w:val="en-US"/>
              </w:rPr>
              <w:t>ountries</w:t>
            </w:r>
          </w:p>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1980-2012</w:t>
            </w:r>
          </w:p>
        </w:tc>
        <w:tc>
          <w:tcPr>
            <w:tcW w:w="2070" w:type="dxa"/>
            <w:vAlign w:val="center"/>
          </w:tcPr>
          <w:p w:rsidR="00736EE4" w:rsidRPr="002928AA" w:rsidRDefault="002928AA" w:rsidP="00C628D7">
            <w:pPr>
              <w:jc w:val="both"/>
              <w:rPr>
                <w:rFonts w:ascii="Times New Roman" w:hAnsi="Times New Roman" w:cs="Times New Roman"/>
                <w:sz w:val="20"/>
                <w:szCs w:val="20"/>
                <w:lang w:val="en-US"/>
              </w:rPr>
            </w:pPr>
            <w:r>
              <w:rPr>
                <w:rFonts w:ascii="Times New Roman" w:hAnsi="Times New Roman" w:cs="Times New Roman"/>
                <w:sz w:val="20"/>
                <w:szCs w:val="20"/>
                <w:lang w:val="en-US"/>
              </w:rPr>
              <w:t>CO</w:t>
            </w:r>
            <w:r w:rsidR="00D55414" w:rsidRPr="002928AA">
              <w:rPr>
                <w:rFonts w:ascii="Times New Roman" w:hAnsi="Times New Roman" w:cs="Times New Roman"/>
                <w:sz w:val="20"/>
                <w:szCs w:val="20"/>
                <w:vertAlign w:val="subscript"/>
                <w:lang w:val="en-US"/>
              </w:rPr>
              <w:t>2</w:t>
            </w:r>
            <w:r w:rsidR="00736EE4" w:rsidRPr="002928AA">
              <w:rPr>
                <w:rFonts w:ascii="Times New Roman" w:hAnsi="Times New Roman" w:cs="Times New Roman"/>
                <w:sz w:val="20"/>
                <w:szCs w:val="20"/>
                <w:lang w:val="en-US"/>
              </w:rPr>
              <w:t>, FDI,</w:t>
            </w:r>
            <w:r w:rsidR="00C628D7">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Eu</w:t>
            </w:r>
            <w:r w:rsidR="00736EE4"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Ub</w:t>
            </w:r>
          </w:p>
        </w:tc>
        <w:tc>
          <w:tcPr>
            <w:tcW w:w="1260" w:type="dxa"/>
            <w:vAlign w:val="center"/>
          </w:tcPr>
          <w:p w:rsidR="00736EE4" w:rsidRPr="002928AA" w:rsidRDefault="00736EE4" w:rsidP="00C628D7">
            <w:pPr>
              <w:autoSpaceDE w:val="0"/>
              <w:autoSpaceDN w:val="0"/>
              <w:adjustRightInd w:val="0"/>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FMOLS</w:t>
            </w:r>
            <w:r w:rsidR="00C628D7">
              <w:rPr>
                <w:rFonts w:ascii="Times New Roman" w:hAnsi="Times New Roman" w:cs="Times New Roman"/>
                <w:sz w:val="20"/>
                <w:szCs w:val="20"/>
                <w:lang w:val="en-US"/>
              </w:rPr>
              <w:t>,</w:t>
            </w:r>
            <w:r w:rsidRPr="002928AA">
              <w:rPr>
                <w:rFonts w:ascii="Times New Roman" w:hAnsi="Times New Roman" w:cs="Times New Roman"/>
                <w:sz w:val="20"/>
                <w:szCs w:val="20"/>
                <w:lang w:val="en-US"/>
              </w:rPr>
              <w:t xml:space="preserve"> DOLS</w:t>
            </w:r>
          </w:p>
        </w:tc>
        <w:tc>
          <w:tcPr>
            <w:tcW w:w="2227" w:type="dxa"/>
            <w:vAlign w:val="center"/>
          </w:tcPr>
          <w:p w:rsidR="00736EE4" w:rsidRPr="002928AA" w:rsidRDefault="009075AB"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 effects on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p>
        </w:tc>
      </w:tr>
      <w:tr w:rsidR="00B0596A" w:rsidRPr="002928AA" w:rsidTr="00C628D7">
        <w:trPr>
          <w:trHeight w:val="786"/>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Sapkota </w:t>
            </w:r>
            <w:r w:rsidR="008D3B71" w:rsidRPr="002928AA">
              <w:rPr>
                <w:rFonts w:ascii="Times New Roman" w:hAnsi="Times New Roman" w:cs="Times New Roman"/>
                <w:sz w:val="20"/>
                <w:szCs w:val="20"/>
                <w:lang w:val="en-US"/>
              </w:rPr>
              <w:t>and</w:t>
            </w:r>
            <w:r w:rsidRPr="002928AA">
              <w:rPr>
                <w:rFonts w:ascii="Times New Roman" w:hAnsi="Times New Roman" w:cs="Times New Roman"/>
                <w:sz w:val="20"/>
                <w:szCs w:val="20"/>
                <w:lang w:val="en-US"/>
              </w:rPr>
              <w:t xml:space="preserve"> Bastola (2017)</w:t>
            </w:r>
          </w:p>
        </w:tc>
        <w:tc>
          <w:tcPr>
            <w:tcW w:w="1980" w:type="dxa"/>
            <w:vAlign w:val="center"/>
          </w:tcPr>
          <w:p w:rsidR="003F509E"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14 </w:t>
            </w:r>
            <w:r w:rsidR="003F509E" w:rsidRPr="002928AA">
              <w:rPr>
                <w:rFonts w:ascii="Times New Roman" w:hAnsi="Times New Roman" w:cs="Times New Roman"/>
                <w:sz w:val="20"/>
                <w:szCs w:val="20"/>
                <w:lang w:val="en-US"/>
              </w:rPr>
              <w:t xml:space="preserve">Latin America </w:t>
            </w:r>
            <w:r w:rsidR="002928AA">
              <w:rPr>
                <w:rFonts w:ascii="Times New Roman" w:hAnsi="Times New Roman" w:cs="Times New Roman"/>
                <w:sz w:val="20"/>
                <w:szCs w:val="20"/>
                <w:lang w:val="en-US"/>
              </w:rPr>
              <w:t>C</w:t>
            </w:r>
            <w:r w:rsidR="003F509E" w:rsidRPr="002928AA">
              <w:rPr>
                <w:rFonts w:ascii="Times New Roman" w:hAnsi="Times New Roman" w:cs="Times New Roman"/>
                <w:sz w:val="20"/>
                <w:szCs w:val="20"/>
                <w:lang w:val="en-US"/>
              </w:rPr>
              <w:t>ountries</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1980-2010</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w:t>
            </w:r>
            <w:r w:rsidR="00D55414" w:rsidRPr="002928AA">
              <w:rPr>
                <w:rFonts w:ascii="Times New Roman" w:hAnsi="Times New Roman" w:cs="Times New Roman"/>
                <w:sz w:val="20"/>
                <w:szCs w:val="20"/>
                <w:lang w:val="en-US"/>
              </w:rPr>
              <w:t>Eg</w:t>
            </w:r>
            <w:r w:rsidRPr="002928AA">
              <w:rPr>
                <w:rFonts w:ascii="Times New Roman" w:hAnsi="Times New Roman" w:cs="Times New Roman"/>
                <w:sz w:val="20"/>
                <w:szCs w:val="20"/>
                <w:lang w:val="en-US"/>
              </w:rPr>
              <w:t xml:space="preserve">, </w:t>
            </w:r>
            <w:r w:rsidR="002928AA">
              <w:rPr>
                <w:rFonts w:ascii="Times New Roman" w:hAnsi="Times New Roman" w:cs="Times New Roman"/>
                <w:sz w:val="20"/>
                <w:szCs w:val="20"/>
                <w:lang w:val="en-US"/>
              </w:rPr>
              <w:t>CO</w:t>
            </w:r>
            <w:r w:rsidR="00D06453" w:rsidRPr="002928AA">
              <w:rPr>
                <w:rFonts w:ascii="Times New Roman" w:hAnsi="Times New Roman" w:cs="Times New Roman"/>
                <w:sz w:val="20"/>
                <w:szCs w:val="20"/>
                <w:vertAlign w:val="subscript"/>
                <w:lang w:val="en-US"/>
              </w:rPr>
              <w:t>2</w:t>
            </w:r>
          </w:p>
        </w:tc>
        <w:tc>
          <w:tcPr>
            <w:tcW w:w="1260" w:type="dxa"/>
            <w:vAlign w:val="center"/>
          </w:tcPr>
          <w:p w:rsidR="00736EE4" w:rsidRPr="002928AA" w:rsidRDefault="00656F9B"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FE, RE</w:t>
            </w:r>
          </w:p>
        </w:tc>
        <w:tc>
          <w:tcPr>
            <w:tcW w:w="2227" w:type="dxa"/>
            <w:vAlign w:val="center"/>
          </w:tcPr>
          <w:p w:rsidR="00736EE4" w:rsidRPr="002928AA" w:rsidRDefault="009075AB" w:rsidP="00C628D7">
            <w:pPr>
              <w:pStyle w:val="Gvdemetni20"/>
              <w:shd w:val="clear" w:color="auto" w:fill="auto"/>
              <w:spacing w:before="0" w:after="0" w:line="240" w:lineRule="auto"/>
              <w:rPr>
                <w:rFonts w:eastAsiaTheme="minorHAnsi"/>
                <w:sz w:val="20"/>
                <w:szCs w:val="20"/>
                <w:lang w:val="en-US"/>
              </w:rPr>
            </w:pPr>
            <w:r w:rsidRPr="002928AA">
              <w:rPr>
                <w:sz w:val="20"/>
                <w:szCs w:val="20"/>
                <w:lang w:val="en-US"/>
              </w:rPr>
              <w:t xml:space="preserve">FDI, + effects on </w:t>
            </w:r>
            <w:r w:rsidR="002928AA">
              <w:rPr>
                <w:sz w:val="20"/>
                <w:szCs w:val="20"/>
                <w:lang w:val="en-US"/>
              </w:rPr>
              <w:t>CO</w:t>
            </w:r>
            <w:r w:rsidRPr="002928AA">
              <w:rPr>
                <w:sz w:val="20"/>
                <w:szCs w:val="20"/>
                <w:vertAlign w:val="subscript"/>
                <w:lang w:val="en-US"/>
              </w:rPr>
              <w:t>2</w:t>
            </w:r>
          </w:p>
        </w:tc>
      </w:tr>
      <w:tr w:rsidR="00B0596A" w:rsidRPr="002928AA" w:rsidTr="00C628D7">
        <w:trPr>
          <w:trHeight w:val="697"/>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Chang </w:t>
            </w:r>
            <w:r w:rsidR="008D3B71" w:rsidRPr="002928AA">
              <w:rPr>
                <w:rFonts w:ascii="Times New Roman" w:hAnsi="Times New Roman" w:cs="Times New Roman"/>
                <w:sz w:val="20"/>
                <w:szCs w:val="20"/>
                <w:lang w:val="en-US"/>
              </w:rPr>
              <w:t>and</w:t>
            </w:r>
            <w:r w:rsidRPr="002928AA">
              <w:rPr>
                <w:rFonts w:ascii="Times New Roman" w:hAnsi="Times New Roman" w:cs="Times New Roman"/>
                <w:sz w:val="20"/>
                <w:szCs w:val="20"/>
                <w:lang w:val="en-US"/>
              </w:rPr>
              <w:t xml:space="preserve"> Li (2018)</w:t>
            </w:r>
          </w:p>
        </w:tc>
        <w:tc>
          <w:tcPr>
            <w:tcW w:w="1980" w:type="dxa"/>
            <w:vAlign w:val="center"/>
          </w:tcPr>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84 </w:t>
            </w:r>
            <w:r w:rsidR="002928AA">
              <w:rPr>
                <w:rFonts w:ascii="Times New Roman" w:hAnsi="Times New Roman" w:cs="Times New Roman"/>
                <w:sz w:val="20"/>
                <w:szCs w:val="20"/>
                <w:lang w:val="en-US"/>
              </w:rPr>
              <w:t>C</w:t>
            </w:r>
            <w:r w:rsidRPr="002928AA">
              <w:rPr>
                <w:rFonts w:ascii="Times New Roman" w:hAnsi="Times New Roman" w:cs="Times New Roman"/>
                <w:sz w:val="20"/>
                <w:szCs w:val="20"/>
                <w:lang w:val="en-US"/>
              </w:rPr>
              <w:t>ountries</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1996-2005</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p>
        </w:tc>
        <w:tc>
          <w:tcPr>
            <w:tcW w:w="126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Threshold Effects</w:t>
            </w:r>
          </w:p>
        </w:tc>
        <w:tc>
          <w:tcPr>
            <w:tcW w:w="2227" w:type="dxa"/>
            <w:vAlign w:val="center"/>
          </w:tcPr>
          <w:p w:rsidR="00736EE4" w:rsidRPr="002928AA" w:rsidRDefault="009075AB" w:rsidP="00C628D7">
            <w:pPr>
              <w:pStyle w:val="Gvdemetni20"/>
              <w:spacing w:before="0" w:after="0" w:line="240" w:lineRule="auto"/>
              <w:rPr>
                <w:rFonts w:eastAsiaTheme="minorHAnsi"/>
                <w:sz w:val="20"/>
                <w:szCs w:val="20"/>
                <w:lang w:val="en-US"/>
              </w:rPr>
            </w:pPr>
            <w:r w:rsidRPr="002928AA">
              <w:rPr>
                <w:sz w:val="20"/>
                <w:szCs w:val="20"/>
                <w:lang w:val="en-US"/>
              </w:rPr>
              <w:t xml:space="preserve">FDI, + effects on </w:t>
            </w:r>
            <w:r w:rsidR="002928AA">
              <w:rPr>
                <w:sz w:val="20"/>
                <w:szCs w:val="20"/>
                <w:lang w:val="en-US"/>
              </w:rPr>
              <w:t>CO</w:t>
            </w:r>
            <w:r w:rsidRPr="002928AA">
              <w:rPr>
                <w:sz w:val="20"/>
                <w:szCs w:val="20"/>
                <w:vertAlign w:val="subscript"/>
                <w:lang w:val="en-US"/>
              </w:rPr>
              <w:t>2</w:t>
            </w:r>
          </w:p>
        </w:tc>
      </w:tr>
      <w:tr w:rsidR="00B0596A" w:rsidRPr="002928AA" w:rsidTr="00C628D7">
        <w:trPr>
          <w:trHeight w:val="781"/>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Koçak </w:t>
            </w:r>
            <w:r w:rsidR="008D3B71" w:rsidRPr="002928AA">
              <w:rPr>
                <w:rFonts w:ascii="Times New Roman" w:hAnsi="Times New Roman" w:cs="Times New Roman"/>
                <w:sz w:val="20"/>
                <w:szCs w:val="20"/>
                <w:lang w:val="en-US"/>
              </w:rPr>
              <w:t>and</w:t>
            </w:r>
            <w:r w:rsidRPr="002928AA">
              <w:rPr>
                <w:rFonts w:ascii="Times New Roman" w:hAnsi="Times New Roman" w:cs="Times New Roman"/>
                <w:sz w:val="20"/>
                <w:szCs w:val="20"/>
                <w:lang w:val="en-US"/>
              </w:rPr>
              <w:t xml:space="preserve"> Şarkgüneşi (2018)</w:t>
            </w:r>
          </w:p>
        </w:tc>
        <w:tc>
          <w:tcPr>
            <w:tcW w:w="1980" w:type="dxa"/>
            <w:vAlign w:val="center"/>
          </w:tcPr>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Türkiye</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1974-2013</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p>
        </w:tc>
        <w:tc>
          <w:tcPr>
            <w:tcW w:w="1260" w:type="dxa"/>
            <w:vAlign w:val="center"/>
          </w:tcPr>
          <w:p w:rsidR="00736EE4" w:rsidRPr="002928AA" w:rsidRDefault="00ED53B2"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Causality</w:t>
            </w:r>
          </w:p>
        </w:tc>
        <w:tc>
          <w:tcPr>
            <w:tcW w:w="2227" w:type="dxa"/>
            <w:vAlign w:val="center"/>
          </w:tcPr>
          <w:p w:rsidR="00736EE4" w:rsidRPr="002928AA" w:rsidRDefault="009075AB" w:rsidP="00C628D7">
            <w:pPr>
              <w:pStyle w:val="Gvdemetni20"/>
              <w:shd w:val="clear" w:color="auto" w:fill="auto"/>
              <w:spacing w:before="0" w:after="0" w:line="240" w:lineRule="auto"/>
              <w:rPr>
                <w:rFonts w:eastAsiaTheme="minorHAnsi"/>
                <w:sz w:val="20"/>
                <w:szCs w:val="20"/>
                <w:lang w:val="en-US"/>
              </w:rPr>
            </w:pPr>
            <w:r w:rsidRPr="002928AA">
              <w:rPr>
                <w:sz w:val="20"/>
                <w:szCs w:val="20"/>
                <w:lang w:val="en-US"/>
              </w:rPr>
              <w:t xml:space="preserve">FDI, + effects on </w:t>
            </w:r>
            <w:r w:rsidR="002928AA">
              <w:rPr>
                <w:sz w:val="20"/>
                <w:szCs w:val="20"/>
                <w:lang w:val="en-US"/>
              </w:rPr>
              <w:t>CO</w:t>
            </w:r>
            <w:r w:rsidRPr="002928AA">
              <w:rPr>
                <w:sz w:val="20"/>
                <w:szCs w:val="20"/>
                <w:vertAlign w:val="subscript"/>
                <w:lang w:val="en-US"/>
              </w:rPr>
              <w:t>2</w:t>
            </w:r>
          </w:p>
        </w:tc>
      </w:tr>
      <w:tr w:rsidR="00B0596A" w:rsidRPr="002928AA" w:rsidTr="00C628D7">
        <w:trPr>
          <w:trHeight w:val="564"/>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Salahuddin </w:t>
            </w:r>
            <w:r w:rsidR="008D3B71" w:rsidRPr="002928AA">
              <w:rPr>
                <w:rFonts w:ascii="Times New Roman" w:hAnsi="Times New Roman" w:cs="Times New Roman"/>
                <w:sz w:val="20"/>
                <w:szCs w:val="20"/>
                <w:lang w:val="en-US"/>
              </w:rPr>
              <w:t>et al</w:t>
            </w:r>
            <w:r w:rsidRPr="002928AA">
              <w:rPr>
                <w:rFonts w:ascii="Times New Roman" w:hAnsi="Times New Roman" w:cs="Times New Roman"/>
                <w:sz w:val="20"/>
                <w:szCs w:val="20"/>
                <w:lang w:val="en-US"/>
              </w:rPr>
              <w:t>. (2018)</w:t>
            </w:r>
          </w:p>
        </w:tc>
        <w:tc>
          <w:tcPr>
            <w:tcW w:w="1980" w:type="dxa"/>
            <w:vAlign w:val="center"/>
          </w:tcPr>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Kuwait</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1980-2013</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r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Eg</w:t>
            </w:r>
            <w:r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Eu</w:t>
            </w:r>
            <w:r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Fd</w:t>
            </w:r>
          </w:p>
        </w:tc>
        <w:tc>
          <w:tcPr>
            <w:tcW w:w="126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ARDL, VECM</w:t>
            </w:r>
          </w:p>
        </w:tc>
        <w:tc>
          <w:tcPr>
            <w:tcW w:w="2227" w:type="dxa"/>
            <w:vAlign w:val="center"/>
          </w:tcPr>
          <w:p w:rsidR="00736EE4" w:rsidRPr="002928AA" w:rsidRDefault="009075AB" w:rsidP="00C628D7">
            <w:pPr>
              <w:pStyle w:val="Gvdemetni20"/>
              <w:spacing w:before="0" w:after="0" w:line="240" w:lineRule="auto"/>
              <w:rPr>
                <w:rFonts w:eastAsiaTheme="minorHAnsi"/>
                <w:sz w:val="20"/>
                <w:szCs w:val="20"/>
                <w:lang w:val="en-US"/>
              </w:rPr>
            </w:pPr>
            <w:r w:rsidRPr="002928AA">
              <w:rPr>
                <w:sz w:val="20"/>
                <w:szCs w:val="20"/>
                <w:lang w:val="en-US"/>
              </w:rPr>
              <w:t xml:space="preserve">FDI, + effects on </w:t>
            </w:r>
            <w:r w:rsidR="002928AA">
              <w:rPr>
                <w:sz w:val="20"/>
                <w:szCs w:val="20"/>
                <w:lang w:val="en-US"/>
              </w:rPr>
              <w:t>CO</w:t>
            </w:r>
            <w:r w:rsidRPr="002928AA">
              <w:rPr>
                <w:sz w:val="20"/>
                <w:szCs w:val="20"/>
                <w:vertAlign w:val="subscript"/>
                <w:lang w:val="en-US"/>
              </w:rPr>
              <w:t>2</w:t>
            </w:r>
          </w:p>
        </w:tc>
      </w:tr>
      <w:tr w:rsidR="00B0596A" w:rsidRPr="002928AA" w:rsidTr="00C628D7">
        <w:trPr>
          <w:trHeight w:val="624"/>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Haug </w:t>
            </w:r>
            <w:r w:rsidR="008D3B71" w:rsidRPr="002928AA">
              <w:rPr>
                <w:rFonts w:ascii="Times New Roman" w:hAnsi="Times New Roman" w:cs="Times New Roman"/>
                <w:sz w:val="20"/>
                <w:szCs w:val="20"/>
                <w:lang w:val="en-US"/>
              </w:rPr>
              <w:t>and</w:t>
            </w:r>
            <w:r w:rsidRPr="002928AA">
              <w:rPr>
                <w:rFonts w:ascii="Times New Roman" w:hAnsi="Times New Roman" w:cs="Times New Roman"/>
                <w:sz w:val="20"/>
                <w:szCs w:val="20"/>
                <w:lang w:val="en-US"/>
              </w:rPr>
              <w:t xml:space="preserve"> Ucal (2019)</w:t>
            </w:r>
          </w:p>
        </w:tc>
        <w:tc>
          <w:tcPr>
            <w:tcW w:w="1980" w:type="dxa"/>
            <w:vAlign w:val="center"/>
          </w:tcPr>
          <w:p w:rsidR="00B0596A" w:rsidRPr="002928AA" w:rsidRDefault="00B0596A"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Türkiye</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1974-2014</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Foreign trade, FDI,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p>
        </w:tc>
        <w:tc>
          <w:tcPr>
            <w:tcW w:w="126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ARDL</w:t>
            </w:r>
          </w:p>
        </w:tc>
        <w:tc>
          <w:tcPr>
            <w:tcW w:w="2227" w:type="dxa"/>
            <w:vAlign w:val="center"/>
          </w:tcPr>
          <w:p w:rsidR="00736EE4" w:rsidRPr="002928AA" w:rsidRDefault="00736EE4" w:rsidP="00C628D7">
            <w:pPr>
              <w:pStyle w:val="Gvdemetni20"/>
              <w:shd w:val="clear" w:color="auto" w:fill="auto"/>
              <w:spacing w:before="0" w:after="0" w:line="240" w:lineRule="auto"/>
              <w:rPr>
                <w:rFonts w:eastAsiaTheme="minorHAnsi"/>
                <w:sz w:val="20"/>
                <w:szCs w:val="20"/>
                <w:lang w:val="en-US"/>
              </w:rPr>
            </w:pPr>
            <w:r w:rsidRPr="002928AA">
              <w:rPr>
                <w:rFonts w:eastAsiaTheme="minorHAnsi"/>
                <w:sz w:val="20"/>
                <w:szCs w:val="20"/>
                <w:lang w:val="en-US"/>
              </w:rPr>
              <w:t>FDI has no statistically signiﬁcant effects.</w:t>
            </w:r>
          </w:p>
        </w:tc>
      </w:tr>
      <w:tr w:rsidR="00B0596A" w:rsidRPr="002928AA" w:rsidTr="00C628D7">
        <w:trPr>
          <w:trHeight w:val="996"/>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Muhammad </w:t>
            </w:r>
            <w:r w:rsidR="008D3B71" w:rsidRPr="002928AA">
              <w:rPr>
                <w:rFonts w:ascii="Times New Roman" w:hAnsi="Times New Roman" w:cs="Times New Roman"/>
                <w:sz w:val="20"/>
                <w:szCs w:val="20"/>
                <w:lang w:val="en-US"/>
              </w:rPr>
              <w:t>and</w:t>
            </w:r>
            <w:r w:rsidRPr="002928AA">
              <w:rPr>
                <w:rFonts w:ascii="Times New Roman" w:hAnsi="Times New Roman" w:cs="Times New Roman"/>
                <w:sz w:val="20"/>
                <w:szCs w:val="20"/>
                <w:lang w:val="en-US"/>
              </w:rPr>
              <w:t xml:space="preserve"> Khan (2019)</w:t>
            </w:r>
          </w:p>
        </w:tc>
        <w:tc>
          <w:tcPr>
            <w:tcW w:w="1980" w:type="dxa"/>
            <w:vAlign w:val="center"/>
          </w:tcPr>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34 </w:t>
            </w:r>
            <w:r w:rsidR="002928AA">
              <w:rPr>
                <w:rFonts w:ascii="Times New Roman" w:hAnsi="Times New Roman" w:cs="Times New Roman"/>
                <w:sz w:val="20"/>
                <w:szCs w:val="20"/>
                <w:lang w:val="en-US"/>
              </w:rPr>
              <w:t>H</w:t>
            </w:r>
            <w:r w:rsidRPr="002928AA">
              <w:rPr>
                <w:rFonts w:ascii="Times New Roman" w:hAnsi="Times New Roman" w:cs="Times New Roman"/>
                <w:sz w:val="20"/>
                <w:szCs w:val="20"/>
                <w:lang w:val="en-US"/>
              </w:rPr>
              <w:t xml:space="preserve">ost </w:t>
            </w:r>
            <w:r w:rsidR="002928AA">
              <w:rPr>
                <w:rFonts w:ascii="Times New Roman" w:hAnsi="Times New Roman" w:cs="Times New Roman"/>
                <w:sz w:val="20"/>
                <w:szCs w:val="20"/>
                <w:lang w:val="en-US"/>
              </w:rPr>
              <w:t>C</w:t>
            </w:r>
            <w:r w:rsidRPr="002928AA">
              <w:rPr>
                <w:rFonts w:ascii="Times New Roman" w:hAnsi="Times New Roman" w:cs="Times New Roman"/>
                <w:sz w:val="20"/>
                <w:szCs w:val="20"/>
                <w:lang w:val="en-US"/>
              </w:rPr>
              <w:t xml:space="preserve">ountries of`Asia and 115 </w:t>
            </w:r>
            <w:r w:rsidR="002928AA">
              <w:rPr>
                <w:rFonts w:ascii="Times New Roman" w:hAnsi="Times New Roman" w:cs="Times New Roman"/>
                <w:sz w:val="20"/>
                <w:szCs w:val="20"/>
                <w:lang w:val="en-US"/>
              </w:rPr>
              <w:t>S</w:t>
            </w:r>
            <w:r w:rsidRPr="002928AA">
              <w:rPr>
                <w:rFonts w:ascii="Times New Roman" w:hAnsi="Times New Roman" w:cs="Times New Roman"/>
                <w:sz w:val="20"/>
                <w:szCs w:val="20"/>
                <w:lang w:val="en-US"/>
              </w:rPr>
              <w:t xml:space="preserve">ource </w:t>
            </w:r>
            <w:r w:rsidR="002928AA">
              <w:rPr>
                <w:rFonts w:ascii="Times New Roman" w:hAnsi="Times New Roman" w:cs="Times New Roman"/>
                <w:sz w:val="20"/>
                <w:szCs w:val="20"/>
                <w:lang w:val="en-US"/>
              </w:rPr>
              <w:t>C</w:t>
            </w:r>
            <w:r w:rsidRPr="002928AA">
              <w:rPr>
                <w:rFonts w:ascii="Times New Roman" w:hAnsi="Times New Roman" w:cs="Times New Roman"/>
                <w:sz w:val="20"/>
                <w:szCs w:val="20"/>
                <w:lang w:val="en-US"/>
              </w:rPr>
              <w:t>ountries</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2001-2012</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FDI, </w:t>
            </w:r>
            <w:r w:rsidR="00D55414" w:rsidRPr="002928AA">
              <w:rPr>
                <w:rFonts w:ascii="Times New Roman" w:hAnsi="Times New Roman" w:cs="Times New Roman"/>
                <w:sz w:val="20"/>
                <w:szCs w:val="20"/>
                <w:lang w:val="en-US"/>
              </w:rPr>
              <w:t>Eu</w:t>
            </w:r>
            <w:r w:rsidRPr="002928AA">
              <w:rPr>
                <w:rFonts w:ascii="Times New Roman" w:hAnsi="Times New Roman" w:cs="Times New Roman"/>
                <w:sz w:val="20"/>
                <w:szCs w:val="20"/>
                <w:lang w:val="en-US"/>
              </w:rPr>
              <w:t xml:space="preserve">, </w:t>
            </w:r>
            <w:r w:rsidR="002928AA">
              <w:rPr>
                <w:rFonts w:ascii="Times New Roman" w:hAnsi="Times New Roman" w:cs="Times New Roman"/>
                <w:sz w:val="20"/>
                <w:szCs w:val="20"/>
                <w:lang w:val="en-US"/>
              </w:rPr>
              <w:t>CO</w:t>
            </w:r>
            <w:r w:rsidRPr="002928AA">
              <w:rPr>
                <w:rFonts w:ascii="Times New Roman" w:hAnsi="Times New Roman" w:cs="Times New Roman"/>
                <w:sz w:val="20"/>
                <w:szCs w:val="20"/>
                <w:vertAlign w:val="subscript"/>
                <w:lang w:val="en-US"/>
              </w:rPr>
              <w:t>2</w:t>
            </w:r>
            <w:r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Eg</w:t>
            </w:r>
          </w:p>
        </w:tc>
        <w:tc>
          <w:tcPr>
            <w:tcW w:w="126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GMM</w:t>
            </w:r>
          </w:p>
        </w:tc>
        <w:tc>
          <w:tcPr>
            <w:tcW w:w="2227" w:type="dxa"/>
            <w:vAlign w:val="center"/>
          </w:tcPr>
          <w:p w:rsidR="00736EE4" w:rsidRPr="002928AA" w:rsidRDefault="009075AB" w:rsidP="00C628D7">
            <w:pPr>
              <w:pStyle w:val="Gvdemetni20"/>
              <w:shd w:val="clear" w:color="auto" w:fill="auto"/>
              <w:spacing w:before="0" w:after="0" w:line="240" w:lineRule="auto"/>
              <w:rPr>
                <w:rFonts w:eastAsiaTheme="minorHAnsi"/>
                <w:sz w:val="20"/>
                <w:szCs w:val="20"/>
                <w:lang w:val="en-US"/>
              </w:rPr>
            </w:pPr>
            <w:r w:rsidRPr="002928AA">
              <w:rPr>
                <w:sz w:val="20"/>
                <w:szCs w:val="20"/>
                <w:lang w:val="en-US"/>
              </w:rPr>
              <w:t xml:space="preserve">FDI, + effects on </w:t>
            </w:r>
            <w:r w:rsidR="002928AA">
              <w:rPr>
                <w:sz w:val="20"/>
                <w:szCs w:val="20"/>
                <w:lang w:val="en-US"/>
              </w:rPr>
              <w:t>CO</w:t>
            </w:r>
            <w:r w:rsidRPr="002928AA">
              <w:rPr>
                <w:sz w:val="20"/>
                <w:szCs w:val="20"/>
                <w:vertAlign w:val="subscript"/>
                <w:lang w:val="en-US"/>
              </w:rPr>
              <w:t>2</w:t>
            </w:r>
          </w:p>
        </w:tc>
      </w:tr>
      <w:tr w:rsidR="00B0596A" w:rsidRPr="002928AA" w:rsidTr="00C628D7">
        <w:trPr>
          <w:trHeight w:val="487"/>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Esendoh </w:t>
            </w:r>
            <w:r w:rsidR="008D3B71" w:rsidRPr="002928AA">
              <w:rPr>
                <w:rFonts w:ascii="Times New Roman" w:hAnsi="Times New Roman" w:cs="Times New Roman"/>
                <w:sz w:val="20"/>
                <w:szCs w:val="20"/>
                <w:lang w:val="en-US"/>
              </w:rPr>
              <w:t>et al</w:t>
            </w:r>
            <w:r w:rsidRPr="002928AA">
              <w:rPr>
                <w:rFonts w:ascii="Times New Roman" w:hAnsi="Times New Roman" w:cs="Times New Roman"/>
                <w:sz w:val="20"/>
                <w:szCs w:val="20"/>
                <w:lang w:val="en-US"/>
              </w:rPr>
              <w:t>. (2020)</w:t>
            </w:r>
          </w:p>
        </w:tc>
        <w:tc>
          <w:tcPr>
            <w:tcW w:w="1980" w:type="dxa"/>
            <w:vAlign w:val="center"/>
          </w:tcPr>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52 </w:t>
            </w:r>
            <w:r w:rsidR="002928AA">
              <w:rPr>
                <w:rFonts w:ascii="Times New Roman" w:hAnsi="Times New Roman" w:cs="Times New Roman"/>
                <w:sz w:val="20"/>
                <w:szCs w:val="20"/>
                <w:lang w:val="en-US"/>
              </w:rPr>
              <w:t>C</w:t>
            </w:r>
            <w:r w:rsidRPr="002928AA">
              <w:rPr>
                <w:rFonts w:ascii="Times New Roman" w:hAnsi="Times New Roman" w:cs="Times New Roman"/>
                <w:sz w:val="20"/>
                <w:szCs w:val="20"/>
                <w:lang w:val="en-US"/>
              </w:rPr>
              <w:t>ountries</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1991-2014</w:t>
            </w:r>
          </w:p>
        </w:tc>
        <w:tc>
          <w:tcPr>
            <w:tcW w:w="2070" w:type="dxa"/>
            <w:vAlign w:val="center"/>
          </w:tcPr>
          <w:p w:rsidR="00736EE4" w:rsidRPr="002928AA" w:rsidRDefault="00D5541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Tr</w:t>
            </w:r>
            <w:r w:rsidR="00736EE4" w:rsidRPr="002928AA">
              <w:rPr>
                <w:rFonts w:ascii="Times New Roman" w:hAnsi="Times New Roman" w:cs="Times New Roman"/>
                <w:sz w:val="20"/>
                <w:szCs w:val="20"/>
                <w:lang w:val="en-US"/>
              </w:rPr>
              <w:t xml:space="preserve">, FDI, economic integration, </w:t>
            </w:r>
            <w:r w:rsidR="002928AA">
              <w:rPr>
                <w:rFonts w:ascii="Times New Roman" w:hAnsi="Times New Roman" w:cs="Times New Roman"/>
                <w:sz w:val="20"/>
                <w:szCs w:val="20"/>
                <w:lang w:val="en-US"/>
              </w:rPr>
              <w:t>CO</w:t>
            </w:r>
            <w:r w:rsidR="00736EE4" w:rsidRPr="002928AA">
              <w:rPr>
                <w:rFonts w:ascii="Times New Roman" w:hAnsi="Times New Roman" w:cs="Times New Roman"/>
                <w:sz w:val="20"/>
                <w:szCs w:val="20"/>
                <w:vertAlign w:val="subscript"/>
                <w:lang w:val="en-US"/>
              </w:rPr>
              <w:t>2</w:t>
            </w:r>
          </w:p>
        </w:tc>
        <w:tc>
          <w:tcPr>
            <w:tcW w:w="126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PMG-ARDL</w:t>
            </w:r>
          </w:p>
        </w:tc>
        <w:tc>
          <w:tcPr>
            <w:tcW w:w="2227" w:type="dxa"/>
            <w:vAlign w:val="center"/>
          </w:tcPr>
          <w:p w:rsidR="00736EE4" w:rsidRPr="002928AA" w:rsidRDefault="009075AB" w:rsidP="00C628D7">
            <w:pPr>
              <w:pStyle w:val="Gvdemetni20"/>
              <w:shd w:val="clear" w:color="auto" w:fill="auto"/>
              <w:spacing w:before="0" w:after="0" w:line="240" w:lineRule="auto"/>
              <w:rPr>
                <w:rFonts w:eastAsiaTheme="minorHAnsi"/>
                <w:sz w:val="20"/>
                <w:szCs w:val="20"/>
                <w:lang w:val="en-US"/>
              </w:rPr>
            </w:pPr>
            <w:r w:rsidRPr="002928AA">
              <w:rPr>
                <w:sz w:val="20"/>
                <w:szCs w:val="20"/>
                <w:lang w:val="en-US"/>
              </w:rPr>
              <w:t xml:space="preserve">FDI, + effects on </w:t>
            </w:r>
            <w:r w:rsidR="002928AA">
              <w:rPr>
                <w:sz w:val="20"/>
                <w:szCs w:val="20"/>
                <w:lang w:val="en-US"/>
              </w:rPr>
              <w:t>CO</w:t>
            </w:r>
            <w:r w:rsidRPr="002928AA">
              <w:rPr>
                <w:sz w:val="20"/>
                <w:szCs w:val="20"/>
                <w:vertAlign w:val="subscript"/>
                <w:lang w:val="en-US"/>
              </w:rPr>
              <w:t>2</w:t>
            </w:r>
          </w:p>
        </w:tc>
      </w:tr>
      <w:tr w:rsidR="00B0596A" w:rsidRPr="002928AA" w:rsidTr="00C628D7">
        <w:trPr>
          <w:trHeight w:val="551"/>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Khan </w:t>
            </w:r>
            <w:r w:rsidR="008D3B71" w:rsidRPr="002928AA">
              <w:rPr>
                <w:rFonts w:ascii="Times New Roman" w:hAnsi="Times New Roman" w:cs="Times New Roman"/>
                <w:sz w:val="20"/>
                <w:szCs w:val="20"/>
                <w:lang w:val="en-US"/>
              </w:rPr>
              <w:t>and</w:t>
            </w:r>
            <w:r w:rsidRPr="002928AA">
              <w:rPr>
                <w:rFonts w:ascii="Times New Roman" w:hAnsi="Times New Roman" w:cs="Times New Roman"/>
                <w:sz w:val="20"/>
                <w:szCs w:val="20"/>
                <w:lang w:val="en-US"/>
              </w:rPr>
              <w:t xml:space="preserve"> Öztürk (2020)</w:t>
            </w:r>
          </w:p>
        </w:tc>
        <w:tc>
          <w:tcPr>
            <w:tcW w:w="1980" w:type="dxa"/>
            <w:vAlign w:val="center"/>
          </w:tcPr>
          <w:p w:rsidR="003F509E"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17 </w:t>
            </w:r>
            <w:r w:rsidR="003F509E" w:rsidRPr="002928AA">
              <w:rPr>
                <w:rFonts w:ascii="Times New Roman" w:hAnsi="Times New Roman" w:cs="Times New Roman"/>
                <w:sz w:val="20"/>
                <w:szCs w:val="20"/>
                <w:lang w:val="en-US"/>
              </w:rPr>
              <w:t xml:space="preserve">Asia </w:t>
            </w:r>
            <w:r w:rsidR="002928AA">
              <w:rPr>
                <w:rFonts w:ascii="Times New Roman" w:hAnsi="Times New Roman" w:cs="Times New Roman"/>
                <w:sz w:val="20"/>
                <w:szCs w:val="20"/>
                <w:lang w:val="en-US"/>
              </w:rPr>
              <w:t>C</w:t>
            </w:r>
            <w:r w:rsidR="003F509E" w:rsidRPr="002928AA">
              <w:rPr>
                <w:rFonts w:ascii="Times New Roman" w:hAnsi="Times New Roman" w:cs="Times New Roman"/>
                <w:sz w:val="20"/>
                <w:szCs w:val="20"/>
                <w:lang w:val="en-US"/>
              </w:rPr>
              <w:t>ountries</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1980-2014</w:t>
            </w:r>
          </w:p>
        </w:tc>
        <w:tc>
          <w:tcPr>
            <w:tcW w:w="2070" w:type="dxa"/>
            <w:vAlign w:val="center"/>
          </w:tcPr>
          <w:p w:rsidR="00736EE4" w:rsidRPr="002928AA" w:rsidRDefault="002928AA" w:rsidP="00C628D7">
            <w:pPr>
              <w:jc w:val="both"/>
              <w:rPr>
                <w:rFonts w:ascii="Times New Roman" w:hAnsi="Times New Roman" w:cs="Times New Roman"/>
                <w:sz w:val="20"/>
                <w:szCs w:val="20"/>
                <w:lang w:val="en-US"/>
              </w:rPr>
            </w:pPr>
            <w:r>
              <w:rPr>
                <w:rFonts w:ascii="Times New Roman" w:hAnsi="Times New Roman" w:cs="Times New Roman"/>
                <w:sz w:val="20"/>
                <w:szCs w:val="20"/>
                <w:lang w:val="en-US"/>
              </w:rPr>
              <w:t>CO</w:t>
            </w:r>
            <w:r w:rsidR="00736EE4" w:rsidRPr="002928AA">
              <w:rPr>
                <w:rFonts w:ascii="Times New Roman" w:hAnsi="Times New Roman" w:cs="Times New Roman"/>
                <w:sz w:val="20"/>
                <w:szCs w:val="20"/>
                <w:vertAlign w:val="subscript"/>
                <w:lang w:val="en-US"/>
              </w:rPr>
              <w:t>2</w:t>
            </w:r>
            <w:r w:rsidR="00736EE4" w:rsidRPr="002928AA">
              <w:rPr>
                <w:rFonts w:ascii="Times New Roman" w:hAnsi="Times New Roman" w:cs="Times New Roman"/>
                <w:sz w:val="20"/>
                <w:szCs w:val="20"/>
                <w:lang w:val="en-US"/>
              </w:rPr>
              <w:t xml:space="preserve">, FDI, </w:t>
            </w:r>
            <w:r w:rsidR="00D06453" w:rsidRPr="002928AA">
              <w:rPr>
                <w:rFonts w:ascii="Times New Roman" w:hAnsi="Times New Roman" w:cs="Times New Roman"/>
                <w:sz w:val="20"/>
                <w:szCs w:val="20"/>
                <w:lang w:val="en-US"/>
              </w:rPr>
              <w:t>Gdp</w:t>
            </w:r>
          </w:p>
        </w:tc>
        <w:tc>
          <w:tcPr>
            <w:tcW w:w="126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FMOLS</w:t>
            </w:r>
          </w:p>
        </w:tc>
        <w:tc>
          <w:tcPr>
            <w:tcW w:w="2227" w:type="dxa"/>
            <w:vAlign w:val="center"/>
          </w:tcPr>
          <w:p w:rsidR="00736EE4" w:rsidRPr="002928AA" w:rsidRDefault="009075AB" w:rsidP="00C628D7">
            <w:pPr>
              <w:pStyle w:val="Gvdemetni20"/>
              <w:shd w:val="clear" w:color="auto" w:fill="auto"/>
              <w:spacing w:before="0" w:after="0" w:line="240" w:lineRule="auto"/>
              <w:rPr>
                <w:rFonts w:eastAsiaTheme="minorHAnsi"/>
                <w:sz w:val="20"/>
                <w:szCs w:val="20"/>
                <w:lang w:val="en-US"/>
              </w:rPr>
            </w:pPr>
            <w:r w:rsidRPr="002928AA">
              <w:rPr>
                <w:sz w:val="20"/>
                <w:szCs w:val="20"/>
                <w:lang w:val="en-US"/>
              </w:rPr>
              <w:t xml:space="preserve">FDI, + effects on </w:t>
            </w:r>
            <w:r w:rsidR="002928AA">
              <w:rPr>
                <w:sz w:val="20"/>
                <w:szCs w:val="20"/>
                <w:lang w:val="en-US"/>
              </w:rPr>
              <w:t>CO</w:t>
            </w:r>
            <w:r w:rsidRPr="002928AA">
              <w:rPr>
                <w:sz w:val="20"/>
                <w:szCs w:val="20"/>
                <w:vertAlign w:val="subscript"/>
                <w:lang w:val="en-US"/>
              </w:rPr>
              <w:t>2</w:t>
            </w:r>
          </w:p>
        </w:tc>
      </w:tr>
      <w:tr w:rsidR="00B0596A" w:rsidRPr="002928AA" w:rsidTr="00C628D7">
        <w:trPr>
          <w:trHeight w:val="573"/>
          <w:jc w:val="center"/>
        </w:trPr>
        <w:tc>
          <w:tcPr>
            <w:tcW w:w="1525" w:type="dxa"/>
            <w:vAlign w:val="center"/>
          </w:tcPr>
          <w:p w:rsidR="00736EE4" w:rsidRPr="002928AA" w:rsidRDefault="00736EE4" w:rsidP="00C628D7">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Aslan </w:t>
            </w:r>
            <w:r w:rsidR="008D3B71" w:rsidRPr="002928AA">
              <w:rPr>
                <w:rFonts w:ascii="Times New Roman" w:hAnsi="Times New Roman" w:cs="Times New Roman"/>
                <w:sz w:val="20"/>
                <w:szCs w:val="20"/>
                <w:lang w:val="en-US"/>
              </w:rPr>
              <w:t>et al.</w:t>
            </w:r>
            <w:r w:rsidRPr="002928AA">
              <w:rPr>
                <w:rFonts w:ascii="Times New Roman" w:hAnsi="Times New Roman" w:cs="Times New Roman"/>
                <w:sz w:val="20"/>
                <w:szCs w:val="20"/>
                <w:lang w:val="en-US"/>
              </w:rPr>
              <w:t xml:space="preserve"> (2021)</w:t>
            </w:r>
          </w:p>
        </w:tc>
        <w:tc>
          <w:tcPr>
            <w:tcW w:w="1980" w:type="dxa"/>
            <w:vAlign w:val="center"/>
          </w:tcPr>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N11 </w:t>
            </w:r>
            <w:r w:rsidR="002928AA">
              <w:rPr>
                <w:rFonts w:ascii="Times New Roman" w:hAnsi="Times New Roman" w:cs="Times New Roman"/>
                <w:sz w:val="20"/>
                <w:szCs w:val="20"/>
                <w:lang w:val="en-US"/>
              </w:rPr>
              <w:t>C</w:t>
            </w:r>
            <w:r w:rsidRPr="002928AA">
              <w:rPr>
                <w:rFonts w:ascii="Times New Roman" w:hAnsi="Times New Roman" w:cs="Times New Roman"/>
                <w:sz w:val="20"/>
                <w:szCs w:val="20"/>
                <w:lang w:val="en-US"/>
              </w:rPr>
              <w:t>ountries</w:t>
            </w:r>
          </w:p>
          <w:p w:rsidR="00736EE4" w:rsidRPr="002928AA" w:rsidRDefault="00736EE4" w:rsidP="00C628D7">
            <w:pPr>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1980-2018</w:t>
            </w:r>
          </w:p>
        </w:tc>
        <w:tc>
          <w:tcPr>
            <w:tcW w:w="207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 xml:space="preserve">Air pollution, </w:t>
            </w:r>
            <w:r w:rsidR="00D55414" w:rsidRPr="002928AA">
              <w:rPr>
                <w:rFonts w:ascii="Times New Roman" w:hAnsi="Times New Roman" w:cs="Times New Roman"/>
                <w:sz w:val="20"/>
                <w:szCs w:val="20"/>
                <w:lang w:val="en-US"/>
              </w:rPr>
              <w:t>Eg, Eu</w:t>
            </w:r>
            <w:r w:rsidRPr="002928AA">
              <w:rPr>
                <w:rFonts w:ascii="Times New Roman" w:hAnsi="Times New Roman" w:cs="Times New Roman"/>
                <w:sz w:val="20"/>
                <w:szCs w:val="20"/>
                <w:lang w:val="en-US"/>
              </w:rPr>
              <w:t xml:space="preserve">, </w:t>
            </w:r>
            <w:r w:rsidR="00D55414" w:rsidRPr="002928AA">
              <w:rPr>
                <w:rFonts w:ascii="Times New Roman" w:hAnsi="Times New Roman" w:cs="Times New Roman"/>
                <w:sz w:val="20"/>
                <w:szCs w:val="20"/>
                <w:lang w:val="en-US"/>
              </w:rPr>
              <w:t>Tr</w:t>
            </w:r>
            <w:r w:rsidR="001B737F">
              <w:rPr>
                <w:rFonts w:ascii="Times New Roman" w:hAnsi="Times New Roman" w:cs="Times New Roman"/>
                <w:sz w:val="20"/>
                <w:szCs w:val="20"/>
                <w:lang w:val="en-US"/>
              </w:rPr>
              <w:t>,</w:t>
            </w:r>
            <w:r w:rsidRPr="002928AA">
              <w:rPr>
                <w:rFonts w:ascii="Times New Roman" w:hAnsi="Times New Roman" w:cs="Times New Roman"/>
                <w:sz w:val="20"/>
                <w:szCs w:val="20"/>
                <w:lang w:val="en-US"/>
              </w:rPr>
              <w:t xml:space="preserve"> FDI, </w:t>
            </w:r>
            <w:r w:rsidR="00D55414" w:rsidRPr="002928AA">
              <w:rPr>
                <w:rFonts w:ascii="Times New Roman" w:hAnsi="Times New Roman" w:cs="Times New Roman"/>
                <w:sz w:val="20"/>
                <w:szCs w:val="20"/>
                <w:lang w:val="en-US"/>
              </w:rPr>
              <w:t>Fd</w:t>
            </w:r>
          </w:p>
        </w:tc>
        <w:tc>
          <w:tcPr>
            <w:tcW w:w="1260" w:type="dxa"/>
            <w:vAlign w:val="center"/>
          </w:tcPr>
          <w:p w:rsidR="00736EE4" w:rsidRPr="002928AA" w:rsidRDefault="00736EE4" w:rsidP="00C628D7">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PVAR</w:t>
            </w:r>
          </w:p>
        </w:tc>
        <w:tc>
          <w:tcPr>
            <w:tcW w:w="2227" w:type="dxa"/>
            <w:vAlign w:val="center"/>
          </w:tcPr>
          <w:p w:rsidR="00736EE4" w:rsidRPr="002928AA" w:rsidRDefault="009075AB" w:rsidP="00C628D7">
            <w:pPr>
              <w:pStyle w:val="Gvdemetni20"/>
              <w:shd w:val="clear" w:color="auto" w:fill="auto"/>
              <w:spacing w:before="0" w:after="0" w:line="240" w:lineRule="auto"/>
              <w:rPr>
                <w:rFonts w:eastAsiaTheme="minorHAnsi"/>
                <w:sz w:val="20"/>
                <w:szCs w:val="20"/>
                <w:lang w:val="en-US"/>
              </w:rPr>
            </w:pPr>
            <w:r w:rsidRPr="002928AA">
              <w:rPr>
                <w:sz w:val="20"/>
                <w:szCs w:val="20"/>
                <w:lang w:val="en-US"/>
              </w:rPr>
              <w:t xml:space="preserve">FDI, + effects on </w:t>
            </w:r>
            <w:r w:rsidR="002928AA">
              <w:rPr>
                <w:sz w:val="20"/>
                <w:szCs w:val="20"/>
                <w:lang w:val="en-US"/>
              </w:rPr>
              <w:t>CO</w:t>
            </w:r>
            <w:r w:rsidRPr="002928AA">
              <w:rPr>
                <w:sz w:val="20"/>
                <w:szCs w:val="20"/>
                <w:vertAlign w:val="subscript"/>
                <w:lang w:val="en-US"/>
              </w:rPr>
              <w:t>2</w:t>
            </w:r>
          </w:p>
        </w:tc>
      </w:tr>
    </w:tbl>
    <w:p w:rsidR="00CE45CA" w:rsidRPr="001B737F" w:rsidRDefault="00CE45CA" w:rsidP="001B737F">
      <w:pPr>
        <w:spacing w:before="120" w:after="0"/>
        <w:jc w:val="both"/>
        <w:rPr>
          <w:rFonts w:ascii="Times New Roman" w:hAnsi="Times New Roman" w:cs="Times New Roman"/>
          <w:sz w:val="18"/>
          <w:szCs w:val="18"/>
          <w:lang w:val="en-US"/>
        </w:rPr>
      </w:pPr>
      <w:r w:rsidRPr="001B737F">
        <w:rPr>
          <w:rFonts w:ascii="Times New Roman" w:hAnsi="Times New Roman" w:cs="Times New Roman"/>
          <w:sz w:val="18"/>
          <w:szCs w:val="18"/>
          <w:lang w:val="en-US"/>
        </w:rPr>
        <w:t>Notes: CO</w:t>
      </w:r>
      <w:r w:rsidRPr="001B737F">
        <w:rPr>
          <w:rFonts w:ascii="Times New Roman" w:hAnsi="Times New Roman" w:cs="Times New Roman"/>
          <w:sz w:val="18"/>
          <w:szCs w:val="18"/>
          <w:vertAlign w:val="subscript"/>
          <w:lang w:val="en-US"/>
        </w:rPr>
        <w:t>2</w:t>
      </w:r>
      <w:r w:rsidRPr="001B737F">
        <w:rPr>
          <w:rFonts w:ascii="Times New Roman" w:hAnsi="Times New Roman" w:cs="Times New Roman"/>
          <w:sz w:val="18"/>
          <w:szCs w:val="18"/>
          <w:lang w:val="en-US"/>
        </w:rPr>
        <w:t>; CO</w:t>
      </w:r>
      <w:r w:rsidRPr="001B737F">
        <w:rPr>
          <w:rFonts w:ascii="Times New Roman" w:hAnsi="Times New Roman" w:cs="Times New Roman"/>
          <w:sz w:val="18"/>
          <w:szCs w:val="18"/>
          <w:vertAlign w:val="subscript"/>
          <w:lang w:val="en-US"/>
        </w:rPr>
        <w:t>2</w:t>
      </w:r>
      <w:r w:rsidRPr="001B737F">
        <w:rPr>
          <w:rFonts w:ascii="Times New Roman" w:hAnsi="Times New Roman" w:cs="Times New Roman"/>
          <w:sz w:val="18"/>
          <w:szCs w:val="18"/>
          <w:lang w:val="en-US"/>
        </w:rPr>
        <w:t xml:space="preserve"> emissions, FDI; foreign direct investment, Pop; population</w:t>
      </w:r>
      <w:r w:rsidR="00D55414" w:rsidRPr="001B737F">
        <w:rPr>
          <w:rFonts w:ascii="Times New Roman" w:hAnsi="Times New Roman" w:cs="Times New Roman"/>
          <w:sz w:val="18"/>
          <w:szCs w:val="18"/>
          <w:lang w:val="en-US"/>
        </w:rPr>
        <w:t>, Gross domestic per capita; pGDP, Eu; Energy use, E</w:t>
      </w:r>
      <w:r w:rsidR="001B737F" w:rsidRPr="001B737F">
        <w:rPr>
          <w:rFonts w:ascii="Times New Roman" w:hAnsi="Times New Roman" w:cs="Times New Roman"/>
          <w:sz w:val="18"/>
          <w:szCs w:val="18"/>
          <w:lang w:val="en-US"/>
        </w:rPr>
        <w:t>g</w:t>
      </w:r>
      <w:r w:rsidR="00D55414" w:rsidRPr="001B737F">
        <w:rPr>
          <w:rFonts w:ascii="Times New Roman" w:hAnsi="Times New Roman" w:cs="Times New Roman"/>
          <w:sz w:val="18"/>
          <w:szCs w:val="18"/>
          <w:lang w:val="en-US"/>
        </w:rPr>
        <w:t>; Economic Growth, Tr; Trade, financial development; Fd, Urbanization; Ub</w:t>
      </w:r>
      <w:r w:rsidR="000F1ACB" w:rsidRPr="001B737F">
        <w:rPr>
          <w:rFonts w:ascii="Times New Roman" w:hAnsi="Times New Roman" w:cs="Times New Roman"/>
          <w:sz w:val="18"/>
          <w:szCs w:val="18"/>
          <w:lang w:val="en-US"/>
        </w:rPr>
        <w:t xml:space="preserve">, </w:t>
      </w:r>
      <w:r w:rsidR="00ED53B2" w:rsidRPr="001B737F">
        <w:rPr>
          <w:rFonts w:ascii="Times New Roman" w:hAnsi="Times New Roman" w:cs="Times New Roman"/>
          <w:sz w:val="18"/>
          <w:szCs w:val="18"/>
          <w:lang w:val="en-US"/>
        </w:rPr>
        <w:t xml:space="preserve">+ ; positive, – ; negative. </w:t>
      </w:r>
    </w:p>
    <w:p w:rsidR="000F1ACB" w:rsidRPr="002928AA" w:rsidRDefault="000F1ACB" w:rsidP="00186D34">
      <w:pPr>
        <w:spacing w:after="0"/>
        <w:jc w:val="both"/>
        <w:rPr>
          <w:rFonts w:ascii="Times New Roman" w:hAnsi="Times New Roman" w:cs="Times New Roman"/>
          <w:sz w:val="18"/>
          <w:szCs w:val="18"/>
          <w:lang w:val="en-US"/>
        </w:rPr>
      </w:pPr>
    </w:p>
    <w:p w:rsidR="00186D34" w:rsidRPr="00C628D7" w:rsidRDefault="00FC2D42" w:rsidP="00C628D7">
      <w:pPr>
        <w:spacing w:before="120" w:after="120" w:line="300" w:lineRule="auto"/>
        <w:jc w:val="both"/>
        <w:rPr>
          <w:rFonts w:ascii="Times New Roman" w:hAnsi="Times New Roman" w:cs="Times New Roman"/>
          <w:b/>
          <w:bCs/>
          <w:sz w:val="24"/>
          <w:szCs w:val="24"/>
          <w:lang w:val="en-US"/>
        </w:rPr>
      </w:pPr>
      <w:r w:rsidRPr="00C628D7">
        <w:rPr>
          <w:rFonts w:ascii="Times New Roman" w:hAnsi="Times New Roman" w:cs="Times New Roman"/>
          <w:b/>
          <w:bCs/>
          <w:sz w:val="24"/>
          <w:szCs w:val="24"/>
          <w:lang w:val="en-US"/>
        </w:rPr>
        <w:t xml:space="preserve">3. </w:t>
      </w:r>
      <w:r w:rsidR="004D633D" w:rsidRPr="00C628D7">
        <w:rPr>
          <w:rFonts w:ascii="Times New Roman" w:hAnsi="Times New Roman" w:cs="Times New Roman"/>
          <w:b/>
          <w:bCs/>
          <w:sz w:val="24"/>
          <w:szCs w:val="24"/>
          <w:lang w:val="en-US"/>
        </w:rPr>
        <w:t>Sample</w:t>
      </w:r>
      <w:r w:rsidR="00A9444B" w:rsidRPr="00C628D7">
        <w:rPr>
          <w:rFonts w:ascii="Times New Roman" w:hAnsi="Times New Roman" w:cs="Times New Roman"/>
          <w:b/>
          <w:bCs/>
          <w:sz w:val="24"/>
          <w:szCs w:val="24"/>
          <w:lang w:val="en-US"/>
        </w:rPr>
        <w:t xml:space="preserve">, Data </w:t>
      </w:r>
      <w:r w:rsidR="004D633D" w:rsidRPr="00C628D7">
        <w:rPr>
          <w:rFonts w:ascii="Times New Roman" w:hAnsi="Times New Roman" w:cs="Times New Roman"/>
          <w:b/>
          <w:bCs/>
          <w:sz w:val="24"/>
          <w:szCs w:val="24"/>
          <w:lang w:val="en-US"/>
        </w:rPr>
        <w:t xml:space="preserve">and </w:t>
      </w:r>
      <w:r w:rsidR="00A9444B" w:rsidRPr="00C628D7">
        <w:rPr>
          <w:rFonts w:ascii="Times New Roman" w:hAnsi="Times New Roman" w:cs="Times New Roman"/>
          <w:b/>
          <w:bCs/>
          <w:sz w:val="24"/>
          <w:szCs w:val="24"/>
          <w:lang w:val="en-US"/>
        </w:rPr>
        <w:t xml:space="preserve">Model and </w:t>
      </w:r>
      <w:r w:rsidR="00186D34" w:rsidRPr="00C628D7">
        <w:rPr>
          <w:rFonts w:ascii="Times New Roman" w:hAnsi="Times New Roman" w:cs="Times New Roman"/>
          <w:b/>
          <w:bCs/>
          <w:sz w:val="24"/>
          <w:szCs w:val="24"/>
          <w:lang w:val="en-US"/>
        </w:rPr>
        <w:t>Methodology</w:t>
      </w:r>
    </w:p>
    <w:p w:rsidR="00C62596" w:rsidRPr="00C628D7" w:rsidRDefault="004B1AA7"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 xml:space="preserve">This study investigates the effects of FDI flow on carbon dioxide emissions in five emerging economies (Brazil, Russia, India, China, and South Africa (BRICS)). </w:t>
      </w:r>
      <w:r w:rsidR="00C62596" w:rsidRPr="00C628D7">
        <w:rPr>
          <w:rFonts w:ascii="Times New Roman" w:hAnsi="Times New Roman" w:cs="Times New Roman"/>
          <w:sz w:val="24"/>
          <w:szCs w:val="24"/>
          <w:lang w:val="en-US"/>
        </w:rPr>
        <w:t>BRIC was first introduced by O</w:t>
      </w:r>
      <w:r w:rsidR="00424359" w:rsidRPr="00C628D7">
        <w:rPr>
          <w:rFonts w:ascii="Times New Roman" w:hAnsi="Times New Roman" w:cs="Times New Roman"/>
          <w:sz w:val="24"/>
          <w:szCs w:val="24"/>
          <w:lang w:val="en-US"/>
        </w:rPr>
        <w:t>’</w:t>
      </w:r>
      <w:r w:rsidR="00C62596" w:rsidRPr="00C628D7">
        <w:rPr>
          <w:rFonts w:ascii="Times New Roman" w:hAnsi="Times New Roman" w:cs="Times New Roman"/>
          <w:sz w:val="24"/>
          <w:szCs w:val="24"/>
          <w:lang w:val="en-US"/>
        </w:rPr>
        <w:t xml:space="preserve">Neill (2001), and South Africa was joined in 2011 (Chatterjee and Naka, 2022). We consider three aspects of BRICS when determining the sample. The first was their attitudes towards carbon emissions, the second was their relatively weak environmental </w:t>
      </w:r>
      <w:r w:rsidR="00C62596" w:rsidRPr="00C628D7">
        <w:rPr>
          <w:rFonts w:ascii="Times New Roman" w:hAnsi="Times New Roman" w:cs="Times New Roman"/>
          <w:sz w:val="24"/>
          <w:szCs w:val="24"/>
          <w:lang w:val="en-US"/>
        </w:rPr>
        <w:lastRenderedPageBreak/>
        <w:t xml:space="preserve">policies compared to Europe, and the last was their stability in foreign direct investment inflows. </w:t>
      </w:r>
    </w:p>
    <w:p w:rsidR="00164175" w:rsidRPr="00C628D7" w:rsidRDefault="00D25C18"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 xml:space="preserve">We were inspired by the model developed by Omir et al. (2014), Shahbaz et al. (2019), and Salahuddin et al. (2018). </w:t>
      </w:r>
      <w:r w:rsidR="00164175" w:rsidRPr="00C628D7">
        <w:rPr>
          <w:rFonts w:ascii="Times New Roman" w:hAnsi="Times New Roman" w:cs="Times New Roman"/>
          <w:sz w:val="24"/>
          <w:szCs w:val="24"/>
          <w:lang w:val="en-US"/>
        </w:rPr>
        <w:t xml:space="preserve">We adopted the Bakhsh et al. (2017) time-series model for the panel estimation. The functional definition is as follows and Equation 2: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5"/>
        <w:gridCol w:w="1237"/>
      </w:tblGrid>
      <w:tr w:rsidR="006D31E8" w:rsidRPr="00C628D7" w:rsidTr="00D07D7B">
        <w:trPr>
          <w:jc w:val="center"/>
        </w:trPr>
        <w:tc>
          <w:tcPr>
            <w:tcW w:w="7825" w:type="dxa"/>
            <w:vAlign w:val="center"/>
          </w:tcPr>
          <w:p w:rsidR="006D31E8" w:rsidRPr="00C628D7" w:rsidRDefault="006D31E8" w:rsidP="00C628D7">
            <w:pPr>
              <w:spacing w:before="120" w:after="120" w:line="300" w:lineRule="auto"/>
              <w:jc w:val="both"/>
              <w:rPr>
                <w:rFonts w:ascii="Times New Roman" w:hAnsi="Times New Roman" w:cs="Times New Roman"/>
                <w:sz w:val="24"/>
                <w:szCs w:val="24"/>
              </w:rPr>
            </w:pPr>
            <w:r w:rsidRPr="00C628D7">
              <w:rPr>
                <w:rFonts w:ascii="Times New Roman" w:hAnsi="Times New Roman" w:cs="Times New Roman"/>
                <w:sz w:val="24"/>
                <w:szCs w:val="24"/>
              </w:rPr>
              <w:t>C</w:t>
            </w:r>
            <w:r w:rsidR="001B737F" w:rsidRPr="00C628D7">
              <w:rPr>
                <w:rFonts w:ascii="Times New Roman" w:hAnsi="Times New Roman" w:cs="Times New Roman"/>
                <w:sz w:val="24"/>
                <w:szCs w:val="24"/>
              </w:rPr>
              <w:t>O</w:t>
            </w:r>
            <w:r w:rsidRPr="00C628D7">
              <w:rPr>
                <w:rFonts w:ascii="Times New Roman" w:hAnsi="Times New Roman" w:cs="Times New Roman"/>
                <w:sz w:val="24"/>
                <w:szCs w:val="24"/>
                <w:vertAlign w:val="subscript"/>
              </w:rPr>
              <w:t>2</w:t>
            </w:r>
            <w:r w:rsidRPr="00C628D7">
              <w:rPr>
                <w:rFonts w:ascii="Times New Roman" w:hAnsi="Times New Roman" w:cs="Times New Roman"/>
                <w:sz w:val="24"/>
                <w:szCs w:val="24"/>
              </w:rPr>
              <w:t xml:space="preserve"> = f (GDP, FDI)</w:t>
            </w:r>
          </w:p>
        </w:tc>
        <w:tc>
          <w:tcPr>
            <w:tcW w:w="1237" w:type="dxa"/>
            <w:vAlign w:val="center"/>
          </w:tcPr>
          <w:p w:rsidR="006D31E8" w:rsidRPr="00C628D7" w:rsidRDefault="006D31E8" w:rsidP="00C628D7">
            <w:pPr>
              <w:spacing w:before="120" w:after="120" w:line="300" w:lineRule="auto"/>
              <w:jc w:val="right"/>
              <w:rPr>
                <w:rFonts w:ascii="Times New Roman" w:hAnsi="Times New Roman" w:cs="Times New Roman"/>
                <w:sz w:val="24"/>
                <w:szCs w:val="24"/>
              </w:rPr>
            </w:pPr>
            <w:r w:rsidRPr="00C628D7">
              <w:rPr>
                <w:rFonts w:ascii="Times New Roman" w:hAnsi="Times New Roman" w:cs="Times New Roman"/>
                <w:sz w:val="24"/>
                <w:szCs w:val="24"/>
              </w:rPr>
              <w:t>(1)</w:t>
            </w:r>
          </w:p>
          <w:p w:rsidR="006D31E8" w:rsidRPr="00C628D7" w:rsidRDefault="006D31E8" w:rsidP="00C628D7">
            <w:pPr>
              <w:spacing w:before="120" w:after="120" w:line="300" w:lineRule="auto"/>
              <w:jc w:val="both"/>
              <w:rPr>
                <w:rFonts w:ascii="Times New Roman" w:hAnsi="Times New Roman" w:cs="Times New Roman"/>
                <w:sz w:val="24"/>
                <w:szCs w:val="24"/>
              </w:rPr>
            </w:pPr>
          </w:p>
        </w:tc>
      </w:tr>
      <w:tr w:rsidR="00C75E68" w:rsidRPr="00C628D7" w:rsidTr="00D07D7B">
        <w:tblPrEx>
          <w:jc w:val="left"/>
        </w:tblPrEx>
        <w:tc>
          <w:tcPr>
            <w:tcW w:w="7825" w:type="dxa"/>
          </w:tcPr>
          <w:p w:rsidR="00C75E68" w:rsidRPr="00C628D7" w:rsidRDefault="00C75E68" w:rsidP="00C628D7">
            <w:pPr>
              <w:spacing w:before="120" w:after="120" w:line="300" w:lineRule="auto"/>
              <w:jc w:val="both"/>
              <w:rPr>
                <w:rFonts w:ascii="Times New Roman" w:hAnsi="Times New Roman" w:cs="Times New Roman"/>
                <w:iCs/>
                <w:sz w:val="24"/>
                <w:szCs w:val="24"/>
              </w:rPr>
            </w:pPr>
            <m:oMathPara>
              <m:oMathParaPr>
                <m:jc m:val="left"/>
              </m:oMathParaPr>
              <m:oMath>
                <m:r>
                  <m:rPr>
                    <m:sty m:val="p"/>
                  </m:rPr>
                  <w:rPr>
                    <w:rFonts w:ascii="Cambria Math" w:hAnsi="Times New Roman" w:cs="Times New Roman"/>
                    <w:sz w:val="24"/>
                    <w:szCs w:val="24"/>
                  </w:rPr>
                  <m:t>ln</m:t>
                </m:r>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CO</m:t>
                        </m:r>
                      </m:e>
                      <m:sub>
                        <m:r>
                          <m:rPr>
                            <m:sty m:val="p"/>
                          </m:rPr>
                          <w:rPr>
                            <w:rFonts w:ascii="Cambria Math" w:hAnsi="Times New Roman" w:cs="Times New Roman"/>
                            <w:sz w:val="24"/>
                            <w:szCs w:val="24"/>
                          </w:rPr>
                          <m:t>2</m:t>
                        </m:r>
                      </m:sub>
                    </m:sSub>
                  </m:e>
                  <m:sub>
                    <m:r>
                      <m:rPr>
                        <m:sty m:val="p"/>
                      </m:rPr>
                      <w:rPr>
                        <w:rFonts w:ascii="Cambria Math" w:hAnsi="Times New Roman" w:cs="Times New Roman"/>
                        <w:sz w:val="24"/>
                        <w:szCs w:val="24"/>
                      </w:rPr>
                      <m:t>it</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lngdp</m:t>
                    </m:r>
                  </m:e>
                  <m:sub>
                    <m:r>
                      <m:rPr>
                        <m:sty m:val="p"/>
                      </m:rPr>
                      <w:rPr>
                        <w:rFonts w:ascii="Cambria Math" w:hAnsi="Times New Roman" w:cs="Times New Roman"/>
                        <w:sz w:val="24"/>
                        <w:szCs w:val="24"/>
                      </w:rPr>
                      <m:t>it</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lnfd</m:t>
                    </m:r>
                    <m:r>
                      <m:rPr>
                        <m:sty m:val="p"/>
                      </m:rPr>
                      <w:rPr>
                        <w:rFonts w:ascii="Cambria Math" w:hAnsi="Times New Roman" w:cs="Times New Roman"/>
                        <w:sz w:val="24"/>
                        <w:szCs w:val="24"/>
                      </w:rPr>
                      <m:t>ı</m:t>
                    </m:r>
                  </m:e>
                  <m:sub>
                    <m:r>
                      <m:rPr>
                        <m:sty m:val="p"/>
                      </m:rPr>
                      <w:rPr>
                        <w:rFonts w:ascii="Cambria Math" w:hAnsi="Times New Roman" w:cs="Times New Roman"/>
                        <w:sz w:val="24"/>
                        <w:szCs w:val="24"/>
                      </w:rPr>
                      <m:t>it</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ε</m:t>
                    </m:r>
                  </m:e>
                  <m:sub>
                    <m:r>
                      <m:rPr>
                        <m:sty m:val="p"/>
                      </m:rPr>
                      <w:rPr>
                        <w:rFonts w:ascii="Cambria Math" w:hAnsi="Times New Roman" w:cs="Times New Roman"/>
                        <w:sz w:val="24"/>
                        <w:szCs w:val="24"/>
                      </w:rPr>
                      <m:t>it</m:t>
                    </m:r>
                  </m:sub>
                </m:sSub>
              </m:oMath>
            </m:oMathPara>
          </w:p>
        </w:tc>
        <w:tc>
          <w:tcPr>
            <w:tcW w:w="1237" w:type="dxa"/>
          </w:tcPr>
          <w:p w:rsidR="00C75E68" w:rsidRPr="00C628D7" w:rsidRDefault="00C75E68" w:rsidP="00C628D7">
            <w:pPr>
              <w:spacing w:before="120" w:after="120" w:line="300" w:lineRule="auto"/>
              <w:jc w:val="right"/>
              <w:rPr>
                <w:rFonts w:ascii="Times New Roman" w:hAnsi="Times New Roman" w:cs="Times New Roman"/>
                <w:sz w:val="24"/>
                <w:szCs w:val="24"/>
              </w:rPr>
            </w:pPr>
            <w:r w:rsidRPr="00C628D7">
              <w:rPr>
                <w:rFonts w:ascii="Times New Roman" w:hAnsi="Times New Roman" w:cs="Times New Roman"/>
                <w:sz w:val="24"/>
                <w:szCs w:val="24"/>
              </w:rPr>
              <w:t>(2)</w:t>
            </w:r>
          </w:p>
        </w:tc>
      </w:tr>
    </w:tbl>
    <w:p w:rsidR="00C75E68" w:rsidRPr="00C628D7" w:rsidRDefault="00C75E68" w:rsidP="00C628D7">
      <w:pPr>
        <w:spacing w:before="120" w:after="120" w:line="300" w:lineRule="auto"/>
        <w:jc w:val="both"/>
        <w:rPr>
          <w:rFonts w:ascii="Times New Roman" w:hAnsi="Times New Roman" w:cs="Times New Roman"/>
          <w:sz w:val="24"/>
          <w:szCs w:val="24"/>
          <w:lang w:val="en-US"/>
        </w:rPr>
      </w:pPr>
    </w:p>
    <w:p w:rsidR="00614321" w:rsidRPr="00C628D7" w:rsidRDefault="00614321"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Equation 2 is a double-log model and where C</w:t>
      </w:r>
      <w:r w:rsidR="002928AA" w:rsidRPr="00C628D7">
        <w:rPr>
          <w:rFonts w:ascii="Times New Roman" w:hAnsi="Times New Roman" w:cs="Times New Roman"/>
          <w:sz w:val="24"/>
          <w:szCs w:val="24"/>
          <w:lang w:val="en-US"/>
        </w:rPr>
        <w:t>O</w:t>
      </w:r>
      <w:r w:rsidRPr="00C628D7">
        <w:rPr>
          <w:rFonts w:ascii="Times New Roman" w:hAnsi="Times New Roman" w:cs="Times New Roman"/>
          <w:sz w:val="24"/>
          <w:szCs w:val="24"/>
          <w:vertAlign w:val="subscript"/>
          <w:lang w:val="en-US"/>
        </w:rPr>
        <w:t>2</w:t>
      </w:r>
      <w:r w:rsidRPr="00C628D7">
        <w:rPr>
          <w:rFonts w:ascii="Times New Roman" w:hAnsi="Times New Roman" w:cs="Times New Roman"/>
          <w:sz w:val="24"/>
          <w:szCs w:val="24"/>
          <w:lang w:val="en-US"/>
        </w:rPr>
        <w:t xml:space="preserve"> is carbon dioxide emissions per capita, G</w:t>
      </w:r>
      <w:r w:rsidR="002928AA" w:rsidRPr="00C628D7">
        <w:rPr>
          <w:rFonts w:ascii="Times New Roman" w:hAnsi="Times New Roman" w:cs="Times New Roman"/>
          <w:sz w:val="24"/>
          <w:szCs w:val="24"/>
          <w:lang w:val="en-US"/>
        </w:rPr>
        <w:t>DP</w:t>
      </w:r>
      <w:r w:rsidRPr="00C628D7">
        <w:rPr>
          <w:rFonts w:ascii="Times New Roman" w:hAnsi="Times New Roman" w:cs="Times New Roman"/>
          <w:sz w:val="24"/>
          <w:szCs w:val="24"/>
          <w:lang w:val="en-US"/>
        </w:rPr>
        <w:t xml:space="preserve"> is gross domestic product per capita, F</w:t>
      </w:r>
      <w:r w:rsidR="002928AA" w:rsidRPr="00C628D7">
        <w:rPr>
          <w:rFonts w:ascii="Times New Roman" w:hAnsi="Times New Roman" w:cs="Times New Roman"/>
          <w:sz w:val="24"/>
          <w:szCs w:val="24"/>
          <w:lang w:val="en-US"/>
        </w:rPr>
        <w:t>DI</w:t>
      </w:r>
      <w:r w:rsidRPr="00C628D7">
        <w:rPr>
          <w:rFonts w:ascii="Times New Roman" w:hAnsi="Times New Roman" w:cs="Times New Roman"/>
          <w:sz w:val="24"/>
          <w:szCs w:val="24"/>
          <w:lang w:val="en-US"/>
        </w:rPr>
        <w:t xml:space="preserve"> is foreign direct investment, net inflow (% of GDP), and ε is the error term in Equation 2. In addition, we added two control variables (electricity consumption and population density) to our model. The definitions, abbreviations, and sources of variables are listed in Table 2. </w:t>
      </w:r>
    </w:p>
    <w:p w:rsidR="00D81583" w:rsidRPr="00C628D7" w:rsidRDefault="00D81583" w:rsidP="00C628D7">
      <w:pPr>
        <w:spacing w:after="0" w:line="300" w:lineRule="auto"/>
        <w:jc w:val="both"/>
        <w:rPr>
          <w:rFonts w:ascii="Times New Roman" w:hAnsi="Times New Roman" w:cs="Times New Roman"/>
          <w:sz w:val="24"/>
          <w:szCs w:val="24"/>
          <w:lang w:val="en-US"/>
        </w:rPr>
      </w:pPr>
      <w:r w:rsidRPr="00C628D7">
        <w:rPr>
          <w:rFonts w:ascii="Times New Roman" w:hAnsi="Times New Roman" w:cs="Times New Roman"/>
          <w:b/>
          <w:bCs/>
          <w:sz w:val="24"/>
          <w:szCs w:val="24"/>
          <w:lang w:val="en-US"/>
        </w:rPr>
        <w:t xml:space="preserve">Table 2. </w:t>
      </w:r>
      <w:r w:rsidRPr="00C628D7">
        <w:rPr>
          <w:rFonts w:ascii="Times New Roman" w:hAnsi="Times New Roman" w:cs="Times New Roman"/>
          <w:sz w:val="24"/>
          <w:szCs w:val="24"/>
          <w:lang w:val="en-US"/>
        </w:rPr>
        <w:t xml:space="preserve">Data </w:t>
      </w:r>
      <w:r w:rsidR="00C628D7">
        <w:rPr>
          <w:rFonts w:ascii="Times New Roman" w:hAnsi="Times New Roman" w:cs="Times New Roman"/>
          <w:sz w:val="24"/>
          <w:szCs w:val="24"/>
          <w:lang w:val="en-US"/>
        </w:rPr>
        <w:t>I</w:t>
      </w:r>
      <w:r w:rsidRPr="00C628D7">
        <w:rPr>
          <w:rFonts w:ascii="Times New Roman" w:hAnsi="Times New Roman" w:cs="Times New Roman"/>
          <w:sz w:val="24"/>
          <w:szCs w:val="24"/>
          <w:lang w:val="en-US"/>
        </w:rPr>
        <w:t>nformation</w:t>
      </w:r>
    </w:p>
    <w:tbl>
      <w:tblPr>
        <w:tblStyle w:val="TabloKlavuzu"/>
        <w:tblW w:w="0" w:type="auto"/>
        <w:jc w:val="center"/>
        <w:tblLook w:val="04A0"/>
      </w:tblPr>
      <w:tblGrid>
        <w:gridCol w:w="942"/>
        <w:gridCol w:w="2340"/>
        <w:gridCol w:w="4500"/>
        <w:gridCol w:w="1327"/>
      </w:tblGrid>
      <w:tr w:rsidR="00D81583" w:rsidRPr="002928AA" w:rsidTr="000449C2">
        <w:trPr>
          <w:jc w:val="center"/>
        </w:trPr>
        <w:tc>
          <w:tcPr>
            <w:tcW w:w="895" w:type="dxa"/>
          </w:tcPr>
          <w:p w:rsidR="00D81583" w:rsidRPr="002928AA" w:rsidRDefault="00D81583" w:rsidP="00D5618C">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Variable</w:t>
            </w:r>
          </w:p>
        </w:tc>
        <w:tc>
          <w:tcPr>
            <w:tcW w:w="2340" w:type="dxa"/>
          </w:tcPr>
          <w:p w:rsidR="00D81583" w:rsidRPr="002928AA" w:rsidRDefault="00D81583" w:rsidP="00D5618C">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Definition</w:t>
            </w:r>
          </w:p>
        </w:tc>
        <w:tc>
          <w:tcPr>
            <w:tcW w:w="4500" w:type="dxa"/>
          </w:tcPr>
          <w:p w:rsidR="00D81583" w:rsidRPr="002928AA" w:rsidRDefault="00D81583" w:rsidP="00D5618C">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Unit</w:t>
            </w:r>
          </w:p>
        </w:tc>
        <w:tc>
          <w:tcPr>
            <w:tcW w:w="1327" w:type="dxa"/>
          </w:tcPr>
          <w:p w:rsidR="00D81583" w:rsidRPr="002928AA" w:rsidRDefault="00D81583" w:rsidP="00D5618C">
            <w:pPr>
              <w:jc w:val="center"/>
              <w:rPr>
                <w:rFonts w:ascii="Times New Roman" w:hAnsi="Times New Roman" w:cs="Times New Roman"/>
                <w:b/>
                <w:sz w:val="20"/>
                <w:szCs w:val="20"/>
                <w:lang w:val="en-US"/>
              </w:rPr>
            </w:pPr>
            <w:r w:rsidRPr="002928AA">
              <w:rPr>
                <w:rFonts w:ascii="Times New Roman" w:hAnsi="Times New Roman" w:cs="Times New Roman"/>
                <w:b/>
                <w:sz w:val="20"/>
                <w:szCs w:val="20"/>
                <w:lang w:val="en-US"/>
              </w:rPr>
              <w:t>Data source</w:t>
            </w:r>
          </w:p>
        </w:tc>
      </w:tr>
      <w:tr w:rsidR="00D81583" w:rsidRPr="002928AA" w:rsidTr="000449C2">
        <w:trPr>
          <w:jc w:val="center"/>
        </w:trPr>
        <w:tc>
          <w:tcPr>
            <w:tcW w:w="895" w:type="dxa"/>
          </w:tcPr>
          <w:p w:rsidR="00D81583" w:rsidRPr="002928AA" w:rsidRDefault="00D81583" w:rsidP="002928AA">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C</w:t>
            </w:r>
            <w:r w:rsidR="002928AA" w:rsidRPr="002928AA">
              <w:rPr>
                <w:rFonts w:ascii="Times New Roman" w:hAnsi="Times New Roman" w:cs="Times New Roman"/>
                <w:b/>
                <w:sz w:val="20"/>
                <w:szCs w:val="20"/>
                <w:lang w:val="en-US"/>
              </w:rPr>
              <w:t>O</w:t>
            </w:r>
            <w:r w:rsidRPr="002928AA">
              <w:rPr>
                <w:rFonts w:ascii="Times New Roman" w:hAnsi="Times New Roman" w:cs="Times New Roman"/>
                <w:b/>
                <w:sz w:val="20"/>
                <w:szCs w:val="20"/>
                <w:vertAlign w:val="subscript"/>
                <w:lang w:val="en-US"/>
              </w:rPr>
              <w:t>2</w:t>
            </w:r>
          </w:p>
        </w:tc>
        <w:tc>
          <w:tcPr>
            <w:tcW w:w="2340" w:type="dxa"/>
          </w:tcPr>
          <w:p w:rsidR="00D81583" w:rsidRPr="002928AA" w:rsidRDefault="00D81583" w:rsidP="00D81583">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Carbon</w:t>
            </w:r>
            <w:r w:rsidR="002928AA">
              <w:rPr>
                <w:rFonts w:ascii="Times New Roman" w:hAnsi="Times New Roman" w:cs="Times New Roman"/>
                <w:sz w:val="20"/>
                <w:szCs w:val="20"/>
                <w:lang w:val="en-US"/>
              </w:rPr>
              <w:t xml:space="preserve"> </w:t>
            </w:r>
            <w:r w:rsidR="000F70AD" w:rsidRPr="002928AA">
              <w:rPr>
                <w:rFonts w:ascii="Times New Roman" w:hAnsi="Times New Roman" w:cs="Times New Roman"/>
                <w:sz w:val="20"/>
                <w:szCs w:val="20"/>
                <w:lang w:val="en-US"/>
              </w:rPr>
              <w:t>dioxide</w:t>
            </w:r>
            <w:r w:rsidR="002928AA">
              <w:rPr>
                <w:rFonts w:ascii="Times New Roman" w:hAnsi="Times New Roman" w:cs="Times New Roman"/>
                <w:sz w:val="20"/>
                <w:szCs w:val="20"/>
                <w:lang w:val="en-US"/>
              </w:rPr>
              <w:t xml:space="preserve"> </w:t>
            </w:r>
            <w:r w:rsidR="000F70AD" w:rsidRPr="002928AA">
              <w:rPr>
                <w:rFonts w:ascii="Times New Roman" w:hAnsi="Times New Roman" w:cs="Times New Roman"/>
                <w:sz w:val="20"/>
                <w:szCs w:val="20"/>
                <w:lang w:val="en-US"/>
              </w:rPr>
              <w:t>emissions</w:t>
            </w:r>
          </w:p>
        </w:tc>
        <w:tc>
          <w:tcPr>
            <w:tcW w:w="4500" w:type="dxa"/>
          </w:tcPr>
          <w:p w:rsidR="00D81583" w:rsidRPr="002928AA" w:rsidRDefault="00D81583" w:rsidP="002928AA">
            <w:pPr>
              <w:jc w:val="both"/>
              <w:rPr>
                <w:rFonts w:ascii="Times New Roman" w:hAnsi="Times New Roman" w:cs="Times New Roman"/>
                <w:sz w:val="20"/>
                <w:szCs w:val="20"/>
                <w:vertAlign w:val="subscript"/>
                <w:lang w:val="en-US"/>
              </w:rPr>
            </w:pPr>
            <w:r w:rsidRPr="002928AA">
              <w:rPr>
                <w:rFonts w:ascii="Times New Roman" w:hAnsi="Times New Roman" w:cs="Times New Roman"/>
                <w:sz w:val="20"/>
                <w:szCs w:val="20"/>
                <w:lang w:val="en-US"/>
              </w:rPr>
              <w:t>C</w:t>
            </w:r>
            <w:r w:rsidR="002928AA">
              <w:rPr>
                <w:rFonts w:ascii="Times New Roman" w:hAnsi="Times New Roman" w:cs="Times New Roman"/>
                <w:sz w:val="20"/>
                <w:szCs w:val="20"/>
                <w:lang w:val="en-US"/>
              </w:rPr>
              <w:t>O</w:t>
            </w:r>
            <w:r w:rsidRPr="002928AA">
              <w:rPr>
                <w:rFonts w:ascii="Times New Roman" w:hAnsi="Times New Roman" w:cs="Times New Roman"/>
                <w:sz w:val="20"/>
                <w:szCs w:val="20"/>
                <w:vertAlign w:val="subscript"/>
                <w:lang w:val="en-US"/>
              </w:rPr>
              <w:t xml:space="preserve">2 </w:t>
            </w:r>
            <w:r w:rsidRPr="002928AA">
              <w:rPr>
                <w:rFonts w:ascii="Times New Roman" w:hAnsi="Times New Roman" w:cs="Times New Roman"/>
                <w:sz w:val="20"/>
                <w:szCs w:val="20"/>
                <w:lang w:val="en-US"/>
              </w:rPr>
              <w:t>per capita</w:t>
            </w:r>
          </w:p>
        </w:tc>
        <w:tc>
          <w:tcPr>
            <w:tcW w:w="1327" w:type="dxa"/>
            <w:vAlign w:val="center"/>
          </w:tcPr>
          <w:p w:rsidR="00D81583" w:rsidRPr="002928AA" w:rsidRDefault="00D81583" w:rsidP="00D81583">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OWD, 2023</w:t>
            </w:r>
            <w:r w:rsidR="000449C2" w:rsidRPr="002928AA">
              <w:rPr>
                <w:rFonts w:ascii="Times New Roman" w:hAnsi="Times New Roman" w:cs="Times New Roman"/>
                <w:sz w:val="20"/>
                <w:szCs w:val="20"/>
                <w:lang w:val="en-US"/>
              </w:rPr>
              <w:t>a</w:t>
            </w:r>
          </w:p>
        </w:tc>
      </w:tr>
      <w:tr w:rsidR="009968CB" w:rsidRPr="002928AA" w:rsidTr="000449C2">
        <w:trPr>
          <w:jc w:val="center"/>
        </w:trPr>
        <w:tc>
          <w:tcPr>
            <w:tcW w:w="895" w:type="dxa"/>
          </w:tcPr>
          <w:p w:rsidR="009968CB" w:rsidRPr="002928AA" w:rsidRDefault="009968CB" w:rsidP="009968CB">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Eu</w:t>
            </w:r>
          </w:p>
        </w:tc>
        <w:tc>
          <w:tcPr>
            <w:tcW w:w="2340" w:type="dxa"/>
          </w:tcPr>
          <w:p w:rsidR="009968CB" w:rsidRPr="002928AA" w:rsidRDefault="000F70AD" w:rsidP="009968CB">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Energy</w:t>
            </w:r>
            <w:r w:rsidR="002928AA">
              <w:rPr>
                <w:rFonts w:ascii="Times New Roman" w:hAnsi="Times New Roman" w:cs="Times New Roman"/>
                <w:sz w:val="20"/>
                <w:szCs w:val="20"/>
                <w:lang w:val="en-US"/>
              </w:rPr>
              <w:t xml:space="preserve"> </w:t>
            </w:r>
            <w:r w:rsidRPr="002928AA">
              <w:rPr>
                <w:rFonts w:ascii="Times New Roman" w:hAnsi="Times New Roman" w:cs="Times New Roman"/>
                <w:sz w:val="20"/>
                <w:szCs w:val="20"/>
                <w:lang w:val="en-US"/>
              </w:rPr>
              <w:t>consumptions</w:t>
            </w:r>
          </w:p>
        </w:tc>
        <w:tc>
          <w:tcPr>
            <w:tcW w:w="4500" w:type="dxa"/>
          </w:tcPr>
          <w:p w:rsidR="009968CB" w:rsidRPr="002928AA" w:rsidRDefault="009968CB" w:rsidP="009968CB">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Primary energy consumption per capita (kWh/person)</w:t>
            </w:r>
          </w:p>
        </w:tc>
        <w:tc>
          <w:tcPr>
            <w:tcW w:w="1327" w:type="dxa"/>
            <w:vAlign w:val="center"/>
          </w:tcPr>
          <w:p w:rsidR="009968CB" w:rsidRPr="002928AA" w:rsidRDefault="009968CB" w:rsidP="009968CB">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OWD, 2023</w:t>
            </w:r>
            <w:r w:rsidR="000449C2" w:rsidRPr="002928AA">
              <w:rPr>
                <w:rFonts w:ascii="Times New Roman" w:hAnsi="Times New Roman" w:cs="Times New Roman"/>
                <w:sz w:val="20"/>
                <w:szCs w:val="20"/>
                <w:lang w:val="en-US"/>
              </w:rPr>
              <w:t>b</w:t>
            </w:r>
          </w:p>
        </w:tc>
      </w:tr>
      <w:tr w:rsidR="009968CB" w:rsidRPr="002928AA" w:rsidTr="000449C2">
        <w:trPr>
          <w:jc w:val="center"/>
        </w:trPr>
        <w:tc>
          <w:tcPr>
            <w:tcW w:w="895" w:type="dxa"/>
          </w:tcPr>
          <w:p w:rsidR="009968CB" w:rsidRPr="002928AA" w:rsidRDefault="009968CB" w:rsidP="002928AA">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G</w:t>
            </w:r>
            <w:r w:rsidR="002928AA" w:rsidRPr="002928AA">
              <w:rPr>
                <w:rFonts w:ascii="Times New Roman" w:hAnsi="Times New Roman" w:cs="Times New Roman"/>
                <w:b/>
                <w:sz w:val="20"/>
                <w:szCs w:val="20"/>
                <w:lang w:val="en-US"/>
              </w:rPr>
              <w:t>DP</w:t>
            </w:r>
          </w:p>
        </w:tc>
        <w:tc>
          <w:tcPr>
            <w:tcW w:w="2340" w:type="dxa"/>
          </w:tcPr>
          <w:p w:rsidR="009968CB" w:rsidRPr="002928AA" w:rsidRDefault="009968CB" w:rsidP="009968CB">
            <w:pPr>
              <w:jc w:val="both"/>
              <w:rPr>
                <w:rFonts w:ascii="Times New Roman" w:hAnsi="Times New Roman" w:cs="Times New Roman"/>
                <w:sz w:val="20"/>
                <w:szCs w:val="20"/>
                <w:lang w:val="en-US"/>
              </w:rPr>
            </w:pPr>
            <w:bookmarkStart w:id="2" w:name="_Hlk133624164"/>
            <w:r w:rsidRPr="002928AA">
              <w:rPr>
                <w:rFonts w:ascii="Times New Roman" w:hAnsi="Times New Roman" w:cs="Times New Roman"/>
                <w:sz w:val="20"/>
                <w:szCs w:val="20"/>
                <w:lang w:val="en-US"/>
              </w:rPr>
              <w:t>G</w:t>
            </w:r>
            <w:r w:rsidR="000F70AD" w:rsidRPr="002928AA">
              <w:rPr>
                <w:rFonts w:ascii="Times New Roman" w:hAnsi="Times New Roman" w:cs="Times New Roman"/>
                <w:sz w:val="20"/>
                <w:szCs w:val="20"/>
                <w:lang w:val="en-US"/>
              </w:rPr>
              <w:t>ross Domestic Product</w:t>
            </w:r>
            <w:bookmarkEnd w:id="2"/>
          </w:p>
        </w:tc>
        <w:tc>
          <w:tcPr>
            <w:tcW w:w="4500" w:type="dxa"/>
          </w:tcPr>
          <w:p w:rsidR="009968CB" w:rsidRPr="002928AA" w:rsidRDefault="009968CB" w:rsidP="009968CB">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GDP per capita (constant 2015 US$)</w:t>
            </w:r>
          </w:p>
        </w:tc>
        <w:tc>
          <w:tcPr>
            <w:tcW w:w="1327" w:type="dxa"/>
            <w:vMerge w:val="restart"/>
            <w:vAlign w:val="center"/>
          </w:tcPr>
          <w:p w:rsidR="009968CB" w:rsidRPr="002928AA" w:rsidRDefault="009968CB" w:rsidP="009968CB">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WDI, 2023</w:t>
            </w:r>
          </w:p>
        </w:tc>
      </w:tr>
      <w:tr w:rsidR="009968CB" w:rsidRPr="002928AA" w:rsidTr="000449C2">
        <w:trPr>
          <w:jc w:val="center"/>
        </w:trPr>
        <w:tc>
          <w:tcPr>
            <w:tcW w:w="895" w:type="dxa"/>
          </w:tcPr>
          <w:p w:rsidR="009968CB" w:rsidRPr="002928AA" w:rsidRDefault="009968CB" w:rsidP="002928AA">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F</w:t>
            </w:r>
            <w:r w:rsidR="002928AA" w:rsidRPr="002928AA">
              <w:rPr>
                <w:rFonts w:ascii="Times New Roman" w:hAnsi="Times New Roman" w:cs="Times New Roman"/>
                <w:b/>
                <w:sz w:val="20"/>
                <w:szCs w:val="20"/>
                <w:lang w:val="en-US"/>
              </w:rPr>
              <w:t>DI</w:t>
            </w:r>
          </w:p>
        </w:tc>
        <w:tc>
          <w:tcPr>
            <w:tcW w:w="2340" w:type="dxa"/>
          </w:tcPr>
          <w:p w:rsidR="009968CB" w:rsidRPr="002928AA" w:rsidRDefault="009968CB" w:rsidP="009968CB">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Foreign direct investment</w:t>
            </w:r>
          </w:p>
        </w:tc>
        <w:tc>
          <w:tcPr>
            <w:tcW w:w="4500" w:type="dxa"/>
          </w:tcPr>
          <w:p w:rsidR="009968CB" w:rsidRPr="002928AA" w:rsidRDefault="009968CB" w:rsidP="009968CB">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Foreign direct investment, net inflows (% of GDP)</w:t>
            </w:r>
          </w:p>
        </w:tc>
        <w:tc>
          <w:tcPr>
            <w:tcW w:w="1327" w:type="dxa"/>
            <w:vMerge/>
            <w:vAlign w:val="center"/>
          </w:tcPr>
          <w:p w:rsidR="009968CB" w:rsidRPr="002928AA" w:rsidRDefault="009968CB" w:rsidP="009968CB">
            <w:pPr>
              <w:jc w:val="center"/>
              <w:rPr>
                <w:rFonts w:ascii="Times New Roman" w:hAnsi="Times New Roman" w:cs="Times New Roman"/>
                <w:sz w:val="20"/>
                <w:szCs w:val="20"/>
                <w:lang w:val="en-US"/>
              </w:rPr>
            </w:pPr>
          </w:p>
        </w:tc>
      </w:tr>
      <w:tr w:rsidR="009968CB" w:rsidRPr="002928AA" w:rsidTr="000449C2">
        <w:trPr>
          <w:jc w:val="center"/>
        </w:trPr>
        <w:tc>
          <w:tcPr>
            <w:tcW w:w="895" w:type="dxa"/>
          </w:tcPr>
          <w:p w:rsidR="009968CB" w:rsidRPr="002928AA" w:rsidRDefault="009968CB" w:rsidP="009968CB">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Pop</w:t>
            </w:r>
          </w:p>
        </w:tc>
        <w:tc>
          <w:tcPr>
            <w:tcW w:w="2340" w:type="dxa"/>
          </w:tcPr>
          <w:p w:rsidR="009968CB" w:rsidRPr="002928AA" w:rsidRDefault="009968CB" w:rsidP="009968CB">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Population density</w:t>
            </w:r>
          </w:p>
        </w:tc>
        <w:tc>
          <w:tcPr>
            <w:tcW w:w="4500" w:type="dxa"/>
          </w:tcPr>
          <w:p w:rsidR="009968CB" w:rsidRPr="002928AA" w:rsidRDefault="009968CB" w:rsidP="009968CB">
            <w:pPr>
              <w:jc w:val="both"/>
              <w:rPr>
                <w:rFonts w:ascii="Times New Roman" w:hAnsi="Times New Roman" w:cs="Times New Roman"/>
                <w:sz w:val="20"/>
                <w:szCs w:val="20"/>
                <w:lang w:val="en-US"/>
              </w:rPr>
            </w:pPr>
            <w:r w:rsidRPr="002928AA">
              <w:rPr>
                <w:rFonts w:ascii="Times New Roman" w:hAnsi="Times New Roman" w:cs="Times New Roman"/>
                <w:sz w:val="20"/>
                <w:szCs w:val="20"/>
                <w:lang w:val="en-US"/>
              </w:rPr>
              <w:t>Population density (people per sq. km of land area)</w:t>
            </w:r>
          </w:p>
        </w:tc>
        <w:tc>
          <w:tcPr>
            <w:tcW w:w="1327" w:type="dxa"/>
            <w:vMerge/>
            <w:vAlign w:val="center"/>
          </w:tcPr>
          <w:p w:rsidR="009968CB" w:rsidRPr="002928AA" w:rsidRDefault="009968CB" w:rsidP="009968CB">
            <w:pPr>
              <w:jc w:val="center"/>
              <w:rPr>
                <w:rFonts w:ascii="Times New Roman" w:hAnsi="Times New Roman" w:cs="Times New Roman"/>
                <w:sz w:val="20"/>
                <w:szCs w:val="20"/>
                <w:lang w:val="en-US"/>
              </w:rPr>
            </w:pPr>
          </w:p>
        </w:tc>
      </w:tr>
    </w:tbl>
    <w:p w:rsidR="001228C6" w:rsidRPr="00C628D7" w:rsidRDefault="001228C6"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 xml:space="preserve">In the economic approach, one of the main issues in creating a model is the use of exogenous and instrumental variables. In a model, some variables can be explained by other variables while some variables cannot be explained by other variables. To take this into account, we assume our model to be GDP endogenous and FDI exogenous. Considering that GDP can be explained by different variables, instrumental variables are also included in the model. These are Energy consumption and population density. </w:t>
      </w:r>
    </w:p>
    <w:p w:rsidR="008734DE" w:rsidRPr="00C628D7" w:rsidRDefault="008734DE"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 xml:space="preserve">In the current study, which is based on foreign direct investments and economic growth, we used an effective method that theoretically considers endogenous and exogenous. For this purpose, we prefer a novel method developed recently in panel econometrics. Kaplan and Sun (2017) developed smoothed quantile estimating equations, a quantile method that allows the use of instrumental data. In this method, instrumental variables quantile regression was added, and the authors developed it to smooth the indicator function (namely, SIV-QR). </w:t>
      </w:r>
    </w:p>
    <w:p w:rsidR="00DD6A9A" w:rsidRPr="00C628D7" w:rsidRDefault="005342C6"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SIV</w:t>
      </w:r>
      <w:r w:rsidR="008B0A4D" w:rsidRP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QR has some advantages as a kernel-based nonparametric conditional quantile estimator. </w:t>
      </w:r>
      <w:r w:rsidR="00DD6A9A" w:rsidRPr="00C628D7">
        <w:rPr>
          <w:rFonts w:ascii="Times New Roman" w:hAnsi="Times New Roman" w:cs="Times New Roman"/>
          <w:sz w:val="24"/>
          <w:szCs w:val="24"/>
          <w:lang w:val="en-US"/>
        </w:rPr>
        <w:t xml:space="preserve">i) This method can be easily calculated using a standard iterative algorithm that requires smoothness; ii) owing to the smoothing estimator of SIV-QR, the method has high-order properties; iii) SIV-QR is a flexible set of estimators that includes IV/OLS mean regression </w:t>
      </w:r>
      <w:r w:rsidR="00DD6A9A" w:rsidRPr="00C628D7">
        <w:rPr>
          <w:rFonts w:ascii="Times New Roman" w:hAnsi="Times New Roman" w:cs="Times New Roman"/>
          <w:sz w:val="24"/>
          <w:szCs w:val="24"/>
          <w:lang w:val="en-US"/>
        </w:rPr>
        <w:lastRenderedPageBreak/>
        <w:t>estimators and median and quantitative regression estimators; and iv) SIV-QR reduces the mean square error, which creates more powerful tests (see for detail Kaplan and Sun (2017)).</w:t>
      </w:r>
    </w:p>
    <w:p w:rsidR="00741CD0" w:rsidRPr="00C628D7" w:rsidRDefault="00FC2D42" w:rsidP="00C628D7">
      <w:pPr>
        <w:spacing w:before="120" w:after="120" w:line="300" w:lineRule="auto"/>
        <w:jc w:val="both"/>
        <w:rPr>
          <w:rFonts w:ascii="Times New Roman" w:hAnsi="Times New Roman" w:cs="Times New Roman"/>
          <w:b/>
          <w:bCs/>
          <w:sz w:val="24"/>
          <w:szCs w:val="24"/>
          <w:lang w:val="en-US"/>
        </w:rPr>
      </w:pPr>
      <w:r w:rsidRPr="00C628D7">
        <w:rPr>
          <w:rFonts w:ascii="Times New Roman" w:hAnsi="Times New Roman" w:cs="Times New Roman"/>
          <w:b/>
          <w:bCs/>
          <w:sz w:val="24"/>
          <w:szCs w:val="24"/>
          <w:lang w:val="en-US"/>
        </w:rPr>
        <w:t xml:space="preserve">4. </w:t>
      </w:r>
      <w:r w:rsidR="00741CD0" w:rsidRPr="00C628D7">
        <w:rPr>
          <w:rFonts w:ascii="Times New Roman" w:hAnsi="Times New Roman" w:cs="Times New Roman"/>
          <w:b/>
          <w:bCs/>
          <w:sz w:val="24"/>
          <w:szCs w:val="24"/>
          <w:lang w:val="en-US"/>
        </w:rPr>
        <w:t xml:space="preserve">Empirical Findings and </w:t>
      </w:r>
      <w:r w:rsidR="003A650E" w:rsidRPr="00C628D7">
        <w:rPr>
          <w:rFonts w:ascii="Times New Roman" w:hAnsi="Times New Roman" w:cs="Times New Roman"/>
          <w:b/>
          <w:bCs/>
          <w:sz w:val="24"/>
          <w:szCs w:val="24"/>
          <w:lang w:val="en-US"/>
        </w:rPr>
        <w:t>Robustness</w:t>
      </w:r>
      <w:r w:rsidR="00741CD0" w:rsidRPr="00C628D7">
        <w:rPr>
          <w:rFonts w:ascii="Times New Roman" w:hAnsi="Times New Roman" w:cs="Times New Roman"/>
          <w:b/>
          <w:bCs/>
          <w:sz w:val="24"/>
          <w:szCs w:val="24"/>
          <w:lang w:val="en-US"/>
        </w:rPr>
        <w:t xml:space="preserve"> Check</w:t>
      </w:r>
    </w:p>
    <w:p w:rsidR="003409E7" w:rsidRPr="00C628D7" w:rsidRDefault="00AD1B33"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Table 3 presents descriptive statistics. Eu and G</w:t>
      </w:r>
      <w:r w:rsidR="002928AA" w:rsidRPr="00C628D7">
        <w:rPr>
          <w:rFonts w:ascii="Times New Roman" w:hAnsi="Times New Roman" w:cs="Times New Roman"/>
          <w:sz w:val="24"/>
          <w:szCs w:val="24"/>
          <w:lang w:val="en-US"/>
        </w:rPr>
        <w:t>DP</w:t>
      </w:r>
      <w:r w:rsidRPr="00C628D7">
        <w:rPr>
          <w:rFonts w:ascii="Times New Roman" w:hAnsi="Times New Roman" w:cs="Times New Roman"/>
          <w:sz w:val="24"/>
          <w:szCs w:val="24"/>
          <w:lang w:val="en-US"/>
        </w:rPr>
        <w:t xml:space="preserve"> means are higher than others respectively. The standard divisions of C</w:t>
      </w:r>
      <w:r w:rsidR="002928AA" w:rsidRPr="00C628D7">
        <w:rPr>
          <w:rFonts w:ascii="Times New Roman" w:hAnsi="Times New Roman" w:cs="Times New Roman"/>
          <w:sz w:val="24"/>
          <w:szCs w:val="24"/>
          <w:lang w:val="en-US"/>
        </w:rPr>
        <w:t>O</w:t>
      </w:r>
      <w:r w:rsidRPr="00C628D7">
        <w:rPr>
          <w:rFonts w:ascii="Times New Roman" w:hAnsi="Times New Roman" w:cs="Times New Roman"/>
          <w:sz w:val="24"/>
          <w:szCs w:val="24"/>
          <w:vertAlign w:val="subscript"/>
          <w:lang w:val="en-US"/>
        </w:rPr>
        <w:t>2</w:t>
      </w:r>
      <w:r w:rsidRPr="00C628D7">
        <w:rPr>
          <w:rFonts w:ascii="Times New Roman" w:hAnsi="Times New Roman" w:cs="Times New Roman"/>
          <w:sz w:val="24"/>
          <w:szCs w:val="24"/>
          <w:lang w:val="en-US"/>
        </w:rPr>
        <w:t xml:space="preserve"> and F</w:t>
      </w:r>
      <w:r w:rsidR="002928AA" w:rsidRPr="00C628D7">
        <w:rPr>
          <w:rFonts w:ascii="Times New Roman" w:hAnsi="Times New Roman" w:cs="Times New Roman"/>
          <w:sz w:val="24"/>
          <w:szCs w:val="24"/>
          <w:lang w:val="en-US"/>
        </w:rPr>
        <w:t>DI</w:t>
      </w:r>
      <w:r w:rsidRPr="00C628D7">
        <w:rPr>
          <w:rFonts w:ascii="Times New Roman" w:hAnsi="Times New Roman" w:cs="Times New Roman"/>
          <w:sz w:val="24"/>
          <w:szCs w:val="24"/>
          <w:lang w:val="en-US"/>
        </w:rPr>
        <w:t xml:space="preserve"> are lower than the rest. Skewness shows that only G</w:t>
      </w:r>
      <w:r w:rsidR="002928AA" w:rsidRPr="00C628D7">
        <w:rPr>
          <w:rFonts w:ascii="Times New Roman" w:hAnsi="Times New Roman" w:cs="Times New Roman"/>
          <w:sz w:val="24"/>
          <w:szCs w:val="24"/>
          <w:lang w:val="en-US"/>
        </w:rPr>
        <w:t>DP</w:t>
      </w:r>
      <w:r w:rsidRPr="00C628D7">
        <w:rPr>
          <w:rFonts w:ascii="Times New Roman" w:hAnsi="Times New Roman" w:cs="Times New Roman"/>
          <w:sz w:val="24"/>
          <w:szCs w:val="24"/>
          <w:lang w:val="en-US"/>
        </w:rPr>
        <w:t xml:space="preserve"> is positively skewed, while the others are negatively skewed. </w:t>
      </w:r>
    </w:p>
    <w:p w:rsidR="007514C4" w:rsidRPr="00C628D7" w:rsidRDefault="007514C4"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b/>
          <w:bCs/>
          <w:sz w:val="24"/>
          <w:szCs w:val="24"/>
          <w:lang w:val="en-US"/>
        </w:rPr>
        <w:t xml:space="preserve">Table 3. </w:t>
      </w:r>
      <w:r w:rsidRPr="00C628D7">
        <w:rPr>
          <w:rFonts w:ascii="Times New Roman" w:hAnsi="Times New Roman" w:cs="Times New Roman"/>
          <w:sz w:val="24"/>
          <w:szCs w:val="24"/>
          <w:lang w:val="en-US"/>
        </w:rPr>
        <w:t>Descriptive Statistics</w:t>
      </w:r>
    </w:p>
    <w:tbl>
      <w:tblPr>
        <w:tblStyle w:val="TabloKlavuzu"/>
        <w:tblW w:w="0" w:type="auto"/>
        <w:tblLook w:val="04A0"/>
      </w:tblPr>
      <w:tblGrid>
        <w:gridCol w:w="1294"/>
        <w:gridCol w:w="1294"/>
        <w:gridCol w:w="1294"/>
        <w:gridCol w:w="1295"/>
        <w:gridCol w:w="1295"/>
        <w:gridCol w:w="1295"/>
        <w:gridCol w:w="1295"/>
      </w:tblGrid>
      <w:tr w:rsidR="00B17FB8" w:rsidRPr="002928AA" w:rsidTr="00B17FB8">
        <w:tc>
          <w:tcPr>
            <w:tcW w:w="1294" w:type="dxa"/>
          </w:tcPr>
          <w:p w:rsidR="00B17FB8" w:rsidRPr="002928AA" w:rsidRDefault="00B17FB8" w:rsidP="00B17FB8">
            <w:pPr>
              <w:jc w:val="both"/>
              <w:rPr>
                <w:rFonts w:ascii="Times New Roman" w:hAnsi="Times New Roman" w:cs="Times New Roman"/>
                <w:b/>
                <w:bCs/>
                <w:sz w:val="20"/>
                <w:szCs w:val="20"/>
                <w:lang w:val="en-US"/>
              </w:rPr>
            </w:pPr>
          </w:p>
        </w:tc>
        <w:tc>
          <w:tcPr>
            <w:tcW w:w="1294" w:type="dxa"/>
          </w:tcPr>
          <w:p w:rsidR="00B17FB8" w:rsidRPr="002928AA" w:rsidRDefault="00B17FB8" w:rsidP="00B17FB8">
            <w:pPr>
              <w:jc w:val="center"/>
              <w:rPr>
                <w:rFonts w:ascii="Times New Roman" w:hAnsi="Times New Roman" w:cs="Times New Roman"/>
                <w:b/>
                <w:bCs/>
                <w:sz w:val="20"/>
                <w:szCs w:val="20"/>
                <w:lang w:val="en-US"/>
              </w:rPr>
            </w:pPr>
            <w:r w:rsidRPr="002928AA">
              <w:rPr>
                <w:rFonts w:ascii="Times New Roman" w:hAnsi="Times New Roman" w:cs="Times New Roman"/>
                <w:b/>
                <w:sz w:val="20"/>
                <w:szCs w:val="20"/>
                <w:lang w:val="en-US"/>
              </w:rPr>
              <w:t>Mean</w:t>
            </w:r>
          </w:p>
        </w:tc>
        <w:tc>
          <w:tcPr>
            <w:tcW w:w="1294" w:type="dxa"/>
          </w:tcPr>
          <w:p w:rsidR="00B17FB8" w:rsidRPr="002928AA" w:rsidRDefault="00DF10DC" w:rsidP="00B17FB8">
            <w:pPr>
              <w:jc w:val="center"/>
              <w:rPr>
                <w:rFonts w:ascii="Times New Roman" w:hAnsi="Times New Roman" w:cs="Times New Roman"/>
                <w:b/>
                <w:bCs/>
                <w:sz w:val="20"/>
                <w:szCs w:val="20"/>
                <w:lang w:val="en-US"/>
              </w:rPr>
            </w:pPr>
            <w:r w:rsidRPr="002928AA">
              <w:rPr>
                <w:rFonts w:ascii="Times New Roman" w:hAnsi="Times New Roman" w:cs="Times New Roman"/>
                <w:b/>
                <w:sz w:val="20"/>
                <w:szCs w:val="20"/>
                <w:lang w:val="en-US"/>
              </w:rPr>
              <w:t>Std. Dev.</w:t>
            </w:r>
          </w:p>
        </w:tc>
        <w:tc>
          <w:tcPr>
            <w:tcW w:w="1295" w:type="dxa"/>
          </w:tcPr>
          <w:p w:rsidR="00B17FB8" w:rsidRPr="002928AA" w:rsidRDefault="00B17FB8" w:rsidP="00B17FB8">
            <w:pPr>
              <w:jc w:val="center"/>
              <w:rPr>
                <w:rFonts w:ascii="Times New Roman" w:hAnsi="Times New Roman" w:cs="Times New Roman"/>
                <w:b/>
                <w:bCs/>
                <w:sz w:val="20"/>
                <w:szCs w:val="20"/>
                <w:lang w:val="en-US"/>
              </w:rPr>
            </w:pPr>
            <w:r w:rsidRPr="002928AA">
              <w:rPr>
                <w:rFonts w:ascii="Times New Roman" w:hAnsi="Times New Roman" w:cs="Times New Roman"/>
                <w:b/>
                <w:sz w:val="20"/>
                <w:szCs w:val="20"/>
                <w:lang w:val="en-US"/>
              </w:rPr>
              <w:t>Min.</w:t>
            </w:r>
          </w:p>
        </w:tc>
        <w:tc>
          <w:tcPr>
            <w:tcW w:w="1295" w:type="dxa"/>
          </w:tcPr>
          <w:p w:rsidR="00B17FB8" w:rsidRPr="002928AA" w:rsidRDefault="00DF10DC" w:rsidP="00B17FB8">
            <w:pPr>
              <w:jc w:val="center"/>
              <w:rPr>
                <w:rFonts w:ascii="Times New Roman" w:hAnsi="Times New Roman" w:cs="Times New Roman"/>
                <w:b/>
                <w:bCs/>
                <w:sz w:val="20"/>
                <w:szCs w:val="20"/>
                <w:lang w:val="en-US"/>
              </w:rPr>
            </w:pPr>
            <w:r w:rsidRPr="002928AA">
              <w:rPr>
                <w:rFonts w:ascii="Times New Roman" w:hAnsi="Times New Roman" w:cs="Times New Roman"/>
                <w:b/>
                <w:sz w:val="20"/>
                <w:szCs w:val="20"/>
                <w:lang w:val="en-US"/>
              </w:rPr>
              <w:t>Max.</w:t>
            </w:r>
          </w:p>
        </w:tc>
        <w:tc>
          <w:tcPr>
            <w:tcW w:w="1295" w:type="dxa"/>
          </w:tcPr>
          <w:p w:rsidR="00B17FB8" w:rsidRPr="002928AA" w:rsidRDefault="00B17FB8" w:rsidP="00B17FB8">
            <w:pPr>
              <w:jc w:val="center"/>
              <w:rPr>
                <w:rFonts w:ascii="Times New Roman" w:hAnsi="Times New Roman" w:cs="Times New Roman"/>
                <w:b/>
                <w:bCs/>
                <w:sz w:val="20"/>
                <w:szCs w:val="20"/>
                <w:lang w:val="en-US"/>
              </w:rPr>
            </w:pPr>
            <w:r w:rsidRPr="002928AA">
              <w:rPr>
                <w:rFonts w:ascii="Times New Roman" w:hAnsi="Times New Roman" w:cs="Times New Roman"/>
                <w:b/>
                <w:sz w:val="20"/>
                <w:szCs w:val="20"/>
                <w:lang w:val="en-US"/>
              </w:rPr>
              <w:t>Skewness</w:t>
            </w:r>
          </w:p>
        </w:tc>
        <w:tc>
          <w:tcPr>
            <w:tcW w:w="1295" w:type="dxa"/>
          </w:tcPr>
          <w:p w:rsidR="00B17FB8" w:rsidRPr="002928AA" w:rsidRDefault="00B17FB8" w:rsidP="00B17FB8">
            <w:pPr>
              <w:jc w:val="center"/>
              <w:rPr>
                <w:rFonts w:ascii="Times New Roman" w:hAnsi="Times New Roman" w:cs="Times New Roman"/>
                <w:b/>
                <w:bCs/>
                <w:sz w:val="20"/>
                <w:szCs w:val="20"/>
                <w:lang w:val="en-US"/>
              </w:rPr>
            </w:pPr>
            <w:r w:rsidRPr="002928AA">
              <w:rPr>
                <w:rFonts w:ascii="Times New Roman" w:hAnsi="Times New Roman" w:cs="Times New Roman"/>
                <w:b/>
                <w:sz w:val="20"/>
                <w:szCs w:val="20"/>
                <w:lang w:val="en-US"/>
              </w:rPr>
              <w:t>Kurtosis</w:t>
            </w:r>
          </w:p>
        </w:tc>
      </w:tr>
      <w:tr w:rsidR="00B17FB8" w:rsidRPr="002928AA" w:rsidTr="00B17FB8">
        <w:tc>
          <w:tcPr>
            <w:tcW w:w="1294" w:type="dxa"/>
          </w:tcPr>
          <w:p w:rsidR="00B17FB8" w:rsidRPr="002928AA" w:rsidRDefault="00B17FB8" w:rsidP="002928AA">
            <w:pPr>
              <w:jc w:val="both"/>
              <w:rPr>
                <w:rFonts w:ascii="Times New Roman" w:hAnsi="Times New Roman" w:cs="Times New Roman"/>
                <w:b/>
                <w:bCs/>
                <w:sz w:val="20"/>
                <w:szCs w:val="20"/>
                <w:lang w:val="en-US"/>
              </w:rPr>
            </w:pPr>
            <w:r w:rsidRPr="002928AA">
              <w:rPr>
                <w:rFonts w:ascii="Times New Roman" w:hAnsi="Times New Roman" w:cs="Times New Roman"/>
                <w:b/>
                <w:sz w:val="20"/>
                <w:szCs w:val="20"/>
                <w:lang w:val="en-US"/>
              </w:rPr>
              <w:t>C</w:t>
            </w:r>
            <w:r w:rsidR="002928AA" w:rsidRPr="002928AA">
              <w:rPr>
                <w:rFonts w:ascii="Times New Roman" w:hAnsi="Times New Roman" w:cs="Times New Roman"/>
                <w:b/>
                <w:sz w:val="20"/>
                <w:szCs w:val="20"/>
                <w:lang w:val="en-US"/>
              </w:rPr>
              <w:t>O</w:t>
            </w:r>
            <w:r w:rsidRPr="002928AA">
              <w:rPr>
                <w:rFonts w:ascii="Times New Roman" w:hAnsi="Times New Roman" w:cs="Times New Roman"/>
                <w:b/>
                <w:sz w:val="20"/>
                <w:szCs w:val="20"/>
                <w:vertAlign w:val="subscript"/>
                <w:lang w:val="en-US"/>
              </w:rPr>
              <w:t>2</w:t>
            </w:r>
          </w:p>
        </w:tc>
        <w:tc>
          <w:tcPr>
            <w:tcW w:w="1294" w:type="dxa"/>
          </w:tcPr>
          <w:p w:rsidR="00B17FB8" w:rsidRPr="002928AA" w:rsidRDefault="00C66C9F" w:rsidP="00E913AB">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5.52</w:t>
            </w:r>
          </w:p>
        </w:tc>
        <w:tc>
          <w:tcPr>
            <w:tcW w:w="1294" w:type="dxa"/>
          </w:tcPr>
          <w:p w:rsidR="00B17FB8" w:rsidRPr="002928AA" w:rsidRDefault="00C66C9F" w:rsidP="00E913AB">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3.88</w:t>
            </w:r>
          </w:p>
        </w:tc>
        <w:tc>
          <w:tcPr>
            <w:tcW w:w="1295" w:type="dxa"/>
          </w:tcPr>
          <w:p w:rsidR="00B17FB8" w:rsidRPr="002928AA" w:rsidRDefault="00C66C9F" w:rsidP="00E913AB">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.72</w:t>
            </w:r>
          </w:p>
        </w:tc>
        <w:tc>
          <w:tcPr>
            <w:tcW w:w="1295" w:type="dxa"/>
          </w:tcPr>
          <w:p w:rsidR="00B17FB8" w:rsidRPr="002928AA" w:rsidRDefault="00C66C9F" w:rsidP="00E913AB">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13.2</w:t>
            </w:r>
          </w:p>
        </w:tc>
        <w:tc>
          <w:tcPr>
            <w:tcW w:w="1295" w:type="dxa"/>
          </w:tcPr>
          <w:p w:rsidR="00B17FB8" w:rsidRPr="002928AA" w:rsidRDefault="00977A6A" w:rsidP="00E913AB">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.262</w:t>
            </w:r>
          </w:p>
        </w:tc>
        <w:tc>
          <w:tcPr>
            <w:tcW w:w="1295" w:type="dxa"/>
          </w:tcPr>
          <w:p w:rsidR="00B17FB8" w:rsidRPr="002928AA" w:rsidRDefault="00977A6A" w:rsidP="00E913AB">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1.50</w:t>
            </w:r>
          </w:p>
        </w:tc>
      </w:tr>
      <w:tr w:rsidR="00DF10DC" w:rsidRPr="002928AA" w:rsidTr="00B17FB8">
        <w:tc>
          <w:tcPr>
            <w:tcW w:w="1294" w:type="dxa"/>
          </w:tcPr>
          <w:p w:rsidR="00DF10DC" w:rsidRPr="002928AA" w:rsidRDefault="00DF10DC" w:rsidP="002928AA">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G</w:t>
            </w:r>
            <w:r w:rsidR="002928AA" w:rsidRPr="002928AA">
              <w:rPr>
                <w:rFonts w:ascii="Times New Roman" w:hAnsi="Times New Roman" w:cs="Times New Roman"/>
                <w:b/>
                <w:sz w:val="20"/>
                <w:szCs w:val="20"/>
                <w:lang w:val="en-US"/>
              </w:rPr>
              <w:t>DP</w:t>
            </w:r>
          </w:p>
        </w:tc>
        <w:tc>
          <w:tcPr>
            <w:tcW w:w="1294"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5254.0</w:t>
            </w:r>
          </w:p>
        </w:tc>
        <w:tc>
          <w:tcPr>
            <w:tcW w:w="1294"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2923.1</w:t>
            </w:r>
          </w:p>
        </w:tc>
        <w:tc>
          <w:tcPr>
            <w:tcW w:w="1295"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546.4</w:t>
            </w:r>
          </w:p>
        </w:tc>
        <w:tc>
          <w:tcPr>
            <w:tcW w:w="1295"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10358.2</w:t>
            </w:r>
          </w:p>
        </w:tc>
        <w:tc>
          <w:tcPr>
            <w:tcW w:w="1295" w:type="dxa"/>
          </w:tcPr>
          <w:p w:rsidR="00DF10DC" w:rsidRPr="002928AA" w:rsidRDefault="00977A6A"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-.16</w:t>
            </w:r>
          </w:p>
        </w:tc>
        <w:tc>
          <w:tcPr>
            <w:tcW w:w="1295" w:type="dxa"/>
          </w:tcPr>
          <w:p w:rsidR="00DF10DC" w:rsidRPr="002928AA" w:rsidRDefault="00977A6A"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1.83</w:t>
            </w:r>
          </w:p>
        </w:tc>
      </w:tr>
      <w:tr w:rsidR="00DF10DC" w:rsidRPr="002928AA" w:rsidTr="00B17FB8">
        <w:tc>
          <w:tcPr>
            <w:tcW w:w="1294" w:type="dxa"/>
          </w:tcPr>
          <w:p w:rsidR="00DF10DC" w:rsidRPr="002928AA" w:rsidRDefault="00DF10DC" w:rsidP="002928AA">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F</w:t>
            </w:r>
            <w:r w:rsidR="002928AA" w:rsidRPr="002928AA">
              <w:rPr>
                <w:rFonts w:ascii="Times New Roman" w:hAnsi="Times New Roman" w:cs="Times New Roman"/>
                <w:b/>
                <w:sz w:val="20"/>
                <w:szCs w:val="20"/>
                <w:lang w:val="en-US"/>
              </w:rPr>
              <w:t>DI</w:t>
            </w:r>
          </w:p>
        </w:tc>
        <w:tc>
          <w:tcPr>
            <w:tcW w:w="1294"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2.11</w:t>
            </w:r>
          </w:p>
        </w:tc>
        <w:tc>
          <w:tcPr>
            <w:tcW w:w="1294"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1.45</w:t>
            </w:r>
          </w:p>
        </w:tc>
        <w:tc>
          <w:tcPr>
            <w:tcW w:w="1295"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.002</w:t>
            </w:r>
          </w:p>
        </w:tc>
        <w:tc>
          <w:tcPr>
            <w:tcW w:w="1295"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6.18</w:t>
            </w:r>
          </w:p>
        </w:tc>
        <w:tc>
          <w:tcPr>
            <w:tcW w:w="1295" w:type="dxa"/>
          </w:tcPr>
          <w:p w:rsidR="00DF10DC" w:rsidRPr="002928AA" w:rsidRDefault="00977A6A"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.55</w:t>
            </w:r>
          </w:p>
        </w:tc>
        <w:tc>
          <w:tcPr>
            <w:tcW w:w="1295" w:type="dxa"/>
          </w:tcPr>
          <w:p w:rsidR="00DF10DC" w:rsidRPr="002928AA" w:rsidRDefault="00977A6A"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2.42</w:t>
            </w:r>
          </w:p>
        </w:tc>
      </w:tr>
      <w:tr w:rsidR="00DF10DC" w:rsidRPr="002928AA" w:rsidTr="00B17FB8">
        <w:tc>
          <w:tcPr>
            <w:tcW w:w="1294" w:type="dxa"/>
          </w:tcPr>
          <w:p w:rsidR="00DF10DC" w:rsidRPr="002928AA" w:rsidRDefault="00DF10DC" w:rsidP="00DF10DC">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Pop</w:t>
            </w:r>
          </w:p>
        </w:tc>
        <w:tc>
          <w:tcPr>
            <w:tcW w:w="1294"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120.5</w:t>
            </w:r>
          </w:p>
        </w:tc>
        <w:tc>
          <w:tcPr>
            <w:tcW w:w="1294"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145.2</w:t>
            </w:r>
          </w:p>
        </w:tc>
        <w:tc>
          <w:tcPr>
            <w:tcW w:w="1295"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8.71</w:t>
            </w:r>
          </w:p>
        </w:tc>
        <w:tc>
          <w:tcPr>
            <w:tcW w:w="1295"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469.65</w:t>
            </w:r>
          </w:p>
        </w:tc>
        <w:tc>
          <w:tcPr>
            <w:tcW w:w="1295" w:type="dxa"/>
          </w:tcPr>
          <w:p w:rsidR="00DF10DC" w:rsidRPr="002928AA" w:rsidRDefault="00977A6A"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1.25</w:t>
            </w:r>
          </w:p>
        </w:tc>
        <w:tc>
          <w:tcPr>
            <w:tcW w:w="1295" w:type="dxa"/>
          </w:tcPr>
          <w:p w:rsidR="00DF10DC" w:rsidRPr="002928AA" w:rsidRDefault="00977A6A"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3.08</w:t>
            </w:r>
          </w:p>
        </w:tc>
      </w:tr>
      <w:tr w:rsidR="00DF10DC" w:rsidRPr="002928AA" w:rsidTr="00B17FB8">
        <w:tc>
          <w:tcPr>
            <w:tcW w:w="1294" w:type="dxa"/>
          </w:tcPr>
          <w:p w:rsidR="00DF10DC" w:rsidRPr="002928AA" w:rsidRDefault="00DF10DC" w:rsidP="00DF10DC">
            <w:pPr>
              <w:jc w:val="both"/>
              <w:rPr>
                <w:rFonts w:ascii="Times New Roman" w:hAnsi="Times New Roman" w:cs="Times New Roman"/>
                <w:b/>
                <w:sz w:val="20"/>
                <w:szCs w:val="20"/>
                <w:lang w:val="en-US"/>
              </w:rPr>
            </w:pPr>
            <w:r w:rsidRPr="002928AA">
              <w:rPr>
                <w:rFonts w:ascii="Times New Roman" w:hAnsi="Times New Roman" w:cs="Times New Roman"/>
                <w:b/>
                <w:sz w:val="20"/>
                <w:szCs w:val="20"/>
                <w:lang w:val="en-US"/>
              </w:rPr>
              <w:t>Eu</w:t>
            </w:r>
          </w:p>
        </w:tc>
        <w:tc>
          <w:tcPr>
            <w:tcW w:w="1294"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23135.2</w:t>
            </w:r>
          </w:p>
        </w:tc>
        <w:tc>
          <w:tcPr>
            <w:tcW w:w="1294"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17312.9</w:t>
            </w:r>
          </w:p>
        </w:tc>
        <w:tc>
          <w:tcPr>
            <w:tcW w:w="1295"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2812.7</w:t>
            </w:r>
          </w:p>
        </w:tc>
        <w:tc>
          <w:tcPr>
            <w:tcW w:w="1295" w:type="dxa"/>
          </w:tcPr>
          <w:p w:rsidR="00DF10DC" w:rsidRPr="002928AA" w:rsidRDefault="00C66C9F"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64323.9</w:t>
            </w:r>
          </w:p>
        </w:tc>
        <w:tc>
          <w:tcPr>
            <w:tcW w:w="1295" w:type="dxa"/>
          </w:tcPr>
          <w:p w:rsidR="00DF10DC" w:rsidRPr="002928AA" w:rsidRDefault="00977A6A"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.84</w:t>
            </w:r>
          </w:p>
        </w:tc>
        <w:tc>
          <w:tcPr>
            <w:tcW w:w="1295" w:type="dxa"/>
          </w:tcPr>
          <w:p w:rsidR="00DF10DC" w:rsidRPr="002928AA" w:rsidRDefault="00977A6A" w:rsidP="00DF10DC">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2.51</w:t>
            </w:r>
          </w:p>
        </w:tc>
      </w:tr>
    </w:tbl>
    <w:p w:rsidR="00117C83" w:rsidRPr="00C628D7" w:rsidRDefault="006632D0"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While the kurtosis value belonging to Pop is about mesokurtic (normal distribution), C</w:t>
      </w:r>
      <w:r w:rsidR="001B737F" w:rsidRPr="00C628D7">
        <w:rPr>
          <w:rFonts w:ascii="Times New Roman" w:hAnsi="Times New Roman" w:cs="Times New Roman"/>
          <w:sz w:val="24"/>
          <w:szCs w:val="24"/>
          <w:lang w:val="en-US"/>
        </w:rPr>
        <w:t>O</w:t>
      </w:r>
      <w:r w:rsidRPr="00C628D7">
        <w:rPr>
          <w:rFonts w:ascii="Times New Roman" w:hAnsi="Times New Roman" w:cs="Times New Roman"/>
          <w:sz w:val="24"/>
          <w:szCs w:val="24"/>
          <w:lang w:val="en-US"/>
        </w:rPr>
        <w:t>2, G</w:t>
      </w:r>
      <w:r w:rsidR="001B737F" w:rsidRPr="00C628D7">
        <w:rPr>
          <w:rFonts w:ascii="Times New Roman" w:hAnsi="Times New Roman" w:cs="Times New Roman"/>
          <w:sz w:val="24"/>
          <w:szCs w:val="24"/>
          <w:lang w:val="en-US"/>
        </w:rPr>
        <w:t>DP</w:t>
      </w:r>
      <w:r w:rsidRPr="00C628D7">
        <w:rPr>
          <w:rFonts w:ascii="Times New Roman" w:hAnsi="Times New Roman" w:cs="Times New Roman"/>
          <w:sz w:val="24"/>
          <w:szCs w:val="24"/>
          <w:lang w:val="en-US"/>
        </w:rPr>
        <w:t xml:space="preserve">, and Eu are leptokurtic (T-distributions) and platykurtic (uniform distributions). Therefore, most variables did not have a normal distribution. </w:t>
      </w:r>
      <w:r w:rsidR="00C544E4" w:rsidRPr="00C628D7">
        <w:rPr>
          <w:rFonts w:ascii="Times New Roman" w:hAnsi="Times New Roman" w:cs="Times New Roman"/>
          <w:sz w:val="24"/>
          <w:szCs w:val="24"/>
          <w:lang w:val="en-US"/>
        </w:rPr>
        <w:t>Therefore</w:t>
      </w:r>
      <w:r w:rsidRPr="00C628D7">
        <w:rPr>
          <w:rFonts w:ascii="Times New Roman" w:hAnsi="Times New Roman" w:cs="Times New Roman"/>
          <w:sz w:val="24"/>
          <w:szCs w:val="24"/>
          <w:lang w:val="en-US"/>
        </w:rPr>
        <w:t xml:space="preserve">, nonparametric methods may be more effective for our estimations. </w:t>
      </w:r>
    </w:p>
    <w:p w:rsidR="001C05A3" w:rsidRPr="00C628D7" w:rsidRDefault="001C05A3" w:rsidP="00C628D7">
      <w:pPr>
        <w:spacing w:after="0" w:line="300" w:lineRule="auto"/>
        <w:jc w:val="both"/>
        <w:rPr>
          <w:rFonts w:ascii="Times New Roman" w:hAnsi="Times New Roman" w:cs="Times New Roman"/>
          <w:sz w:val="24"/>
          <w:szCs w:val="24"/>
          <w:lang w:val="en-US"/>
        </w:rPr>
      </w:pPr>
      <w:r w:rsidRPr="00C628D7">
        <w:rPr>
          <w:rFonts w:ascii="Times New Roman" w:hAnsi="Times New Roman" w:cs="Times New Roman"/>
          <w:b/>
          <w:bCs/>
          <w:sz w:val="24"/>
          <w:szCs w:val="24"/>
          <w:lang w:val="en-US"/>
        </w:rPr>
        <w:t>Table 4.</w:t>
      </w:r>
      <w:r w:rsidRPr="00C628D7">
        <w:rPr>
          <w:rFonts w:ascii="Times New Roman" w:hAnsi="Times New Roman" w:cs="Times New Roman"/>
          <w:sz w:val="24"/>
          <w:szCs w:val="24"/>
          <w:lang w:val="en-US"/>
        </w:rPr>
        <w:t xml:space="preserve"> Partial </w:t>
      </w:r>
      <w:r w:rsidR="00C628D7">
        <w:rPr>
          <w:rFonts w:ascii="Times New Roman" w:hAnsi="Times New Roman" w:cs="Times New Roman"/>
          <w:sz w:val="24"/>
          <w:szCs w:val="24"/>
          <w:lang w:val="en-US"/>
        </w:rPr>
        <w:t>C</w:t>
      </w:r>
      <w:r w:rsidRPr="00C628D7">
        <w:rPr>
          <w:rFonts w:ascii="Times New Roman" w:hAnsi="Times New Roman" w:cs="Times New Roman"/>
          <w:sz w:val="24"/>
          <w:szCs w:val="24"/>
          <w:lang w:val="en-US"/>
        </w:rPr>
        <w:t xml:space="preserve">orrelations of Carbon </w:t>
      </w:r>
      <w:r w:rsidR="00C628D7">
        <w:rPr>
          <w:rFonts w:ascii="Times New Roman" w:hAnsi="Times New Roman" w:cs="Times New Roman"/>
          <w:sz w:val="24"/>
          <w:szCs w:val="24"/>
          <w:lang w:val="en-US"/>
        </w:rPr>
        <w:t>D</w:t>
      </w:r>
      <w:r w:rsidRPr="00C628D7">
        <w:rPr>
          <w:rFonts w:ascii="Times New Roman" w:hAnsi="Times New Roman" w:cs="Times New Roman"/>
          <w:sz w:val="24"/>
          <w:szCs w:val="24"/>
          <w:lang w:val="en-US"/>
        </w:rPr>
        <w:t xml:space="preserve">ioxide </w:t>
      </w:r>
      <w:r w:rsidR="00C628D7">
        <w:rPr>
          <w:rFonts w:ascii="Times New Roman" w:hAnsi="Times New Roman" w:cs="Times New Roman"/>
          <w:sz w:val="24"/>
          <w:szCs w:val="24"/>
          <w:lang w:val="en-US"/>
        </w:rPr>
        <w:t>E</w:t>
      </w:r>
      <w:r w:rsidRPr="00C628D7">
        <w:rPr>
          <w:rFonts w:ascii="Times New Roman" w:hAnsi="Times New Roman" w:cs="Times New Roman"/>
          <w:sz w:val="24"/>
          <w:szCs w:val="24"/>
          <w:lang w:val="en-US"/>
        </w:rPr>
        <w:t>mission</w:t>
      </w:r>
    </w:p>
    <w:tbl>
      <w:tblPr>
        <w:tblStyle w:val="TabloKlavuzu"/>
        <w:tblW w:w="9067" w:type="dxa"/>
        <w:tblLook w:val="04A0"/>
      </w:tblPr>
      <w:tblGrid>
        <w:gridCol w:w="2122"/>
        <w:gridCol w:w="1559"/>
        <w:gridCol w:w="1984"/>
        <w:gridCol w:w="1560"/>
        <w:gridCol w:w="1842"/>
      </w:tblGrid>
      <w:tr w:rsidR="001C05A3" w:rsidRPr="001B737F" w:rsidTr="001B737F">
        <w:tc>
          <w:tcPr>
            <w:tcW w:w="2122" w:type="dxa"/>
          </w:tcPr>
          <w:p w:rsidR="001C05A3" w:rsidRPr="001B737F" w:rsidRDefault="001C05A3" w:rsidP="001B737F">
            <w:pPr>
              <w:widowControl w:val="0"/>
              <w:autoSpaceDE w:val="0"/>
              <w:autoSpaceDN w:val="0"/>
              <w:adjustRightInd w:val="0"/>
              <w:jc w:val="both"/>
              <w:rPr>
                <w:rFonts w:ascii="Times New Roman" w:hAnsi="Times New Roman" w:cs="Times New Roman"/>
                <w:b/>
                <w:sz w:val="20"/>
                <w:szCs w:val="20"/>
                <w:lang w:val="en-US"/>
              </w:rPr>
            </w:pPr>
            <w:bookmarkStart w:id="3" w:name="_Hlk128270443"/>
          </w:p>
        </w:tc>
        <w:tc>
          <w:tcPr>
            <w:tcW w:w="1559" w:type="dxa"/>
          </w:tcPr>
          <w:p w:rsidR="001C05A3" w:rsidRPr="001B737F" w:rsidRDefault="001C05A3" w:rsidP="001B737F">
            <w:pPr>
              <w:widowControl w:val="0"/>
              <w:autoSpaceDE w:val="0"/>
              <w:autoSpaceDN w:val="0"/>
              <w:adjustRightInd w:val="0"/>
              <w:jc w:val="center"/>
              <w:rPr>
                <w:rFonts w:ascii="Times New Roman" w:hAnsi="Times New Roman" w:cs="Times New Roman"/>
                <w:b/>
                <w:sz w:val="20"/>
                <w:szCs w:val="20"/>
                <w:lang w:val="en-US"/>
              </w:rPr>
            </w:pPr>
            <w:r w:rsidRPr="001B737F">
              <w:rPr>
                <w:rFonts w:ascii="Times New Roman" w:hAnsi="Times New Roman" w:cs="Times New Roman"/>
                <w:b/>
                <w:sz w:val="20"/>
                <w:szCs w:val="20"/>
                <w:lang w:val="en-US"/>
              </w:rPr>
              <w:t>Partial Corr.</w:t>
            </w:r>
          </w:p>
        </w:tc>
        <w:tc>
          <w:tcPr>
            <w:tcW w:w="1984" w:type="dxa"/>
          </w:tcPr>
          <w:p w:rsidR="001C05A3" w:rsidRPr="001B737F" w:rsidRDefault="001C05A3" w:rsidP="001B737F">
            <w:pPr>
              <w:widowControl w:val="0"/>
              <w:autoSpaceDE w:val="0"/>
              <w:autoSpaceDN w:val="0"/>
              <w:adjustRightInd w:val="0"/>
              <w:jc w:val="center"/>
              <w:rPr>
                <w:rFonts w:ascii="Times New Roman" w:hAnsi="Times New Roman" w:cs="Times New Roman"/>
                <w:b/>
                <w:sz w:val="20"/>
                <w:szCs w:val="20"/>
                <w:lang w:val="en-US"/>
              </w:rPr>
            </w:pPr>
            <w:r w:rsidRPr="001B737F">
              <w:rPr>
                <w:rFonts w:ascii="Times New Roman" w:hAnsi="Times New Roman" w:cs="Times New Roman"/>
                <w:b/>
                <w:sz w:val="20"/>
                <w:szCs w:val="20"/>
                <w:lang w:val="en-US"/>
              </w:rPr>
              <w:t>Semi partial</w:t>
            </w:r>
          </w:p>
        </w:tc>
        <w:tc>
          <w:tcPr>
            <w:tcW w:w="1560" w:type="dxa"/>
          </w:tcPr>
          <w:p w:rsidR="001C05A3" w:rsidRPr="001B737F" w:rsidRDefault="001C05A3" w:rsidP="001B737F">
            <w:pPr>
              <w:widowControl w:val="0"/>
              <w:autoSpaceDE w:val="0"/>
              <w:autoSpaceDN w:val="0"/>
              <w:adjustRightInd w:val="0"/>
              <w:jc w:val="center"/>
              <w:rPr>
                <w:rFonts w:ascii="Times New Roman" w:hAnsi="Times New Roman" w:cs="Times New Roman"/>
                <w:b/>
                <w:sz w:val="20"/>
                <w:szCs w:val="20"/>
                <w:vertAlign w:val="superscript"/>
                <w:lang w:val="en-US"/>
              </w:rPr>
            </w:pPr>
            <w:r w:rsidRPr="001B737F">
              <w:rPr>
                <w:rFonts w:ascii="Times New Roman" w:hAnsi="Times New Roman" w:cs="Times New Roman"/>
                <w:b/>
                <w:sz w:val="20"/>
                <w:szCs w:val="20"/>
                <w:lang w:val="en-US"/>
              </w:rPr>
              <w:t>Partial Corr</w:t>
            </w:r>
            <w:r w:rsidRPr="001B737F">
              <w:rPr>
                <w:rFonts w:ascii="Times New Roman" w:hAnsi="Times New Roman" w:cs="Times New Roman"/>
                <w:b/>
                <w:sz w:val="20"/>
                <w:szCs w:val="20"/>
                <w:vertAlign w:val="superscript"/>
                <w:lang w:val="en-US"/>
              </w:rPr>
              <w:t>2</w:t>
            </w:r>
          </w:p>
        </w:tc>
        <w:tc>
          <w:tcPr>
            <w:tcW w:w="1842" w:type="dxa"/>
          </w:tcPr>
          <w:p w:rsidR="001C05A3" w:rsidRPr="001B737F" w:rsidRDefault="001C05A3" w:rsidP="001B737F">
            <w:pPr>
              <w:widowControl w:val="0"/>
              <w:autoSpaceDE w:val="0"/>
              <w:autoSpaceDN w:val="0"/>
              <w:adjustRightInd w:val="0"/>
              <w:jc w:val="center"/>
              <w:rPr>
                <w:rFonts w:ascii="Times New Roman" w:hAnsi="Times New Roman" w:cs="Times New Roman"/>
                <w:b/>
                <w:sz w:val="20"/>
                <w:szCs w:val="20"/>
                <w:lang w:val="en-US"/>
              </w:rPr>
            </w:pPr>
            <w:r w:rsidRPr="001B737F">
              <w:rPr>
                <w:rFonts w:ascii="Times New Roman" w:hAnsi="Times New Roman" w:cs="Times New Roman"/>
                <w:b/>
                <w:sz w:val="20"/>
                <w:szCs w:val="20"/>
                <w:lang w:val="en-US"/>
              </w:rPr>
              <w:t>Significance Value</w:t>
            </w:r>
          </w:p>
        </w:tc>
      </w:tr>
      <w:tr w:rsidR="001C05A3" w:rsidRPr="002928AA" w:rsidTr="001B737F">
        <w:tc>
          <w:tcPr>
            <w:tcW w:w="2122" w:type="dxa"/>
          </w:tcPr>
          <w:p w:rsidR="001C05A3" w:rsidRPr="001B737F" w:rsidRDefault="00B5382C" w:rsidP="001C05A3">
            <w:pPr>
              <w:widowControl w:val="0"/>
              <w:autoSpaceDE w:val="0"/>
              <w:autoSpaceDN w:val="0"/>
              <w:adjustRightInd w:val="0"/>
              <w:rPr>
                <w:rFonts w:ascii="Times New Roman" w:hAnsi="Times New Roman" w:cs="Times New Roman"/>
                <w:b/>
                <w:sz w:val="20"/>
                <w:szCs w:val="20"/>
                <w:lang w:val="en-US"/>
              </w:rPr>
            </w:pPr>
            <w:r w:rsidRPr="001B737F">
              <w:rPr>
                <w:rFonts w:ascii="Times New Roman" w:hAnsi="Times New Roman" w:cs="Times New Roman"/>
                <w:b/>
                <w:sz w:val="20"/>
                <w:szCs w:val="20"/>
                <w:lang w:val="en-US"/>
              </w:rPr>
              <w:t>lngdp</w:t>
            </w:r>
          </w:p>
        </w:tc>
        <w:tc>
          <w:tcPr>
            <w:tcW w:w="1559"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-0.59</w:t>
            </w:r>
          </w:p>
        </w:tc>
        <w:tc>
          <w:tcPr>
            <w:tcW w:w="1984"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-0.11</w:t>
            </w:r>
          </w:p>
        </w:tc>
        <w:tc>
          <w:tcPr>
            <w:tcW w:w="1560" w:type="dxa"/>
          </w:tcPr>
          <w:p w:rsidR="001C05A3" w:rsidRPr="002928AA" w:rsidRDefault="00B5382C" w:rsidP="001C05A3">
            <w:pPr>
              <w:widowControl w:val="0"/>
              <w:autoSpaceDE w:val="0"/>
              <w:autoSpaceDN w:val="0"/>
              <w:adjustRightInd w:val="0"/>
              <w:jc w:val="center"/>
              <w:rPr>
                <w:rFonts w:ascii="Times New Roman" w:hAnsi="Times New Roman" w:cs="Times New Roman"/>
                <w:b/>
                <w:bCs/>
                <w:sz w:val="20"/>
                <w:szCs w:val="20"/>
                <w:lang w:val="en-US"/>
              </w:rPr>
            </w:pPr>
            <w:r w:rsidRPr="002928AA">
              <w:rPr>
                <w:rFonts w:ascii="Times New Roman" w:hAnsi="Times New Roman" w:cs="Times New Roman"/>
                <w:sz w:val="20"/>
                <w:szCs w:val="20"/>
                <w:lang w:val="en-US"/>
              </w:rPr>
              <w:t>0.35</w:t>
            </w:r>
          </w:p>
        </w:tc>
        <w:tc>
          <w:tcPr>
            <w:tcW w:w="1842" w:type="dxa"/>
          </w:tcPr>
          <w:p w:rsidR="001C05A3" w:rsidRPr="002928AA" w:rsidRDefault="00B5382C" w:rsidP="001C05A3">
            <w:pPr>
              <w:widowControl w:val="0"/>
              <w:autoSpaceDE w:val="0"/>
              <w:autoSpaceDN w:val="0"/>
              <w:adjustRightInd w:val="0"/>
              <w:jc w:val="center"/>
              <w:rPr>
                <w:rFonts w:ascii="Times New Roman" w:hAnsi="Times New Roman" w:cs="Times New Roman"/>
                <w:b/>
                <w:bCs/>
                <w:sz w:val="20"/>
                <w:szCs w:val="20"/>
                <w:lang w:val="en-US"/>
              </w:rPr>
            </w:pPr>
            <w:r w:rsidRPr="002928AA">
              <w:rPr>
                <w:rFonts w:ascii="Times New Roman" w:hAnsi="Times New Roman" w:cs="Times New Roman"/>
                <w:sz w:val="20"/>
                <w:szCs w:val="20"/>
                <w:lang w:val="en-US"/>
              </w:rPr>
              <w:t>0.0000</w:t>
            </w:r>
          </w:p>
        </w:tc>
      </w:tr>
      <w:tr w:rsidR="001C05A3" w:rsidRPr="002928AA" w:rsidTr="001B737F">
        <w:tc>
          <w:tcPr>
            <w:tcW w:w="2122" w:type="dxa"/>
          </w:tcPr>
          <w:p w:rsidR="001C05A3" w:rsidRPr="001B737F" w:rsidRDefault="00B5382C" w:rsidP="001C05A3">
            <w:pPr>
              <w:widowControl w:val="0"/>
              <w:autoSpaceDE w:val="0"/>
              <w:autoSpaceDN w:val="0"/>
              <w:adjustRightInd w:val="0"/>
              <w:rPr>
                <w:rFonts w:ascii="Times New Roman" w:hAnsi="Times New Roman" w:cs="Times New Roman"/>
                <w:b/>
                <w:sz w:val="20"/>
                <w:szCs w:val="20"/>
                <w:lang w:val="en-US"/>
              </w:rPr>
            </w:pPr>
            <w:r w:rsidRPr="001B737F">
              <w:rPr>
                <w:rFonts w:ascii="Times New Roman" w:hAnsi="Times New Roman" w:cs="Times New Roman"/>
                <w:b/>
                <w:sz w:val="20"/>
                <w:szCs w:val="20"/>
                <w:lang w:val="en-US"/>
              </w:rPr>
              <w:t>lnfdı</w:t>
            </w:r>
          </w:p>
        </w:tc>
        <w:tc>
          <w:tcPr>
            <w:tcW w:w="1559"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-0.17</w:t>
            </w:r>
          </w:p>
        </w:tc>
        <w:tc>
          <w:tcPr>
            <w:tcW w:w="1984"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-0.02</w:t>
            </w:r>
          </w:p>
        </w:tc>
        <w:tc>
          <w:tcPr>
            <w:tcW w:w="1560" w:type="dxa"/>
          </w:tcPr>
          <w:p w:rsidR="001C05A3" w:rsidRPr="002928AA" w:rsidRDefault="00B5382C" w:rsidP="001C05A3">
            <w:pPr>
              <w:widowControl w:val="0"/>
              <w:autoSpaceDE w:val="0"/>
              <w:autoSpaceDN w:val="0"/>
              <w:adjustRightInd w:val="0"/>
              <w:jc w:val="center"/>
              <w:rPr>
                <w:rFonts w:ascii="Times New Roman" w:hAnsi="Times New Roman" w:cs="Times New Roman"/>
                <w:b/>
                <w:bCs/>
                <w:sz w:val="20"/>
                <w:szCs w:val="20"/>
                <w:lang w:val="en-US"/>
              </w:rPr>
            </w:pPr>
            <w:r w:rsidRPr="002928AA">
              <w:rPr>
                <w:rFonts w:ascii="Times New Roman" w:hAnsi="Times New Roman" w:cs="Times New Roman"/>
                <w:sz w:val="20"/>
                <w:szCs w:val="20"/>
                <w:lang w:val="en-US"/>
              </w:rPr>
              <w:t>0.03</w:t>
            </w:r>
          </w:p>
        </w:tc>
        <w:tc>
          <w:tcPr>
            <w:tcW w:w="1842" w:type="dxa"/>
          </w:tcPr>
          <w:p w:rsidR="001C05A3" w:rsidRPr="002928AA" w:rsidRDefault="00B5382C" w:rsidP="001C05A3">
            <w:pPr>
              <w:widowControl w:val="0"/>
              <w:autoSpaceDE w:val="0"/>
              <w:autoSpaceDN w:val="0"/>
              <w:adjustRightInd w:val="0"/>
              <w:jc w:val="center"/>
              <w:rPr>
                <w:rFonts w:ascii="Times New Roman" w:hAnsi="Times New Roman" w:cs="Times New Roman"/>
                <w:b/>
                <w:bCs/>
                <w:sz w:val="20"/>
                <w:szCs w:val="20"/>
                <w:lang w:val="en-US"/>
              </w:rPr>
            </w:pPr>
            <w:r w:rsidRPr="002928AA">
              <w:rPr>
                <w:rFonts w:ascii="Times New Roman" w:hAnsi="Times New Roman" w:cs="Times New Roman"/>
                <w:sz w:val="20"/>
                <w:szCs w:val="20"/>
                <w:lang w:val="en-US"/>
              </w:rPr>
              <w:t>0.0382</w:t>
            </w:r>
          </w:p>
        </w:tc>
      </w:tr>
      <w:tr w:rsidR="001C05A3" w:rsidRPr="002928AA" w:rsidTr="001B737F">
        <w:tc>
          <w:tcPr>
            <w:tcW w:w="2122" w:type="dxa"/>
          </w:tcPr>
          <w:p w:rsidR="001C05A3" w:rsidRPr="001B737F" w:rsidRDefault="00B5382C" w:rsidP="001C05A3">
            <w:pPr>
              <w:widowControl w:val="0"/>
              <w:autoSpaceDE w:val="0"/>
              <w:autoSpaceDN w:val="0"/>
              <w:adjustRightInd w:val="0"/>
              <w:rPr>
                <w:rFonts w:ascii="Times New Roman" w:hAnsi="Times New Roman" w:cs="Times New Roman"/>
                <w:b/>
                <w:sz w:val="20"/>
                <w:szCs w:val="20"/>
                <w:lang w:val="en-US"/>
              </w:rPr>
            </w:pPr>
            <w:r w:rsidRPr="001B737F">
              <w:rPr>
                <w:rFonts w:ascii="Times New Roman" w:hAnsi="Times New Roman" w:cs="Times New Roman"/>
                <w:b/>
                <w:sz w:val="20"/>
                <w:szCs w:val="20"/>
                <w:lang w:val="en-US"/>
              </w:rPr>
              <w:t>lneu</w:t>
            </w:r>
          </w:p>
        </w:tc>
        <w:tc>
          <w:tcPr>
            <w:tcW w:w="1559"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0.97</w:t>
            </w:r>
          </w:p>
        </w:tc>
        <w:tc>
          <w:tcPr>
            <w:tcW w:w="1984"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0.681</w:t>
            </w:r>
          </w:p>
        </w:tc>
        <w:tc>
          <w:tcPr>
            <w:tcW w:w="1560" w:type="dxa"/>
          </w:tcPr>
          <w:p w:rsidR="001C05A3" w:rsidRPr="002928AA" w:rsidRDefault="00B5382C" w:rsidP="001C05A3">
            <w:pPr>
              <w:widowControl w:val="0"/>
              <w:autoSpaceDE w:val="0"/>
              <w:autoSpaceDN w:val="0"/>
              <w:adjustRightInd w:val="0"/>
              <w:jc w:val="center"/>
              <w:rPr>
                <w:rFonts w:ascii="Times New Roman" w:hAnsi="Times New Roman" w:cs="Times New Roman"/>
                <w:b/>
                <w:bCs/>
                <w:sz w:val="20"/>
                <w:szCs w:val="20"/>
                <w:lang w:val="en-US"/>
              </w:rPr>
            </w:pPr>
            <w:r w:rsidRPr="002928AA">
              <w:rPr>
                <w:rFonts w:ascii="Times New Roman" w:hAnsi="Times New Roman" w:cs="Times New Roman"/>
                <w:sz w:val="20"/>
                <w:szCs w:val="20"/>
                <w:lang w:val="en-US"/>
              </w:rPr>
              <w:t>0.95</w:t>
            </w:r>
          </w:p>
        </w:tc>
        <w:tc>
          <w:tcPr>
            <w:tcW w:w="1842" w:type="dxa"/>
          </w:tcPr>
          <w:p w:rsidR="001C05A3" w:rsidRPr="002928AA" w:rsidRDefault="00B5382C" w:rsidP="001C05A3">
            <w:pPr>
              <w:widowControl w:val="0"/>
              <w:autoSpaceDE w:val="0"/>
              <w:autoSpaceDN w:val="0"/>
              <w:adjustRightInd w:val="0"/>
              <w:jc w:val="center"/>
              <w:rPr>
                <w:rFonts w:ascii="Times New Roman" w:hAnsi="Times New Roman" w:cs="Times New Roman"/>
                <w:b/>
                <w:bCs/>
                <w:sz w:val="20"/>
                <w:szCs w:val="20"/>
                <w:lang w:val="en-US"/>
              </w:rPr>
            </w:pPr>
            <w:r w:rsidRPr="002928AA">
              <w:rPr>
                <w:rFonts w:ascii="Times New Roman" w:hAnsi="Times New Roman" w:cs="Times New Roman"/>
                <w:sz w:val="20"/>
                <w:szCs w:val="20"/>
                <w:lang w:val="en-US"/>
              </w:rPr>
              <w:t>0.0000</w:t>
            </w:r>
          </w:p>
        </w:tc>
      </w:tr>
      <w:tr w:rsidR="001C05A3" w:rsidRPr="002928AA" w:rsidTr="001B737F">
        <w:tc>
          <w:tcPr>
            <w:tcW w:w="2122" w:type="dxa"/>
          </w:tcPr>
          <w:p w:rsidR="001C05A3" w:rsidRPr="001B737F" w:rsidRDefault="00B5382C" w:rsidP="001C05A3">
            <w:pPr>
              <w:widowControl w:val="0"/>
              <w:autoSpaceDE w:val="0"/>
              <w:autoSpaceDN w:val="0"/>
              <w:adjustRightInd w:val="0"/>
              <w:rPr>
                <w:rFonts w:ascii="Times New Roman" w:hAnsi="Times New Roman" w:cs="Times New Roman"/>
                <w:b/>
                <w:sz w:val="20"/>
                <w:szCs w:val="20"/>
                <w:lang w:val="en-US"/>
              </w:rPr>
            </w:pPr>
            <w:r w:rsidRPr="001B737F">
              <w:rPr>
                <w:rFonts w:ascii="Times New Roman" w:hAnsi="Times New Roman" w:cs="Times New Roman"/>
                <w:b/>
                <w:sz w:val="20"/>
                <w:szCs w:val="20"/>
                <w:lang w:val="en-US"/>
              </w:rPr>
              <w:t>lnpop</w:t>
            </w:r>
          </w:p>
        </w:tc>
        <w:tc>
          <w:tcPr>
            <w:tcW w:w="1559"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0.80</w:t>
            </w:r>
          </w:p>
        </w:tc>
        <w:tc>
          <w:tcPr>
            <w:tcW w:w="1984"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0.208</w:t>
            </w:r>
          </w:p>
        </w:tc>
        <w:tc>
          <w:tcPr>
            <w:tcW w:w="1560"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0.65</w:t>
            </w:r>
          </w:p>
        </w:tc>
        <w:tc>
          <w:tcPr>
            <w:tcW w:w="1842" w:type="dxa"/>
          </w:tcPr>
          <w:p w:rsidR="001C05A3" w:rsidRPr="002928AA" w:rsidRDefault="00B5382C" w:rsidP="001C05A3">
            <w:pPr>
              <w:widowControl w:val="0"/>
              <w:autoSpaceDE w:val="0"/>
              <w:autoSpaceDN w:val="0"/>
              <w:adjustRightInd w:val="0"/>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0.0000</w:t>
            </w:r>
          </w:p>
        </w:tc>
      </w:tr>
    </w:tbl>
    <w:bookmarkEnd w:id="3"/>
    <w:p w:rsidR="00C472C7" w:rsidRPr="002928AA" w:rsidRDefault="00C544E4" w:rsidP="00C628D7">
      <w:pPr>
        <w:spacing w:before="120" w:after="120" w:line="300" w:lineRule="auto"/>
        <w:jc w:val="both"/>
        <w:rPr>
          <w:rFonts w:ascii="Times New Roman" w:hAnsi="Times New Roman" w:cs="Times New Roman"/>
          <w:sz w:val="24"/>
          <w:szCs w:val="24"/>
          <w:lang w:val="en-US"/>
        </w:rPr>
      </w:pPr>
      <w:r w:rsidRPr="002928AA">
        <w:rPr>
          <w:rFonts w:ascii="Times New Roman" w:hAnsi="Times New Roman" w:cs="Times New Roman"/>
          <w:sz w:val="24"/>
          <w:szCs w:val="24"/>
          <w:lang w:val="en-US"/>
        </w:rPr>
        <w:t>While the partial correlation results provide some proof of the effects of G</w:t>
      </w:r>
      <w:r w:rsidR="001B737F">
        <w:rPr>
          <w:rFonts w:ascii="Times New Roman" w:hAnsi="Times New Roman" w:cs="Times New Roman"/>
          <w:sz w:val="24"/>
          <w:szCs w:val="24"/>
          <w:lang w:val="en-US"/>
        </w:rPr>
        <w:t>DP</w:t>
      </w:r>
      <w:r w:rsidRPr="002928AA">
        <w:rPr>
          <w:rFonts w:ascii="Times New Roman" w:hAnsi="Times New Roman" w:cs="Times New Roman"/>
          <w:sz w:val="24"/>
          <w:szCs w:val="24"/>
          <w:lang w:val="en-US"/>
        </w:rPr>
        <w:t xml:space="preserve"> and FDI flow on C</w:t>
      </w:r>
      <w:r w:rsidR="001B737F">
        <w:rPr>
          <w:rFonts w:ascii="Times New Roman" w:hAnsi="Times New Roman" w:cs="Times New Roman"/>
          <w:sz w:val="24"/>
          <w:szCs w:val="24"/>
          <w:lang w:val="en-US"/>
        </w:rPr>
        <w:t>O</w:t>
      </w:r>
      <w:r w:rsidRPr="001B737F">
        <w:rPr>
          <w:rFonts w:ascii="Times New Roman" w:hAnsi="Times New Roman" w:cs="Times New Roman"/>
          <w:sz w:val="24"/>
          <w:szCs w:val="24"/>
          <w:vertAlign w:val="subscript"/>
          <w:lang w:val="en-US"/>
        </w:rPr>
        <w:t>2</w:t>
      </w:r>
      <w:r w:rsidRPr="002928AA">
        <w:rPr>
          <w:rFonts w:ascii="Times New Roman" w:hAnsi="Times New Roman" w:cs="Times New Roman"/>
          <w:sz w:val="24"/>
          <w:szCs w:val="24"/>
          <w:lang w:val="en-US"/>
        </w:rPr>
        <w:t>, the fact that we received confirmed findings with the semi-partial results provides key information about the explanatory power of the control variables. Graph 2 shows the estimation results of the function in Equation 1 by weighted least-squares regression, with the weighted versions of ln</w:t>
      </w:r>
      <w:r w:rsidR="001B737F">
        <w:rPr>
          <w:rFonts w:ascii="Times New Roman" w:hAnsi="Times New Roman" w:cs="Times New Roman"/>
          <w:sz w:val="24"/>
          <w:szCs w:val="24"/>
          <w:lang w:val="en-US"/>
        </w:rPr>
        <w:t>f</w:t>
      </w:r>
      <w:r w:rsidRPr="002928AA">
        <w:rPr>
          <w:rFonts w:ascii="Times New Roman" w:hAnsi="Times New Roman" w:cs="Times New Roman"/>
          <w:sz w:val="24"/>
          <w:szCs w:val="24"/>
          <w:lang w:val="en-US"/>
        </w:rPr>
        <w:t>dı (left) and ln</w:t>
      </w:r>
      <w:r w:rsidR="001B737F">
        <w:rPr>
          <w:rFonts w:ascii="Times New Roman" w:hAnsi="Times New Roman" w:cs="Times New Roman"/>
          <w:sz w:val="24"/>
          <w:szCs w:val="24"/>
          <w:lang w:val="en-US"/>
        </w:rPr>
        <w:t>g</w:t>
      </w:r>
      <w:r w:rsidRPr="002928AA">
        <w:rPr>
          <w:rFonts w:ascii="Times New Roman" w:hAnsi="Times New Roman" w:cs="Times New Roman"/>
          <w:sz w:val="24"/>
          <w:szCs w:val="24"/>
          <w:lang w:val="en-US"/>
        </w:rPr>
        <w:t xml:space="preserve">dp (right).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4596"/>
      </w:tblGrid>
      <w:tr w:rsidR="00026D47" w:rsidRPr="002928AA" w:rsidTr="00363349">
        <w:tc>
          <w:tcPr>
            <w:tcW w:w="4506" w:type="dxa"/>
          </w:tcPr>
          <w:p w:rsidR="00026D47" w:rsidRPr="002928AA" w:rsidRDefault="00026D47" w:rsidP="00ED349B">
            <w:pPr>
              <w:jc w:val="both"/>
              <w:rPr>
                <w:rFonts w:ascii="Times New Roman" w:hAnsi="Times New Roman" w:cs="Times New Roman"/>
                <w:b/>
                <w:bCs/>
                <w:sz w:val="20"/>
                <w:szCs w:val="20"/>
                <w:lang w:val="en-US"/>
              </w:rPr>
            </w:pPr>
            <w:r w:rsidRPr="002928AA">
              <w:rPr>
                <w:rFonts w:ascii="Times New Roman" w:hAnsi="Times New Roman" w:cs="Times New Roman"/>
                <w:b/>
                <w:bCs/>
                <w:noProof/>
                <w:sz w:val="20"/>
                <w:szCs w:val="20"/>
                <w:lang w:eastAsia="tr-TR"/>
              </w:rPr>
              <w:drawing>
                <wp:inline distT="0" distB="0" distL="0" distR="0">
                  <wp:extent cx="2742562" cy="1695691"/>
                  <wp:effectExtent l="0" t="0" r="1270" b="0"/>
                  <wp:docPr id="109271739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9826" cy="1700182"/>
                          </a:xfrm>
                          <a:prstGeom prst="rect">
                            <a:avLst/>
                          </a:prstGeom>
                          <a:noFill/>
                          <a:ln>
                            <a:noFill/>
                          </a:ln>
                        </pic:spPr>
                      </pic:pic>
                    </a:graphicData>
                  </a:graphic>
                </wp:inline>
              </w:drawing>
            </w:r>
          </w:p>
        </w:tc>
        <w:tc>
          <w:tcPr>
            <w:tcW w:w="4566" w:type="dxa"/>
          </w:tcPr>
          <w:p w:rsidR="00026D47" w:rsidRPr="002928AA" w:rsidRDefault="00026D47" w:rsidP="00ED349B">
            <w:pPr>
              <w:jc w:val="both"/>
              <w:rPr>
                <w:rFonts w:ascii="Times New Roman" w:hAnsi="Times New Roman" w:cs="Times New Roman"/>
                <w:b/>
                <w:bCs/>
                <w:sz w:val="20"/>
                <w:szCs w:val="20"/>
                <w:lang w:val="en-US"/>
              </w:rPr>
            </w:pPr>
            <w:r w:rsidRPr="002928AA">
              <w:rPr>
                <w:rFonts w:ascii="Times New Roman" w:hAnsi="Times New Roman" w:cs="Times New Roman"/>
                <w:b/>
                <w:bCs/>
                <w:noProof/>
                <w:sz w:val="20"/>
                <w:szCs w:val="20"/>
                <w:lang w:eastAsia="tr-TR"/>
              </w:rPr>
              <w:drawing>
                <wp:inline distT="0" distB="0" distL="0" distR="0">
                  <wp:extent cx="2771775" cy="1695450"/>
                  <wp:effectExtent l="0" t="0" r="9525" b="0"/>
                  <wp:docPr id="108884677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4306" cy="1703115"/>
                          </a:xfrm>
                          <a:prstGeom prst="rect">
                            <a:avLst/>
                          </a:prstGeom>
                          <a:noFill/>
                          <a:ln>
                            <a:noFill/>
                          </a:ln>
                        </pic:spPr>
                      </pic:pic>
                    </a:graphicData>
                  </a:graphic>
                </wp:inline>
              </w:drawing>
            </w:r>
          </w:p>
        </w:tc>
      </w:tr>
      <w:tr w:rsidR="0010495F" w:rsidRPr="002928AA" w:rsidTr="00363349">
        <w:tc>
          <w:tcPr>
            <w:tcW w:w="9072" w:type="dxa"/>
            <w:gridSpan w:val="2"/>
          </w:tcPr>
          <w:p w:rsidR="0010495F" w:rsidRPr="002928AA" w:rsidRDefault="001B737F" w:rsidP="001B737F">
            <w:pPr>
              <w:spacing w:after="120"/>
              <w:jc w:val="both"/>
              <w:rPr>
                <w:rFonts w:ascii="Times New Roman" w:hAnsi="Times New Roman" w:cs="Times New Roman"/>
                <w:noProof/>
                <w:sz w:val="20"/>
                <w:szCs w:val="20"/>
                <w:lang w:val="en-US"/>
              </w:rPr>
            </w:pPr>
            <w:r w:rsidRPr="002928AA">
              <w:rPr>
                <w:rFonts w:ascii="Times New Roman" w:hAnsi="Times New Roman" w:cs="Times New Roman"/>
                <w:sz w:val="20"/>
                <w:szCs w:val="20"/>
                <w:lang w:val="en-US"/>
              </w:rPr>
              <w:t>Figure</w:t>
            </w:r>
            <w:r w:rsidR="0010495F" w:rsidRPr="002928AA">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1</w:t>
            </w:r>
            <w:r w:rsidR="0010495F" w:rsidRPr="002928AA">
              <w:rPr>
                <w:rFonts w:ascii="Times New Roman" w:hAnsi="Times New Roman" w:cs="Times New Roman"/>
                <w:noProof/>
                <w:sz w:val="20"/>
                <w:szCs w:val="20"/>
                <w:lang w:val="en-US"/>
              </w:rPr>
              <w:t xml:space="preserve">. </w:t>
            </w:r>
            <w:r w:rsidR="000F74D3" w:rsidRPr="002928AA">
              <w:rPr>
                <w:rFonts w:ascii="Times New Roman" w:hAnsi="Times New Roman" w:cs="Times New Roman"/>
                <w:noProof/>
                <w:sz w:val="20"/>
                <w:szCs w:val="20"/>
                <w:lang w:val="en-US"/>
              </w:rPr>
              <w:t xml:space="preserve">Weighted least squares </w:t>
            </w:r>
            <w:r w:rsidR="0010495F" w:rsidRPr="002928AA">
              <w:rPr>
                <w:rFonts w:ascii="Times New Roman" w:hAnsi="Times New Roman" w:cs="Times New Roman"/>
                <w:noProof/>
                <w:sz w:val="20"/>
                <w:szCs w:val="20"/>
                <w:lang w:val="en-US"/>
              </w:rPr>
              <w:t>estimate plots</w:t>
            </w:r>
          </w:p>
        </w:tc>
      </w:tr>
    </w:tbl>
    <w:p w:rsidR="00363349" w:rsidRDefault="00363349"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Accordingly, the correlation between ln</w:t>
      </w:r>
      <w:r w:rsidR="001B737F" w:rsidRPr="00C628D7">
        <w:rPr>
          <w:rFonts w:ascii="Times New Roman" w:hAnsi="Times New Roman" w:cs="Times New Roman"/>
          <w:sz w:val="24"/>
          <w:szCs w:val="24"/>
          <w:lang w:val="en-US"/>
        </w:rPr>
        <w:t>f</w:t>
      </w:r>
      <w:r w:rsidRPr="00C628D7">
        <w:rPr>
          <w:rFonts w:ascii="Times New Roman" w:hAnsi="Times New Roman" w:cs="Times New Roman"/>
          <w:sz w:val="24"/>
          <w:szCs w:val="24"/>
          <w:lang w:val="en-US"/>
        </w:rPr>
        <w:t>d</w:t>
      </w:r>
      <w:r w:rsidR="004408CD" w:rsidRPr="00C628D7">
        <w:rPr>
          <w:rFonts w:ascii="Times New Roman" w:hAnsi="Times New Roman" w:cs="Times New Roman"/>
          <w:sz w:val="24"/>
          <w:szCs w:val="24"/>
          <w:lang w:val="en-US"/>
        </w:rPr>
        <w:t>ı</w:t>
      </w:r>
      <w:r w:rsidRPr="00C628D7">
        <w:rPr>
          <w:rFonts w:ascii="Times New Roman" w:hAnsi="Times New Roman" w:cs="Times New Roman"/>
          <w:sz w:val="24"/>
          <w:szCs w:val="24"/>
          <w:lang w:val="en-US"/>
        </w:rPr>
        <w:t xml:space="preserve"> (left) and C</w:t>
      </w:r>
      <w:r w:rsidR="001B737F" w:rsidRPr="00C628D7">
        <w:rPr>
          <w:rFonts w:ascii="Times New Roman" w:hAnsi="Times New Roman" w:cs="Times New Roman"/>
          <w:sz w:val="24"/>
          <w:szCs w:val="24"/>
          <w:lang w:val="en-US"/>
        </w:rPr>
        <w:t>O</w:t>
      </w:r>
      <w:r w:rsidRPr="00C628D7">
        <w:rPr>
          <w:rFonts w:ascii="Times New Roman" w:hAnsi="Times New Roman" w:cs="Times New Roman"/>
          <w:sz w:val="24"/>
          <w:szCs w:val="24"/>
          <w:vertAlign w:val="subscript"/>
          <w:lang w:val="en-US"/>
        </w:rPr>
        <w:t>2</w:t>
      </w:r>
      <w:r w:rsidRPr="00C628D7">
        <w:rPr>
          <w:rFonts w:ascii="Times New Roman" w:hAnsi="Times New Roman" w:cs="Times New Roman"/>
          <w:sz w:val="24"/>
          <w:szCs w:val="24"/>
          <w:lang w:val="en-US"/>
        </w:rPr>
        <w:t xml:space="preserve"> appears strong. On the other hand, ln</w:t>
      </w:r>
      <w:r w:rsidR="001B737F" w:rsidRPr="00C628D7">
        <w:rPr>
          <w:rFonts w:ascii="Times New Roman" w:hAnsi="Times New Roman" w:cs="Times New Roman"/>
          <w:sz w:val="24"/>
          <w:szCs w:val="24"/>
          <w:lang w:val="en-US"/>
        </w:rPr>
        <w:t>g</w:t>
      </w:r>
      <w:r w:rsidRPr="00C628D7">
        <w:rPr>
          <w:rFonts w:ascii="Times New Roman" w:hAnsi="Times New Roman" w:cs="Times New Roman"/>
          <w:sz w:val="24"/>
          <w:szCs w:val="24"/>
          <w:lang w:val="en-US"/>
        </w:rPr>
        <w:t>dp (right) indicates a relatively weak and volatile relationship.</w:t>
      </w:r>
    </w:p>
    <w:p w:rsidR="00C628D7" w:rsidRPr="00C628D7" w:rsidRDefault="00C628D7" w:rsidP="00C628D7">
      <w:pPr>
        <w:spacing w:before="120" w:after="120" w:line="300" w:lineRule="auto"/>
        <w:jc w:val="both"/>
        <w:rPr>
          <w:rFonts w:ascii="Times New Roman" w:hAnsi="Times New Roman" w:cs="Times New Roman"/>
          <w:sz w:val="24"/>
          <w:szCs w:val="24"/>
          <w:lang w:val="en-US"/>
        </w:rPr>
      </w:pPr>
    </w:p>
    <w:p w:rsidR="004525E3" w:rsidRPr="002928AA" w:rsidRDefault="004525E3" w:rsidP="00C628D7">
      <w:pPr>
        <w:spacing w:before="120" w:after="120" w:line="300" w:lineRule="auto"/>
        <w:jc w:val="both"/>
        <w:rPr>
          <w:rFonts w:ascii="Times New Roman" w:hAnsi="Times New Roman" w:cs="Times New Roman"/>
          <w:b/>
          <w:bCs/>
          <w:sz w:val="20"/>
          <w:szCs w:val="20"/>
          <w:lang w:val="en-US"/>
        </w:rPr>
      </w:pPr>
      <w:r w:rsidRPr="00C628D7">
        <w:rPr>
          <w:rFonts w:ascii="Times New Roman" w:hAnsi="Times New Roman" w:cs="Times New Roman"/>
          <w:b/>
          <w:bCs/>
          <w:sz w:val="24"/>
          <w:szCs w:val="24"/>
          <w:lang w:val="en-US"/>
        </w:rPr>
        <w:lastRenderedPageBreak/>
        <w:t xml:space="preserve">Table 5. </w:t>
      </w:r>
      <w:r w:rsidR="00E3201F" w:rsidRPr="00C628D7">
        <w:rPr>
          <w:rFonts w:ascii="Times New Roman" w:hAnsi="Times New Roman" w:cs="Times New Roman"/>
          <w:sz w:val="24"/>
          <w:szCs w:val="24"/>
          <w:lang w:val="en-US"/>
        </w:rPr>
        <w:t>SIV-QR</w:t>
      </w:r>
      <w:r w:rsidR="001B737F" w:rsidRPr="00C628D7">
        <w:rPr>
          <w:rFonts w:ascii="Times New Roman" w:hAnsi="Times New Roman" w:cs="Times New Roman"/>
          <w:sz w:val="24"/>
          <w:szCs w:val="24"/>
          <w:lang w:val="en-US"/>
        </w:rPr>
        <w:t xml:space="preserve"> </w:t>
      </w:r>
      <w:r w:rsidRPr="00C628D7">
        <w:rPr>
          <w:rFonts w:ascii="Times New Roman" w:hAnsi="Times New Roman" w:cs="Times New Roman"/>
          <w:sz w:val="24"/>
          <w:szCs w:val="24"/>
          <w:lang w:val="en-US"/>
        </w:rPr>
        <w:t>and IV-2SLS results</w:t>
      </w:r>
      <w:r w:rsidR="001E3466" w:rsidRPr="00C628D7">
        <w:rPr>
          <w:rFonts w:ascii="Times New Roman" w:hAnsi="Times New Roman" w:cs="Times New Roman"/>
          <w:sz w:val="24"/>
          <w:szCs w:val="24"/>
          <w:lang w:val="en-US"/>
        </w:rPr>
        <w:t>.</w:t>
      </w:r>
      <w:r w:rsidR="001E3466" w:rsidRPr="002928AA">
        <w:rPr>
          <w:rFonts w:ascii="Times New Roman" w:hAnsi="Times New Roman" w:cs="Times New Roman"/>
          <w:sz w:val="20"/>
          <w:szCs w:val="20"/>
          <w:lang w:val="en-US"/>
        </w:rPr>
        <w:t xml:space="preserve"> </w:t>
      </w:r>
    </w:p>
    <w:tbl>
      <w:tblPr>
        <w:tblStyle w:val="TabloKlavuzu"/>
        <w:tblW w:w="0" w:type="auto"/>
        <w:tblLook w:val="04A0"/>
      </w:tblPr>
      <w:tblGrid>
        <w:gridCol w:w="1795"/>
        <w:gridCol w:w="1844"/>
        <w:gridCol w:w="1355"/>
        <w:gridCol w:w="1356"/>
        <w:gridCol w:w="1356"/>
        <w:gridCol w:w="1356"/>
      </w:tblGrid>
      <w:tr w:rsidR="00F770CA" w:rsidRPr="002928AA" w:rsidTr="001B737F">
        <w:tc>
          <w:tcPr>
            <w:tcW w:w="1795" w:type="dxa"/>
            <w:vMerge w:val="restart"/>
          </w:tcPr>
          <w:p w:rsidR="00F770CA" w:rsidRPr="002928AA" w:rsidRDefault="00F770CA" w:rsidP="001B737F">
            <w:pPr>
              <w:jc w:val="both"/>
              <w:rPr>
                <w:rFonts w:ascii="Times New Roman" w:hAnsi="Times New Roman" w:cs="Times New Roman"/>
                <w:sz w:val="24"/>
                <w:szCs w:val="24"/>
                <w:lang w:val="en-US"/>
              </w:rPr>
            </w:pPr>
          </w:p>
        </w:tc>
        <w:tc>
          <w:tcPr>
            <w:tcW w:w="1844" w:type="dxa"/>
            <w:vMerge w:val="restart"/>
            <w:vAlign w:val="center"/>
          </w:tcPr>
          <w:p w:rsidR="00F770CA" w:rsidRPr="002928AA" w:rsidRDefault="00F770CA" w:rsidP="001B737F">
            <w:pPr>
              <w:jc w:val="center"/>
              <w:rPr>
                <w:rFonts w:ascii="Times New Roman" w:hAnsi="Times New Roman" w:cs="Times New Roman"/>
                <w:b/>
                <w:bCs/>
                <w:sz w:val="20"/>
                <w:szCs w:val="20"/>
                <w:lang w:val="en-US"/>
              </w:rPr>
            </w:pPr>
            <w:r w:rsidRPr="002928AA">
              <w:rPr>
                <w:rFonts w:ascii="Times New Roman" w:hAnsi="Times New Roman" w:cs="Times New Roman"/>
                <w:b/>
                <w:bCs/>
                <w:sz w:val="20"/>
                <w:szCs w:val="20"/>
                <w:lang w:val="en-US"/>
              </w:rPr>
              <w:t>2SLS</w:t>
            </w:r>
          </w:p>
        </w:tc>
        <w:tc>
          <w:tcPr>
            <w:tcW w:w="5423" w:type="dxa"/>
            <w:gridSpan w:val="4"/>
          </w:tcPr>
          <w:p w:rsidR="00F770CA" w:rsidRPr="002928AA" w:rsidRDefault="00F770CA" w:rsidP="001B737F">
            <w:pPr>
              <w:jc w:val="center"/>
              <w:rPr>
                <w:rFonts w:ascii="Times New Roman" w:hAnsi="Times New Roman" w:cs="Times New Roman"/>
                <w:b/>
                <w:bCs/>
                <w:sz w:val="20"/>
                <w:szCs w:val="20"/>
                <w:lang w:val="en-US"/>
              </w:rPr>
            </w:pPr>
            <w:r w:rsidRPr="002928AA">
              <w:rPr>
                <w:rFonts w:ascii="Times New Roman" w:hAnsi="Times New Roman" w:cs="Times New Roman"/>
                <w:b/>
                <w:bCs/>
                <w:sz w:val="20"/>
                <w:szCs w:val="20"/>
                <w:lang w:val="en-US"/>
              </w:rPr>
              <w:t>SIV-QR</w:t>
            </w:r>
          </w:p>
        </w:tc>
      </w:tr>
      <w:tr w:rsidR="00F770CA" w:rsidRPr="002928AA" w:rsidTr="001B737F">
        <w:tc>
          <w:tcPr>
            <w:tcW w:w="1795" w:type="dxa"/>
            <w:vMerge/>
          </w:tcPr>
          <w:p w:rsidR="00F770CA" w:rsidRPr="002928AA" w:rsidRDefault="00F770CA" w:rsidP="001B737F">
            <w:pPr>
              <w:jc w:val="both"/>
              <w:rPr>
                <w:rFonts w:ascii="Times New Roman" w:hAnsi="Times New Roman" w:cs="Times New Roman"/>
                <w:sz w:val="24"/>
                <w:szCs w:val="24"/>
                <w:lang w:val="en-US"/>
              </w:rPr>
            </w:pPr>
          </w:p>
        </w:tc>
        <w:tc>
          <w:tcPr>
            <w:tcW w:w="1844" w:type="dxa"/>
            <w:vMerge/>
          </w:tcPr>
          <w:p w:rsidR="00F770CA" w:rsidRPr="002928AA" w:rsidRDefault="00F770CA" w:rsidP="001B737F">
            <w:pPr>
              <w:jc w:val="center"/>
              <w:rPr>
                <w:rFonts w:ascii="Times New Roman" w:hAnsi="Times New Roman" w:cs="Times New Roman"/>
                <w:b/>
                <w:bCs/>
                <w:sz w:val="20"/>
                <w:szCs w:val="20"/>
                <w:lang w:val="en-US"/>
              </w:rPr>
            </w:pPr>
          </w:p>
        </w:tc>
        <w:tc>
          <w:tcPr>
            <w:tcW w:w="1355" w:type="dxa"/>
          </w:tcPr>
          <w:p w:rsidR="00F770CA" w:rsidRPr="002928AA" w:rsidRDefault="00F770CA" w:rsidP="001B737F">
            <w:pPr>
              <w:jc w:val="center"/>
              <w:rPr>
                <w:rFonts w:ascii="Times New Roman" w:hAnsi="Times New Roman" w:cs="Times New Roman"/>
                <w:sz w:val="24"/>
                <w:szCs w:val="24"/>
                <w:lang w:val="en-US"/>
              </w:rPr>
            </w:pPr>
            <w:r w:rsidRPr="002928AA">
              <w:rPr>
                <w:rFonts w:ascii="Times New Roman" w:hAnsi="Times New Roman" w:cs="Times New Roman"/>
                <w:b/>
                <w:bCs/>
                <w:sz w:val="20"/>
                <w:szCs w:val="20"/>
                <w:lang w:val="en-US"/>
              </w:rPr>
              <w:t>Q10</w:t>
            </w:r>
          </w:p>
        </w:tc>
        <w:tc>
          <w:tcPr>
            <w:tcW w:w="1356" w:type="dxa"/>
          </w:tcPr>
          <w:p w:rsidR="00F770CA" w:rsidRPr="002928AA" w:rsidRDefault="00F770CA" w:rsidP="001B737F">
            <w:pPr>
              <w:jc w:val="center"/>
              <w:rPr>
                <w:rFonts w:ascii="Times New Roman" w:hAnsi="Times New Roman" w:cs="Times New Roman"/>
                <w:sz w:val="24"/>
                <w:szCs w:val="24"/>
                <w:lang w:val="en-US"/>
              </w:rPr>
            </w:pPr>
            <w:r w:rsidRPr="002928AA">
              <w:rPr>
                <w:rFonts w:ascii="Times New Roman" w:hAnsi="Times New Roman" w:cs="Times New Roman"/>
                <w:b/>
                <w:bCs/>
                <w:sz w:val="20"/>
                <w:szCs w:val="20"/>
                <w:lang w:val="en-US"/>
              </w:rPr>
              <w:t>Q25</w:t>
            </w:r>
          </w:p>
        </w:tc>
        <w:tc>
          <w:tcPr>
            <w:tcW w:w="1356" w:type="dxa"/>
          </w:tcPr>
          <w:p w:rsidR="00F770CA" w:rsidRPr="002928AA" w:rsidRDefault="00F770CA" w:rsidP="001B737F">
            <w:pPr>
              <w:jc w:val="center"/>
              <w:rPr>
                <w:rFonts w:ascii="Times New Roman" w:hAnsi="Times New Roman" w:cs="Times New Roman"/>
                <w:sz w:val="24"/>
                <w:szCs w:val="24"/>
                <w:lang w:val="en-US"/>
              </w:rPr>
            </w:pPr>
            <w:r w:rsidRPr="002928AA">
              <w:rPr>
                <w:rFonts w:ascii="Times New Roman" w:hAnsi="Times New Roman" w:cs="Times New Roman"/>
                <w:b/>
                <w:bCs/>
                <w:sz w:val="20"/>
                <w:szCs w:val="20"/>
                <w:lang w:val="en-US"/>
              </w:rPr>
              <w:t>Q50</w:t>
            </w:r>
          </w:p>
        </w:tc>
        <w:tc>
          <w:tcPr>
            <w:tcW w:w="1356" w:type="dxa"/>
          </w:tcPr>
          <w:p w:rsidR="00F770CA" w:rsidRPr="002928AA" w:rsidRDefault="00F770CA" w:rsidP="001B737F">
            <w:pPr>
              <w:jc w:val="center"/>
              <w:rPr>
                <w:rFonts w:ascii="Times New Roman" w:hAnsi="Times New Roman" w:cs="Times New Roman"/>
                <w:sz w:val="24"/>
                <w:szCs w:val="24"/>
                <w:lang w:val="en-US"/>
              </w:rPr>
            </w:pPr>
            <w:r w:rsidRPr="002928AA">
              <w:rPr>
                <w:rFonts w:ascii="Times New Roman" w:hAnsi="Times New Roman" w:cs="Times New Roman"/>
                <w:b/>
                <w:bCs/>
                <w:sz w:val="20"/>
                <w:szCs w:val="20"/>
                <w:lang w:val="en-US"/>
              </w:rPr>
              <w:t>Q75</w:t>
            </w:r>
          </w:p>
        </w:tc>
      </w:tr>
      <w:tr w:rsidR="00F770CA" w:rsidRPr="002928AA" w:rsidTr="001B737F">
        <w:tc>
          <w:tcPr>
            <w:tcW w:w="1795" w:type="dxa"/>
          </w:tcPr>
          <w:p w:rsidR="00F770CA" w:rsidRPr="001B737F" w:rsidRDefault="00F770CA" w:rsidP="001B737F">
            <w:pPr>
              <w:jc w:val="both"/>
              <w:rPr>
                <w:rFonts w:ascii="Times New Roman" w:hAnsi="Times New Roman" w:cs="Times New Roman"/>
                <w:b/>
                <w:sz w:val="24"/>
                <w:szCs w:val="24"/>
                <w:lang w:val="en-US"/>
              </w:rPr>
            </w:pPr>
            <w:r w:rsidRPr="001B737F">
              <w:rPr>
                <w:rFonts w:ascii="Times New Roman" w:hAnsi="Times New Roman" w:cs="Times New Roman"/>
                <w:b/>
                <w:sz w:val="20"/>
                <w:szCs w:val="20"/>
                <w:lang w:val="en-US"/>
              </w:rPr>
              <w:t>ln</w:t>
            </w:r>
            <w:r w:rsidR="001B737F" w:rsidRPr="001B737F">
              <w:rPr>
                <w:rFonts w:ascii="Times New Roman" w:hAnsi="Times New Roman" w:cs="Times New Roman"/>
                <w:b/>
                <w:sz w:val="20"/>
                <w:szCs w:val="20"/>
                <w:lang w:val="en-US"/>
              </w:rPr>
              <w:t>g</w:t>
            </w:r>
            <w:r w:rsidRPr="001B737F">
              <w:rPr>
                <w:rFonts w:ascii="Times New Roman" w:hAnsi="Times New Roman" w:cs="Times New Roman"/>
                <w:b/>
                <w:sz w:val="20"/>
                <w:szCs w:val="20"/>
                <w:lang w:val="en-US"/>
              </w:rPr>
              <w:t>dp</w:t>
            </w:r>
          </w:p>
        </w:tc>
        <w:tc>
          <w:tcPr>
            <w:tcW w:w="1844"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1.07</w:t>
            </w:r>
            <w:r w:rsidRPr="002928AA">
              <w:rPr>
                <w:rFonts w:ascii="Times New Roman" w:hAnsi="Times New Roman" w:cs="Times New Roman"/>
                <w:sz w:val="20"/>
                <w:szCs w:val="20"/>
                <w:vertAlign w:val="superscript"/>
                <w:lang w:val="en-US"/>
              </w:rPr>
              <w:t>a</w:t>
            </w:r>
          </w:p>
        </w:tc>
        <w:tc>
          <w:tcPr>
            <w:tcW w:w="1355"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.68</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.96</w:t>
            </w:r>
            <w:r w:rsidRPr="002928AA">
              <w:rPr>
                <w:rFonts w:ascii="Times New Roman" w:hAnsi="Times New Roman" w:cs="Times New Roman"/>
                <w:sz w:val="20"/>
                <w:szCs w:val="20"/>
                <w:vertAlign w:val="superscript"/>
                <w:lang w:val="en-US"/>
              </w:rPr>
              <w:t>a</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1.09</w:t>
            </w:r>
            <w:r w:rsidRPr="002928AA">
              <w:rPr>
                <w:rFonts w:ascii="Times New Roman" w:hAnsi="Times New Roman" w:cs="Times New Roman"/>
                <w:sz w:val="20"/>
                <w:szCs w:val="20"/>
                <w:vertAlign w:val="superscript"/>
                <w:lang w:val="en-US"/>
              </w:rPr>
              <w:t>a</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1.16</w:t>
            </w:r>
            <w:r w:rsidRPr="002928AA">
              <w:rPr>
                <w:rFonts w:ascii="Times New Roman" w:hAnsi="Times New Roman" w:cs="Times New Roman"/>
                <w:sz w:val="20"/>
                <w:szCs w:val="20"/>
                <w:vertAlign w:val="superscript"/>
                <w:lang w:val="en-US"/>
              </w:rPr>
              <w:t>a</w:t>
            </w:r>
          </w:p>
        </w:tc>
      </w:tr>
      <w:tr w:rsidR="00F770CA" w:rsidRPr="002928AA" w:rsidTr="001B737F">
        <w:tc>
          <w:tcPr>
            <w:tcW w:w="1795" w:type="dxa"/>
          </w:tcPr>
          <w:p w:rsidR="00F770CA" w:rsidRPr="001B737F" w:rsidRDefault="00F770CA" w:rsidP="001B737F">
            <w:pPr>
              <w:jc w:val="both"/>
              <w:rPr>
                <w:rFonts w:ascii="Times New Roman" w:hAnsi="Times New Roman" w:cs="Times New Roman"/>
                <w:b/>
                <w:sz w:val="20"/>
                <w:szCs w:val="20"/>
                <w:lang w:val="en-US"/>
              </w:rPr>
            </w:pPr>
            <w:r w:rsidRPr="001B737F">
              <w:rPr>
                <w:rFonts w:ascii="Times New Roman" w:hAnsi="Times New Roman" w:cs="Times New Roman"/>
                <w:b/>
                <w:sz w:val="20"/>
                <w:szCs w:val="20"/>
                <w:lang w:val="en-US"/>
              </w:rPr>
              <w:t>ln</w:t>
            </w:r>
            <w:r w:rsidR="001B737F" w:rsidRPr="001B737F">
              <w:rPr>
                <w:rFonts w:ascii="Times New Roman" w:hAnsi="Times New Roman" w:cs="Times New Roman"/>
                <w:b/>
                <w:sz w:val="20"/>
                <w:szCs w:val="20"/>
                <w:lang w:val="en-US"/>
              </w:rPr>
              <w:t>f</w:t>
            </w:r>
            <w:r w:rsidRPr="001B737F">
              <w:rPr>
                <w:rFonts w:ascii="Times New Roman" w:hAnsi="Times New Roman" w:cs="Times New Roman"/>
                <w:b/>
                <w:sz w:val="20"/>
                <w:szCs w:val="20"/>
                <w:lang w:val="en-US"/>
              </w:rPr>
              <w:t>dı</w:t>
            </w:r>
          </w:p>
        </w:tc>
        <w:tc>
          <w:tcPr>
            <w:tcW w:w="1844"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-.17</w:t>
            </w:r>
            <w:r w:rsidRPr="002928AA">
              <w:rPr>
                <w:rFonts w:ascii="Times New Roman" w:hAnsi="Times New Roman" w:cs="Times New Roman"/>
                <w:sz w:val="20"/>
                <w:szCs w:val="20"/>
                <w:vertAlign w:val="superscript"/>
                <w:lang w:val="en-US"/>
              </w:rPr>
              <w:t>a</w:t>
            </w:r>
          </w:p>
        </w:tc>
        <w:tc>
          <w:tcPr>
            <w:tcW w:w="1355"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-.20</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-.16</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-.09</w:t>
            </w:r>
            <w:r w:rsidRPr="002928AA">
              <w:rPr>
                <w:rFonts w:ascii="Times New Roman" w:hAnsi="Times New Roman" w:cs="Times New Roman"/>
                <w:sz w:val="20"/>
                <w:szCs w:val="20"/>
                <w:vertAlign w:val="superscript"/>
                <w:lang w:val="en-US"/>
              </w:rPr>
              <w:t>b</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-.09</w:t>
            </w:r>
            <w:r w:rsidRPr="002928AA">
              <w:rPr>
                <w:rFonts w:ascii="Times New Roman" w:hAnsi="Times New Roman" w:cs="Times New Roman"/>
                <w:sz w:val="20"/>
                <w:szCs w:val="20"/>
                <w:vertAlign w:val="superscript"/>
                <w:lang w:val="en-US"/>
              </w:rPr>
              <w:t>a</w:t>
            </w:r>
          </w:p>
        </w:tc>
      </w:tr>
      <w:tr w:rsidR="00F770CA" w:rsidRPr="002928AA" w:rsidTr="001B737F">
        <w:tc>
          <w:tcPr>
            <w:tcW w:w="1795" w:type="dxa"/>
          </w:tcPr>
          <w:p w:rsidR="00F770CA" w:rsidRPr="001B737F" w:rsidRDefault="00F770CA" w:rsidP="001B737F">
            <w:pPr>
              <w:jc w:val="both"/>
              <w:rPr>
                <w:rFonts w:ascii="Times New Roman" w:hAnsi="Times New Roman" w:cs="Times New Roman"/>
                <w:b/>
                <w:sz w:val="20"/>
                <w:szCs w:val="20"/>
                <w:lang w:val="en-US"/>
              </w:rPr>
            </w:pPr>
            <w:r w:rsidRPr="001B737F">
              <w:rPr>
                <w:rFonts w:ascii="Times New Roman" w:hAnsi="Times New Roman" w:cs="Times New Roman"/>
                <w:b/>
                <w:sz w:val="20"/>
                <w:szCs w:val="20"/>
                <w:lang w:val="en-US"/>
              </w:rPr>
              <w:t>Constant</w:t>
            </w:r>
          </w:p>
        </w:tc>
        <w:tc>
          <w:tcPr>
            <w:tcW w:w="1844"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-7.49</w:t>
            </w:r>
            <w:r w:rsidRPr="002928AA">
              <w:rPr>
                <w:rFonts w:ascii="Times New Roman" w:hAnsi="Times New Roman" w:cs="Times New Roman"/>
                <w:sz w:val="20"/>
                <w:szCs w:val="20"/>
                <w:vertAlign w:val="superscript"/>
                <w:lang w:val="en-US"/>
              </w:rPr>
              <w:t>a</w:t>
            </w:r>
          </w:p>
        </w:tc>
        <w:tc>
          <w:tcPr>
            <w:tcW w:w="1355"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-5.24</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-6.74</w:t>
            </w:r>
            <w:r w:rsidRPr="002928AA">
              <w:rPr>
                <w:rFonts w:ascii="Times New Roman" w:hAnsi="Times New Roman" w:cs="Times New Roman"/>
                <w:sz w:val="20"/>
                <w:szCs w:val="20"/>
                <w:vertAlign w:val="superscript"/>
                <w:lang w:val="en-US"/>
              </w:rPr>
              <w:t>a</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-7.45</w:t>
            </w:r>
            <w:r w:rsidRPr="002928AA">
              <w:rPr>
                <w:rFonts w:ascii="Times New Roman" w:hAnsi="Times New Roman" w:cs="Times New Roman"/>
                <w:sz w:val="20"/>
                <w:szCs w:val="20"/>
                <w:vertAlign w:val="superscript"/>
                <w:lang w:val="en-US"/>
              </w:rPr>
              <w:t>a</w:t>
            </w:r>
          </w:p>
        </w:tc>
        <w:tc>
          <w:tcPr>
            <w:tcW w:w="1356" w:type="dxa"/>
          </w:tcPr>
          <w:p w:rsidR="00F770CA" w:rsidRPr="002928AA" w:rsidRDefault="00F770CA" w:rsidP="001B737F">
            <w:pPr>
              <w:jc w:val="center"/>
              <w:rPr>
                <w:rFonts w:ascii="Times New Roman" w:hAnsi="Times New Roman" w:cs="Times New Roman"/>
                <w:sz w:val="20"/>
                <w:szCs w:val="20"/>
                <w:vertAlign w:val="superscript"/>
                <w:lang w:val="en-US"/>
              </w:rPr>
            </w:pPr>
            <w:r w:rsidRPr="002928AA">
              <w:rPr>
                <w:rFonts w:ascii="Times New Roman" w:hAnsi="Times New Roman" w:cs="Times New Roman"/>
                <w:sz w:val="20"/>
                <w:szCs w:val="20"/>
                <w:lang w:val="en-US"/>
              </w:rPr>
              <w:t>-7.79</w:t>
            </w:r>
            <w:r w:rsidRPr="002928AA">
              <w:rPr>
                <w:rFonts w:ascii="Times New Roman" w:hAnsi="Times New Roman" w:cs="Times New Roman"/>
                <w:sz w:val="20"/>
                <w:szCs w:val="20"/>
                <w:vertAlign w:val="superscript"/>
                <w:lang w:val="en-US"/>
              </w:rPr>
              <w:t>a</w:t>
            </w:r>
          </w:p>
        </w:tc>
      </w:tr>
      <w:tr w:rsidR="00F770CA" w:rsidRPr="002928AA" w:rsidTr="001B737F">
        <w:tc>
          <w:tcPr>
            <w:tcW w:w="1795" w:type="dxa"/>
          </w:tcPr>
          <w:p w:rsidR="00F770CA" w:rsidRPr="001B737F" w:rsidRDefault="00F770CA" w:rsidP="001B737F">
            <w:pPr>
              <w:jc w:val="both"/>
              <w:rPr>
                <w:rFonts w:ascii="Times New Roman" w:hAnsi="Times New Roman" w:cs="Times New Roman"/>
                <w:b/>
                <w:sz w:val="20"/>
                <w:szCs w:val="20"/>
                <w:vertAlign w:val="superscript"/>
                <w:lang w:val="en-US"/>
              </w:rPr>
            </w:pPr>
            <w:r w:rsidRPr="001B737F">
              <w:rPr>
                <w:rFonts w:ascii="Times New Roman" w:hAnsi="Times New Roman" w:cs="Times New Roman"/>
                <w:b/>
                <w:sz w:val="20"/>
                <w:szCs w:val="20"/>
                <w:lang w:val="en-US"/>
              </w:rPr>
              <w:t>R</w:t>
            </w:r>
            <w:r w:rsidRPr="001B737F">
              <w:rPr>
                <w:rFonts w:ascii="Times New Roman" w:hAnsi="Times New Roman" w:cs="Times New Roman"/>
                <w:b/>
                <w:sz w:val="20"/>
                <w:szCs w:val="20"/>
                <w:vertAlign w:val="superscript"/>
                <w:lang w:val="en-US"/>
              </w:rPr>
              <w:t>2</w:t>
            </w:r>
          </w:p>
        </w:tc>
        <w:tc>
          <w:tcPr>
            <w:tcW w:w="1844" w:type="dxa"/>
          </w:tcPr>
          <w:p w:rsidR="00F770CA" w:rsidRPr="002928AA" w:rsidRDefault="00F770CA" w:rsidP="001B737F">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0.4130</w:t>
            </w:r>
          </w:p>
        </w:tc>
        <w:tc>
          <w:tcPr>
            <w:tcW w:w="1355" w:type="dxa"/>
          </w:tcPr>
          <w:p w:rsidR="00F770CA" w:rsidRPr="002928AA" w:rsidRDefault="00F770CA" w:rsidP="001B737F">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F770CA" w:rsidRPr="002928AA" w:rsidRDefault="00F770CA" w:rsidP="001B737F">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F770CA" w:rsidRPr="002928AA" w:rsidRDefault="00F770CA" w:rsidP="001B737F">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F770CA" w:rsidRPr="002928AA" w:rsidRDefault="00F770CA" w:rsidP="001B737F">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r>
      <w:tr w:rsidR="002B5615" w:rsidRPr="002928AA" w:rsidTr="001B737F">
        <w:tc>
          <w:tcPr>
            <w:tcW w:w="1795" w:type="dxa"/>
          </w:tcPr>
          <w:p w:rsidR="002B5615" w:rsidRPr="001B737F" w:rsidRDefault="002B5615" w:rsidP="002B5615">
            <w:pPr>
              <w:jc w:val="both"/>
              <w:rPr>
                <w:rFonts w:ascii="Times New Roman" w:hAnsi="Times New Roman" w:cs="Times New Roman"/>
                <w:b/>
                <w:sz w:val="20"/>
                <w:szCs w:val="20"/>
                <w:lang w:val="en-US"/>
              </w:rPr>
            </w:pPr>
            <w:r w:rsidRPr="001B737F">
              <w:rPr>
                <w:rFonts w:ascii="Times New Roman" w:hAnsi="Times New Roman" w:cs="Times New Roman"/>
                <w:b/>
                <w:sz w:val="20"/>
                <w:szCs w:val="20"/>
                <w:lang w:val="en-US"/>
              </w:rPr>
              <w:t>Robust score chi2</w:t>
            </w:r>
          </w:p>
        </w:tc>
        <w:tc>
          <w:tcPr>
            <w:tcW w:w="1844"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59.16 [0.0000]</w:t>
            </w:r>
          </w:p>
        </w:tc>
        <w:tc>
          <w:tcPr>
            <w:tcW w:w="1355"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r>
      <w:tr w:rsidR="002B5615" w:rsidRPr="002928AA" w:rsidTr="001B737F">
        <w:tc>
          <w:tcPr>
            <w:tcW w:w="1795" w:type="dxa"/>
          </w:tcPr>
          <w:p w:rsidR="002B5615" w:rsidRPr="001B737F" w:rsidRDefault="002B5615" w:rsidP="002B5615">
            <w:pPr>
              <w:jc w:val="both"/>
              <w:rPr>
                <w:rFonts w:ascii="Times New Roman" w:hAnsi="Times New Roman" w:cs="Times New Roman"/>
                <w:b/>
                <w:sz w:val="20"/>
                <w:szCs w:val="20"/>
                <w:lang w:val="en-US"/>
              </w:rPr>
            </w:pPr>
            <w:r w:rsidRPr="001B737F">
              <w:rPr>
                <w:rFonts w:ascii="Times New Roman" w:hAnsi="Times New Roman" w:cs="Times New Roman"/>
                <w:b/>
                <w:sz w:val="20"/>
                <w:szCs w:val="20"/>
                <w:lang w:val="en-US"/>
              </w:rPr>
              <w:t>Robust regression F</w:t>
            </w:r>
          </w:p>
        </w:tc>
        <w:tc>
          <w:tcPr>
            <w:tcW w:w="1844"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181.32 [0.0000]</w:t>
            </w:r>
          </w:p>
        </w:tc>
        <w:tc>
          <w:tcPr>
            <w:tcW w:w="1355"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r>
      <w:tr w:rsidR="002B5615" w:rsidRPr="002928AA" w:rsidTr="001B737F">
        <w:tc>
          <w:tcPr>
            <w:tcW w:w="1795" w:type="dxa"/>
          </w:tcPr>
          <w:p w:rsidR="002B5615" w:rsidRPr="001B737F" w:rsidRDefault="002B5615" w:rsidP="002B5615">
            <w:pPr>
              <w:jc w:val="both"/>
              <w:rPr>
                <w:rFonts w:ascii="Times New Roman" w:hAnsi="Times New Roman" w:cs="Times New Roman"/>
                <w:b/>
                <w:sz w:val="20"/>
                <w:szCs w:val="20"/>
                <w:vertAlign w:val="superscript"/>
                <w:lang w:val="en-US"/>
              </w:rPr>
            </w:pPr>
            <w:r w:rsidRPr="001B737F">
              <w:rPr>
                <w:rFonts w:ascii="Times New Roman" w:hAnsi="Times New Roman" w:cs="Times New Roman"/>
                <w:b/>
                <w:sz w:val="20"/>
                <w:szCs w:val="20"/>
                <w:lang w:val="en-US"/>
              </w:rPr>
              <w:t>Endogenous R</w:t>
            </w:r>
            <w:r w:rsidRPr="001B737F">
              <w:rPr>
                <w:rFonts w:ascii="Times New Roman" w:hAnsi="Times New Roman" w:cs="Times New Roman"/>
                <w:b/>
                <w:sz w:val="20"/>
                <w:szCs w:val="20"/>
                <w:vertAlign w:val="superscript"/>
                <w:lang w:val="en-US"/>
              </w:rPr>
              <w:t>2</w:t>
            </w:r>
          </w:p>
        </w:tc>
        <w:tc>
          <w:tcPr>
            <w:tcW w:w="1844"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0.7630 [0.0000]</w:t>
            </w:r>
          </w:p>
        </w:tc>
        <w:tc>
          <w:tcPr>
            <w:tcW w:w="1355"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r>
      <w:tr w:rsidR="002B5615" w:rsidRPr="002928AA" w:rsidTr="001B737F">
        <w:tc>
          <w:tcPr>
            <w:tcW w:w="1795" w:type="dxa"/>
          </w:tcPr>
          <w:p w:rsidR="002B5615" w:rsidRPr="001B737F" w:rsidRDefault="002B5615" w:rsidP="002B5615">
            <w:pPr>
              <w:jc w:val="both"/>
              <w:rPr>
                <w:rFonts w:ascii="Times New Roman" w:hAnsi="Times New Roman" w:cs="Times New Roman"/>
                <w:b/>
                <w:sz w:val="20"/>
                <w:szCs w:val="20"/>
                <w:highlight w:val="yellow"/>
                <w:lang w:val="en-US"/>
              </w:rPr>
            </w:pPr>
            <w:r w:rsidRPr="001B737F">
              <w:rPr>
                <w:rFonts w:ascii="Times New Roman" w:hAnsi="Times New Roman" w:cs="Times New Roman"/>
                <w:b/>
                <w:sz w:val="20"/>
                <w:szCs w:val="20"/>
                <w:lang w:val="en-US"/>
              </w:rPr>
              <w:t>Score chi2</w:t>
            </w:r>
          </w:p>
        </w:tc>
        <w:tc>
          <w:tcPr>
            <w:tcW w:w="1844"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27.202 [0.0000]</w:t>
            </w:r>
          </w:p>
        </w:tc>
        <w:tc>
          <w:tcPr>
            <w:tcW w:w="1355"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c>
          <w:tcPr>
            <w:tcW w:w="1356" w:type="dxa"/>
          </w:tcPr>
          <w:p w:rsidR="002B5615" w:rsidRPr="002928AA" w:rsidRDefault="002B5615" w:rsidP="002B5615">
            <w:pPr>
              <w:jc w:val="center"/>
              <w:rPr>
                <w:rFonts w:ascii="Times New Roman" w:hAnsi="Times New Roman" w:cs="Times New Roman"/>
                <w:sz w:val="20"/>
                <w:szCs w:val="20"/>
                <w:lang w:val="en-US"/>
              </w:rPr>
            </w:pPr>
            <w:r w:rsidRPr="002928AA">
              <w:rPr>
                <w:rFonts w:ascii="Times New Roman" w:hAnsi="Times New Roman" w:cs="Times New Roman"/>
                <w:sz w:val="20"/>
                <w:szCs w:val="20"/>
                <w:lang w:val="en-US"/>
              </w:rPr>
              <w:t>---</w:t>
            </w:r>
          </w:p>
        </w:tc>
      </w:tr>
    </w:tbl>
    <w:p w:rsidR="00F31434" w:rsidRPr="001B737F" w:rsidRDefault="00F31434" w:rsidP="001B737F">
      <w:pPr>
        <w:spacing w:before="120" w:after="120"/>
        <w:jc w:val="both"/>
        <w:rPr>
          <w:rFonts w:ascii="Times New Roman" w:hAnsi="Times New Roman" w:cs="Times New Roman"/>
          <w:sz w:val="18"/>
          <w:szCs w:val="18"/>
          <w:lang w:val="en-US"/>
        </w:rPr>
      </w:pPr>
      <w:r w:rsidRPr="001B737F">
        <w:rPr>
          <w:rFonts w:ascii="Times New Roman" w:hAnsi="Times New Roman" w:cs="Times New Roman"/>
          <w:sz w:val="18"/>
          <w:szCs w:val="18"/>
          <w:lang w:val="en-US"/>
        </w:rPr>
        <w:t xml:space="preserve">Notes: Q indicates quantiles. a, b, </w:t>
      </w:r>
      <w:r w:rsidR="00D23FD2" w:rsidRPr="001B737F">
        <w:rPr>
          <w:rFonts w:ascii="Times New Roman" w:hAnsi="Times New Roman" w:cs="Times New Roman"/>
          <w:sz w:val="18"/>
          <w:szCs w:val="18"/>
          <w:lang w:val="en-US"/>
        </w:rPr>
        <w:t xml:space="preserve">and </w:t>
      </w:r>
      <w:r w:rsidRPr="001B737F">
        <w:rPr>
          <w:rFonts w:ascii="Times New Roman" w:hAnsi="Times New Roman" w:cs="Times New Roman"/>
          <w:sz w:val="18"/>
          <w:szCs w:val="18"/>
          <w:lang w:val="en-US"/>
        </w:rPr>
        <w:t xml:space="preserve">c </w:t>
      </w:r>
      <w:r w:rsidR="00474A23" w:rsidRPr="001B737F">
        <w:rPr>
          <w:rFonts w:ascii="Times New Roman" w:hAnsi="Times New Roman" w:cs="Times New Roman"/>
          <w:sz w:val="18"/>
          <w:szCs w:val="18"/>
          <w:lang w:val="en-US"/>
        </w:rPr>
        <w:t>indicate</w:t>
      </w:r>
      <w:r w:rsidRPr="001B737F">
        <w:rPr>
          <w:rFonts w:ascii="Times New Roman" w:hAnsi="Times New Roman" w:cs="Times New Roman"/>
          <w:sz w:val="18"/>
          <w:szCs w:val="18"/>
          <w:lang w:val="en-US"/>
        </w:rPr>
        <w:t xml:space="preserve"> p &lt; 0.05, and p &lt; 0.01, respectively. Employed for each estimator are exogenous regressors: lnfdı, endogenous regressor; lngdp, excluded instruments; lnpop lneu.  We also used a robust version of the 2SLS, the VCE version, which confirmed the 2SLS results. </w:t>
      </w:r>
    </w:p>
    <w:p w:rsidR="00E92819" w:rsidRPr="002928AA" w:rsidRDefault="00DD10A0" w:rsidP="00C628D7">
      <w:pPr>
        <w:spacing w:before="120" w:after="120" w:line="300" w:lineRule="auto"/>
        <w:jc w:val="both"/>
        <w:rPr>
          <w:rFonts w:ascii="Times New Roman" w:hAnsi="Times New Roman" w:cs="Times New Roman"/>
          <w:sz w:val="24"/>
          <w:szCs w:val="24"/>
          <w:lang w:val="en-US"/>
        </w:rPr>
      </w:pPr>
      <w:r w:rsidRPr="002928AA">
        <w:rPr>
          <w:rFonts w:ascii="Times New Roman" w:hAnsi="Times New Roman" w:cs="Times New Roman"/>
          <w:sz w:val="24"/>
          <w:szCs w:val="24"/>
          <w:lang w:val="en-US"/>
        </w:rPr>
        <w:t xml:space="preserve">Table 5 presents the estimated coefficients. </w:t>
      </w:r>
      <w:r w:rsidR="00E92819" w:rsidRPr="002928AA">
        <w:rPr>
          <w:rFonts w:ascii="Times New Roman" w:hAnsi="Times New Roman" w:cs="Times New Roman"/>
          <w:sz w:val="24"/>
          <w:szCs w:val="24"/>
          <w:lang w:val="en-US"/>
        </w:rPr>
        <w:t>The SIV-QR findings show that for ln</w:t>
      </w:r>
      <w:r w:rsidR="001B737F">
        <w:rPr>
          <w:rFonts w:ascii="Times New Roman" w:hAnsi="Times New Roman" w:cs="Times New Roman"/>
          <w:sz w:val="24"/>
          <w:szCs w:val="24"/>
          <w:lang w:val="en-US"/>
        </w:rPr>
        <w:t>g</w:t>
      </w:r>
      <w:r w:rsidR="00E92819" w:rsidRPr="002928AA">
        <w:rPr>
          <w:rFonts w:ascii="Times New Roman" w:hAnsi="Times New Roman" w:cs="Times New Roman"/>
          <w:sz w:val="24"/>
          <w:szCs w:val="24"/>
          <w:lang w:val="en-US"/>
        </w:rPr>
        <w:t>dp, coefficients are intervals of 0.96 and 1.16 and positive and significant in all last three quantiles. Therefore, per capita income (ln</w:t>
      </w:r>
      <w:r w:rsidR="001B737F">
        <w:rPr>
          <w:rFonts w:ascii="Times New Roman" w:hAnsi="Times New Roman" w:cs="Times New Roman"/>
          <w:sz w:val="24"/>
          <w:szCs w:val="24"/>
          <w:lang w:val="en-US"/>
        </w:rPr>
        <w:t>g</w:t>
      </w:r>
      <w:r w:rsidR="00E92819" w:rsidRPr="002928AA">
        <w:rPr>
          <w:rFonts w:ascii="Times New Roman" w:hAnsi="Times New Roman" w:cs="Times New Roman"/>
          <w:sz w:val="24"/>
          <w:szCs w:val="24"/>
          <w:lang w:val="en-US"/>
        </w:rPr>
        <w:t>dp) leads to an increase in ln</w:t>
      </w:r>
      <w:r w:rsidR="001B737F">
        <w:rPr>
          <w:rFonts w:ascii="Times New Roman" w:hAnsi="Times New Roman" w:cs="Times New Roman"/>
          <w:sz w:val="24"/>
          <w:szCs w:val="24"/>
          <w:lang w:val="en-US"/>
        </w:rPr>
        <w:t>c</w:t>
      </w:r>
      <w:r w:rsidR="00E92819" w:rsidRPr="002928AA">
        <w:rPr>
          <w:rFonts w:ascii="Times New Roman" w:hAnsi="Times New Roman" w:cs="Times New Roman"/>
          <w:sz w:val="24"/>
          <w:szCs w:val="24"/>
          <w:lang w:val="en-US"/>
        </w:rPr>
        <w:t>o</w:t>
      </w:r>
      <w:r w:rsidR="00E92819" w:rsidRPr="002928AA">
        <w:rPr>
          <w:rFonts w:ascii="Times New Roman" w:hAnsi="Times New Roman" w:cs="Times New Roman"/>
          <w:sz w:val="24"/>
          <w:szCs w:val="24"/>
          <w:vertAlign w:val="subscript"/>
          <w:lang w:val="en-US"/>
        </w:rPr>
        <w:t>2</w:t>
      </w:r>
      <w:r w:rsidR="00E92819" w:rsidRPr="002928AA">
        <w:rPr>
          <w:rFonts w:ascii="Times New Roman" w:hAnsi="Times New Roman" w:cs="Times New Roman"/>
          <w:sz w:val="24"/>
          <w:szCs w:val="24"/>
          <w:lang w:val="en-US"/>
        </w:rPr>
        <w:t>. On the other hand, the ln</w:t>
      </w:r>
      <w:r w:rsidR="001B737F">
        <w:rPr>
          <w:rFonts w:ascii="Times New Roman" w:hAnsi="Times New Roman" w:cs="Times New Roman"/>
          <w:sz w:val="24"/>
          <w:szCs w:val="24"/>
          <w:lang w:val="en-US"/>
        </w:rPr>
        <w:t>f</w:t>
      </w:r>
      <w:r w:rsidR="00E92819" w:rsidRPr="002928AA">
        <w:rPr>
          <w:rFonts w:ascii="Times New Roman" w:hAnsi="Times New Roman" w:cs="Times New Roman"/>
          <w:sz w:val="24"/>
          <w:szCs w:val="24"/>
          <w:lang w:val="en-US"/>
        </w:rPr>
        <w:t>dı coefficient is -0.09, which is negative and significant in the last two quantiles, indicating that ln</w:t>
      </w:r>
      <w:r w:rsidR="001B737F">
        <w:rPr>
          <w:rFonts w:ascii="Times New Roman" w:hAnsi="Times New Roman" w:cs="Times New Roman"/>
          <w:sz w:val="24"/>
          <w:szCs w:val="24"/>
          <w:lang w:val="en-US"/>
        </w:rPr>
        <w:t>f</w:t>
      </w:r>
      <w:r w:rsidR="00E92819" w:rsidRPr="002928AA">
        <w:rPr>
          <w:rFonts w:ascii="Times New Roman" w:hAnsi="Times New Roman" w:cs="Times New Roman"/>
          <w:sz w:val="24"/>
          <w:szCs w:val="24"/>
          <w:lang w:val="en-US"/>
        </w:rPr>
        <w:t>dı leads to a decrease in lnCo</w:t>
      </w:r>
      <w:r w:rsidR="00E92819" w:rsidRPr="002928AA">
        <w:rPr>
          <w:rFonts w:ascii="Times New Roman" w:hAnsi="Times New Roman" w:cs="Times New Roman"/>
          <w:sz w:val="24"/>
          <w:szCs w:val="24"/>
          <w:vertAlign w:val="subscript"/>
          <w:lang w:val="en-US"/>
        </w:rPr>
        <w:t>2</w:t>
      </w:r>
      <w:r w:rsidR="00E92819" w:rsidRPr="002928AA">
        <w:rPr>
          <w:rFonts w:ascii="Times New Roman" w:hAnsi="Times New Roman" w:cs="Times New Roman"/>
          <w:sz w:val="24"/>
          <w:szCs w:val="24"/>
          <w:lang w:val="en-US"/>
        </w:rPr>
        <w:t>.We used the 2SLS method to check the robustness of the SIV-QR findings.</w:t>
      </w:r>
      <w:r w:rsidR="001B737F">
        <w:rPr>
          <w:rFonts w:ascii="Times New Roman" w:hAnsi="Times New Roman" w:cs="Times New Roman"/>
          <w:sz w:val="24"/>
          <w:szCs w:val="24"/>
          <w:lang w:val="en-US"/>
        </w:rPr>
        <w:t xml:space="preserve"> </w:t>
      </w:r>
      <w:r w:rsidR="00E92819" w:rsidRPr="002928AA">
        <w:rPr>
          <w:rFonts w:ascii="Times New Roman" w:hAnsi="Times New Roman" w:cs="Times New Roman"/>
          <w:sz w:val="24"/>
          <w:szCs w:val="24"/>
          <w:lang w:val="en-US"/>
        </w:rPr>
        <w:t>The 2SLS results confirm the SIV-QR findings. We also run several tests to determine the accuracy of our endogenous variables in the model. All the tests yielded similar results, so lnGdp is endogenous to the model and is instrumented with lneu and lnpop.</w:t>
      </w:r>
    </w:p>
    <w:p w:rsidR="00B50AF7" w:rsidRPr="002928AA" w:rsidRDefault="00B50AF7" w:rsidP="00C628D7">
      <w:pPr>
        <w:spacing w:before="120" w:after="120" w:line="300" w:lineRule="auto"/>
        <w:jc w:val="both"/>
        <w:rPr>
          <w:rFonts w:ascii="Times New Roman" w:hAnsi="Times New Roman" w:cs="Times New Roman"/>
          <w:sz w:val="24"/>
          <w:szCs w:val="24"/>
          <w:lang w:val="en-US"/>
        </w:rPr>
      </w:pPr>
      <w:r w:rsidRPr="002928AA">
        <w:rPr>
          <w:rFonts w:ascii="Times New Roman" w:hAnsi="Times New Roman" w:cs="Times New Roman"/>
          <w:sz w:val="24"/>
          <w:szCs w:val="24"/>
          <w:lang w:val="en-US"/>
        </w:rPr>
        <w:t>Figure 2 shows the plots for the quantiles. When we move from left to right on the horizontal axis, it can be observed that for higher values. Si</w:t>
      </w:r>
      <w:r w:rsidR="00E620F0" w:rsidRPr="002928AA">
        <w:rPr>
          <w:rFonts w:ascii="Times New Roman" w:hAnsi="Times New Roman" w:cs="Times New Roman"/>
          <w:sz w:val="24"/>
          <w:szCs w:val="24"/>
          <w:lang w:val="en-US"/>
        </w:rPr>
        <w:t>v</w:t>
      </w:r>
      <w:r w:rsidRPr="002928AA">
        <w:rPr>
          <w:rFonts w:ascii="Times New Roman" w:hAnsi="Times New Roman" w:cs="Times New Roman"/>
          <w:sz w:val="24"/>
          <w:szCs w:val="24"/>
          <w:lang w:val="en-US"/>
        </w:rPr>
        <w:t>qr1</w:t>
      </w:r>
      <w:r w:rsidR="001B737F">
        <w:rPr>
          <w:rFonts w:ascii="Times New Roman" w:hAnsi="Times New Roman" w:cs="Times New Roman"/>
          <w:sz w:val="24"/>
          <w:szCs w:val="24"/>
          <w:lang w:val="en-US"/>
        </w:rPr>
        <w:t xml:space="preserve"> </w:t>
      </w:r>
      <w:r w:rsidRPr="002928AA">
        <w:rPr>
          <w:rFonts w:ascii="Times New Roman" w:hAnsi="Times New Roman" w:cs="Times New Roman"/>
          <w:sz w:val="24"/>
          <w:szCs w:val="24"/>
          <w:lang w:val="en-US"/>
        </w:rPr>
        <w:t>(SIV-QR)</w:t>
      </w:r>
      <w:r w:rsidR="001B737F">
        <w:rPr>
          <w:rFonts w:ascii="Times New Roman" w:hAnsi="Times New Roman" w:cs="Times New Roman"/>
          <w:sz w:val="24"/>
          <w:szCs w:val="24"/>
          <w:lang w:val="en-US"/>
        </w:rPr>
        <w:t xml:space="preserve"> </w:t>
      </w:r>
      <w:r w:rsidRPr="002928AA">
        <w:rPr>
          <w:rFonts w:ascii="Times New Roman" w:hAnsi="Times New Roman" w:cs="Times New Roman"/>
          <w:sz w:val="24"/>
          <w:szCs w:val="24"/>
          <w:lang w:val="en-US"/>
        </w:rPr>
        <w:t>values are shown in red, indicating high values, and when we move toward the right, the graph indicates a transition into increasingly higher values. We can say the same for both the variables.</w:t>
      </w:r>
    </w:p>
    <w:p w:rsidR="00F60655" w:rsidRPr="002928AA" w:rsidRDefault="00B50AF7" w:rsidP="00C628D7">
      <w:pPr>
        <w:spacing w:before="120" w:after="120" w:line="300" w:lineRule="auto"/>
        <w:jc w:val="both"/>
        <w:rPr>
          <w:rFonts w:ascii="Times New Roman" w:hAnsi="Times New Roman" w:cs="Times New Roman"/>
          <w:b/>
          <w:bCs/>
          <w:sz w:val="20"/>
          <w:szCs w:val="20"/>
          <w:lang w:val="en-US"/>
        </w:rPr>
      </w:pPr>
      <w:r w:rsidRPr="002928AA">
        <w:rPr>
          <w:rFonts w:ascii="Times New Roman" w:hAnsi="Times New Roman" w:cs="Times New Roman"/>
          <w:sz w:val="24"/>
          <w:szCs w:val="24"/>
          <w:lang w:val="en-US"/>
        </w:rPr>
        <w:t>While ln</w:t>
      </w:r>
      <w:r w:rsidR="001B737F">
        <w:rPr>
          <w:rFonts w:ascii="Times New Roman" w:hAnsi="Times New Roman" w:cs="Times New Roman"/>
          <w:sz w:val="24"/>
          <w:szCs w:val="24"/>
          <w:lang w:val="en-US"/>
        </w:rPr>
        <w:t>f</w:t>
      </w:r>
      <w:r w:rsidRPr="002928AA">
        <w:rPr>
          <w:rFonts w:ascii="Times New Roman" w:hAnsi="Times New Roman" w:cs="Times New Roman"/>
          <w:sz w:val="24"/>
          <w:szCs w:val="24"/>
          <w:lang w:val="en-US"/>
        </w:rPr>
        <w:t>d</w:t>
      </w:r>
      <w:r w:rsidR="00404909" w:rsidRPr="002928AA">
        <w:rPr>
          <w:rFonts w:ascii="Times New Roman" w:hAnsi="Times New Roman" w:cs="Times New Roman"/>
          <w:sz w:val="24"/>
          <w:szCs w:val="24"/>
          <w:lang w:val="en-US"/>
        </w:rPr>
        <w:t>ı</w:t>
      </w:r>
      <w:r w:rsidRPr="002928AA">
        <w:rPr>
          <w:rFonts w:ascii="Times New Roman" w:hAnsi="Times New Roman" w:cs="Times New Roman"/>
          <w:sz w:val="24"/>
          <w:szCs w:val="24"/>
          <w:lang w:val="en-US"/>
        </w:rPr>
        <w:t xml:space="preserve"> has a negative effect in low quantiles, this effect is reversed in high quantiles. Therefore, the pollution haven hypothesis is valid for our sample. For the robustness of the SIV-QR graphical representation, we estimated the model again without using instrumental variables with two different quantile techniques and drew graphs for this. This can be observed in Figures 3 and 4. The results confirmed the SIV-QR graphical representation. In other words, the high</w:t>
      </w:r>
      <w:r w:rsidR="007C2789" w:rsidRPr="002928AA">
        <w:rPr>
          <w:rFonts w:ascii="Times New Roman" w:hAnsi="Times New Roman" w:cs="Times New Roman"/>
          <w:sz w:val="24"/>
          <w:szCs w:val="24"/>
          <w:lang w:val="en-US"/>
        </w:rPr>
        <w:t>-</w:t>
      </w:r>
      <w:r w:rsidRPr="002928AA">
        <w:rPr>
          <w:rFonts w:ascii="Times New Roman" w:hAnsi="Times New Roman" w:cs="Times New Roman"/>
          <w:sz w:val="24"/>
          <w:szCs w:val="24"/>
          <w:lang w:val="en-US"/>
        </w:rPr>
        <w:t>quantile coefficients of ln</w:t>
      </w:r>
      <w:r w:rsidR="001B737F">
        <w:rPr>
          <w:rFonts w:ascii="Times New Roman" w:hAnsi="Times New Roman" w:cs="Times New Roman"/>
          <w:sz w:val="24"/>
          <w:szCs w:val="24"/>
          <w:lang w:val="en-US"/>
        </w:rPr>
        <w:t>f</w:t>
      </w:r>
      <w:r w:rsidRPr="002928AA">
        <w:rPr>
          <w:rFonts w:ascii="Times New Roman" w:hAnsi="Times New Roman" w:cs="Times New Roman"/>
          <w:sz w:val="24"/>
          <w:szCs w:val="24"/>
          <w:lang w:val="en-US"/>
        </w:rPr>
        <w:t>dı are positive.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34"/>
        <w:gridCol w:w="4428"/>
      </w:tblGrid>
      <w:tr w:rsidR="00FC4DFE" w:rsidRPr="002928AA" w:rsidTr="00FC4DFE">
        <w:tc>
          <w:tcPr>
            <w:tcW w:w="4634" w:type="dxa"/>
          </w:tcPr>
          <w:p w:rsidR="00FC4DFE" w:rsidRPr="002928AA" w:rsidRDefault="00FC4DFE" w:rsidP="0043056A">
            <w:pPr>
              <w:jc w:val="both"/>
              <w:rPr>
                <w:rFonts w:ascii="Times New Roman" w:hAnsi="Times New Roman" w:cs="Times New Roman"/>
                <w:sz w:val="24"/>
                <w:szCs w:val="24"/>
              </w:rPr>
            </w:pPr>
            <w:r w:rsidRPr="002928AA">
              <w:rPr>
                <w:rFonts w:ascii="Times New Roman" w:hAnsi="Times New Roman" w:cs="Times New Roman"/>
                <w:b/>
                <w:bCs/>
                <w:noProof/>
                <w:sz w:val="28"/>
                <w:szCs w:val="28"/>
                <w:lang w:eastAsia="tr-TR"/>
              </w:rPr>
              <w:lastRenderedPageBreak/>
              <w:drawing>
                <wp:inline distT="0" distB="0" distL="0" distR="0">
                  <wp:extent cx="2945130" cy="2332298"/>
                  <wp:effectExtent l="0" t="0" r="7620" b="0"/>
                  <wp:docPr id="2578834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83451" name=""/>
                          <pic:cNvPicPr/>
                        </pic:nvPicPr>
                        <pic:blipFill>
                          <a:blip r:embed="rId9"/>
                          <a:stretch>
                            <a:fillRect/>
                          </a:stretch>
                        </pic:blipFill>
                        <pic:spPr>
                          <a:xfrm>
                            <a:off x="0" y="0"/>
                            <a:ext cx="2952679" cy="2338276"/>
                          </a:xfrm>
                          <a:prstGeom prst="rect">
                            <a:avLst/>
                          </a:prstGeom>
                        </pic:spPr>
                      </pic:pic>
                    </a:graphicData>
                  </a:graphic>
                </wp:inline>
              </w:drawing>
            </w:r>
          </w:p>
        </w:tc>
        <w:tc>
          <w:tcPr>
            <w:tcW w:w="4428" w:type="dxa"/>
          </w:tcPr>
          <w:p w:rsidR="00FC4DFE" w:rsidRPr="002928AA" w:rsidRDefault="00FC4DFE" w:rsidP="0043056A">
            <w:pPr>
              <w:jc w:val="both"/>
              <w:rPr>
                <w:rFonts w:ascii="Times New Roman" w:hAnsi="Times New Roman" w:cs="Times New Roman"/>
                <w:sz w:val="24"/>
                <w:szCs w:val="24"/>
              </w:rPr>
            </w:pPr>
            <w:r w:rsidRPr="002928AA">
              <w:rPr>
                <w:rFonts w:ascii="Times New Roman" w:hAnsi="Times New Roman" w:cs="Times New Roman"/>
                <w:b/>
                <w:bCs/>
                <w:noProof/>
                <w:sz w:val="28"/>
                <w:szCs w:val="28"/>
                <w:lang w:eastAsia="tr-TR"/>
              </w:rPr>
              <w:drawing>
                <wp:inline distT="0" distB="0" distL="0" distR="0">
                  <wp:extent cx="2690450" cy="2297574"/>
                  <wp:effectExtent l="0" t="0" r="0" b="7620"/>
                  <wp:docPr id="62611768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17689" name=""/>
                          <pic:cNvPicPr/>
                        </pic:nvPicPr>
                        <pic:blipFill>
                          <a:blip r:embed="rId10" cstate="print"/>
                          <a:stretch>
                            <a:fillRect/>
                          </a:stretch>
                        </pic:blipFill>
                        <pic:spPr>
                          <a:xfrm>
                            <a:off x="0" y="0"/>
                            <a:ext cx="2700774" cy="2306391"/>
                          </a:xfrm>
                          <a:prstGeom prst="rect">
                            <a:avLst/>
                          </a:prstGeom>
                        </pic:spPr>
                      </pic:pic>
                    </a:graphicData>
                  </a:graphic>
                </wp:inline>
              </w:drawing>
            </w:r>
          </w:p>
        </w:tc>
      </w:tr>
      <w:tr w:rsidR="00FC4DFE" w:rsidRPr="002928AA" w:rsidTr="00FC4DFE">
        <w:tc>
          <w:tcPr>
            <w:tcW w:w="9062" w:type="dxa"/>
            <w:gridSpan w:val="2"/>
          </w:tcPr>
          <w:p w:rsidR="00FC4DFE" w:rsidRPr="002928AA" w:rsidRDefault="00FC4DFE" w:rsidP="0043056A">
            <w:pPr>
              <w:jc w:val="both"/>
              <w:rPr>
                <w:rFonts w:ascii="Times New Roman" w:hAnsi="Times New Roman" w:cs="Times New Roman"/>
                <w:sz w:val="20"/>
                <w:szCs w:val="20"/>
              </w:rPr>
            </w:pPr>
            <w:r w:rsidRPr="002928AA">
              <w:rPr>
                <w:rFonts w:ascii="Times New Roman" w:hAnsi="Times New Roman" w:cs="Times New Roman"/>
                <w:sz w:val="20"/>
                <w:szCs w:val="20"/>
                <w:lang w:val="en-US"/>
              </w:rPr>
              <w:t>Figure 2. SIV-QR plots</w:t>
            </w:r>
          </w:p>
        </w:tc>
      </w:tr>
      <w:tr w:rsidR="00FC4DFE" w:rsidRPr="002928AA" w:rsidTr="00FC4DFE">
        <w:tc>
          <w:tcPr>
            <w:tcW w:w="4634" w:type="dxa"/>
          </w:tcPr>
          <w:p w:rsidR="00FC4DFE" w:rsidRPr="002928AA" w:rsidRDefault="00FC4DFE" w:rsidP="0043056A">
            <w:pPr>
              <w:jc w:val="both"/>
              <w:rPr>
                <w:rFonts w:ascii="Times New Roman" w:hAnsi="Times New Roman" w:cs="Times New Roman"/>
                <w:sz w:val="24"/>
                <w:szCs w:val="24"/>
                <w:lang w:val="en-US"/>
              </w:rPr>
            </w:pPr>
            <w:r w:rsidRPr="002928AA">
              <w:rPr>
                <w:rFonts w:ascii="Times New Roman" w:hAnsi="Times New Roman" w:cs="Times New Roman"/>
                <w:noProof/>
                <w:sz w:val="24"/>
                <w:szCs w:val="24"/>
                <w:lang w:eastAsia="tr-TR"/>
              </w:rPr>
              <w:drawing>
                <wp:inline distT="0" distB="0" distL="0" distR="0">
                  <wp:extent cx="2846484" cy="2430684"/>
                  <wp:effectExtent l="0" t="0" r="0" b="8255"/>
                  <wp:docPr id="36799265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8966" cy="2449882"/>
                          </a:xfrm>
                          <a:prstGeom prst="rect">
                            <a:avLst/>
                          </a:prstGeom>
                          <a:noFill/>
                          <a:ln>
                            <a:noFill/>
                          </a:ln>
                        </pic:spPr>
                      </pic:pic>
                    </a:graphicData>
                  </a:graphic>
                </wp:inline>
              </w:drawing>
            </w:r>
          </w:p>
        </w:tc>
        <w:tc>
          <w:tcPr>
            <w:tcW w:w="4428" w:type="dxa"/>
          </w:tcPr>
          <w:p w:rsidR="00FC4DFE" w:rsidRPr="002928AA" w:rsidRDefault="00FC4DFE" w:rsidP="0043056A">
            <w:pPr>
              <w:jc w:val="both"/>
              <w:rPr>
                <w:rFonts w:ascii="Times New Roman" w:hAnsi="Times New Roman" w:cs="Times New Roman"/>
                <w:sz w:val="24"/>
                <w:szCs w:val="24"/>
                <w:lang w:val="en-US"/>
              </w:rPr>
            </w:pPr>
            <w:r w:rsidRPr="002928AA">
              <w:rPr>
                <w:rFonts w:ascii="Times New Roman" w:hAnsi="Times New Roman" w:cs="Times New Roman"/>
                <w:noProof/>
                <w:sz w:val="24"/>
                <w:szCs w:val="24"/>
                <w:lang w:eastAsia="tr-TR"/>
              </w:rPr>
              <w:drawing>
                <wp:inline distT="0" distB="0" distL="0" distR="0">
                  <wp:extent cx="2689225" cy="2430145"/>
                  <wp:effectExtent l="0" t="0" r="0" b="8255"/>
                  <wp:docPr id="66716292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4832" cy="2444248"/>
                          </a:xfrm>
                          <a:prstGeom prst="rect">
                            <a:avLst/>
                          </a:prstGeom>
                          <a:noFill/>
                          <a:ln>
                            <a:noFill/>
                          </a:ln>
                        </pic:spPr>
                      </pic:pic>
                    </a:graphicData>
                  </a:graphic>
                </wp:inline>
              </w:drawing>
            </w:r>
          </w:p>
        </w:tc>
      </w:tr>
      <w:tr w:rsidR="00FC4DFE" w:rsidRPr="002928AA" w:rsidTr="00FC4DFE">
        <w:tc>
          <w:tcPr>
            <w:tcW w:w="4634" w:type="dxa"/>
          </w:tcPr>
          <w:p w:rsidR="00FC4DFE" w:rsidRPr="002928AA" w:rsidRDefault="00FC4DFE" w:rsidP="0043056A">
            <w:pPr>
              <w:jc w:val="both"/>
              <w:rPr>
                <w:rFonts w:ascii="Times New Roman" w:hAnsi="Times New Roman" w:cs="Times New Roman"/>
                <w:sz w:val="20"/>
                <w:szCs w:val="20"/>
              </w:rPr>
            </w:pPr>
            <w:r w:rsidRPr="002928AA">
              <w:rPr>
                <w:rFonts w:ascii="Times New Roman" w:hAnsi="Times New Roman" w:cs="Times New Roman"/>
                <w:sz w:val="20"/>
                <w:szCs w:val="20"/>
                <w:lang w:val="en-US"/>
              </w:rPr>
              <w:t>Figure 3. Quantile estimate plots</w:t>
            </w:r>
          </w:p>
        </w:tc>
        <w:tc>
          <w:tcPr>
            <w:tcW w:w="4428" w:type="dxa"/>
          </w:tcPr>
          <w:p w:rsidR="00FC4DFE" w:rsidRPr="002928AA" w:rsidRDefault="00FC4DFE" w:rsidP="0043056A">
            <w:pPr>
              <w:jc w:val="both"/>
              <w:rPr>
                <w:rFonts w:ascii="Times New Roman" w:hAnsi="Times New Roman" w:cs="Times New Roman"/>
                <w:sz w:val="20"/>
                <w:szCs w:val="20"/>
              </w:rPr>
            </w:pPr>
            <w:r w:rsidRPr="002928AA">
              <w:rPr>
                <w:rFonts w:ascii="Times New Roman" w:hAnsi="Times New Roman" w:cs="Times New Roman"/>
                <w:sz w:val="20"/>
                <w:szCs w:val="20"/>
                <w:lang w:val="en-US"/>
              </w:rPr>
              <w:t>Figure 4. Simultaneous-quantile estimate plots</w:t>
            </w:r>
          </w:p>
        </w:tc>
      </w:tr>
    </w:tbl>
    <w:p w:rsidR="003A650E" w:rsidRPr="002928AA" w:rsidRDefault="003A650E" w:rsidP="00186D34">
      <w:pPr>
        <w:spacing w:after="0"/>
        <w:jc w:val="both"/>
        <w:rPr>
          <w:rFonts w:ascii="Times New Roman" w:hAnsi="Times New Roman" w:cs="Times New Roman"/>
          <w:b/>
          <w:bCs/>
          <w:sz w:val="24"/>
          <w:szCs w:val="24"/>
          <w:lang w:val="en-US"/>
        </w:rPr>
      </w:pPr>
    </w:p>
    <w:p w:rsidR="00186D34" w:rsidRPr="00C628D7" w:rsidRDefault="00186D34" w:rsidP="00C628D7">
      <w:pPr>
        <w:spacing w:before="120" w:after="120" w:line="300" w:lineRule="auto"/>
        <w:jc w:val="both"/>
        <w:rPr>
          <w:rFonts w:ascii="Times New Roman" w:hAnsi="Times New Roman" w:cs="Times New Roman"/>
          <w:b/>
          <w:bCs/>
          <w:sz w:val="24"/>
          <w:szCs w:val="24"/>
          <w:lang w:val="en-US"/>
        </w:rPr>
      </w:pPr>
      <w:r w:rsidRPr="00C628D7">
        <w:rPr>
          <w:rFonts w:ascii="Times New Roman" w:hAnsi="Times New Roman" w:cs="Times New Roman"/>
          <w:b/>
          <w:bCs/>
          <w:sz w:val="24"/>
          <w:szCs w:val="24"/>
          <w:lang w:val="en-US"/>
        </w:rPr>
        <w:t xml:space="preserve">Conclusion and Policy </w:t>
      </w:r>
      <w:r w:rsidR="00C628D7" w:rsidRPr="00C628D7">
        <w:rPr>
          <w:rFonts w:ascii="Times New Roman" w:hAnsi="Times New Roman" w:cs="Times New Roman"/>
          <w:b/>
          <w:bCs/>
          <w:sz w:val="24"/>
          <w:szCs w:val="24"/>
          <w:lang w:val="en-US"/>
        </w:rPr>
        <w:t>I</w:t>
      </w:r>
      <w:r w:rsidRPr="00C628D7">
        <w:rPr>
          <w:rFonts w:ascii="Times New Roman" w:hAnsi="Times New Roman" w:cs="Times New Roman"/>
          <w:b/>
          <w:bCs/>
          <w:sz w:val="24"/>
          <w:szCs w:val="24"/>
          <w:lang w:val="en-US"/>
        </w:rPr>
        <w:t>mplications</w:t>
      </w:r>
    </w:p>
    <w:p w:rsidR="0062206D" w:rsidRPr="00C628D7" w:rsidRDefault="0062206D"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 xml:space="preserve">While “increased” environmental awareness in developed countries affects the location or amount of production geographically, the relatively weak environmental policies of developing countries attract pollution from other countries as well as domestically produced pollution. The realization of this process with foreign direct investment flows is expressed by the pollution haven hypothesis. This study investigated the effects of foreign direct investment flows and economic growth on carbon emissions based on 1992-2020 annual data. Population density and electricity consumption were used as the control variables. </w:t>
      </w:r>
    </w:p>
    <w:p w:rsidR="007D407A" w:rsidRPr="00C628D7" w:rsidRDefault="007D407A"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As a research method, we used the instrumental variables smooth quantile regression method, which is a novel method in panel econometrics. Our findings indicate the negative effects of FDI flows on C</w:t>
      </w:r>
      <w:r w:rsidR="001B737F" w:rsidRPr="00C628D7">
        <w:rPr>
          <w:rFonts w:ascii="Times New Roman" w:hAnsi="Times New Roman" w:cs="Times New Roman"/>
          <w:sz w:val="24"/>
          <w:szCs w:val="24"/>
          <w:lang w:val="en-US"/>
        </w:rPr>
        <w:t>O</w:t>
      </w:r>
      <w:r w:rsidRPr="00C628D7">
        <w:rPr>
          <w:rFonts w:ascii="Times New Roman" w:hAnsi="Times New Roman" w:cs="Times New Roman"/>
          <w:sz w:val="24"/>
          <w:szCs w:val="24"/>
          <w:vertAlign w:val="subscript"/>
          <w:lang w:val="en-US"/>
        </w:rPr>
        <w:t>2</w:t>
      </w:r>
      <w:r w:rsidRPr="00C628D7">
        <w:rPr>
          <w:rFonts w:ascii="Times New Roman" w:hAnsi="Times New Roman" w:cs="Times New Roman"/>
          <w:sz w:val="24"/>
          <w:szCs w:val="24"/>
          <w:lang w:val="en-US"/>
        </w:rPr>
        <w:t xml:space="preserve"> in low quantiles and the positive effects of economic growth. We validated these findings using the instrumental variables of the two-stage least squares estimation. However, the plot estimates of the instrumental variables’ smooth quantile regression show that the effect of FDI flow becomes positive. These findings show that in BRICS countries, </w:t>
      </w:r>
      <w:r w:rsidRPr="00C628D7">
        <w:rPr>
          <w:rFonts w:ascii="Times New Roman" w:hAnsi="Times New Roman" w:cs="Times New Roman"/>
          <w:sz w:val="24"/>
          <w:szCs w:val="24"/>
          <w:lang w:val="en-US"/>
        </w:rPr>
        <w:lastRenderedPageBreak/>
        <w:t>the technological impact may be negative in the short run, but the pollution havens hypothesis is valid in the long run.</w:t>
      </w:r>
    </w:p>
    <w:p w:rsidR="00035681" w:rsidRPr="00C628D7" w:rsidRDefault="00E6626C"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 xml:space="preserve">Based on our findings, we make two recommendations: one for policymakers and one for researchers. Policymakers should focus on long-term environmental policies rather than short-term growth plans. Second, our instrumental variables' smooth quantile regression plot findings show a threshold value. Researchers may focus on this threshold value using threshold methods that consider nonparametric and instrumental relationships between the variables.  </w:t>
      </w:r>
    </w:p>
    <w:p w:rsidR="00035681" w:rsidRPr="00C628D7" w:rsidRDefault="00035681" w:rsidP="00C628D7">
      <w:pPr>
        <w:spacing w:before="120" w:after="120" w:line="300" w:lineRule="auto"/>
        <w:jc w:val="both"/>
        <w:rPr>
          <w:rFonts w:ascii="Times New Roman" w:hAnsi="Times New Roman" w:cs="Times New Roman"/>
          <w:b/>
          <w:bCs/>
          <w:sz w:val="24"/>
          <w:szCs w:val="24"/>
        </w:rPr>
      </w:pPr>
      <w:r w:rsidRPr="00C628D7">
        <w:rPr>
          <w:rFonts w:ascii="Times New Roman" w:hAnsi="Times New Roman" w:cs="Times New Roman"/>
          <w:b/>
          <w:bCs/>
          <w:sz w:val="24"/>
          <w:szCs w:val="24"/>
        </w:rPr>
        <w:t>REFERENCES</w:t>
      </w:r>
    </w:p>
    <w:p w:rsidR="00051079" w:rsidRPr="00C628D7" w:rsidRDefault="00051079"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Ali</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Wajahat, Abdullah</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Azrai and Azam</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Muhammad (2017), Re-visiting the Environmental Kuznets Curve hypothesis for Malaysia: fresh evidence from ARDL bounds testing approach</w:t>
      </w:r>
      <w:r w:rsidRPr="00C628D7">
        <w:rPr>
          <w:rFonts w:ascii="Times New Roman" w:hAnsi="Times New Roman" w:cs="Times New Roman"/>
          <w:i/>
          <w:iCs/>
          <w:sz w:val="24"/>
          <w:szCs w:val="24"/>
          <w:lang w:val="en-US"/>
        </w:rPr>
        <w:t>, Renewable and Sustainable Energy Reviews</w:t>
      </w:r>
      <w:r w:rsidRPr="00C628D7">
        <w:rPr>
          <w:rFonts w:ascii="Times New Roman" w:hAnsi="Times New Roman" w:cs="Times New Roman"/>
          <w:sz w:val="24"/>
          <w:szCs w:val="24"/>
          <w:lang w:val="en-US"/>
        </w:rPr>
        <w:t xml:space="preserve">, 77, 990-1000, </w:t>
      </w:r>
      <w:hyperlink r:id="rId13" w:history="1">
        <w:r w:rsidRPr="00C628D7">
          <w:rPr>
            <w:rStyle w:val="Kpr"/>
            <w:rFonts w:ascii="Times New Roman" w:hAnsi="Times New Roman" w:cs="Times New Roman"/>
            <w:color w:val="auto"/>
            <w:sz w:val="24"/>
            <w:szCs w:val="24"/>
            <w:u w:val="none"/>
            <w:lang w:val="en-US"/>
          </w:rPr>
          <w:t>https://doi.org/10.1016/j.rser.2016.11.23</w:t>
        </w:r>
      </w:hyperlink>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Aslan</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Alper, Al</w:t>
      </w:r>
      <w:r w:rsidR="00A07E20" w:rsidRPr="00C628D7">
        <w:rPr>
          <w:rFonts w:ascii="Times New Roman" w:hAnsi="Times New Roman" w:cs="Times New Roman"/>
          <w:kern w:val="0"/>
          <w:sz w:val="24"/>
          <w:szCs w:val="24"/>
          <w:lang w:val="en-US"/>
        </w:rPr>
        <w:t>tıno</w:t>
      </w:r>
      <w:r w:rsidRPr="00C628D7">
        <w:rPr>
          <w:rFonts w:ascii="Times New Roman" w:hAnsi="Times New Roman" w:cs="Times New Roman"/>
          <w:kern w:val="0"/>
          <w:sz w:val="24"/>
          <w:szCs w:val="24"/>
          <w:lang w:val="en-US"/>
        </w:rPr>
        <w:t>z</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Buket and Polat</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Melike A. (2021), The nexus among climate change, economic growth, foreign direct investments, and financial development: New evidence from N-11 countries, </w:t>
      </w:r>
      <w:r w:rsidRPr="00C628D7">
        <w:rPr>
          <w:rFonts w:ascii="Times New Roman" w:hAnsi="Times New Roman" w:cs="Times New Roman"/>
          <w:i/>
          <w:iCs/>
          <w:kern w:val="0"/>
          <w:sz w:val="24"/>
          <w:szCs w:val="24"/>
          <w:lang w:val="en-US"/>
        </w:rPr>
        <w:t>Environ</w:t>
      </w:r>
      <w:r w:rsidR="00A34A8D" w:rsidRPr="00C628D7">
        <w:rPr>
          <w:rFonts w:ascii="Times New Roman" w:hAnsi="Times New Roman" w:cs="Times New Roman"/>
          <w:i/>
          <w:iCs/>
          <w:kern w:val="0"/>
          <w:sz w:val="24"/>
          <w:szCs w:val="24"/>
          <w:lang w:val="en-US"/>
        </w:rPr>
        <w:t>mental</w:t>
      </w:r>
      <w:r w:rsidRPr="00C628D7">
        <w:rPr>
          <w:rFonts w:ascii="Times New Roman" w:hAnsi="Times New Roman" w:cs="Times New Roman"/>
          <w:i/>
          <w:iCs/>
          <w:kern w:val="0"/>
          <w:sz w:val="24"/>
          <w:szCs w:val="24"/>
          <w:lang w:val="en-US"/>
        </w:rPr>
        <w:t xml:space="preserve"> Progress and Sustainable Energy</w:t>
      </w:r>
      <w:r w:rsidRPr="00C628D7">
        <w:rPr>
          <w:rFonts w:ascii="Times New Roman" w:hAnsi="Times New Roman" w:cs="Times New Roman"/>
          <w:kern w:val="0"/>
          <w:sz w:val="24"/>
          <w:szCs w:val="24"/>
          <w:lang w:val="en-US"/>
        </w:rPr>
        <w:t xml:space="preserve">, 40, 13585, </w:t>
      </w:r>
      <w:hyperlink r:id="rId14" w:history="1">
        <w:r w:rsidRPr="00C628D7">
          <w:rPr>
            <w:rStyle w:val="Kpr"/>
            <w:rFonts w:ascii="Times New Roman" w:hAnsi="Times New Roman" w:cs="Times New Roman"/>
            <w:color w:val="auto"/>
            <w:kern w:val="0"/>
            <w:sz w:val="24"/>
            <w:szCs w:val="24"/>
            <w:u w:val="none"/>
            <w:lang w:val="en-US"/>
          </w:rPr>
          <w:t>https://doi.org/10.1002/ep.13585</w:t>
        </w:r>
      </w:hyperlink>
      <w:r w:rsidR="00C628D7">
        <w:rPr>
          <w:rFonts w:ascii="Times New Roman" w:hAnsi="Times New Roman" w:cs="Times New Roman"/>
          <w:sz w:val="24"/>
          <w:szCs w:val="24"/>
        </w:rPr>
        <w:t>.</w:t>
      </w:r>
    </w:p>
    <w:p w:rsidR="00051079" w:rsidRPr="00C628D7" w:rsidRDefault="00051079"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Behera</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Smruti Ranjan and Dash</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Devi Prasad (2017), The effect of urbanization, energy consumption, and foreign direct investment on the carbon dioxide emission in the SSEA (South and Southeast Asian) region, </w:t>
      </w:r>
      <w:r w:rsidRPr="00C628D7">
        <w:rPr>
          <w:rFonts w:ascii="Times New Roman" w:hAnsi="Times New Roman" w:cs="Times New Roman"/>
          <w:i/>
          <w:iCs/>
          <w:sz w:val="24"/>
          <w:szCs w:val="24"/>
          <w:lang w:val="en-US"/>
        </w:rPr>
        <w:t>Renewable and Sustainable Energy Reviews</w:t>
      </w:r>
      <w:r w:rsidRPr="00C628D7">
        <w:rPr>
          <w:rFonts w:ascii="Times New Roman" w:hAnsi="Times New Roman" w:cs="Times New Roman"/>
          <w:sz w:val="24"/>
          <w:szCs w:val="24"/>
          <w:lang w:val="en-US"/>
        </w:rPr>
        <w:t xml:space="preserve">, 70, 96-106, </w:t>
      </w:r>
      <w:hyperlink r:id="rId15" w:history="1">
        <w:r w:rsidRPr="00C628D7">
          <w:rPr>
            <w:rStyle w:val="Kpr"/>
            <w:rFonts w:ascii="Times New Roman" w:hAnsi="Times New Roman" w:cs="Times New Roman"/>
            <w:color w:val="auto"/>
            <w:sz w:val="24"/>
            <w:szCs w:val="24"/>
            <w:u w:val="none"/>
            <w:lang w:val="en-US"/>
          </w:rPr>
          <w:t>http://dx.doi.org/10.1016/j.rser.2016.11.201</w:t>
        </w:r>
      </w:hyperlink>
      <w:r w:rsidR="00C628D7">
        <w:rPr>
          <w:rFonts w:ascii="Times New Roman" w:hAnsi="Times New Roman" w:cs="Times New Roman"/>
          <w:sz w:val="24"/>
          <w:szCs w:val="24"/>
        </w:rPr>
        <w:t>.</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Bakhsh</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Khuda, Rose</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Sobia, Ali</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Muhammad Faisal, Ahmad</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Najid and Shahbaz</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Muhammad </w:t>
      </w:r>
      <w:r w:rsidR="00C628D7">
        <w:rPr>
          <w:rFonts w:ascii="Times New Roman" w:hAnsi="Times New Roman" w:cs="Times New Roman"/>
          <w:kern w:val="0"/>
          <w:sz w:val="24"/>
          <w:szCs w:val="24"/>
          <w:lang w:val="en-US"/>
        </w:rPr>
        <w:t xml:space="preserve"> </w:t>
      </w:r>
      <w:r w:rsidRPr="00C628D7">
        <w:rPr>
          <w:rFonts w:ascii="Times New Roman" w:hAnsi="Times New Roman" w:cs="Times New Roman"/>
          <w:kern w:val="0"/>
          <w:sz w:val="24"/>
          <w:szCs w:val="24"/>
          <w:lang w:val="en-US"/>
        </w:rPr>
        <w:t>(2017), Economic growth, 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emissions, renewable waste and FDI relation in Pakistan: New evidences from 3SLS, </w:t>
      </w:r>
      <w:r w:rsidRPr="00C628D7">
        <w:rPr>
          <w:rFonts w:ascii="Times New Roman" w:hAnsi="Times New Roman" w:cs="Times New Roman"/>
          <w:i/>
          <w:iCs/>
          <w:kern w:val="0"/>
          <w:sz w:val="24"/>
          <w:szCs w:val="24"/>
          <w:lang w:val="en-US"/>
        </w:rPr>
        <w:t>Journal of Environmental Management</w:t>
      </w:r>
      <w:r w:rsidRPr="00C628D7">
        <w:rPr>
          <w:rFonts w:ascii="Times New Roman" w:hAnsi="Times New Roman" w:cs="Times New Roman"/>
          <w:kern w:val="0"/>
          <w:sz w:val="24"/>
          <w:szCs w:val="24"/>
          <w:lang w:val="en-US"/>
        </w:rPr>
        <w:t xml:space="preserve">, 196, 627-632, </w:t>
      </w:r>
      <w:hyperlink r:id="rId16" w:history="1">
        <w:r w:rsidRPr="00C628D7">
          <w:rPr>
            <w:rStyle w:val="Kpr"/>
            <w:rFonts w:ascii="Times New Roman" w:hAnsi="Times New Roman" w:cs="Times New Roman"/>
            <w:color w:val="auto"/>
            <w:kern w:val="0"/>
            <w:sz w:val="24"/>
            <w:szCs w:val="24"/>
            <w:u w:val="none"/>
            <w:lang w:val="en-US"/>
          </w:rPr>
          <w:t>http://dx.doi.org/10.1016/j.jenvman.2017.03.029</w:t>
        </w:r>
      </w:hyperlink>
      <w:r w:rsidRPr="00C628D7">
        <w:rPr>
          <w:rFonts w:ascii="Times New Roman" w:hAnsi="Times New Roman" w:cs="Times New Roman"/>
          <w:kern w:val="0"/>
          <w:sz w:val="24"/>
          <w:szCs w:val="24"/>
          <w:lang w:val="en-US"/>
        </w:rPr>
        <w:t>.</w:t>
      </w:r>
    </w:p>
    <w:p w:rsidR="00043EC2" w:rsidRPr="00C628D7" w:rsidRDefault="00043EC2" w:rsidP="00C628D7">
      <w:pPr>
        <w:spacing w:before="120" w:after="120" w:line="300" w:lineRule="auto"/>
        <w:jc w:val="both"/>
        <w:rPr>
          <w:rFonts w:ascii="Times New Roman" w:hAnsi="Times New Roman" w:cs="Times New Roman"/>
          <w:sz w:val="24"/>
          <w:szCs w:val="24"/>
          <w:lang w:val="en-US"/>
        </w:rPr>
      </w:pPr>
      <w:r w:rsidRPr="00C628D7">
        <w:rPr>
          <w:rStyle w:val="text"/>
          <w:rFonts w:ascii="Times New Roman" w:hAnsi="Times New Roman" w:cs="Times New Roman"/>
          <w:sz w:val="24"/>
          <w:szCs w:val="24"/>
          <w:lang w:val="en-US"/>
        </w:rPr>
        <w:t>Boly</w:t>
      </w:r>
      <w:r w:rsidR="00C628D7">
        <w:rPr>
          <w:rStyle w:val="text"/>
          <w:rFonts w:ascii="Times New Roman" w:hAnsi="Times New Roman" w:cs="Times New Roman"/>
          <w:sz w:val="24"/>
          <w:szCs w:val="24"/>
          <w:lang w:val="en-US"/>
        </w:rPr>
        <w:t>,</w:t>
      </w:r>
      <w:r w:rsidRPr="00C628D7">
        <w:rPr>
          <w:rStyle w:val="given-name"/>
          <w:rFonts w:ascii="Times New Roman" w:hAnsi="Times New Roman" w:cs="Times New Roman"/>
          <w:sz w:val="24"/>
          <w:szCs w:val="24"/>
          <w:lang w:val="en-US"/>
        </w:rPr>
        <w:t xml:space="preserve"> Mohamed</w:t>
      </w:r>
      <w:r w:rsidRPr="00C628D7">
        <w:rPr>
          <w:rStyle w:val="react-xocs-alternative-link"/>
          <w:rFonts w:ascii="Times New Roman" w:hAnsi="Times New Roman" w:cs="Times New Roman"/>
          <w:sz w:val="24"/>
          <w:szCs w:val="24"/>
          <w:lang w:val="en-US"/>
        </w:rPr>
        <w:t>,</w:t>
      </w:r>
      <w:r w:rsidRPr="00C628D7">
        <w:rPr>
          <w:rFonts w:ascii="Times New Roman" w:hAnsi="Times New Roman" w:cs="Times New Roman"/>
          <w:sz w:val="24"/>
          <w:szCs w:val="24"/>
          <w:lang w:val="en-US"/>
        </w:rPr>
        <w:t> </w:t>
      </w:r>
      <w:r w:rsidRPr="00C628D7">
        <w:rPr>
          <w:rStyle w:val="text"/>
          <w:rFonts w:ascii="Times New Roman" w:hAnsi="Times New Roman" w:cs="Times New Roman"/>
          <w:sz w:val="24"/>
          <w:szCs w:val="24"/>
          <w:lang w:val="en-US"/>
        </w:rPr>
        <w:t>Combes</w:t>
      </w:r>
      <w:r w:rsidR="00C628D7">
        <w:rPr>
          <w:rStyle w:val="text"/>
          <w:rFonts w:ascii="Times New Roman" w:hAnsi="Times New Roman" w:cs="Times New Roman"/>
          <w:sz w:val="24"/>
          <w:szCs w:val="24"/>
          <w:lang w:val="en-US"/>
        </w:rPr>
        <w:t>,</w:t>
      </w:r>
      <w:r w:rsidRPr="00C628D7">
        <w:rPr>
          <w:rStyle w:val="given-name"/>
          <w:rFonts w:ascii="Times New Roman" w:hAnsi="Times New Roman" w:cs="Times New Roman"/>
          <w:sz w:val="24"/>
          <w:szCs w:val="24"/>
          <w:lang w:val="en-US"/>
        </w:rPr>
        <w:t xml:space="preserve"> Jean-Louis</w:t>
      </w:r>
      <w:r w:rsidRPr="00C628D7">
        <w:rPr>
          <w:rStyle w:val="react-xocs-alternative-link"/>
          <w:rFonts w:ascii="Times New Roman" w:hAnsi="Times New Roman" w:cs="Times New Roman"/>
          <w:sz w:val="24"/>
          <w:szCs w:val="24"/>
          <w:lang w:val="en-US"/>
        </w:rPr>
        <w:t xml:space="preserve">, </w:t>
      </w:r>
      <w:r w:rsidRPr="00C628D7">
        <w:rPr>
          <w:rStyle w:val="text"/>
          <w:rFonts w:ascii="Times New Roman" w:hAnsi="Times New Roman" w:cs="Times New Roman"/>
          <w:sz w:val="24"/>
          <w:szCs w:val="24"/>
          <w:lang w:val="en-US"/>
        </w:rPr>
        <w:t>Menuet</w:t>
      </w:r>
      <w:r w:rsidR="00C628D7">
        <w:rPr>
          <w:rStyle w:val="text"/>
          <w:rFonts w:ascii="Times New Roman" w:hAnsi="Times New Roman" w:cs="Times New Roman"/>
          <w:sz w:val="24"/>
          <w:szCs w:val="24"/>
          <w:lang w:val="en-US"/>
        </w:rPr>
        <w:t>,</w:t>
      </w:r>
      <w:r w:rsidRPr="00C628D7">
        <w:rPr>
          <w:rStyle w:val="given-name"/>
          <w:rFonts w:ascii="Times New Roman" w:hAnsi="Times New Roman" w:cs="Times New Roman"/>
          <w:sz w:val="24"/>
          <w:szCs w:val="24"/>
          <w:lang w:val="en-US"/>
        </w:rPr>
        <w:t xml:space="preserve"> Maxime</w:t>
      </w:r>
      <w:r w:rsidRPr="00C628D7">
        <w:rPr>
          <w:rStyle w:val="react-xocs-alternative-link"/>
          <w:rFonts w:ascii="Times New Roman" w:hAnsi="Times New Roman" w:cs="Times New Roman"/>
          <w:sz w:val="24"/>
          <w:szCs w:val="24"/>
          <w:lang w:val="en-US"/>
        </w:rPr>
        <w:t xml:space="preserve">, </w:t>
      </w:r>
      <w:r w:rsidRPr="00C628D7">
        <w:rPr>
          <w:rStyle w:val="text"/>
          <w:rFonts w:ascii="Times New Roman" w:hAnsi="Times New Roman" w:cs="Times New Roman"/>
          <w:sz w:val="24"/>
          <w:szCs w:val="24"/>
          <w:lang w:val="en-US"/>
        </w:rPr>
        <w:t>Minea</w:t>
      </w:r>
      <w:r w:rsidR="00C628D7">
        <w:rPr>
          <w:rStyle w:val="text"/>
          <w:rFonts w:ascii="Times New Roman" w:hAnsi="Times New Roman" w:cs="Times New Roman"/>
          <w:sz w:val="24"/>
          <w:szCs w:val="24"/>
          <w:lang w:val="en-US"/>
        </w:rPr>
        <w:t>,</w:t>
      </w:r>
      <w:r w:rsidRPr="00C628D7">
        <w:rPr>
          <w:rStyle w:val="given-name"/>
          <w:rFonts w:ascii="Times New Roman" w:hAnsi="Times New Roman" w:cs="Times New Roman"/>
          <w:sz w:val="24"/>
          <w:szCs w:val="24"/>
          <w:lang w:val="en-US"/>
        </w:rPr>
        <w:t xml:space="preserve"> Alexandru</w:t>
      </w:r>
      <w:r w:rsidRPr="00C628D7">
        <w:rPr>
          <w:rStyle w:val="text"/>
          <w:rFonts w:ascii="Times New Roman" w:hAnsi="Times New Roman" w:cs="Times New Roman"/>
          <w:sz w:val="24"/>
          <w:szCs w:val="24"/>
          <w:lang w:val="en-US"/>
        </w:rPr>
        <w:t>, Motel</w:t>
      </w:r>
      <w:r w:rsidR="00C628D7">
        <w:rPr>
          <w:rStyle w:val="text"/>
          <w:rFonts w:ascii="Times New Roman" w:hAnsi="Times New Roman" w:cs="Times New Roman"/>
          <w:sz w:val="24"/>
          <w:szCs w:val="24"/>
          <w:lang w:val="en-US"/>
        </w:rPr>
        <w:t>,</w:t>
      </w:r>
      <w:r w:rsidRPr="00C628D7">
        <w:rPr>
          <w:rStyle w:val="given-name"/>
          <w:rFonts w:ascii="Times New Roman" w:hAnsi="Times New Roman" w:cs="Times New Roman"/>
          <w:sz w:val="24"/>
          <w:szCs w:val="24"/>
          <w:lang w:val="en-US"/>
        </w:rPr>
        <w:t xml:space="preserve"> Pascale Combes</w:t>
      </w:r>
      <w:r w:rsidRPr="00C628D7">
        <w:rPr>
          <w:rStyle w:val="react-xocs-alternative-link"/>
          <w:rFonts w:ascii="Times New Roman" w:hAnsi="Times New Roman" w:cs="Times New Roman"/>
          <w:sz w:val="24"/>
          <w:szCs w:val="24"/>
          <w:lang w:val="en-US"/>
        </w:rPr>
        <w:t xml:space="preserve"> and </w:t>
      </w:r>
      <w:r w:rsidRPr="00C628D7">
        <w:rPr>
          <w:rStyle w:val="text"/>
          <w:rFonts w:ascii="Times New Roman" w:hAnsi="Times New Roman" w:cs="Times New Roman"/>
          <w:sz w:val="24"/>
          <w:szCs w:val="24"/>
          <w:lang w:val="en-US"/>
        </w:rPr>
        <w:t>Villieu</w:t>
      </w:r>
      <w:r w:rsidR="00C628D7">
        <w:rPr>
          <w:rStyle w:val="text"/>
          <w:rFonts w:ascii="Times New Roman" w:hAnsi="Times New Roman" w:cs="Times New Roman"/>
          <w:sz w:val="24"/>
          <w:szCs w:val="24"/>
          <w:lang w:val="en-US"/>
        </w:rPr>
        <w:t>,</w:t>
      </w:r>
      <w:r w:rsidRPr="00C628D7">
        <w:rPr>
          <w:rStyle w:val="text"/>
          <w:rFonts w:ascii="Times New Roman" w:hAnsi="Times New Roman" w:cs="Times New Roman"/>
          <w:sz w:val="24"/>
          <w:szCs w:val="24"/>
          <w:lang w:val="en-US"/>
        </w:rPr>
        <w:t xml:space="preserve"> </w:t>
      </w:r>
      <w:r w:rsidRPr="00C628D7">
        <w:rPr>
          <w:rStyle w:val="given-name"/>
          <w:rFonts w:ascii="Times New Roman" w:hAnsi="Times New Roman" w:cs="Times New Roman"/>
          <w:sz w:val="24"/>
          <w:szCs w:val="24"/>
          <w:lang w:val="en-US"/>
        </w:rPr>
        <w:t>Patrick</w:t>
      </w:r>
      <w:r w:rsidRPr="00C628D7">
        <w:rPr>
          <w:rStyle w:val="text"/>
          <w:rFonts w:ascii="Times New Roman" w:hAnsi="Times New Roman" w:cs="Times New Roman"/>
          <w:sz w:val="24"/>
          <w:szCs w:val="24"/>
          <w:lang w:val="en-US"/>
        </w:rPr>
        <w:t xml:space="preserve"> (2022), Can public debt mitigate environmental debt? Theory and empirical evidence, </w:t>
      </w:r>
      <w:r w:rsidRPr="00C628D7">
        <w:rPr>
          <w:rStyle w:val="text"/>
          <w:rFonts w:ascii="Times New Roman" w:hAnsi="Times New Roman" w:cs="Times New Roman"/>
          <w:i/>
          <w:iCs/>
          <w:sz w:val="24"/>
          <w:szCs w:val="24"/>
          <w:lang w:val="en-US"/>
        </w:rPr>
        <w:t>Energy Economics</w:t>
      </w:r>
      <w:r w:rsidRPr="00C628D7">
        <w:rPr>
          <w:rStyle w:val="text"/>
          <w:rFonts w:ascii="Times New Roman" w:hAnsi="Times New Roman" w:cs="Times New Roman"/>
          <w:sz w:val="24"/>
          <w:szCs w:val="24"/>
          <w:lang w:val="en-US"/>
        </w:rPr>
        <w:t xml:space="preserve">, </w:t>
      </w:r>
      <w:hyperlink r:id="rId17" w:tooltip="Go to table of contents for this volume/issue" w:history="1">
        <w:r w:rsidRPr="00C628D7">
          <w:rPr>
            <w:rStyle w:val="anchor-text"/>
            <w:rFonts w:ascii="Times New Roman" w:hAnsi="Times New Roman" w:cs="Times New Roman"/>
            <w:sz w:val="24"/>
            <w:szCs w:val="24"/>
            <w:lang w:val="en-US"/>
          </w:rPr>
          <w:t>111</w:t>
        </w:r>
      </w:hyperlink>
      <w:r w:rsidRPr="00C628D7">
        <w:rPr>
          <w:rFonts w:ascii="Times New Roman" w:hAnsi="Times New Roman" w:cs="Times New Roman"/>
          <w:sz w:val="24"/>
          <w:szCs w:val="24"/>
          <w:lang w:val="en-US"/>
        </w:rPr>
        <w:t>,  105895, https://doi.org/10.1016/j.eneco.2022.105895</w:t>
      </w:r>
    </w:p>
    <w:p w:rsidR="00035681" w:rsidRPr="00C628D7" w:rsidRDefault="00035681"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kern w:val="0"/>
          <w:sz w:val="24"/>
          <w:szCs w:val="24"/>
          <w:lang w:val="en-US"/>
        </w:rPr>
        <w:t>Chatterjee</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Mihika and Naka</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Ikuno (2022), Twenty years of BRICS: political and economic transformations through the lens of land, </w:t>
      </w:r>
      <w:r w:rsidRPr="00C628D7">
        <w:rPr>
          <w:rFonts w:ascii="Times New Roman" w:hAnsi="Times New Roman" w:cs="Times New Roman"/>
          <w:i/>
          <w:iCs/>
          <w:kern w:val="0"/>
          <w:sz w:val="24"/>
          <w:szCs w:val="24"/>
          <w:lang w:val="en-US"/>
        </w:rPr>
        <w:t>Oxford Development Studies</w:t>
      </w:r>
      <w:r w:rsidR="00C628D7">
        <w:rPr>
          <w:rFonts w:ascii="Times New Roman" w:hAnsi="Times New Roman" w:cs="Times New Roman"/>
          <w:kern w:val="0"/>
          <w:sz w:val="24"/>
          <w:szCs w:val="24"/>
          <w:lang w:val="en-US"/>
        </w:rPr>
        <w:t>, 50</w:t>
      </w:r>
      <w:r w:rsidRPr="00C628D7">
        <w:rPr>
          <w:rFonts w:ascii="Times New Roman" w:hAnsi="Times New Roman" w:cs="Times New Roman"/>
          <w:kern w:val="0"/>
          <w:sz w:val="24"/>
          <w:szCs w:val="24"/>
          <w:lang w:val="en-US"/>
        </w:rPr>
        <w:t xml:space="preserve">(1), 2-13, </w:t>
      </w:r>
      <w:r w:rsidRPr="00C628D7">
        <w:rPr>
          <w:rStyle w:val="Kpr"/>
          <w:rFonts w:ascii="Times New Roman" w:hAnsi="Times New Roman" w:cs="Times New Roman"/>
          <w:color w:val="auto"/>
          <w:sz w:val="24"/>
          <w:szCs w:val="24"/>
          <w:u w:val="none"/>
          <w:lang w:val="en-US"/>
        </w:rPr>
        <w:t>DOI: 10.1080/13600818.2022.2033191.</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Chang</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Shu-Chen and Li</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Meng-Hua (2018), Impacts of Foreign Direct Investment and Economic Development on Carbon Dioxide Emissions Across Different Population Regimes, </w:t>
      </w:r>
      <w:r w:rsidRPr="00C628D7">
        <w:rPr>
          <w:rFonts w:ascii="Times New Roman" w:hAnsi="Times New Roman" w:cs="Times New Roman"/>
          <w:i/>
          <w:iCs/>
          <w:kern w:val="0"/>
          <w:sz w:val="24"/>
          <w:szCs w:val="24"/>
          <w:lang w:val="en-US"/>
        </w:rPr>
        <w:t>Environ Resource Econ</w:t>
      </w:r>
      <w:r w:rsidRPr="00C628D7">
        <w:rPr>
          <w:rFonts w:ascii="Times New Roman" w:hAnsi="Times New Roman" w:cs="Times New Roman"/>
          <w:kern w:val="0"/>
          <w:sz w:val="24"/>
          <w:szCs w:val="24"/>
          <w:lang w:val="en-US"/>
        </w:rPr>
        <w:t xml:space="preserve">, </w:t>
      </w:r>
      <w:hyperlink r:id="rId18" w:history="1">
        <w:r w:rsidRPr="00C628D7">
          <w:rPr>
            <w:rStyle w:val="Kpr"/>
            <w:rFonts w:ascii="Times New Roman" w:hAnsi="Times New Roman" w:cs="Times New Roman"/>
            <w:color w:val="auto"/>
            <w:kern w:val="0"/>
            <w:sz w:val="24"/>
            <w:szCs w:val="24"/>
            <w:u w:val="none"/>
            <w:lang w:val="en-US"/>
          </w:rPr>
          <w:t>https://doi.org/10.1007/s10640-018-0216-1</w:t>
        </w:r>
      </w:hyperlink>
      <w:r w:rsidRPr="00C628D7">
        <w:rPr>
          <w:rFonts w:ascii="Times New Roman" w:hAnsi="Times New Roman" w:cs="Times New Roman"/>
          <w:kern w:val="0"/>
          <w:sz w:val="24"/>
          <w:szCs w:val="24"/>
          <w:lang w:val="en-US"/>
        </w:rPr>
        <w:t>.</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 xml:space="preserve">Cole, Matthew A. (2004), Trade, the pollution haven hypothesis and the environmental Kuznets curve: examining the linkages, </w:t>
      </w:r>
      <w:r w:rsidRPr="00C628D7">
        <w:rPr>
          <w:rFonts w:ascii="Times New Roman" w:hAnsi="Times New Roman" w:cs="Times New Roman"/>
          <w:i/>
          <w:iCs/>
          <w:kern w:val="0"/>
          <w:sz w:val="24"/>
          <w:szCs w:val="24"/>
          <w:lang w:val="en-US"/>
        </w:rPr>
        <w:t>Ecological Economics</w:t>
      </w:r>
      <w:r w:rsidRPr="00C628D7">
        <w:rPr>
          <w:rFonts w:ascii="Times New Roman" w:hAnsi="Times New Roman" w:cs="Times New Roman"/>
          <w:kern w:val="0"/>
          <w:sz w:val="24"/>
          <w:szCs w:val="24"/>
          <w:lang w:val="en-US"/>
        </w:rPr>
        <w:t xml:space="preserve">, 48, 71-81. </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lastRenderedPageBreak/>
        <w:t>Dean</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Judith M., Lovel</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Mary E. and Wang</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Hua (2009), Are foreign investors attracted to weak environmental regulations? Evaluating the evidence from China, </w:t>
      </w:r>
      <w:r w:rsidRPr="00C628D7">
        <w:rPr>
          <w:rFonts w:ascii="Times New Roman" w:hAnsi="Times New Roman" w:cs="Times New Roman"/>
          <w:i/>
          <w:iCs/>
          <w:kern w:val="0"/>
          <w:sz w:val="24"/>
          <w:szCs w:val="24"/>
          <w:lang w:val="en-US"/>
        </w:rPr>
        <w:t>Journal of Development Economics</w:t>
      </w:r>
      <w:r w:rsidRPr="00C628D7">
        <w:rPr>
          <w:rFonts w:ascii="Times New Roman" w:hAnsi="Times New Roman" w:cs="Times New Roman"/>
          <w:kern w:val="0"/>
          <w:sz w:val="24"/>
          <w:szCs w:val="24"/>
          <w:lang w:val="en-US"/>
        </w:rPr>
        <w:t xml:space="preserve">, 90, 1-13, </w:t>
      </w:r>
      <w:r w:rsidRPr="00C628D7">
        <w:rPr>
          <w:rStyle w:val="Kpr"/>
          <w:rFonts w:ascii="Times New Roman" w:hAnsi="Times New Roman" w:cs="Times New Roman"/>
          <w:color w:val="auto"/>
          <w:sz w:val="24"/>
          <w:szCs w:val="24"/>
          <w:u w:val="none"/>
          <w:lang w:val="en-US"/>
        </w:rPr>
        <w:t>doi:10.1016/j.jdeveco.2008.11.007</w:t>
      </w:r>
    </w:p>
    <w:p w:rsidR="00051079" w:rsidRPr="00C628D7" w:rsidRDefault="00051079"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Essandoh</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Obed Kwame, Islam</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Moinul and Kakinaka</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Makoto (2020), Linking international trade and foreign direct investment to CO</w:t>
      </w:r>
      <w:r w:rsidRPr="00C628D7">
        <w:rPr>
          <w:rFonts w:ascii="Times New Roman" w:hAnsi="Times New Roman" w:cs="Times New Roman"/>
          <w:sz w:val="24"/>
          <w:szCs w:val="24"/>
          <w:vertAlign w:val="subscript"/>
          <w:lang w:val="en-US"/>
        </w:rPr>
        <w:t>2</w:t>
      </w:r>
      <w:r w:rsidRPr="00C628D7">
        <w:rPr>
          <w:rFonts w:ascii="Times New Roman" w:hAnsi="Times New Roman" w:cs="Times New Roman"/>
          <w:sz w:val="24"/>
          <w:szCs w:val="24"/>
          <w:lang w:val="en-US"/>
        </w:rPr>
        <w:t xml:space="preserve"> emissions: Any differences between developed and developing countries? , </w:t>
      </w:r>
      <w:r w:rsidRPr="00C628D7">
        <w:rPr>
          <w:rFonts w:ascii="Times New Roman" w:hAnsi="Times New Roman" w:cs="Times New Roman"/>
          <w:i/>
          <w:iCs/>
          <w:sz w:val="24"/>
          <w:szCs w:val="24"/>
          <w:lang w:val="en-US"/>
        </w:rPr>
        <w:t>Science of the Total Environment</w:t>
      </w:r>
      <w:r w:rsidRPr="00C628D7">
        <w:rPr>
          <w:rFonts w:ascii="Times New Roman" w:hAnsi="Times New Roman" w:cs="Times New Roman"/>
          <w:sz w:val="24"/>
          <w:szCs w:val="24"/>
          <w:lang w:val="en-US"/>
        </w:rPr>
        <w:t xml:space="preserve">, 712, 136437, </w:t>
      </w:r>
      <w:r w:rsidRPr="00C628D7">
        <w:rPr>
          <w:rStyle w:val="Kpr"/>
          <w:rFonts w:ascii="Times New Roman" w:hAnsi="Times New Roman" w:cs="Times New Roman"/>
          <w:color w:val="auto"/>
          <w:sz w:val="24"/>
          <w:szCs w:val="24"/>
          <w:u w:val="none"/>
          <w:lang w:val="en-US"/>
        </w:rPr>
        <w:t>https://doi.org/10.1016/j.scitotenv.2019.136437</w:t>
      </w:r>
    </w:p>
    <w:p w:rsidR="00035681" w:rsidRPr="00C628D7" w:rsidRDefault="00035681"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kern w:val="0"/>
          <w:sz w:val="24"/>
          <w:szCs w:val="24"/>
          <w:lang w:val="en-US"/>
        </w:rPr>
        <w:t xml:space="preserve">French, Hilary (1998) Capital flows and the environment, </w:t>
      </w:r>
      <w:r w:rsidRPr="00C628D7">
        <w:rPr>
          <w:rFonts w:ascii="Times New Roman" w:hAnsi="Times New Roman" w:cs="Times New Roman"/>
          <w:i/>
          <w:iCs/>
          <w:kern w:val="0"/>
          <w:sz w:val="24"/>
          <w:szCs w:val="24"/>
          <w:lang w:val="en-US"/>
        </w:rPr>
        <w:t>Foreign Policy in Focus</w:t>
      </w:r>
      <w:r w:rsidRPr="00C628D7">
        <w:rPr>
          <w:rFonts w:ascii="Times New Roman" w:hAnsi="Times New Roman" w:cs="Times New Roman"/>
          <w:kern w:val="0"/>
          <w:sz w:val="24"/>
          <w:szCs w:val="24"/>
          <w:lang w:val="en-US"/>
        </w:rPr>
        <w:t xml:space="preserve">, </w:t>
      </w:r>
      <w:hyperlink r:id="rId19" w:history="1">
        <w:r w:rsidRPr="00C628D7">
          <w:rPr>
            <w:rStyle w:val="Kpr"/>
            <w:rFonts w:ascii="Times New Roman" w:hAnsi="Times New Roman" w:cs="Times New Roman"/>
            <w:color w:val="auto"/>
            <w:kern w:val="0"/>
            <w:sz w:val="24"/>
            <w:szCs w:val="24"/>
            <w:u w:val="none"/>
            <w:lang w:val="en-US"/>
          </w:rPr>
          <w:t>https://fpif.org/capital_flows_and_the_environment/</w:t>
        </w:r>
      </w:hyperlink>
      <w:r w:rsidRPr="00C628D7">
        <w:rPr>
          <w:rFonts w:ascii="Times New Roman" w:hAnsi="Times New Roman" w:cs="Times New Roman"/>
          <w:kern w:val="0"/>
          <w:sz w:val="24"/>
          <w:szCs w:val="24"/>
          <w:lang w:val="en-US"/>
        </w:rPr>
        <w:t xml:space="preserve"> [Retrieved date: </w:t>
      </w:r>
      <w:r w:rsidRPr="00C628D7">
        <w:rPr>
          <w:rFonts w:ascii="Times New Roman" w:hAnsi="Times New Roman" w:cs="Times New Roman"/>
          <w:sz w:val="24"/>
          <w:szCs w:val="24"/>
          <w:lang w:val="en-US"/>
        </w:rPr>
        <w:t xml:space="preserve">04.24.2023]. </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Haug</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Alfred A. and Ucal</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Meltem (2019), The role of trade and FDI for 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emissions in Turkey: Nonlinear relationships,</w:t>
      </w:r>
      <w:r w:rsidRPr="00C628D7">
        <w:rPr>
          <w:rFonts w:ascii="Times New Roman" w:hAnsi="Times New Roman" w:cs="Times New Roman"/>
          <w:i/>
          <w:iCs/>
          <w:kern w:val="0"/>
          <w:sz w:val="24"/>
          <w:szCs w:val="24"/>
          <w:lang w:val="en-US"/>
        </w:rPr>
        <w:t xml:space="preserve"> Energy Economics</w:t>
      </w:r>
      <w:r w:rsidRPr="00C628D7">
        <w:rPr>
          <w:rFonts w:ascii="Times New Roman" w:hAnsi="Times New Roman" w:cs="Times New Roman"/>
          <w:kern w:val="0"/>
          <w:sz w:val="24"/>
          <w:szCs w:val="24"/>
          <w:lang w:val="en-US"/>
        </w:rPr>
        <w:t>, 81, 297-307,</w:t>
      </w:r>
      <w:hyperlink r:id="rId20" w:history="1">
        <w:r w:rsidRPr="00C628D7">
          <w:rPr>
            <w:rStyle w:val="Kpr"/>
            <w:rFonts w:ascii="Times New Roman" w:hAnsi="Times New Roman" w:cs="Times New Roman"/>
            <w:color w:val="auto"/>
            <w:kern w:val="0"/>
            <w:sz w:val="24"/>
            <w:szCs w:val="24"/>
            <w:u w:val="none"/>
            <w:lang w:val="en-US"/>
          </w:rPr>
          <w:t>https://doi.org/10.1016/j.eneco.2019.04.006</w:t>
        </w:r>
      </w:hyperlink>
      <w:r w:rsidRPr="00C628D7">
        <w:rPr>
          <w:rFonts w:ascii="Times New Roman" w:hAnsi="Times New Roman" w:cs="Times New Roman"/>
          <w:kern w:val="0"/>
          <w:sz w:val="24"/>
          <w:szCs w:val="24"/>
          <w:lang w:val="en-US"/>
        </w:rPr>
        <w:t xml:space="preserve">. </w:t>
      </w:r>
    </w:p>
    <w:p w:rsidR="00065871" w:rsidRPr="00C628D7" w:rsidRDefault="00065871" w:rsidP="00C628D7">
      <w:pPr>
        <w:spacing w:before="120" w:after="120" w:line="300" w:lineRule="auto"/>
        <w:jc w:val="both"/>
        <w:rPr>
          <w:rFonts w:ascii="Times New Roman" w:eastAsia="AdvTimes" w:hAnsi="Times New Roman" w:cs="Times New Roman"/>
          <w:kern w:val="0"/>
          <w:sz w:val="24"/>
          <w:szCs w:val="24"/>
          <w:lang w:val="en-US"/>
        </w:rPr>
      </w:pPr>
      <w:r w:rsidRPr="00C628D7">
        <w:rPr>
          <w:rFonts w:ascii="Times New Roman" w:eastAsia="AdvTimes" w:hAnsi="Times New Roman" w:cs="Times New Roman"/>
          <w:kern w:val="0"/>
          <w:sz w:val="24"/>
          <w:szCs w:val="24"/>
          <w:lang w:val="en-US"/>
        </w:rPr>
        <w:t>Kander</w:t>
      </w:r>
      <w:r w:rsidR="00C628D7">
        <w:rPr>
          <w:rFonts w:ascii="Times New Roman" w:eastAsia="AdvTimes" w:hAnsi="Times New Roman" w:cs="Times New Roman"/>
          <w:kern w:val="0"/>
          <w:sz w:val="24"/>
          <w:szCs w:val="24"/>
          <w:lang w:val="en-US"/>
        </w:rPr>
        <w:t>,</w:t>
      </w:r>
      <w:r w:rsidRPr="00C628D7">
        <w:rPr>
          <w:rFonts w:ascii="Times New Roman" w:eastAsia="AdvTimes" w:hAnsi="Times New Roman" w:cs="Times New Roman"/>
          <w:kern w:val="0"/>
          <w:sz w:val="24"/>
          <w:szCs w:val="24"/>
          <w:lang w:val="en-US"/>
        </w:rPr>
        <w:t xml:space="preserve"> Astrid and Lindmark</w:t>
      </w:r>
      <w:r w:rsidR="00C628D7">
        <w:rPr>
          <w:rFonts w:ascii="Times New Roman" w:eastAsia="AdvTimes" w:hAnsi="Times New Roman" w:cs="Times New Roman"/>
          <w:kern w:val="0"/>
          <w:sz w:val="24"/>
          <w:szCs w:val="24"/>
          <w:lang w:val="en-US"/>
        </w:rPr>
        <w:t>,</w:t>
      </w:r>
      <w:r w:rsidRPr="00C628D7">
        <w:rPr>
          <w:rFonts w:ascii="Times New Roman" w:eastAsia="AdvTimes" w:hAnsi="Times New Roman" w:cs="Times New Roman"/>
          <w:kern w:val="0"/>
          <w:sz w:val="24"/>
          <w:szCs w:val="24"/>
          <w:lang w:val="en-US"/>
        </w:rPr>
        <w:t xml:space="preserve"> Magnus (2006), Foreign trade and declining pollution in Sweden: a decomposition analysis of long-term structural and technological effects, </w:t>
      </w:r>
      <w:r w:rsidRPr="00C628D7">
        <w:rPr>
          <w:rFonts w:ascii="Times New Roman" w:eastAsia="AdvTimes" w:hAnsi="Times New Roman" w:cs="Times New Roman"/>
          <w:i/>
          <w:iCs/>
          <w:kern w:val="0"/>
          <w:sz w:val="24"/>
          <w:szCs w:val="24"/>
          <w:lang w:val="en-US"/>
        </w:rPr>
        <w:t>Energy Policy,</w:t>
      </w:r>
      <w:r w:rsidRPr="00C628D7">
        <w:rPr>
          <w:rFonts w:ascii="Times New Roman" w:eastAsia="AdvTimes" w:hAnsi="Times New Roman" w:cs="Times New Roman"/>
          <w:kern w:val="0"/>
          <w:sz w:val="24"/>
          <w:szCs w:val="24"/>
          <w:lang w:val="en-US"/>
        </w:rPr>
        <w:t xml:space="preserve"> 34, 1590-1599, doi:10.1016/j.enpol.2004.12.007</w:t>
      </w:r>
    </w:p>
    <w:p w:rsidR="00035681" w:rsidRPr="00C628D7" w:rsidRDefault="00035681" w:rsidP="00C628D7">
      <w:pPr>
        <w:spacing w:before="120" w:after="120" w:line="300" w:lineRule="auto"/>
        <w:jc w:val="both"/>
        <w:rPr>
          <w:rFonts w:ascii="Times New Roman" w:eastAsia="AdvTimes" w:hAnsi="Times New Roman" w:cs="Times New Roman"/>
          <w:kern w:val="0"/>
          <w:sz w:val="24"/>
          <w:szCs w:val="24"/>
          <w:lang w:val="en-US"/>
        </w:rPr>
      </w:pPr>
      <w:r w:rsidRPr="00C628D7">
        <w:rPr>
          <w:rFonts w:ascii="Times New Roman" w:hAnsi="Times New Roman" w:cs="Times New Roman"/>
          <w:kern w:val="0"/>
          <w:sz w:val="24"/>
          <w:szCs w:val="24"/>
          <w:lang w:val="en-US"/>
        </w:rPr>
        <w:t>Kaplan</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David M. and Sun</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Yıxıao (2017), Smoothed Estimating Equations for Instrumental Variables Quantile Regression, </w:t>
      </w:r>
      <w:r w:rsidRPr="00C628D7">
        <w:rPr>
          <w:rFonts w:ascii="Times New Roman" w:hAnsi="Times New Roman" w:cs="Times New Roman"/>
          <w:i/>
          <w:iCs/>
          <w:kern w:val="0"/>
          <w:sz w:val="24"/>
          <w:szCs w:val="24"/>
          <w:lang w:val="en-US"/>
        </w:rPr>
        <w:t>Econometric Theory</w:t>
      </w:r>
      <w:r w:rsidRPr="00C628D7">
        <w:rPr>
          <w:rFonts w:ascii="Times New Roman" w:hAnsi="Times New Roman" w:cs="Times New Roman"/>
          <w:kern w:val="0"/>
          <w:sz w:val="24"/>
          <w:szCs w:val="24"/>
          <w:lang w:val="en-US"/>
        </w:rPr>
        <w:t xml:space="preserve">, 33, 105-157, doi:10.1017/S0266466615000407. </w:t>
      </w:r>
    </w:p>
    <w:p w:rsidR="00051079" w:rsidRPr="00C628D7" w:rsidRDefault="00051079"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Keho</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Yaya (2015), Is foreign direct investment good or bad for the environment? Times series evidence from ECOWAS countries, </w:t>
      </w:r>
      <w:r w:rsidRPr="00C628D7">
        <w:rPr>
          <w:rFonts w:ascii="Times New Roman" w:hAnsi="Times New Roman" w:cs="Times New Roman"/>
          <w:i/>
          <w:iCs/>
          <w:sz w:val="24"/>
          <w:szCs w:val="24"/>
          <w:lang w:val="en-US"/>
        </w:rPr>
        <w:t>Economics Bulletin</w:t>
      </w:r>
      <w:r w:rsidRPr="00C628D7">
        <w:rPr>
          <w:rFonts w:ascii="Times New Roman" w:hAnsi="Times New Roman" w:cs="Times New Roman"/>
          <w:sz w:val="24"/>
          <w:szCs w:val="24"/>
          <w:lang w:val="en-US"/>
        </w:rPr>
        <w:t xml:space="preserve">, 35(3), 1916-1927. </w:t>
      </w:r>
    </w:p>
    <w:p w:rsidR="00035681" w:rsidRPr="00C628D7" w:rsidRDefault="00035681"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kern w:val="0"/>
          <w:sz w:val="24"/>
          <w:szCs w:val="24"/>
          <w:lang w:val="en-US"/>
        </w:rPr>
        <w:t>Khan</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Muhammad Azam and Ozturk</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İlhan (2020), Examining foreign direct investment and environmental pollution linkage in Asia, </w:t>
      </w:r>
      <w:r w:rsidRPr="00C628D7">
        <w:rPr>
          <w:rFonts w:ascii="Times New Roman" w:hAnsi="Times New Roman" w:cs="Times New Roman"/>
          <w:i/>
          <w:iCs/>
          <w:kern w:val="0"/>
          <w:sz w:val="24"/>
          <w:szCs w:val="24"/>
          <w:lang w:val="en-US"/>
        </w:rPr>
        <w:t>Environmental Science and Pollution Research</w:t>
      </w:r>
      <w:r w:rsidRPr="00C628D7">
        <w:rPr>
          <w:rFonts w:ascii="Times New Roman" w:hAnsi="Times New Roman" w:cs="Times New Roman"/>
          <w:kern w:val="0"/>
          <w:sz w:val="24"/>
          <w:szCs w:val="24"/>
          <w:lang w:val="en-US"/>
        </w:rPr>
        <w:t xml:space="preserve">, </w:t>
      </w:r>
      <w:r w:rsidRPr="00C628D7">
        <w:rPr>
          <w:rFonts w:ascii="Times New Roman" w:hAnsi="Times New Roman" w:cs="Times New Roman"/>
          <w:sz w:val="24"/>
          <w:szCs w:val="24"/>
          <w:lang w:val="en-US"/>
        </w:rPr>
        <w:t xml:space="preserve">27, 7244-7255, </w:t>
      </w:r>
      <w:r w:rsidRPr="00C628D7">
        <w:rPr>
          <w:rStyle w:val="Kpr"/>
          <w:rFonts w:ascii="Times New Roman" w:hAnsi="Times New Roman" w:cs="Times New Roman"/>
          <w:color w:val="auto"/>
          <w:sz w:val="24"/>
          <w:szCs w:val="24"/>
          <w:u w:val="none"/>
          <w:lang w:val="en-US"/>
        </w:rPr>
        <w:t>DOI: 10.1007/s11356-019-07387-x</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Koçak</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Emrah and Şarkgüneşi</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Aykut (2018), The impact of foreign direct investment on 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emissions in Turkey: new evidence from cointegration and bootstrap causality analysis, </w:t>
      </w:r>
      <w:r w:rsidRPr="00C628D7">
        <w:rPr>
          <w:rFonts w:ascii="Times New Roman" w:hAnsi="Times New Roman" w:cs="Times New Roman"/>
          <w:i/>
          <w:iCs/>
          <w:kern w:val="0"/>
          <w:sz w:val="24"/>
          <w:szCs w:val="24"/>
          <w:lang w:val="en-US"/>
        </w:rPr>
        <w:t>Environmental Science and Pollution Research,</w:t>
      </w:r>
      <w:r w:rsidRPr="00C628D7">
        <w:rPr>
          <w:rFonts w:ascii="Times New Roman" w:hAnsi="Times New Roman" w:cs="Times New Roman"/>
          <w:sz w:val="24"/>
          <w:szCs w:val="24"/>
          <w:lang w:val="en-US"/>
        </w:rPr>
        <w:t xml:space="preserve"> 25, 790-804</w:t>
      </w:r>
      <w:r w:rsidRPr="00C628D7">
        <w:rPr>
          <w:rFonts w:ascii="Times New Roman" w:hAnsi="Times New Roman" w:cs="Times New Roman"/>
          <w:kern w:val="0"/>
          <w:sz w:val="24"/>
          <w:szCs w:val="24"/>
          <w:lang w:val="en-US"/>
        </w:rPr>
        <w:t xml:space="preserve">, </w:t>
      </w:r>
      <w:r w:rsidRPr="00C628D7">
        <w:rPr>
          <w:rStyle w:val="Kpr"/>
          <w:rFonts w:ascii="Times New Roman" w:hAnsi="Times New Roman" w:cs="Times New Roman"/>
          <w:color w:val="auto"/>
          <w:sz w:val="24"/>
          <w:szCs w:val="24"/>
          <w:u w:val="none"/>
          <w:lang w:val="en-US"/>
        </w:rPr>
        <w:t>DOI: 10.1007/s11356-017-0468-</w:t>
      </w:r>
      <w:r w:rsidRPr="00C628D7">
        <w:rPr>
          <w:rFonts w:ascii="Times New Roman" w:hAnsi="Times New Roman" w:cs="Times New Roman"/>
          <w:kern w:val="0"/>
          <w:sz w:val="24"/>
          <w:szCs w:val="24"/>
          <w:lang w:val="en-US"/>
        </w:rPr>
        <w:t xml:space="preserve">2. </w:t>
      </w:r>
    </w:p>
    <w:p w:rsidR="003D3FAA" w:rsidRPr="00C628D7" w:rsidRDefault="003D3FAA"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Mengjie</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Li, Weijian Du, Zhaohua</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Wang (2023), Export globalization and pollution localization: Multivariate heterogeneous data based on Chinese enterprises, </w:t>
      </w:r>
      <w:r w:rsidRPr="00C628D7">
        <w:rPr>
          <w:rFonts w:ascii="Times New Roman" w:hAnsi="Times New Roman" w:cs="Times New Roman"/>
          <w:i/>
          <w:iCs/>
          <w:kern w:val="0"/>
          <w:sz w:val="24"/>
          <w:szCs w:val="24"/>
          <w:lang w:val="en-US"/>
        </w:rPr>
        <w:t>Energy Reports</w:t>
      </w:r>
      <w:r w:rsidRPr="00C628D7">
        <w:rPr>
          <w:rFonts w:ascii="Times New Roman" w:hAnsi="Times New Roman" w:cs="Times New Roman"/>
          <w:kern w:val="0"/>
          <w:sz w:val="24"/>
          <w:szCs w:val="24"/>
          <w:lang w:val="en-US"/>
        </w:rPr>
        <w:t>, 9, 472</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483, </w:t>
      </w:r>
      <w:hyperlink r:id="rId21" w:history="1">
        <w:r w:rsidRPr="00C628D7">
          <w:rPr>
            <w:rStyle w:val="Kpr"/>
            <w:rFonts w:ascii="Times New Roman" w:hAnsi="Times New Roman" w:cs="Times New Roman"/>
            <w:color w:val="auto"/>
            <w:kern w:val="0"/>
            <w:sz w:val="24"/>
            <w:szCs w:val="24"/>
            <w:u w:val="none"/>
            <w:lang w:val="en-US"/>
          </w:rPr>
          <w:t>https://doi.org/10.1016/j.egyr.2022.11.203</w:t>
        </w:r>
      </w:hyperlink>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Muhammad</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Bashir and Khan</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Sher (2019), Effect of bilateral FDI, energy consumption, 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 and capital on economic growth of Asia countries, </w:t>
      </w:r>
      <w:r w:rsidRPr="00C628D7">
        <w:rPr>
          <w:rFonts w:ascii="Times New Roman" w:hAnsi="Times New Roman" w:cs="Times New Roman"/>
          <w:i/>
          <w:iCs/>
          <w:kern w:val="0"/>
          <w:sz w:val="24"/>
          <w:szCs w:val="24"/>
          <w:lang w:val="en-US"/>
        </w:rPr>
        <w:t>Energy Reports</w:t>
      </w:r>
      <w:r w:rsidRPr="00C628D7">
        <w:rPr>
          <w:rFonts w:ascii="Times New Roman" w:hAnsi="Times New Roman" w:cs="Times New Roman"/>
          <w:kern w:val="0"/>
          <w:sz w:val="24"/>
          <w:szCs w:val="24"/>
          <w:lang w:val="en-US"/>
        </w:rPr>
        <w:t xml:space="preserve">, 5, 1305-1315,  </w:t>
      </w:r>
      <w:hyperlink r:id="rId22" w:history="1">
        <w:r w:rsidRPr="00C628D7">
          <w:rPr>
            <w:rStyle w:val="Kpr"/>
            <w:rFonts w:ascii="Times New Roman" w:hAnsi="Times New Roman" w:cs="Times New Roman"/>
            <w:color w:val="auto"/>
            <w:kern w:val="0"/>
            <w:sz w:val="24"/>
            <w:szCs w:val="24"/>
            <w:u w:val="none"/>
            <w:lang w:val="en-US"/>
          </w:rPr>
          <w:t>https://doi.org/10.1016/j.egyr.2019.09.004</w:t>
        </w:r>
      </w:hyperlink>
      <w:r w:rsidRPr="00C628D7">
        <w:rPr>
          <w:rFonts w:ascii="Times New Roman" w:hAnsi="Times New Roman" w:cs="Times New Roman"/>
          <w:kern w:val="0"/>
          <w:sz w:val="24"/>
          <w:szCs w:val="24"/>
          <w:lang w:val="en-US"/>
        </w:rPr>
        <w:t xml:space="preserve">. </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Muhammad, Bashir (2019), Energy consumption, 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emissions and economic growth in developed, emerging and Middle East and North Africa countries, </w:t>
      </w:r>
      <w:r w:rsidRPr="00C628D7">
        <w:rPr>
          <w:rFonts w:ascii="Times New Roman" w:hAnsi="Times New Roman" w:cs="Times New Roman"/>
          <w:i/>
          <w:iCs/>
          <w:kern w:val="0"/>
          <w:sz w:val="24"/>
          <w:szCs w:val="24"/>
          <w:lang w:val="en-US"/>
        </w:rPr>
        <w:t>Energy</w:t>
      </w:r>
      <w:r w:rsidRPr="00C628D7">
        <w:rPr>
          <w:rFonts w:ascii="Times New Roman" w:hAnsi="Times New Roman" w:cs="Times New Roman"/>
          <w:kern w:val="0"/>
          <w:sz w:val="24"/>
          <w:szCs w:val="24"/>
          <w:lang w:val="en-US"/>
        </w:rPr>
        <w:t xml:space="preserve">, 179, 232- 245. </w:t>
      </w:r>
      <w:hyperlink r:id="rId23" w:history="1">
        <w:r w:rsidRPr="00C628D7">
          <w:rPr>
            <w:rStyle w:val="Kpr"/>
            <w:rFonts w:ascii="Times New Roman" w:hAnsi="Times New Roman" w:cs="Times New Roman"/>
            <w:color w:val="auto"/>
            <w:kern w:val="0"/>
            <w:sz w:val="24"/>
            <w:szCs w:val="24"/>
            <w:u w:val="none"/>
            <w:lang w:val="en-US"/>
          </w:rPr>
          <w:t>https://doi.org/10.1016/j.energy.2019.03.126</w:t>
        </w:r>
      </w:hyperlink>
      <w:r w:rsidRPr="00C628D7">
        <w:rPr>
          <w:rFonts w:ascii="Times New Roman" w:hAnsi="Times New Roman" w:cs="Times New Roman"/>
          <w:kern w:val="0"/>
          <w:sz w:val="24"/>
          <w:szCs w:val="24"/>
          <w:lang w:val="en-US"/>
        </w:rPr>
        <w:t xml:space="preserve">. </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lastRenderedPageBreak/>
        <w:t>Omri</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Anis, Nguyen</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Duc Khuong and Rault</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Christophe (2014), Causal interactions between 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emissions, FDI, and economic growth: Evidence from dynamic simultaneous-equation models, </w:t>
      </w:r>
      <w:r w:rsidRPr="00C628D7">
        <w:rPr>
          <w:rFonts w:ascii="Times New Roman" w:hAnsi="Times New Roman" w:cs="Times New Roman"/>
          <w:i/>
          <w:iCs/>
          <w:kern w:val="0"/>
          <w:sz w:val="24"/>
          <w:szCs w:val="24"/>
          <w:lang w:val="en-US"/>
        </w:rPr>
        <w:t>Economic Modelling</w:t>
      </w:r>
      <w:r w:rsidRPr="00C628D7">
        <w:rPr>
          <w:rFonts w:ascii="Times New Roman" w:hAnsi="Times New Roman" w:cs="Times New Roman"/>
          <w:kern w:val="0"/>
          <w:sz w:val="24"/>
          <w:szCs w:val="24"/>
          <w:lang w:val="en-US"/>
        </w:rPr>
        <w:t>, 42, 382</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389, </w:t>
      </w:r>
      <w:hyperlink r:id="rId24" w:history="1">
        <w:r w:rsidRPr="00C628D7">
          <w:rPr>
            <w:rStyle w:val="Kpr"/>
            <w:rFonts w:ascii="Times New Roman" w:hAnsi="Times New Roman" w:cs="Times New Roman"/>
            <w:color w:val="auto"/>
            <w:kern w:val="0"/>
            <w:sz w:val="24"/>
            <w:szCs w:val="24"/>
            <w:u w:val="none"/>
            <w:lang w:val="en-US"/>
          </w:rPr>
          <w:t>http://dx.doi.org/10.1016/j.econmod.2014.07.026</w:t>
        </w:r>
      </w:hyperlink>
    </w:p>
    <w:p w:rsidR="00035681" w:rsidRPr="00C628D7" w:rsidRDefault="00035681"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O’ Neill, Jim (2001), Building better global economic BRICs. Global Economics Paper Series (No. 66), 30</w:t>
      </w:r>
      <w:r w:rsidRPr="00C628D7">
        <w:rPr>
          <w:rFonts w:ascii="Times New Roman" w:hAnsi="Times New Roman" w:cs="Times New Roman"/>
          <w:sz w:val="24"/>
          <w:szCs w:val="24"/>
          <w:vertAlign w:val="superscript"/>
          <w:lang w:val="en-US"/>
        </w:rPr>
        <w:t>th</w:t>
      </w:r>
      <w:r w:rsidRPr="00C628D7">
        <w:rPr>
          <w:rFonts w:ascii="Times New Roman" w:hAnsi="Times New Roman" w:cs="Times New Roman"/>
          <w:sz w:val="24"/>
          <w:szCs w:val="24"/>
          <w:lang w:val="en-US"/>
        </w:rPr>
        <w:t xml:space="preserve"> November 2001, Goldman Sachs Global Research Centers. </w:t>
      </w:r>
    </w:p>
    <w:p w:rsidR="00035681" w:rsidRPr="00C628D7" w:rsidRDefault="00035681"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 xml:space="preserve">OWD, Our World in Data (2023a), </w:t>
      </w:r>
      <w:hyperlink r:id="rId25" w:history="1">
        <w:r w:rsidRPr="00C628D7">
          <w:rPr>
            <w:rStyle w:val="Kpr"/>
            <w:rFonts w:ascii="Times New Roman" w:hAnsi="Times New Roman" w:cs="Times New Roman"/>
            <w:color w:val="auto"/>
            <w:sz w:val="24"/>
            <w:szCs w:val="24"/>
            <w:u w:val="none"/>
            <w:lang w:val="en-US"/>
          </w:rPr>
          <w:t>https://ourworldindata.org/co2-emissions</w:t>
        </w:r>
      </w:hyperlink>
      <w:r w:rsidRPr="00C628D7">
        <w:rPr>
          <w:rStyle w:val="Kpr"/>
          <w:rFonts w:ascii="Times New Roman" w:hAnsi="Times New Roman" w:cs="Times New Roman"/>
          <w:color w:val="auto"/>
          <w:sz w:val="24"/>
          <w:szCs w:val="24"/>
          <w:u w:val="none"/>
          <w:lang w:val="en-US"/>
        </w:rPr>
        <w:t xml:space="preserve">, </w:t>
      </w:r>
      <w:r w:rsidRPr="00C628D7">
        <w:rPr>
          <w:rFonts w:ascii="Times New Roman" w:hAnsi="Times New Roman" w:cs="Times New Roman"/>
          <w:kern w:val="0"/>
          <w:sz w:val="24"/>
          <w:szCs w:val="24"/>
          <w:lang w:val="en-US"/>
        </w:rPr>
        <w:t xml:space="preserve">[Retrieved date: </w:t>
      </w:r>
      <w:r w:rsidRPr="00C628D7">
        <w:rPr>
          <w:rFonts w:ascii="Times New Roman" w:hAnsi="Times New Roman" w:cs="Times New Roman"/>
          <w:sz w:val="24"/>
          <w:szCs w:val="24"/>
          <w:lang w:val="en-US"/>
        </w:rPr>
        <w:t xml:space="preserve">04.20.2023]. </w:t>
      </w:r>
    </w:p>
    <w:p w:rsidR="00035681" w:rsidRPr="00C628D7" w:rsidRDefault="00035681"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 xml:space="preserve">OWD, Our World in Data (2023b), </w:t>
      </w:r>
      <w:hyperlink r:id="rId26" w:history="1">
        <w:r w:rsidRPr="00C628D7">
          <w:rPr>
            <w:rStyle w:val="Kpr"/>
            <w:rFonts w:ascii="Times New Roman" w:hAnsi="Times New Roman" w:cs="Times New Roman"/>
            <w:color w:val="auto"/>
            <w:sz w:val="24"/>
            <w:szCs w:val="24"/>
            <w:u w:val="none"/>
            <w:lang w:val="en-US"/>
          </w:rPr>
          <w:t>https://ourworldindata.org/energy</w:t>
        </w:r>
      </w:hyperlink>
      <w:r w:rsidRPr="00C628D7">
        <w:rPr>
          <w:rStyle w:val="Kpr"/>
          <w:rFonts w:ascii="Times New Roman" w:hAnsi="Times New Roman" w:cs="Times New Roman"/>
          <w:color w:val="auto"/>
          <w:sz w:val="24"/>
          <w:szCs w:val="24"/>
          <w:u w:val="none"/>
          <w:lang w:val="en-US"/>
        </w:rPr>
        <w:t xml:space="preserve">, </w:t>
      </w:r>
      <w:r w:rsidRPr="00C628D7">
        <w:rPr>
          <w:rFonts w:ascii="Times New Roman" w:hAnsi="Times New Roman" w:cs="Times New Roman"/>
          <w:kern w:val="0"/>
          <w:sz w:val="24"/>
          <w:szCs w:val="24"/>
          <w:lang w:val="en-US"/>
        </w:rPr>
        <w:t xml:space="preserve">[Retrieved date: </w:t>
      </w:r>
      <w:r w:rsidRPr="00C628D7">
        <w:rPr>
          <w:rFonts w:ascii="Times New Roman" w:hAnsi="Times New Roman" w:cs="Times New Roman"/>
          <w:sz w:val="24"/>
          <w:szCs w:val="24"/>
          <w:lang w:val="en-US"/>
        </w:rPr>
        <w:t>04.20.2023].</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Pao</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Hsiao-Tien and Tsai</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Chung-Ming (2011), Multivariate Granger causality between 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emissions, energy consumption, FDI (foreign direct investment) and GDP (gross domestic product): Evidence from a panel of BRIC (Brazil, Russian Federation, India, and China) countries, </w:t>
      </w:r>
      <w:r w:rsidRPr="00C628D7">
        <w:rPr>
          <w:rFonts w:ascii="Times New Roman" w:hAnsi="Times New Roman" w:cs="Times New Roman"/>
          <w:i/>
          <w:iCs/>
          <w:kern w:val="0"/>
          <w:sz w:val="24"/>
          <w:szCs w:val="24"/>
          <w:lang w:val="en-US"/>
        </w:rPr>
        <w:t>Energy</w:t>
      </w:r>
      <w:r w:rsidRPr="00C628D7">
        <w:rPr>
          <w:rFonts w:ascii="Times New Roman" w:hAnsi="Times New Roman" w:cs="Times New Roman"/>
          <w:kern w:val="0"/>
          <w:sz w:val="24"/>
          <w:szCs w:val="24"/>
          <w:lang w:val="en-US"/>
        </w:rPr>
        <w:t xml:space="preserve">, 36, 685-693, </w:t>
      </w:r>
      <w:r w:rsidRPr="00C628D7">
        <w:rPr>
          <w:rStyle w:val="Kpr"/>
          <w:rFonts w:ascii="Times New Roman" w:hAnsi="Times New Roman" w:cs="Times New Roman"/>
          <w:color w:val="auto"/>
          <w:sz w:val="24"/>
          <w:szCs w:val="24"/>
          <w:u w:val="none"/>
          <w:lang w:val="en-US"/>
        </w:rPr>
        <w:t>doi:10.1016/j.energy.2010.09.041</w:t>
      </w:r>
    </w:p>
    <w:p w:rsidR="00051079" w:rsidRPr="00C628D7" w:rsidRDefault="00051079"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Peng</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Hongfeng, Tan</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Xiaoyu, Li</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Yanli</w:t>
      </w:r>
      <w:r w:rsidR="00C628D7">
        <w:rPr>
          <w:rFonts w:ascii="Times New Roman" w:hAnsi="Times New Roman" w:cs="Times New Roman"/>
          <w:sz w:val="24"/>
          <w:szCs w:val="24"/>
          <w:lang w:val="en-US"/>
        </w:rPr>
        <w:t xml:space="preserve"> and</w:t>
      </w:r>
      <w:r w:rsidRPr="00C628D7">
        <w:rPr>
          <w:rFonts w:ascii="Times New Roman" w:hAnsi="Times New Roman" w:cs="Times New Roman"/>
          <w:sz w:val="24"/>
          <w:szCs w:val="24"/>
          <w:lang w:val="en-US"/>
        </w:rPr>
        <w:t xml:space="preserve"> Hu</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Liqin (2016), Economic growth, foreign direct investment and CO emissions in China: a panel granger causality analysis</w:t>
      </w:r>
      <w:r w:rsidR="00D851BD" w:rsidRPr="00C628D7">
        <w:rPr>
          <w:rFonts w:ascii="Times New Roman" w:hAnsi="Times New Roman" w:cs="Times New Roman"/>
          <w:sz w:val="24"/>
          <w:szCs w:val="24"/>
          <w:lang w:val="en-US"/>
        </w:rPr>
        <w:t xml:space="preserve">, </w:t>
      </w:r>
      <w:r w:rsidRPr="00C628D7">
        <w:rPr>
          <w:rFonts w:ascii="Times New Roman" w:hAnsi="Times New Roman" w:cs="Times New Roman"/>
          <w:i/>
          <w:iCs/>
          <w:sz w:val="24"/>
          <w:szCs w:val="24"/>
          <w:lang w:val="en-US"/>
        </w:rPr>
        <w:t>Sustainability</w:t>
      </w:r>
      <w:r w:rsidRPr="00C628D7">
        <w:rPr>
          <w:rFonts w:ascii="Times New Roman" w:hAnsi="Times New Roman" w:cs="Times New Roman"/>
          <w:sz w:val="24"/>
          <w:szCs w:val="24"/>
          <w:lang w:val="en-US"/>
        </w:rPr>
        <w:t>, 8(233),1-13, doi:10.3390/su8030233</w:t>
      </w:r>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Shahbaz</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Muhammad, Balsalobre-Lorente</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Daniel and Sinha</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Avik (2019), Foreign direct Investment</w:t>
      </w:r>
      <w:r w:rsidR="001B737F" w:rsidRPr="00C628D7">
        <w:rPr>
          <w:rFonts w:ascii="Times New Roman" w:hAnsi="Times New Roman" w:cs="Times New Roman"/>
          <w:kern w:val="0"/>
          <w:sz w:val="24"/>
          <w:szCs w:val="24"/>
          <w:lang w:val="en-US"/>
        </w:rPr>
        <w:t xml:space="preserve">s </w:t>
      </w:r>
      <w:r w:rsidRPr="00C628D7">
        <w:rPr>
          <w:rFonts w:ascii="Times New Roman" w:hAnsi="Times New Roman" w:cs="Times New Roman"/>
          <w:kern w:val="0"/>
          <w:sz w:val="24"/>
          <w:szCs w:val="24"/>
          <w:lang w:val="en-US"/>
        </w:rPr>
        <w:t>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emissions nexus in Middle East and North African countries: Importance of biomass energy consumption, </w:t>
      </w:r>
      <w:r w:rsidRPr="00C628D7">
        <w:rPr>
          <w:rFonts w:ascii="Times New Roman" w:hAnsi="Times New Roman" w:cs="Times New Roman"/>
          <w:i/>
          <w:iCs/>
          <w:kern w:val="0"/>
          <w:sz w:val="24"/>
          <w:szCs w:val="24"/>
          <w:lang w:val="en-US"/>
        </w:rPr>
        <w:t>Journal of Cleaner Production</w:t>
      </w:r>
      <w:r w:rsidRPr="00C628D7">
        <w:rPr>
          <w:rFonts w:ascii="Times New Roman" w:hAnsi="Times New Roman" w:cs="Times New Roman"/>
          <w:kern w:val="0"/>
          <w:sz w:val="24"/>
          <w:szCs w:val="24"/>
          <w:lang w:val="en-US"/>
        </w:rPr>
        <w:t xml:space="preserve">, 217, 603-614, </w:t>
      </w:r>
      <w:hyperlink r:id="rId27" w:history="1">
        <w:r w:rsidRPr="00C628D7">
          <w:rPr>
            <w:rStyle w:val="Kpr"/>
            <w:rFonts w:ascii="Times New Roman" w:hAnsi="Times New Roman" w:cs="Times New Roman"/>
            <w:color w:val="auto"/>
            <w:kern w:val="0"/>
            <w:sz w:val="24"/>
            <w:szCs w:val="24"/>
            <w:u w:val="none"/>
            <w:lang w:val="en-US"/>
          </w:rPr>
          <w:t>https://doi.org/10.1016/j.jclepro.2019.01.282</w:t>
        </w:r>
      </w:hyperlink>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Salahuddin</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Mohammad, Alam</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Khorshed, Ozturk</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Ilhan and Sohag</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Kazi (2018), The effects of electricity consumption, economic growth, financial development and foreign direct investment on CO</w:t>
      </w:r>
      <w:r w:rsidRPr="00C628D7">
        <w:rPr>
          <w:rFonts w:ascii="Times New Roman" w:hAnsi="Times New Roman" w:cs="Times New Roman"/>
          <w:kern w:val="0"/>
          <w:sz w:val="24"/>
          <w:szCs w:val="24"/>
          <w:vertAlign w:val="subscript"/>
          <w:lang w:val="en-US"/>
        </w:rPr>
        <w:t>2</w:t>
      </w:r>
      <w:r w:rsidRPr="00C628D7">
        <w:rPr>
          <w:rFonts w:ascii="Times New Roman" w:hAnsi="Times New Roman" w:cs="Times New Roman"/>
          <w:kern w:val="0"/>
          <w:sz w:val="24"/>
          <w:szCs w:val="24"/>
          <w:lang w:val="en-US"/>
        </w:rPr>
        <w:t xml:space="preserve"> emissions in Kuwait, </w:t>
      </w:r>
      <w:r w:rsidRPr="00C628D7">
        <w:rPr>
          <w:rFonts w:ascii="Times New Roman" w:hAnsi="Times New Roman" w:cs="Times New Roman"/>
          <w:i/>
          <w:iCs/>
          <w:kern w:val="0"/>
          <w:sz w:val="24"/>
          <w:szCs w:val="24"/>
          <w:lang w:val="en-US"/>
        </w:rPr>
        <w:t>Renewable and Sustainable Energy Reviews</w:t>
      </w:r>
      <w:r w:rsidRPr="00C628D7">
        <w:rPr>
          <w:rFonts w:ascii="Times New Roman" w:hAnsi="Times New Roman" w:cs="Times New Roman"/>
          <w:kern w:val="0"/>
          <w:sz w:val="24"/>
          <w:szCs w:val="24"/>
          <w:lang w:val="en-US"/>
        </w:rPr>
        <w:t xml:space="preserve">, 81(2), 2002-2010, </w:t>
      </w:r>
      <w:hyperlink r:id="rId28" w:history="1">
        <w:r w:rsidRPr="00C628D7">
          <w:rPr>
            <w:rStyle w:val="Kpr"/>
            <w:rFonts w:ascii="Times New Roman" w:hAnsi="Times New Roman" w:cs="Times New Roman"/>
            <w:color w:val="auto"/>
            <w:kern w:val="0"/>
            <w:sz w:val="24"/>
            <w:szCs w:val="24"/>
            <w:u w:val="none"/>
            <w:lang w:val="en-US"/>
          </w:rPr>
          <w:t>https://doi.org/10.1016/j.rser.2017.06.009</w:t>
        </w:r>
      </w:hyperlink>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kern w:val="0"/>
          <w:sz w:val="24"/>
          <w:szCs w:val="24"/>
          <w:lang w:val="en-US"/>
        </w:rPr>
        <w:t>Sapkota</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Pratikshya and Bastola</w:t>
      </w:r>
      <w:r w:rsidR="00C628D7">
        <w:rPr>
          <w:rFonts w:ascii="Times New Roman" w:hAnsi="Times New Roman" w:cs="Times New Roman"/>
          <w:kern w:val="0"/>
          <w:sz w:val="24"/>
          <w:szCs w:val="24"/>
          <w:lang w:val="en-US"/>
        </w:rPr>
        <w:t>,</w:t>
      </w:r>
      <w:r w:rsidRPr="00C628D7">
        <w:rPr>
          <w:rFonts w:ascii="Times New Roman" w:hAnsi="Times New Roman" w:cs="Times New Roman"/>
          <w:kern w:val="0"/>
          <w:sz w:val="24"/>
          <w:szCs w:val="24"/>
          <w:lang w:val="en-US"/>
        </w:rPr>
        <w:t xml:space="preserve"> Umesh (2017), Foreign Direct Investment, Income, and Environmental Pollution in Developing Countries: Panel Data Analysis of Latin America, </w:t>
      </w:r>
      <w:r w:rsidRPr="00C628D7">
        <w:rPr>
          <w:rFonts w:ascii="Times New Roman" w:hAnsi="Times New Roman" w:cs="Times New Roman"/>
          <w:i/>
          <w:iCs/>
          <w:kern w:val="0"/>
          <w:sz w:val="24"/>
          <w:szCs w:val="24"/>
          <w:lang w:val="en-US"/>
        </w:rPr>
        <w:t>Energy Economics</w:t>
      </w:r>
      <w:r w:rsidRPr="00C628D7">
        <w:rPr>
          <w:rFonts w:ascii="Times New Roman" w:hAnsi="Times New Roman" w:cs="Times New Roman"/>
          <w:kern w:val="0"/>
          <w:sz w:val="24"/>
          <w:szCs w:val="24"/>
          <w:lang w:val="en-US"/>
        </w:rPr>
        <w:t xml:space="preserve">, doi:10.1016/j.eneco.2017.04.001. </w:t>
      </w:r>
    </w:p>
    <w:p w:rsidR="00051079" w:rsidRPr="00C628D7" w:rsidRDefault="00051079"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Tang</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Chor Foon and Tan</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Bee Wah (2015), The impact of energy consumption, income and foreign direct investment on carbon dioxide emissions in Vietnam, </w:t>
      </w:r>
      <w:r w:rsidRPr="00C628D7">
        <w:rPr>
          <w:rFonts w:ascii="Times New Roman" w:hAnsi="Times New Roman" w:cs="Times New Roman"/>
          <w:i/>
          <w:iCs/>
          <w:sz w:val="24"/>
          <w:szCs w:val="24"/>
          <w:lang w:val="en-US"/>
        </w:rPr>
        <w:t>Energy</w:t>
      </w:r>
      <w:r w:rsidRPr="00C628D7">
        <w:rPr>
          <w:rFonts w:ascii="Times New Roman" w:hAnsi="Times New Roman" w:cs="Times New Roman"/>
          <w:sz w:val="24"/>
          <w:szCs w:val="24"/>
          <w:lang w:val="en-US"/>
        </w:rPr>
        <w:t xml:space="preserve">, 79, 447-454, </w:t>
      </w:r>
      <w:hyperlink r:id="rId29" w:history="1">
        <w:r w:rsidRPr="00C628D7">
          <w:rPr>
            <w:rStyle w:val="Kpr"/>
            <w:rFonts w:ascii="Times New Roman" w:hAnsi="Times New Roman" w:cs="Times New Roman"/>
            <w:color w:val="auto"/>
            <w:sz w:val="24"/>
            <w:szCs w:val="24"/>
            <w:u w:val="none"/>
            <w:lang w:val="en-US"/>
          </w:rPr>
          <w:t>https://doi.org/10.1016/j.energy.2014.11.033</w:t>
        </w:r>
      </w:hyperlink>
    </w:p>
    <w:p w:rsidR="00035681" w:rsidRPr="00C628D7" w:rsidRDefault="00035681" w:rsidP="00C628D7">
      <w:pPr>
        <w:spacing w:before="120" w:after="120" w:line="300" w:lineRule="auto"/>
        <w:jc w:val="both"/>
        <w:rPr>
          <w:rFonts w:ascii="Times New Roman" w:hAnsi="Times New Roman" w:cs="Times New Roman"/>
          <w:kern w:val="0"/>
          <w:sz w:val="24"/>
          <w:szCs w:val="24"/>
          <w:lang w:val="en-US"/>
        </w:rPr>
      </w:pPr>
      <w:r w:rsidRPr="00C628D7">
        <w:rPr>
          <w:rFonts w:ascii="Times New Roman" w:hAnsi="Times New Roman" w:cs="Times New Roman"/>
          <w:sz w:val="24"/>
          <w:szCs w:val="24"/>
          <w:lang w:val="en-US"/>
        </w:rPr>
        <w:t xml:space="preserve">WDI, Word Development Indicators (2023), </w:t>
      </w:r>
      <w:hyperlink r:id="rId30" w:history="1">
        <w:r w:rsidRPr="00C628D7">
          <w:rPr>
            <w:rStyle w:val="Kpr"/>
            <w:rFonts w:ascii="Times New Roman" w:hAnsi="Times New Roman" w:cs="Times New Roman"/>
            <w:color w:val="auto"/>
            <w:sz w:val="24"/>
            <w:szCs w:val="24"/>
            <w:u w:val="none"/>
            <w:lang w:val="en-US"/>
          </w:rPr>
          <w:t>https://databank.worldbank.org/reports.aspx?source=World-Development-Indicators#</w:t>
        </w:r>
      </w:hyperlink>
      <w:r w:rsidRPr="00C628D7">
        <w:rPr>
          <w:rStyle w:val="Kpr"/>
          <w:rFonts w:ascii="Times New Roman" w:hAnsi="Times New Roman" w:cs="Times New Roman"/>
          <w:color w:val="auto"/>
          <w:sz w:val="24"/>
          <w:szCs w:val="24"/>
          <w:u w:val="none"/>
          <w:lang w:val="en-US"/>
        </w:rPr>
        <w:t xml:space="preserve">, </w:t>
      </w:r>
      <w:r w:rsidRPr="00C628D7">
        <w:rPr>
          <w:rFonts w:ascii="Times New Roman" w:hAnsi="Times New Roman" w:cs="Times New Roman"/>
          <w:kern w:val="0"/>
          <w:sz w:val="24"/>
          <w:szCs w:val="24"/>
          <w:lang w:val="en-US"/>
        </w:rPr>
        <w:t xml:space="preserve">[Retrieved date: </w:t>
      </w:r>
      <w:r w:rsidRPr="00C628D7">
        <w:rPr>
          <w:rFonts w:ascii="Times New Roman" w:hAnsi="Times New Roman" w:cs="Times New Roman"/>
          <w:sz w:val="24"/>
          <w:szCs w:val="24"/>
          <w:lang w:val="en-US"/>
        </w:rPr>
        <w:t>04.20.2023].</w:t>
      </w:r>
    </w:p>
    <w:p w:rsidR="00065871" w:rsidRPr="00C628D7" w:rsidRDefault="00065871" w:rsidP="00C628D7">
      <w:pPr>
        <w:spacing w:before="120" w:after="120" w:line="300" w:lineRule="auto"/>
        <w:jc w:val="both"/>
        <w:rPr>
          <w:rFonts w:ascii="Times New Roman" w:hAnsi="Times New Roman" w:cs="Times New Roman"/>
          <w:sz w:val="24"/>
          <w:szCs w:val="24"/>
          <w:lang w:val="en-US"/>
        </w:rPr>
      </w:pPr>
      <w:r w:rsidRPr="00C628D7">
        <w:rPr>
          <w:rFonts w:ascii="Times New Roman" w:hAnsi="Times New Roman" w:cs="Times New Roman"/>
          <w:sz w:val="24"/>
          <w:szCs w:val="24"/>
          <w:lang w:val="en-US"/>
        </w:rPr>
        <w:t>Xiong</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Jinhui and Xu</w:t>
      </w:r>
      <w:r w:rsidR="00C628D7">
        <w:rPr>
          <w:rFonts w:ascii="Times New Roman" w:hAnsi="Times New Roman" w:cs="Times New Roman"/>
          <w:sz w:val="24"/>
          <w:szCs w:val="24"/>
          <w:lang w:val="en-US"/>
        </w:rPr>
        <w:t>,</w:t>
      </w:r>
      <w:r w:rsidRPr="00C628D7">
        <w:rPr>
          <w:rFonts w:ascii="Times New Roman" w:hAnsi="Times New Roman" w:cs="Times New Roman"/>
          <w:sz w:val="24"/>
          <w:szCs w:val="24"/>
          <w:lang w:val="en-US"/>
        </w:rPr>
        <w:t xml:space="preserve"> Deyi (2021), Relationship between energy consumption, economic growth and environmental pollution in China, </w:t>
      </w:r>
      <w:r w:rsidRPr="00C628D7">
        <w:rPr>
          <w:rFonts w:ascii="Times New Roman" w:hAnsi="Times New Roman" w:cs="Times New Roman"/>
          <w:i/>
          <w:iCs/>
          <w:sz w:val="24"/>
          <w:szCs w:val="24"/>
          <w:lang w:val="en-US"/>
        </w:rPr>
        <w:t>Environmental Research</w:t>
      </w:r>
      <w:r w:rsidRPr="00C628D7">
        <w:rPr>
          <w:rFonts w:ascii="Times New Roman" w:hAnsi="Times New Roman" w:cs="Times New Roman"/>
          <w:sz w:val="24"/>
          <w:szCs w:val="24"/>
          <w:lang w:val="en-US"/>
        </w:rPr>
        <w:t xml:space="preserve">, 194, 110718, </w:t>
      </w:r>
      <w:hyperlink r:id="rId31" w:history="1">
        <w:r w:rsidRPr="00C628D7">
          <w:rPr>
            <w:rStyle w:val="Kpr"/>
            <w:rFonts w:ascii="Times New Roman" w:hAnsi="Times New Roman" w:cs="Times New Roman"/>
            <w:color w:val="auto"/>
            <w:sz w:val="24"/>
            <w:szCs w:val="24"/>
            <w:u w:val="none"/>
            <w:lang w:val="en-US"/>
          </w:rPr>
          <w:t>https://doi.org/10.1016/j.envres.2021.110718</w:t>
        </w:r>
      </w:hyperlink>
    </w:p>
    <w:sectPr w:rsidR="00065871" w:rsidRPr="00C628D7" w:rsidSect="003D29C2">
      <w:foot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2DE" w:rsidRDefault="007422DE" w:rsidP="003975C9">
      <w:pPr>
        <w:spacing w:after="0" w:line="240" w:lineRule="auto"/>
      </w:pPr>
      <w:r>
        <w:separator/>
      </w:r>
    </w:p>
  </w:endnote>
  <w:endnote w:type="continuationSeparator" w:id="1">
    <w:p w:rsidR="007422DE" w:rsidRDefault="007422DE" w:rsidP="00397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AdvTimes">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93782"/>
      <w:docPartObj>
        <w:docPartGallery w:val="Page Numbers (Bottom of Page)"/>
        <w:docPartUnique/>
      </w:docPartObj>
    </w:sdtPr>
    <w:sdtContent>
      <w:p w:rsidR="001B737F" w:rsidRDefault="003927E1">
        <w:pPr>
          <w:pStyle w:val="Altbilgi"/>
          <w:jc w:val="center"/>
        </w:pPr>
        <w:fldSimple w:instr="PAGE   \* MERGEFORMAT">
          <w:r w:rsidR="00C628D7">
            <w:rPr>
              <w:noProof/>
            </w:rPr>
            <w:t>1</w:t>
          </w:r>
        </w:fldSimple>
      </w:p>
    </w:sdtContent>
  </w:sdt>
  <w:p w:rsidR="001B737F" w:rsidRDefault="001B737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2DE" w:rsidRDefault="007422DE" w:rsidP="003975C9">
      <w:pPr>
        <w:spacing w:after="0" w:line="240" w:lineRule="auto"/>
      </w:pPr>
      <w:r>
        <w:separator/>
      </w:r>
    </w:p>
  </w:footnote>
  <w:footnote w:type="continuationSeparator" w:id="1">
    <w:p w:rsidR="007422DE" w:rsidRDefault="007422DE" w:rsidP="003975C9">
      <w:pPr>
        <w:spacing w:after="0" w:line="240" w:lineRule="auto"/>
      </w:pPr>
      <w:r>
        <w:continuationSeparator/>
      </w:r>
    </w:p>
  </w:footnote>
  <w:footnote w:id="2">
    <w:p w:rsidR="001B737F" w:rsidRPr="002928AA" w:rsidRDefault="001B737F">
      <w:pPr>
        <w:pStyle w:val="DipnotMetni"/>
        <w:rPr>
          <w:rFonts w:ascii="Times New Roman" w:hAnsi="Times New Roman" w:cs="Times New Roman"/>
          <w:lang w:val="en-US"/>
        </w:rPr>
      </w:pPr>
      <w:r w:rsidRPr="00D16B0B">
        <w:rPr>
          <w:rStyle w:val="DipnotBavurusu"/>
          <w:rFonts w:ascii="Times New Roman" w:hAnsi="Times New Roman" w:cs="Times New Roman"/>
        </w:rPr>
        <w:footnoteRef/>
      </w:r>
      <w:r>
        <w:rPr>
          <w:rFonts w:ascii="Times New Roman" w:hAnsi="Times New Roman" w:cs="Times New Roman"/>
          <w:lang w:val="en-US"/>
        </w:rPr>
        <w:t xml:space="preserve"> </w:t>
      </w:r>
      <w:r w:rsidRPr="00D16B0B">
        <w:rPr>
          <w:rFonts w:ascii="Times New Roman" w:hAnsi="Times New Roman" w:cs="Times New Roman"/>
          <w:lang w:val="en-US"/>
        </w:rPr>
        <w:t>Selcuk University, Department of Public Fina</w:t>
      </w:r>
      <w:r w:rsidRPr="002928AA">
        <w:rPr>
          <w:rFonts w:ascii="Times New Roman" w:hAnsi="Times New Roman" w:cs="Times New Roman"/>
          <w:lang w:val="en-US"/>
        </w:rPr>
        <w:t xml:space="preserve">nce, </w:t>
      </w:r>
      <w:hyperlink r:id="rId1" w:history="1">
        <w:r w:rsidRPr="002928AA">
          <w:rPr>
            <w:rStyle w:val="Kpr"/>
            <w:rFonts w:ascii="Times New Roman" w:hAnsi="Times New Roman" w:cs="Times New Roman"/>
            <w:color w:val="auto"/>
            <w:u w:val="none"/>
            <w:lang w:val="en-US"/>
          </w:rPr>
          <w:t>ibrahimozmen@selcuk.edu.tr</w:t>
        </w:r>
      </w:hyperlink>
      <w:r w:rsidRPr="002928AA">
        <w:rPr>
          <w:rFonts w:ascii="Times New Roman" w:hAnsi="Times New Roman" w:cs="Times New Roman"/>
          <w:lang w:val="en-US"/>
        </w:rPr>
        <w:t xml:space="preserve">, </w:t>
      </w:r>
      <w:r w:rsidRPr="002928AA">
        <w:rPr>
          <w:rFonts w:ascii="Times New Roman" w:hAnsi="Times New Roman" w:cs="Times New Roman"/>
        </w:rPr>
        <w:t xml:space="preserve">Orcid: </w:t>
      </w:r>
      <w:r w:rsidRPr="002928AA">
        <w:rPr>
          <w:rFonts w:ascii="Times New Roman" w:hAnsi="Times New Roman" w:cs="Times New Roman"/>
          <w:lang w:val="en-US"/>
        </w:rPr>
        <w:t>0000-0003-2632-4217</w:t>
      </w:r>
    </w:p>
  </w:footnote>
  <w:footnote w:id="3">
    <w:p w:rsidR="001B737F" w:rsidRPr="00AC7DE4" w:rsidRDefault="001B737F" w:rsidP="000B2F89">
      <w:pPr>
        <w:pStyle w:val="DipnotMetni"/>
        <w:jc w:val="both"/>
        <w:rPr>
          <w:rFonts w:ascii="Times New Roman" w:hAnsi="Times New Roman" w:cs="Times New Roman"/>
          <w:lang w:val="en-US"/>
        </w:rPr>
      </w:pPr>
      <w:r w:rsidRPr="002928AA">
        <w:rPr>
          <w:rStyle w:val="DipnotBavurusu"/>
          <w:rFonts w:ascii="Times New Roman" w:hAnsi="Times New Roman" w:cs="Times New Roman"/>
        </w:rPr>
        <w:footnoteRef/>
      </w:r>
      <w:r>
        <w:rPr>
          <w:rFonts w:ascii="Times New Roman" w:hAnsi="Times New Roman" w:cs="Times New Roman"/>
          <w:lang w:val="en-US"/>
        </w:rPr>
        <w:t xml:space="preserve"> </w:t>
      </w:r>
      <w:r w:rsidRPr="002928AA">
        <w:rPr>
          <w:rFonts w:ascii="Times New Roman" w:hAnsi="Times New Roman" w:cs="Times New Roman"/>
          <w:lang w:val="en-US"/>
        </w:rPr>
        <w:t>Selcuk University, Department of Public Finance,</w:t>
      </w:r>
      <w:hyperlink r:id="rId2" w:history="1">
        <w:r w:rsidRPr="002928AA">
          <w:rPr>
            <w:rStyle w:val="Kpr"/>
            <w:rFonts w:ascii="Times New Roman" w:hAnsi="Times New Roman" w:cs="Times New Roman"/>
            <w:color w:val="auto"/>
            <w:u w:val="none"/>
            <w:lang w:val="en-US"/>
          </w:rPr>
          <w:t>selcukbali@selcuk.edu.tr</w:t>
        </w:r>
      </w:hyperlink>
      <w:r w:rsidRPr="002928AA">
        <w:rPr>
          <w:rFonts w:ascii="Times New Roman" w:hAnsi="Times New Roman" w:cs="Times New Roman"/>
          <w:lang w:val="en-US"/>
        </w:rPr>
        <w:t>,</w:t>
      </w:r>
      <w:r>
        <w:rPr>
          <w:rFonts w:ascii="Times New Roman" w:hAnsi="Times New Roman" w:cs="Times New Roman"/>
          <w:lang w:val="en-US"/>
        </w:rPr>
        <w:t xml:space="preserve"> </w:t>
      </w:r>
      <w:r w:rsidRPr="002928AA">
        <w:rPr>
          <w:rFonts w:ascii="Times New Roman" w:hAnsi="Times New Roman" w:cs="Times New Roman"/>
        </w:rPr>
        <w:t>Orcid: 0000</w:t>
      </w:r>
      <w:r w:rsidRPr="00F220E7">
        <w:rPr>
          <w:rFonts w:ascii="Times New Roman" w:hAnsi="Times New Roman" w:cs="Times New Roman"/>
        </w:rPr>
        <w:t>-0001-5</w:t>
      </w:r>
      <w:r>
        <w:rPr>
          <w:rFonts w:ascii="Times New Roman" w:hAnsi="Times New Roman" w:cs="Times New Roman"/>
        </w:rPr>
        <w:t>117</w:t>
      </w:r>
      <w:r w:rsidRPr="00F220E7">
        <w:rPr>
          <w:rFonts w:ascii="Times New Roman" w:hAnsi="Times New Roman" w:cs="Times New Roman"/>
        </w:rPr>
        <w:t>-</w:t>
      </w:r>
      <w:r>
        <w:rPr>
          <w:rFonts w:ascii="Times New Roman" w:hAnsi="Times New Roman" w:cs="Times New Roman"/>
        </w:rPr>
        <w:t>8720</w:t>
      </w:r>
    </w:p>
    <w:p w:rsidR="001B737F" w:rsidRPr="000B2F89" w:rsidRDefault="001B737F">
      <w:pPr>
        <w:pStyle w:val="DipnotMetni"/>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BB4418"/>
    <w:rsid w:val="00026194"/>
    <w:rsid w:val="00026D47"/>
    <w:rsid w:val="00035681"/>
    <w:rsid w:val="00043EC2"/>
    <w:rsid w:val="000449C2"/>
    <w:rsid w:val="00045D2C"/>
    <w:rsid w:val="00051079"/>
    <w:rsid w:val="00055AD6"/>
    <w:rsid w:val="00057976"/>
    <w:rsid w:val="00065871"/>
    <w:rsid w:val="000672E7"/>
    <w:rsid w:val="00070ECC"/>
    <w:rsid w:val="0008702B"/>
    <w:rsid w:val="000920F7"/>
    <w:rsid w:val="0009668D"/>
    <w:rsid w:val="000A2B3A"/>
    <w:rsid w:val="000A3888"/>
    <w:rsid w:val="000A4C12"/>
    <w:rsid w:val="000A51D9"/>
    <w:rsid w:val="000B2F89"/>
    <w:rsid w:val="000B77E0"/>
    <w:rsid w:val="000C0292"/>
    <w:rsid w:val="000D24C6"/>
    <w:rsid w:val="000E08B8"/>
    <w:rsid w:val="000E7A2F"/>
    <w:rsid w:val="000F1ACB"/>
    <w:rsid w:val="000F70AD"/>
    <w:rsid w:val="000F74D3"/>
    <w:rsid w:val="0010495F"/>
    <w:rsid w:val="00111CCA"/>
    <w:rsid w:val="001163D7"/>
    <w:rsid w:val="00117298"/>
    <w:rsid w:val="00117C83"/>
    <w:rsid w:val="001228C6"/>
    <w:rsid w:val="0013106E"/>
    <w:rsid w:val="00131B95"/>
    <w:rsid w:val="00131FEB"/>
    <w:rsid w:val="0014474D"/>
    <w:rsid w:val="001529F1"/>
    <w:rsid w:val="00152EE2"/>
    <w:rsid w:val="00164175"/>
    <w:rsid w:val="001724C8"/>
    <w:rsid w:val="00186D34"/>
    <w:rsid w:val="00187086"/>
    <w:rsid w:val="0019090A"/>
    <w:rsid w:val="001A2A33"/>
    <w:rsid w:val="001A42D2"/>
    <w:rsid w:val="001A4D5A"/>
    <w:rsid w:val="001A613E"/>
    <w:rsid w:val="001A61C8"/>
    <w:rsid w:val="001B562B"/>
    <w:rsid w:val="001B737F"/>
    <w:rsid w:val="001C05A3"/>
    <w:rsid w:val="001C2A27"/>
    <w:rsid w:val="001C6714"/>
    <w:rsid w:val="001E1D1F"/>
    <w:rsid w:val="001E3466"/>
    <w:rsid w:val="001E4099"/>
    <w:rsid w:val="001E4521"/>
    <w:rsid w:val="001F1790"/>
    <w:rsid w:val="001F7878"/>
    <w:rsid w:val="00201070"/>
    <w:rsid w:val="00203975"/>
    <w:rsid w:val="00212914"/>
    <w:rsid w:val="00213267"/>
    <w:rsid w:val="00215939"/>
    <w:rsid w:val="00221509"/>
    <w:rsid w:val="00221908"/>
    <w:rsid w:val="00236A2E"/>
    <w:rsid w:val="00241F85"/>
    <w:rsid w:val="0024349C"/>
    <w:rsid w:val="0026536D"/>
    <w:rsid w:val="00266113"/>
    <w:rsid w:val="00271D0A"/>
    <w:rsid w:val="002928AA"/>
    <w:rsid w:val="002A3695"/>
    <w:rsid w:val="002A4238"/>
    <w:rsid w:val="002B0BC6"/>
    <w:rsid w:val="002B11A7"/>
    <w:rsid w:val="002B5615"/>
    <w:rsid w:val="002C3188"/>
    <w:rsid w:val="002C63E4"/>
    <w:rsid w:val="002F1CBF"/>
    <w:rsid w:val="00302A77"/>
    <w:rsid w:val="00306535"/>
    <w:rsid w:val="00321BE5"/>
    <w:rsid w:val="00323D1E"/>
    <w:rsid w:val="003264BA"/>
    <w:rsid w:val="00331019"/>
    <w:rsid w:val="00332527"/>
    <w:rsid w:val="003409E7"/>
    <w:rsid w:val="00351138"/>
    <w:rsid w:val="00351AAD"/>
    <w:rsid w:val="003578D0"/>
    <w:rsid w:val="00357EFC"/>
    <w:rsid w:val="00363349"/>
    <w:rsid w:val="0038089E"/>
    <w:rsid w:val="003927E1"/>
    <w:rsid w:val="003975C9"/>
    <w:rsid w:val="003A16D2"/>
    <w:rsid w:val="003A1B2C"/>
    <w:rsid w:val="003A650E"/>
    <w:rsid w:val="003B092E"/>
    <w:rsid w:val="003B3FBF"/>
    <w:rsid w:val="003C38DE"/>
    <w:rsid w:val="003C3F8A"/>
    <w:rsid w:val="003D275E"/>
    <w:rsid w:val="003D29C2"/>
    <w:rsid w:val="003D3FAA"/>
    <w:rsid w:val="003D4114"/>
    <w:rsid w:val="003F071A"/>
    <w:rsid w:val="003F0F73"/>
    <w:rsid w:val="003F1F73"/>
    <w:rsid w:val="003F509E"/>
    <w:rsid w:val="00400FAD"/>
    <w:rsid w:val="00404909"/>
    <w:rsid w:val="00404F43"/>
    <w:rsid w:val="00406F7E"/>
    <w:rsid w:val="00414F30"/>
    <w:rsid w:val="00424359"/>
    <w:rsid w:val="00425192"/>
    <w:rsid w:val="0043056A"/>
    <w:rsid w:val="00433764"/>
    <w:rsid w:val="00434A62"/>
    <w:rsid w:val="0043586D"/>
    <w:rsid w:val="004408CD"/>
    <w:rsid w:val="004435BA"/>
    <w:rsid w:val="004525E3"/>
    <w:rsid w:val="0047364F"/>
    <w:rsid w:val="00474A23"/>
    <w:rsid w:val="00483B7B"/>
    <w:rsid w:val="004903FD"/>
    <w:rsid w:val="004929E6"/>
    <w:rsid w:val="00494998"/>
    <w:rsid w:val="00497EBF"/>
    <w:rsid w:val="004A1035"/>
    <w:rsid w:val="004A19EA"/>
    <w:rsid w:val="004A2EDC"/>
    <w:rsid w:val="004A345A"/>
    <w:rsid w:val="004B1AA7"/>
    <w:rsid w:val="004C159A"/>
    <w:rsid w:val="004C1944"/>
    <w:rsid w:val="004D1B10"/>
    <w:rsid w:val="004D633D"/>
    <w:rsid w:val="004D7CC6"/>
    <w:rsid w:val="004E3DAE"/>
    <w:rsid w:val="004E6AA9"/>
    <w:rsid w:val="004E7B28"/>
    <w:rsid w:val="004F186C"/>
    <w:rsid w:val="004F5F4C"/>
    <w:rsid w:val="0050065D"/>
    <w:rsid w:val="00507891"/>
    <w:rsid w:val="00510AA1"/>
    <w:rsid w:val="00513244"/>
    <w:rsid w:val="005220FC"/>
    <w:rsid w:val="00523132"/>
    <w:rsid w:val="005342C6"/>
    <w:rsid w:val="00534E0E"/>
    <w:rsid w:val="005354B4"/>
    <w:rsid w:val="005425FE"/>
    <w:rsid w:val="005449CB"/>
    <w:rsid w:val="00546546"/>
    <w:rsid w:val="00546FC1"/>
    <w:rsid w:val="00547CE9"/>
    <w:rsid w:val="00551C1D"/>
    <w:rsid w:val="00556BA5"/>
    <w:rsid w:val="00565503"/>
    <w:rsid w:val="00575209"/>
    <w:rsid w:val="005756D9"/>
    <w:rsid w:val="00575B03"/>
    <w:rsid w:val="0058088C"/>
    <w:rsid w:val="005A10D8"/>
    <w:rsid w:val="005A2D01"/>
    <w:rsid w:val="005C275D"/>
    <w:rsid w:val="005C5923"/>
    <w:rsid w:val="005C63D9"/>
    <w:rsid w:val="005D7931"/>
    <w:rsid w:val="005E72FA"/>
    <w:rsid w:val="005E73C5"/>
    <w:rsid w:val="005F0C72"/>
    <w:rsid w:val="005F31D3"/>
    <w:rsid w:val="005F45F5"/>
    <w:rsid w:val="00600327"/>
    <w:rsid w:val="0060694C"/>
    <w:rsid w:val="00614321"/>
    <w:rsid w:val="0062206D"/>
    <w:rsid w:val="006355A4"/>
    <w:rsid w:val="00643212"/>
    <w:rsid w:val="00643324"/>
    <w:rsid w:val="00644CE5"/>
    <w:rsid w:val="00646361"/>
    <w:rsid w:val="00651EE4"/>
    <w:rsid w:val="0065348E"/>
    <w:rsid w:val="00654BDE"/>
    <w:rsid w:val="00655402"/>
    <w:rsid w:val="0065610A"/>
    <w:rsid w:val="00656F9B"/>
    <w:rsid w:val="00660A3A"/>
    <w:rsid w:val="006632D0"/>
    <w:rsid w:val="0067516B"/>
    <w:rsid w:val="006863B1"/>
    <w:rsid w:val="006A17F4"/>
    <w:rsid w:val="006A5680"/>
    <w:rsid w:val="006A6506"/>
    <w:rsid w:val="006B39DF"/>
    <w:rsid w:val="006B640F"/>
    <w:rsid w:val="006B71BA"/>
    <w:rsid w:val="006C4643"/>
    <w:rsid w:val="006C6695"/>
    <w:rsid w:val="006D31E8"/>
    <w:rsid w:val="006E785E"/>
    <w:rsid w:val="006F5A08"/>
    <w:rsid w:val="006F5A6C"/>
    <w:rsid w:val="006F7199"/>
    <w:rsid w:val="007038F9"/>
    <w:rsid w:val="00712E43"/>
    <w:rsid w:val="00721DDE"/>
    <w:rsid w:val="007259F9"/>
    <w:rsid w:val="00736EE4"/>
    <w:rsid w:val="007404BB"/>
    <w:rsid w:val="00741CD0"/>
    <w:rsid w:val="007422DE"/>
    <w:rsid w:val="007514C4"/>
    <w:rsid w:val="00755B1E"/>
    <w:rsid w:val="00767B4E"/>
    <w:rsid w:val="007721DF"/>
    <w:rsid w:val="0077428C"/>
    <w:rsid w:val="00777C3F"/>
    <w:rsid w:val="00780F90"/>
    <w:rsid w:val="00785396"/>
    <w:rsid w:val="007879F8"/>
    <w:rsid w:val="007917BF"/>
    <w:rsid w:val="00796832"/>
    <w:rsid w:val="007A04C0"/>
    <w:rsid w:val="007A26D9"/>
    <w:rsid w:val="007A2B6D"/>
    <w:rsid w:val="007A5AC3"/>
    <w:rsid w:val="007C2789"/>
    <w:rsid w:val="007C62AE"/>
    <w:rsid w:val="007D407A"/>
    <w:rsid w:val="007D77F2"/>
    <w:rsid w:val="007E0BE2"/>
    <w:rsid w:val="007E18DB"/>
    <w:rsid w:val="00812923"/>
    <w:rsid w:val="00820DBB"/>
    <w:rsid w:val="0082199F"/>
    <w:rsid w:val="008259F4"/>
    <w:rsid w:val="00832559"/>
    <w:rsid w:val="0083678C"/>
    <w:rsid w:val="00841148"/>
    <w:rsid w:val="00852C8E"/>
    <w:rsid w:val="008543D8"/>
    <w:rsid w:val="00860B3F"/>
    <w:rsid w:val="008634BA"/>
    <w:rsid w:val="00866EC5"/>
    <w:rsid w:val="008734DE"/>
    <w:rsid w:val="00882BA1"/>
    <w:rsid w:val="00882D07"/>
    <w:rsid w:val="00885B1E"/>
    <w:rsid w:val="00897302"/>
    <w:rsid w:val="008A605F"/>
    <w:rsid w:val="008B0A4D"/>
    <w:rsid w:val="008B4467"/>
    <w:rsid w:val="008C0A26"/>
    <w:rsid w:val="008C515D"/>
    <w:rsid w:val="008D1FCB"/>
    <w:rsid w:val="008D3B71"/>
    <w:rsid w:val="008D781E"/>
    <w:rsid w:val="008D79A4"/>
    <w:rsid w:val="008E78B5"/>
    <w:rsid w:val="00902062"/>
    <w:rsid w:val="009052D2"/>
    <w:rsid w:val="009075AB"/>
    <w:rsid w:val="00907FAF"/>
    <w:rsid w:val="00934B11"/>
    <w:rsid w:val="00947804"/>
    <w:rsid w:val="009511EC"/>
    <w:rsid w:val="0095716E"/>
    <w:rsid w:val="00967BE8"/>
    <w:rsid w:val="009715C5"/>
    <w:rsid w:val="00974112"/>
    <w:rsid w:val="00977A6A"/>
    <w:rsid w:val="009966F7"/>
    <w:rsid w:val="009968CB"/>
    <w:rsid w:val="009B46AE"/>
    <w:rsid w:val="009C0BF0"/>
    <w:rsid w:val="009C1B4E"/>
    <w:rsid w:val="009C6E31"/>
    <w:rsid w:val="009C70DA"/>
    <w:rsid w:val="009D7C0A"/>
    <w:rsid w:val="009E751C"/>
    <w:rsid w:val="009F115B"/>
    <w:rsid w:val="009F4F69"/>
    <w:rsid w:val="00A04E48"/>
    <w:rsid w:val="00A07E20"/>
    <w:rsid w:val="00A216C2"/>
    <w:rsid w:val="00A2525C"/>
    <w:rsid w:val="00A25479"/>
    <w:rsid w:val="00A27B89"/>
    <w:rsid w:val="00A27C39"/>
    <w:rsid w:val="00A32161"/>
    <w:rsid w:val="00A34A8D"/>
    <w:rsid w:val="00A377C7"/>
    <w:rsid w:val="00A501BD"/>
    <w:rsid w:val="00A5135D"/>
    <w:rsid w:val="00A56506"/>
    <w:rsid w:val="00A630ED"/>
    <w:rsid w:val="00A70372"/>
    <w:rsid w:val="00A719E7"/>
    <w:rsid w:val="00A7713C"/>
    <w:rsid w:val="00A80935"/>
    <w:rsid w:val="00A87E78"/>
    <w:rsid w:val="00A9444B"/>
    <w:rsid w:val="00AB4AB7"/>
    <w:rsid w:val="00AB77EF"/>
    <w:rsid w:val="00AB7844"/>
    <w:rsid w:val="00AC07C5"/>
    <w:rsid w:val="00AC07EA"/>
    <w:rsid w:val="00AC6E9F"/>
    <w:rsid w:val="00AD1B33"/>
    <w:rsid w:val="00AD2D1C"/>
    <w:rsid w:val="00B00DFD"/>
    <w:rsid w:val="00B0596A"/>
    <w:rsid w:val="00B078BF"/>
    <w:rsid w:val="00B108B7"/>
    <w:rsid w:val="00B1179E"/>
    <w:rsid w:val="00B11BD5"/>
    <w:rsid w:val="00B17FB8"/>
    <w:rsid w:val="00B3380C"/>
    <w:rsid w:val="00B37749"/>
    <w:rsid w:val="00B50AF7"/>
    <w:rsid w:val="00B51423"/>
    <w:rsid w:val="00B5382C"/>
    <w:rsid w:val="00B567C4"/>
    <w:rsid w:val="00B56ADA"/>
    <w:rsid w:val="00B57DFF"/>
    <w:rsid w:val="00B62057"/>
    <w:rsid w:val="00B6501A"/>
    <w:rsid w:val="00B8296A"/>
    <w:rsid w:val="00BA0930"/>
    <w:rsid w:val="00BA3E49"/>
    <w:rsid w:val="00BA4C0D"/>
    <w:rsid w:val="00BB4418"/>
    <w:rsid w:val="00BB648F"/>
    <w:rsid w:val="00BB70B1"/>
    <w:rsid w:val="00BD3205"/>
    <w:rsid w:val="00BD5F15"/>
    <w:rsid w:val="00BF221E"/>
    <w:rsid w:val="00C02165"/>
    <w:rsid w:val="00C13465"/>
    <w:rsid w:val="00C211C9"/>
    <w:rsid w:val="00C21F78"/>
    <w:rsid w:val="00C335AA"/>
    <w:rsid w:val="00C33CC7"/>
    <w:rsid w:val="00C34C69"/>
    <w:rsid w:val="00C472C7"/>
    <w:rsid w:val="00C53EF0"/>
    <w:rsid w:val="00C544E4"/>
    <w:rsid w:val="00C545E5"/>
    <w:rsid w:val="00C54A74"/>
    <w:rsid w:val="00C550A5"/>
    <w:rsid w:val="00C55EFC"/>
    <w:rsid w:val="00C62596"/>
    <w:rsid w:val="00C628D7"/>
    <w:rsid w:val="00C62956"/>
    <w:rsid w:val="00C66C9F"/>
    <w:rsid w:val="00C7113C"/>
    <w:rsid w:val="00C720F3"/>
    <w:rsid w:val="00C75E68"/>
    <w:rsid w:val="00C83156"/>
    <w:rsid w:val="00C86EA2"/>
    <w:rsid w:val="00C90106"/>
    <w:rsid w:val="00C93FA5"/>
    <w:rsid w:val="00CB7B10"/>
    <w:rsid w:val="00CC47E7"/>
    <w:rsid w:val="00CC4853"/>
    <w:rsid w:val="00CD20A6"/>
    <w:rsid w:val="00CD3D3D"/>
    <w:rsid w:val="00CE2456"/>
    <w:rsid w:val="00CE45CA"/>
    <w:rsid w:val="00CF1F01"/>
    <w:rsid w:val="00CF4E4D"/>
    <w:rsid w:val="00CF6983"/>
    <w:rsid w:val="00D06453"/>
    <w:rsid w:val="00D0704F"/>
    <w:rsid w:val="00D07D7B"/>
    <w:rsid w:val="00D14EBE"/>
    <w:rsid w:val="00D16B0B"/>
    <w:rsid w:val="00D20323"/>
    <w:rsid w:val="00D23FD2"/>
    <w:rsid w:val="00D25C18"/>
    <w:rsid w:val="00D277DC"/>
    <w:rsid w:val="00D37C25"/>
    <w:rsid w:val="00D55414"/>
    <w:rsid w:val="00D5618C"/>
    <w:rsid w:val="00D63A72"/>
    <w:rsid w:val="00D66EAD"/>
    <w:rsid w:val="00D72605"/>
    <w:rsid w:val="00D7286E"/>
    <w:rsid w:val="00D75655"/>
    <w:rsid w:val="00D81583"/>
    <w:rsid w:val="00D83720"/>
    <w:rsid w:val="00D851BD"/>
    <w:rsid w:val="00D86192"/>
    <w:rsid w:val="00D90E63"/>
    <w:rsid w:val="00D9106B"/>
    <w:rsid w:val="00D95A7D"/>
    <w:rsid w:val="00DA14B8"/>
    <w:rsid w:val="00DB210D"/>
    <w:rsid w:val="00DD0BBA"/>
    <w:rsid w:val="00DD10A0"/>
    <w:rsid w:val="00DD1B33"/>
    <w:rsid w:val="00DD698E"/>
    <w:rsid w:val="00DD6A9A"/>
    <w:rsid w:val="00DF10DC"/>
    <w:rsid w:val="00DF2D9A"/>
    <w:rsid w:val="00E02B22"/>
    <w:rsid w:val="00E0533B"/>
    <w:rsid w:val="00E14ABA"/>
    <w:rsid w:val="00E16240"/>
    <w:rsid w:val="00E3201F"/>
    <w:rsid w:val="00E32B3D"/>
    <w:rsid w:val="00E40D83"/>
    <w:rsid w:val="00E432D4"/>
    <w:rsid w:val="00E450D7"/>
    <w:rsid w:val="00E46EB4"/>
    <w:rsid w:val="00E4797F"/>
    <w:rsid w:val="00E50843"/>
    <w:rsid w:val="00E51126"/>
    <w:rsid w:val="00E522A5"/>
    <w:rsid w:val="00E620F0"/>
    <w:rsid w:val="00E6626C"/>
    <w:rsid w:val="00E749ED"/>
    <w:rsid w:val="00E85E2C"/>
    <w:rsid w:val="00E913AB"/>
    <w:rsid w:val="00E92819"/>
    <w:rsid w:val="00E92CE9"/>
    <w:rsid w:val="00EA3EAB"/>
    <w:rsid w:val="00EA44BB"/>
    <w:rsid w:val="00EB77E8"/>
    <w:rsid w:val="00EC3244"/>
    <w:rsid w:val="00EC5F40"/>
    <w:rsid w:val="00ED349B"/>
    <w:rsid w:val="00ED3F7A"/>
    <w:rsid w:val="00ED53B2"/>
    <w:rsid w:val="00F02BC6"/>
    <w:rsid w:val="00F02D9F"/>
    <w:rsid w:val="00F030C6"/>
    <w:rsid w:val="00F04CE0"/>
    <w:rsid w:val="00F3118D"/>
    <w:rsid w:val="00F31434"/>
    <w:rsid w:val="00F31F61"/>
    <w:rsid w:val="00F33FA2"/>
    <w:rsid w:val="00F35FBA"/>
    <w:rsid w:val="00F60655"/>
    <w:rsid w:val="00F60D44"/>
    <w:rsid w:val="00F63E9D"/>
    <w:rsid w:val="00F64625"/>
    <w:rsid w:val="00F6541E"/>
    <w:rsid w:val="00F743A7"/>
    <w:rsid w:val="00F75FA6"/>
    <w:rsid w:val="00F76FD7"/>
    <w:rsid w:val="00F770CA"/>
    <w:rsid w:val="00F86D5F"/>
    <w:rsid w:val="00FA1878"/>
    <w:rsid w:val="00FC1E8B"/>
    <w:rsid w:val="00FC2D42"/>
    <w:rsid w:val="00FC33BE"/>
    <w:rsid w:val="00FC4DFE"/>
    <w:rsid w:val="00FD3E79"/>
    <w:rsid w:val="00FD6D77"/>
    <w:rsid w:val="00FD78F2"/>
    <w:rsid w:val="00FE20FE"/>
    <w:rsid w:val="00FE682F"/>
    <w:rsid w:val="00FE6B01"/>
    <w:rsid w:val="00FF48A2"/>
    <w:rsid w:val="00FF6E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975C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975C9"/>
    <w:rPr>
      <w:sz w:val="20"/>
      <w:szCs w:val="20"/>
    </w:rPr>
  </w:style>
  <w:style w:type="character" w:styleId="DipnotBavurusu">
    <w:name w:val="footnote reference"/>
    <w:basedOn w:val="VarsaylanParagrafYazTipi"/>
    <w:uiPriority w:val="99"/>
    <w:semiHidden/>
    <w:unhideWhenUsed/>
    <w:rsid w:val="003975C9"/>
    <w:rPr>
      <w:vertAlign w:val="superscript"/>
    </w:rPr>
  </w:style>
  <w:style w:type="character" w:styleId="Kpr">
    <w:name w:val="Hyperlink"/>
    <w:basedOn w:val="VarsaylanParagrafYazTipi"/>
    <w:uiPriority w:val="99"/>
    <w:unhideWhenUsed/>
    <w:rsid w:val="000B2F89"/>
    <w:rPr>
      <w:color w:val="0563C1" w:themeColor="hyperlink"/>
      <w:u w:val="single"/>
    </w:rPr>
  </w:style>
  <w:style w:type="table" w:styleId="TabloKlavuzu">
    <w:name w:val="Table Grid"/>
    <w:basedOn w:val="NormalTablo"/>
    <w:uiPriority w:val="59"/>
    <w:rsid w:val="00D8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9968CB"/>
    <w:rPr>
      <w:color w:val="605E5C"/>
      <w:shd w:val="clear" w:color="auto" w:fill="E1DFDD"/>
    </w:rPr>
  </w:style>
  <w:style w:type="character" w:styleId="AklamaBavurusu">
    <w:name w:val="annotation reference"/>
    <w:basedOn w:val="VarsaylanParagrafYazTipi"/>
    <w:uiPriority w:val="99"/>
    <w:semiHidden/>
    <w:unhideWhenUsed/>
    <w:rsid w:val="001C05A3"/>
    <w:rPr>
      <w:sz w:val="16"/>
      <w:szCs w:val="16"/>
    </w:rPr>
  </w:style>
  <w:style w:type="paragraph" w:styleId="AklamaMetni">
    <w:name w:val="annotation text"/>
    <w:basedOn w:val="Normal"/>
    <w:link w:val="AklamaMetniChar"/>
    <w:uiPriority w:val="99"/>
    <w:semiHidden/>
    <w:unhideWhenUsed/>
    <w:rsid w:val="001C05A3"/>
    <w:pPr>
      <w:spacing w:line="240" w:lineRule="auto"/>
    </w:pPr>
    <w:rPr>
      <w:kern w:val="0"/>
      <w:sz w:val="20"/>
      <w:szCs w:val="20"/>
      <w:lang w:val="en-AU"/>
    </w:rPr>
  </w:style>
  <w:style w:type="character" w:customStyle="1" w:styleId="AklamaMetniChar">
    <w:name w:val="Açıklama Metni Char"/>
    <w:basedOn w:val="VarsaylanParagrafYazTipi"/>
    <w:link w:val="AklamaMetni"/>
    <w:uiPriority w:val="99"/>
    <w:semiHidden/>
    <w:rsid w:val="001C05A3"/>
    <w:rPr>
      <w:kern w:val="0"/>
      <w:sz w:val="20"/>
      <w:szCs w:val="20"/>
      <w:lang w:val="en-AU"/>
    </w:rPr>
  </w:style>
  <w:style w:type="character" w:styleId="zlenenKpr">
    <w:name w:val="FollowedHyperlink"/>
    <w:basedOn w:val="VarsaylanParagrafYazTipi"/>
    <w:uiPriority w:val="99"/>
    <w:semiHidden/>
    <w:unhideWhenUsed/>
    <w:rsid w:val="00510AA1"/>
    <w:rPr>
      <w:color w:val="954F72" w:themeColor="followedHyperlink"/>
      <w:u w:val="single"/>
    </w:rPr>
  </w:style>
  <w:style w:type="paragraph" w:styleId="stbilgi">
    <w:name w:val="header"/>
    <w:basedOn w:val="Normal"/>
    <w:link w:val="stbilgiChar"/>
    <w:uiPriority w:val="99"/>
    <w:unhideWhenUsed/>
    <w:rsid w:val="007A2B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2B6D"/>
  </w:style>
  <w:style w:type="paragraph" w:styleId="Altbilgi">
    <w:name w:val="footer"/>
    <w:basedOn w:val="Normal"/>
    <w:link w:val="AltbilgiChar"/>
    <w:uiPriority w:val="99"/>
    <w:unhideWhenUsed/>
    <w:rsid w:val="007A2B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2B6D"/>
  </w:style>
  <w:style w:type="character" w:customStyle="1" w:styleId="Gvdemetni2">
    <w:name w:val="Gövde metni (2)_"/>
    <w:basedOn w:val="VarsaylanParagrafYazTipi"/>
    <w:link w:val="Gvdemetni20"/>
    <w:rsid w:val="00547CE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547CE9"/>
    <w:pPr>
      <w:widowControl w:val="0"/>
      <w:shd w:val="clear" w:color="auto" w:fill="FFFFFF"/>
      <w:spacing w:before="480" w:after="1740" w:line="413" w:lineRule="exact"/>
      <w:jc w:val="both"/>
    </w:pPr>
    <w:rPr>
      <w:rFonts w:ascii="Times New Roman" w:eastAsia="Times New Roman" w:hAnsi="Times New Roman" w:cs="Times New Roman"/>
    </w:rPr>
  </w:style>
  <w:style w:type="character" w:customStyle="1" w:styleId="react-xocs-alternative-link">
    <w:name w:val="react-xocs-alternative-link"/>
    <w:basedOn w:val="VarsaylanParagrafYazTipi"/>
    <w:rsid w:val="00043EC2"/>
  </w:style>
  <w:style w:type="character" w:customStyle="1" w:styleId="given-name">
    <w:name w:val="given-name"/>
    <w:basedOn w:val="VarsaylanParagrafYazTipi"/>
    <w:rsid w:val="00043EC2"/>
  </w:style>
  <w:style w:type="character" w:customStyle="1" w:styleId="text">
    <w:name w:val="text"/>
    <w:basedOn w:val="VarsaylanParagrafYazTipi"/>
    <w:rsid w:val="00043EC2"/>
  </w:style>
  <w:style w:type="character" w:customStyle="1" w:styleId="anchor-text">
    <w:name w:val="anchor-text"/>
    <w:basedOn w:val="VarsaylanParagrafYazTipi"/>
    <w:rsid w:val="00043EC2"/>
  </w:style>
  <w:style w:type="paragraph" w:styleId="BalonMetni">
    <w:name w:val="Balloon Text"/>
    <w:basedOn w:val="Normal"/>
    <w:link w:val="BalonMetniChar"/>
    <w:uiPriority w:val="99"/>
    <w:semiHidden/>
    <w:unhideWhenUsed/>
    <w:rsid w:val="00321B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1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86090">
      <w:bodyDiv w:val="1"/>
      <w:marLeft w:val="0"/>
      <w:marRight w:val="0"/>
      <w:marTop w:val="0"/>
      <w:marBottom w:val="0"/>
      <w:divBdr>
        <w:top w:val="none" w:sz="0" w:space="0" w:color="auto"/>
        <w:left w:val="none" w:sz="0" w:space="0" w:color="auto"/>
        <w:bottom w:val="none" w:sz="0" w:space="0" w:color="auto"/>
        <w:right w:val="none" w:sz="0" w:space="0" w:color="auto"/>
      </w:divBdr>
    </w:div>
    <w:div w:id="1178885006">
      <w:bodyDiv w:val="1"/>
      <w:marLeft w:val="0"/>
      <w:marRight w:val="0"/>
      <w:marTop w:val="0"/>
      <w:marBottom w:val="0"/>
      <w:divBdr>
        <w:top w:val="none" w:sz="0" w:space="0" w:color="auto"/>
        <w:left w:val="none" w:sz="0" w:space="0" w:color="auto"/>
        <w:bottom w:val="none" w:sz="0" w:space="0" w:color="auto"/>
        <w:right w:val="none" w:sz="0" w:space="0" w:color="auto"/>
      </w:divBdr>
    </w:div>
    <w:div w:id="1758164237">
      <w:bodyDiv w:val="1"/>
      <w:marLeft w:val="0"/>
      <w:marRight w:val="0"/>
      <w:marTop w:val="0"/>
      <w:marBottom w:val="0"/>
      <w:divBdr>
        <w:top w:val="none" w:sz="0" w:space="0" w:color="auto"/>
        <w:left w:val="none" w:sz="0" w:space="0" w:color="auto"/>
        <w:bottom w:val="none" w:sz="0" w:space="0" w:color="auto"/>
        <w:right w:val="none" w:sz="0" w:space="0" w:color="auto"/>
      </w:divBdr>
    </w:div>
    <w:div w:id="18225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i.org/10.1016/j.rser.2016.11.23" TargetMode="External"/><Relationship Id="rId18" Type="http://schemas.openxmlformats.org/officeDocument/2006/relationships/hyperlink" Target="https://doi.org/10.1007/s10640-018-0216-1" TargetMode="External"/><Relationship Id="rId26" Type="http://schemas.openxmlformats.org/officeDocument/2006/relationships/hyperlink" Target="https://ourworldindata.org/energy" TargetMode="External"/><Relationship Id="rId3" Type="http://schemas.openxmlformats.org/officeDocument/2006/relationships/settings" Target="settings.xml"/><Relationship Id="rId21" Type="http://schemas.openxmlformats.org/officeDocument/2006/relationships/hyperlink" Target="https://doi.org/10.1016/j.egyr.2022.11.203"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s://www.sciencedirect.com/journal/energy-economics/vol/111/suppl/C" TargetMode="External"/><Relationship Id="rId25" Type="http://schemas.openxmlformats.org/officeDocument/2006/relationships/hyperlink" Target="https://ourworldindata.org/co2-emissi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16/j.jenvman.2017.03.029" TargetMode="External"/><Relationship Id="rId20" Type="http://schemas.openxmlformats.org/officeDocument/2006/relationships/hyperlink" Target="https://doi.org/10.1016/j.eneco.2019.04.006" TargetMode="External"/><Relationship Id="rId29" Type="http://schemas.openxmlformats.org/officeDocument/2006/relationships/hyperlink" Target="https://doi.org/10.1016/j.energy.2014.11.0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dx.doi.org/10.1016/j.econmod.2014.07.026"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1016/j.rser.2016.11.201" TargetMode="External"/><Relationship Id="rId23" Type="http://schemas.openxmlformats.org/officeDocument/2006/relationships/hyperlink" Target="https://doi.org/10.1016/j.energy.2019.03.126" TargetMode="External"/><Relationship Id="rId28" Type="http://schemas.openxmlformats.org/officeDocument/2006/relationships/hyperlink" Target="https://doi.org/10.1016/j.rser.2017.06.009" TargetMode="External"/><Relationship Id="rId10" Type="http://schemas.openxmlformats.org/officeDocument/2006/relationships/image" Target="media/image4.png"/><Relationship Id="rId19" Type="http://schemas.openxmlformats.org/officeDocument/2006/relationships/hyperlink" Target="https://fpif.org/capital_flows_and_the_environment/" TargetMode="External"/><Relationship Id="rId31" Type="http://schemas.openxmlformats.org/officeDocument/2006/relationships/hyperlink" Target="https://doi.org/10.1016/j.envres.2021.1107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2/ep.13585" TargetMode="External"/><Relationship Id="rId22" Type="http://schemas.openxmlformats.org/officeDocument/2006/relationships/hyperlink" Target="https://doi.org/10.1016/j.egyr.2019.09.004" TargetMode="External"/><Relationship Id="rId27" Type="http://schemas.openxmlformats.org/officeDocument/2006/relationships/hyperlink" Target="https://doi.org/10.1016/j.jclepro.2019.01.282" TargetMode="External"/><Relationship Id="rId30" Type="http://schemas.openxmlformats.org/officeDocument/2006/relationships/hyperlink" Target="https://databank.worldbank.org/reports.aspx?source=World-Development-Indicato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selcukbali@selcuk.edu.tr" TargetMode="External"/><Relationship Id="rId1" Type="http://schemas.openxmlformats.org/officeDocument/2006/relationships/hyperlink" Target="mailto:ibrahimozmen@selcuk.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8F17-310C-4D65-A994-BB6056BA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3786</Words>
  <Characters>21584</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Özmen</dc:creator>
  <cp:lastModifiedBy>MW7</cp:lastModifiedBy>
  <cp:revision>2</cp:revision>
  <dcterms:created xsi:type="dcterms:W3CDTF">2023-05-17T21:22:00Z</dcterms:created>
  <dcterms:modified xsi:type="dcterms:W3CDTF">2023-05-17T21:22:00Z</dcterms:modified>
</cp:coreProperties>
</file>