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125AE" w14:textId="65486106" w:rsidR="00890B2E" w:rsidRDefault="00890B2E" w:rsidP="0059146B">
      <w:pPr>
        <w:spacing w:after="0"/>
        <w:jc w:val="center"/>
        <w:rPr>
          <w:rFonts w:ascii="Times New Roman" w:hAnsi="Times New Roman" w:cs="Times New Roman"/>
          <w:i/>
          <w:color w:val="000000" w:themeColor="text1"/>
          <w:sz w:val="20"/>
          <w:szCs w:val="20"/>
          <w:lang w:val="en-US"/>
        </w:rPr>
      </w:pPr>
      <w:bookmarkStart w:id="0" w:name="_GoBack"/>
      <w:bookmarkEnd w:id="0"/>
    </w:p>
    <w:p w14:paraId="24BF0E8E" w14:textId="77777777" w:rsidR="00050B91" w:rsidRPr="0097784A" w:rsidRDefault="00050B91" w:rsidP="0059146B">
      <w:pPr>
        <w:spacing w:after="0"/>
        <w:jc w:val="center"/>
        <w:rPr>
          <w:rFonts w:ascii="Times New Roman" w:hAnsi="Times New Roman" w:cs="Times New Roman"/>
          <w:i/>
          <w:color w:val="000000" w:themeColor="text1"/>
          <w:sz w:val="20"/>
          <w:szCs w:val="20"/>
          <w:lang w:val="en-US"/>
        </w:rPr>
      </w:pPr>
    </w:p>
    <w:p w14:paraId="6C7C4294" w14:textId="77777777" w:rsidR="00050B91" w:rsidRPr="00947A31" w:rsidRDefault="00050B91" w:rsidP="00050B91">
      <w:pPr>
        <w:jc w:val="center"/>
        <w:rPr>
          <w:rFonts w:ascii="Times New Roman" w:hAnsi="Times New Roman" w:cs="Times New Roman"/>
          <w:b/>
          <w:sz w:val="24"/>
          <w:szCs w:val="24"/>
        </w:rPr>
      </w:pPr>
      <w:r>
        <w:rPr>
          <w:rFonts w:ascii="Times New Roman" w:hAnsi="Times New Roman" w:cs="Times New Roman"/>
          <w:b/>
          <w:sz w:val="24"/>
          <w:szCs w:val="24"/>
        </w:rPr>
        <w:t>Investigation of i</w:t>
      </w:r>
      <w:r w:rsidRPr="00947A31">
        <w:rPr>
          <w:rFonts w:ascii="Times New Roman" w:hAnsi="Times New Roman" w:cs="Times New Roman"/>
          <w:b/>
          <w:sz w:val="24"/>
          <w:szCs w:val="24"/>
        </w:rPr>
        <w:t>n Vitro Effects of Some Antibiotics on Chicken Heart Glutathione S-Transferase Enzyme Activity</w:t>
      </w:r>
    </w:p>
    <w:p w14:paraId="761311A3" w14:textId="77777777" w:rsidR="00050B91" w:rsidRPr="00AB579F" w:rsidRDefault="00050B91" w:rsidP="00050B91">
      <w:pPr>
        <w:spacing w:before="120" w:after="120"/>
        <w:jc w:val="center"/>
        <w:rPr>
          <w:rFonts w:ascii="Times New Roman" w:hAnsi="Times New Roman" w:cs="Times New Roman"/>
          <w:i/>
          <w:color w:val="FF0000"/>
          <w:sz w:val="20"/>
          <w:szCs w:val="20"/>
        </w:rPr>
      </w:pPr>
      <w:r w:rsidRPr="00AB579F">
        <w:rPr>
          <w:rFonts w:ascii="Times New Roman" w:hAnsi="Times New Roman" w:cs="Times New Roman"/>
          <w:i/>
          <w:sz w:val="20"/>
          <w:szCs w:val="20"/>
          <w:u w:val="single"/>
        </w:rPr>
        <w:t>Suat ZOR</w:t>
      </w:r>
      <w:r w:rsidRPr="00AB579F">
        <w:rPr>
          <w:rFonts w:ascii="Times New Roman" w:hAnsi="Times New Roman" w:cs="Times New Roman"/>
          <w:i/>
          <w:sz w:val="20"/>
          <w:szCs w:val="20"/>
          <w:vertAlign w:val="superscript"/>
        </w:rPr>
        <w:t>1,0000-0001-5424-0542</w:t>
      </w:r>
      <w:r w:rsidRPr="00AB579F">
        <w:rPr>
          <w:rFonts w:ascii="Times New Roman" w:hAnsi="Times New Roman" w:cs="Times New Roman"/>
          <w:i/>
          <w:sz w:val="20"/>
          <w:szCs w:val="20"/>
        </w:rPr>
        <w:t>, Mehmet ÇİFTCİ</w:t>
      </w:r>
      <w:r w:rsidRPr="00AB579F">
        <w:rPr>
          <w:rFonts w:ascii="Times New Roman" w:hAnsi="Times New Roman" w:cs="Times New Roman"/>
          <w:i/>
          <w:sz w:val="20"/>
          <w:szCs w:val="20"/>
          <w:vertAlign w:val="superscript"/>
        </w:rPr>
        <w:t>2,</w:t>
      </w:r>
      <w:r w:rsidRPr="00AB579F">
        <w:rPr>
          <w:rFonts w:ascii="Times New Roman" w:hAnsi="Times New Roman" w:cs="Times New Roman"/>
          <w:i/>
          <w:sz w:val="20"/>
          <w:szCs w:val="20"/>
        </w:rPr>
        <w:t>*</w:t>
      </w:r>
      <w:r w:rsidRPr="00AB579F">
        <w:rPr>
          <w:rFonts w:ascii="Times New Roman" w:hAnsi="Times New Roman" w:cs="Times New Roman"/>
          <w:i/>
          <w:sz w:val="20"/>
          <w:szCs w:val="20"/>
          <w:vertAlign w:val="superscript"/>
        </w:rPr>
        <w:t xml:space="preserve">,0000-0002-1748-3729 </w:t>
      </w:r>
    </w:p>
    <w:p w14:paraId="54988D61" w14:textId="77777777" w:rsidR="00050B91" w:rsidRPr="00AB579F" w:rsidRDefault="00050B91" w:rsidP="00050B91">
      <w:pPr>
        <w:spacing w:before="120" w:after="120"/>
        <w:jc w:val="center"/>
        <w:rPr>
          <w:rFonts w:ascii="Times New Roman" w:hAnsi="Times New Roman" w:cs="Times New Roman"/>
          <w:i/>
          <w:sz w:val="18"/>
          <w:szCs w:val="18"/>
          <w:vertAlign w:val="superscript"/>
        </w:rPr>
      </w:pPr>
      <w:r w:rsidRPr="00AB579F">
        <w:rPr>
          <w:rFonts w:ascii="Times New Roman" w:hAnsi="Times New Roman" w:cs="Times New Roman"/>
          <w:i/>
          <w:sz w:val="18"/>
          <w:szCs w:val="18"/>
          <w:vertAlign w:val="superscript"/>
        </w:rPr>
        <w:t>1</w:t>
      </w:r>
      <w:r w:rsidRPr="00AB579F">
        <w:rPr>
          <w:rFonts w:ascii="Times New Roman" w:hAnsi="Times New Roman" w:cs="Times New Roman"/>
          <w:i/>
          <w:sz w:val="18"/>
          <w:szCs w:val="18"/>
        </w:rPr>
        <w:t xml:space="preserve">Batman University, </w:t>
      </w:r>
      <w:hyperlink r:id="rId8" w:history="1">
        <w:r w:rsidRPr="00AB579F">
          <w:rPr>
            <w:rStyle w:val="Kpr"/>
            <w:rFonts w:ascii="Times New Roman" w:hAnsi="Times New Roman" w:cs="Times New Roman"/>
            <w:i/>
            <w:sz w:val="18"/>
            <w:szCs w:val="18"/>
            <w:shd w:val="clear" w:color="auto" w:fill="FFFFFF"/>
          </w:rPr>
          <w:t>Social Sciences Vocational School</w:t>
        </w:r>
      </w:hyperlink>
      <w:r w:rsidRPr="00AB579F">
        <w:rPr>
          <w:rFonts w:ascii="Times New Roman" w:eastAsia="MS Mincho" w:hAnsi="Times New Roman" w:cs="Times New Roman"/>
          <w:i/>
          <w:iCs/>
          <w:sz w:val="18"/>
          <w:szCs w:val="18"/>
        </w:rPr>
        <w:t>, Batman, Türkiye</w:t>
      </w:r>
      <w:r w:rsidRPr="00AB579F">
        <w:rPr>
          <w:rFonts w:ascii="Times New Roman" w:hAnsi="Times New Roman" w:cs="Times New Roman"/>
          <w:i/>
          <w:sz w:val="18"/>
          <w:szCs w:val="18"/>
          <w:vertAlign w:val="superscript"/>
        </w:rPr>
        <w:t xml:space="preserve"> </w:t>
      </w:r>
    </w:p>
    <w:p w14:paraId="7B74A31E" w14:textId="77777777" w:rsidR="00050B91" w:rsidRPr="00AB579F" w:rsidRDefault="00050B91" w:rsidP="00050B91">
      <w:pPr>
        <w:autoSpaceDE w:val="0"/>
        <w:autoSpaceDN w:val="0"/>
        <w:spacing w:before="120" w:after="0"/>
        <w:jc w:val="center"/>
        <w:rPr>
          <w:rFonts w:ascii="Times New Roman" w:hAnsi="Times New Roman" w:cs="Times New Roman"/>
          <w:i/>
          <w:sz w:val="20"/>
          <w:szCs w:val="20"/>
        </w:rPr>
      </w:pPr>
      <w:r w:rsidRPr="00AB579F">
        <w:rPr>
          <w:rFonts w:ascii="Times New Roman" w:hAnsi="Times New Roman" w:cs="Times New Roman"/>
          <w:i/>
          <w:sz w:val="18"/>
          <w:szCs w:val="18"/>
          <w:vertAlign w:val="superscript"/>
        </w:rPr>
        <w:t>2</w:t>
      </w:r>
      <w:r w:rsidRPr="00AB579F">
        <w:rPr>
          <w:rFonts w:ascii="Times New Roman" w:hAnsi="Times New Roman" w:cs="Times New Roman"/>
          <w:i/>
          <w:sz w:val="18"/>
          <w:szCs w:val="18"/>
        </w:rPr>
        <w:t xml:space="preserve">Bingol University, </w:t>
      </w:r>
      <w:hyperlink r:id="rId9" w:history="1">
        <w:r w:rsidRPr="00AB579F">
          <w:rPr>
            <w:rStyle w:val="Kpr"/>
            <w:rFonts w:ascii="Times New Roman" w:hAnsi="Times New Roman" w:cs="Times New Roman"/>
            <w:i/>
            <w:sz w:val="18"/>
            <w:szCs w:val="18"/>
            <w:bdr w:val="none" w:sz="0" w:space="0" w:color="auto" w:frame="1"/>
          </w:rPr>
          <w:t>Faculty</w:t>
        </w:r>
      </w:hyperlink>
      <w:r w:rsidRPr="00AB579F">
        <w:rPr>
          <w:rStyle w:val="Kpr"/>
          <w:rFonts w:ascii="Times New Roman" w:hAnsi="Times New Roman" w:cs="Times New Roman"/>
          <w:i/>
          <w:sz w:val="18"/>
          <w:szCs w:val="18"/>
          <w:bdr w:val="none" w:sz="0" w:space="0" w:color="auto" w:frame="1"/>
        </w:rPr>
        <w:t xml:space="preserve"> of Veterinary Science,</w:t>
      </w:r>
      <w:r w:rsidRPr="00AB579F">
        <w:rPr>
          <w:rFonts w:ascii="Times New Roman" w:hAnsi="Times New Roman" w:cs="Times New Roman"/>
          <w:i/>
          <w:sz w:val="18"/>
          <w:szCs w:val="18"/>
          <w:vertAlign w:val="superscript"/>
        </w:rPr>
        <w:t xml:space="preserve"> </w:t>
      </w:r>
      <w:r w:rsidRPr="00AB579F">
        <w:rPr>
          <w:rFonts w:ascii="Times New Roman" w:eastAsia="MS Mincho" w:hAnsi="Times New Roman" w:cs="Times New Roman"/>
          <w:i/>
          <w:iCs/>
          <w:sz w:val="18"/>
          <w:szCs w:val="18"/>
        </w:rPr>
        <w:t>Bingol, Türkiye</w:t>
      </w:r>
      <w:r w:rsidRPr="00AB579F">
        <w:rPr>
          <w:rFonts w:ascii="Times New Roman" w:hAnsi="Times New Roman" w:cs="Times New Roman"/>
          <w:i/>
          <w:sz w:val="20"/>
          <w:szCs w:val="20"/>
          <w:vertAlign w:val="superscript"/>
        </w:rPr>
        <w:t xml:space="preserve"> </w:t>
      </w:r>
    </w:p>
    <w:p w14:paraId="4CB158EF" w14:textId="77777777" w:rsidR="00050B91" w:rsidRPr="00050B91" w:rsidRDefault="00050B91" w:rsidP="00050B91">
      <w:pPr>
        <w:pStyle w:val="ListeParagraf"/>
        <w:autoSpaceDE w:val="0"/>
        <w:autoSpaceDN w:val="0"/>
        <w:adjustRightInd w:val="0"/>
        <w:spacing w:before="120" w:after="0"/>
        <w:ind w:left="426" w:right="-59"/>
        <w:jc w:val="both"/>
        <w:rPr>
          <w:rFonts w:ascii="Times New Roman" w:hAnsi="Times New Roman" w:cs="Times New Roman"/>
          <w:noProof/>
          <w:color w:val="000000" w:themeColor="text1"/>
        </w:rPr>
      </w:pPr>
    </w:p>
    <w:p w14:paraId="1B18B1A3" w14:textId="65C075CC" w:rsidR="00050B91" w:rsidRDefault="00050B91" w:rsidP="00050B91">
      <w:pPr>
        <w:pStyle w:val="ListeParagraf"/>
        <w:autoSpaceDE w:val="0"/>
        <w:autoSpaceDN w:val="0"/>
        <w:adjustRightInd w:val="0"/>
        <w:spacing w:before="120" w:after="0"/>
        <w:ind w:left="426" w:right="-59"/>
        <w:jc w:val="both"/>
        <w:rPr>
          <w:rFonts w:ascii="Times New Roman" w:hAnsi="Times New Roman" w:cs="Times New Roman"/>
          <w:noProof/>
          <w:color w:val="000000" w:themeColor="text1"/>
        </w:rPr>
      </w:pPr>
    </w:p>
    <w:p w14:paraId="491805C0" w14:textId="77777777" w:rsidR="00050B91" w:rsidRPr="00947A31" w:rsidRDefault="00050B91" w:rsidP="00050B91">
      <w:pPr>
        <w:rPr>
          <w:rFonts w:ascii="Times New Roman" w:hAnsi="Times New Roman" w:cs="Times New Roman"/>
          <w:b/>
          <w:sz w:val="24"/>
          <w:szCs w:val="24"/>
        </w:rPr>
      </w:pPr>
      <w:r w:rsidRPr="00947A31">
        <w:rPr>
          <w:rFonts w:ascii="Times New Roman" w:hAnsi="Times New Roman" w:cs="Times New Roman"/>
          <w:b/>
          <w:sz w:val="24"/>
          <w:szCs w:val="24"/>
        </w:rPr>
        <w:t>Abstract</w:t>
      </w:r>
    </w:p>
    <w:p w14:paraId="39A16187" w14:textId="77777777" w:rsidR="00050B91" w:rsidRPr="004C25E6" w:rsidRDefault="00050B91" w:rsidP="00050B91">
      <w:pPr>
        <w:jc w:val="both"/>
        <w:rPr>
          <w:rFonts w:ascii="Times New Roman" w:hAnsi="Times New Roman" w:cs="Times New Roman"/>
        </w:rPr>
      </w:pPr>
      <w:r w:rsidRPr="004C25E6">
        <w:rPr>
          <w:rFonts w:ascii="Times New Roman" w:hAnsi="Times New Roman" w:cs="Times New Roman"/>
        </w:rPr>
        <w:t>Glutathione S-transferase enzyme (GST; EC 2.5.1.18) is a very important antioxidant enzyme that plays important functions in living metabolism. Glutathione S-transferases have been identified as a Phase-II detoxification enzyme family. Xenobiotics, which originate from exogenous or endogenous sources, transform into metabolites with lower toxicity that are easily excreted from the living organism as a result of Phase II reactions. During this event, GST takes part in reactions that enable the conjugation of glutathione with many metabolites that may cause toxicity.</w:t>
      </w:r>
    </w:p>
    <w:p w14:paraId="7F275C85" w14:textId="77777777" w:rsidR="00050B91" w:rsidRPr="004C25E6" w:rsidRDefault="00050B91" w:rsidP="00050B91">
      <w:pPr>
        <w:jc w:val="both"/>
        <w:rPr>
          <w:rFonts w:ascii="Times New Roman" w:hAnsi="Times New Roman" w:cs="Times New Roman"/>
        </w:rPr>
      </w:pPr>
      <w:r w:rsidRPr="004C25E6">
        <w:rPr>
          <w:rFonts w:ascii="Times New Roman" w:hAnsi="Times New Roman" w:cs="Times New Roman"/>
        </w:rPr>
        <w:t xml:space="preserve">This study was carried out in two stages. First of all, the GST enzyme was purified and then the in vitro effects of some antibiotics on the purified GST enzyme activity were examined. GST enzyme was purified from chicken heart tissue by preparation of homogenate, ammonium sulfate precipitation and glutathione-agarose affinity chromatography. In the kinetic studies conducted with the purified GST enzyme, it was determined that the antibiotics amoxicillin, cefuroxime sodium and cefazolin sodium had an inhibitory effect on the enzyme. Activity%-[I] graphs were drawn with the </w:t>
      </w:r>
      <w:proofErr w:type="gramStart"/>
      <w:r w:rsidRPr="004C25E6">
        <w:rPr>
          <w:rFonts w:ascii="Times New Roman" w:hAnsi="Times New Roman" w:cs="Times New Roman"/>
        </w:rPr>
        <w:t>data</w:t>
      </w:r>
      <w:proofErr w:type="gramEnd"/>
      <w:r w:rsidRPr="004C25E6">
        <w:rPr>
          <w:rFonts w:ascii="Times New Roman" w:hAnsi="Times New Roman" w:cs="Times New Roman"/>
        </w:rPr>
        <w:t xml:space="preserve"> obtained as a result of the kinetic studies, and the IC</w:t>
      </w:r>
      <w:r w:rsidRPr="004C25E6">
        <w:rPr>
          <w:rFonts w:ascii="Times New Roman" w:hAnsi="Times New Roman" w:cs="Times New Roman"/>
          <w:vertAlign w:val="subscript"/>
        </w:rPr>
        <w:t>50</w:t>
      </w:r>
      <w:r w:rsidRPr="004C25E6">
        <w:rPr>
          <w:rFonts w:ascii="Times New Roman" w:hAnsi="Times New Roman" w:cs="Times New Roman"/>
        </w:rPr>
        <w:t xml:space="preserve"> values for the antibiotics in question were calculated as 0.66, 2.07 and 2.09 mM, respectively.</w:t>
      </w:r>
    </w:p>
    <w:p w14:paraId="24154A69" w14:textId="77777777" w:rsidR="00050B91" w:rsidRPr="004C25E6" w:rsidRDefault="00050B91" w:rsidP="00050B91">
      <w:pPr>
        <w:jc w:val="both"/>
        <w:rPr>
          <w:rFonts w:ascii="Times New Roman" w:hAnsi="Times New Roman" w:cs="Times New Roman"/>
        </w:rPr>
      </w:pPr>
    </w:p>
    <w:p w14:paraId="5FD46DCB" w14:textId="77777777" w:rsidR="00050B91" w:rsidRPr="004C25E6" w:rsidRDefault="00050B91" w:rsidP="00050B91">
      <w:pPr>
        <w:jc w:val="both"/>
        <w:rPr>
          <w:rFonts w:ascii="Times New Roman" w:hAnsi="Times New Roman" w:cs="Times New Roman"/>
        </w:rPr>
      </w:pPr>
      <w:r w:rsidRPr="004C25E6">
        <w:rPr>
          <w:rFonts w:ascii="Times New Roman" w:hAnsi="Times New Roman" w:cs="Times New Roman"/>
          <w:b/>
        </w:rPr>
        <w:t>Key Words:</w:t>
      </w:r>
      <w:r w:rsidRPr="004C25E6">
        <w:rPr>
          <w:rFonts w:ascii="Times New Roman" w:hAnsi="Times New Roman" w:cs="Times New Roman"/>
        </w:rPr>
        <w:t xml:space="preserve"> Glutathione S-transferase, Antibiotic, Inhibition</w:t>
      </w:r>
    </w:p>
    <w:p w14:paraId="2373FA83" w14:textId="2D77E694" w:rsidR="00050B91" w:rsidRDefault="00050B91" w:rsidP="00050B91">
      <w:pPr>
        <w:pStyle w:val="ListeParagraf"/>
        <w:autoSpaceDE w:val="0"/>
        <w:autoSpaceDN w:val="0"/>
        <w:adjustRightInd w:val="0"/>
        <w:spacing w:before="120" w:after="0"/>
        <w:ind w:left="426" w:right="-59"/>
        <w:jc w:val="both"/>
        <w:rPr>
          <w:rFonts w:ascii="Times New Roman" w:hAnsi="Times New Roman" w:cs="Times New Roman"/>
          <w:noProof/>
          <w:color w:val="000000" w:themeColor="text1"/>
        </w:rPr>
      </w:pPr>
    </w:p>
    <w:p w14:paraId="6BD58C63" w14:textId="77777777" w:rsidR="00050B91" w:rsidRPr="00050B91" w:rsidRDefault="00050B91" w:rsidP="00050B91">
      <w:pPr>
        <w:pStyle w:val="ListeParagraf"/>
        <w:autoSpaceDE w:val="0"/>
        <w:autoSpaceDN w:val="0"/>
        <w:adjustRightInd w:val="0"/>
        <w:spacing w:before="120" w:after="0"/>
        <w:ind w:left="426" w:right="-59"/>
        <w:jc w:val="both"/>
        <w:rPr>
          <w:rFonts w:ascii="Times New Roman" w:hAnsi="Times New Roman" w:cs="Times New Roman"/>
          <w:noProof/>
          <w:color w:val="000000" w:themeColor="text1"/>
        </w:rPr>
      </w:pPr>
    </w:p>
    <w:p w14:paraId="1518133B" w14:textId="77777777" w:rsidR="00050B91" w:rsidRPr="00050B91" w:rsidRDefault="00050B91" w:rsidP="00050B91">
      <w:pPr>
        <w:pStyle w:val="ListeParagraf"/>
        <w:autoSpaceDE w:val="0"/>
        <w:autoSpaceDN w:val="0"/>
        <w:adjustRightInd w:val="0"/>
        <w:spacing w:before="120" w:after="0"/>
        <w:ind w:left="426" w:right="-59"/>
        <w:jc w:val="both"/>
        <w:rPr>
          <w:rFonts w:ascii="Times New Roman" w:hAnsi="Times New Roman" w:cs="Times New Roman"/>
          <w:noProof/>
          <w:color w:val="000000" w:themeColor="text1"/>
        </w:rPr>
      </w:pPr>
    </w:p>
    <w:p w14:paraId="37BF6D1E" w14:textId="77777777" w:rsidR="00050B91" w:rsidRPr="00050B91" w:rsidRDefault="00050B91" w:rsidP="00050B91">
      <w:pPr>
        <w:pStyle w:val="ListeParagraf"/>
        <w:autoSpaceDE w:val="0"/>
        <w:autoSpaceDN w:val="0"/>
        <w:adjustRightInd w:val="0"/>
        <w:spacing w:before="120" w:after="0"/>
        <w:ind w:left="426" w:right="-59"/>
        <w:jc w:val="both"/>
        <w:rPr>
          <w:rFonts w:ascii="Times New Roman" w:hAnsi="Times New Roman" w:cs="Times New Roman"/>
          <w:noProof/>
          <w:color w:val="000000" w:themeColor="text1"/>
        </w:rPr>
      </w:pPr>
    </w:p>
    <w:p w14:paraId="7220BE32" w14:textId="4AEBBCFD" w:rsidR="007D49B8" w:rsidRPr="00050B91" w:rsidRDefault="00B2099A" w:rsidP="00050B91">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r w:rsidR="001558FC" w:rsidRPr="0097784A">
        <w:rPr>
          <w:rFonts w:ascii="Times New Roman" w:hAnsi="Times New Roman" w:cs="Times New Roman"/>
          <w:b/>
          <w:color w:val="000000" w:themeColor="text1"/>
          <w:sz w:val="24"/>
          <w:szCs w:val="24"/>
        </w:rPr>
        <w:t xml:space="preserve"> </w:t>
      </w:r>
    </w:p>
    <w:p w14:paraId="50BE0808" w14:textId="6A1B5FFA" w:rsidR="00050B91" w:rsidRDefault="00050B91" w:rsidP="00050B91">
      <w:pPr>
        <w:autoSpaceDE w:val="0"/>
        <w:autoSpaceDN w:val="0"/>
        <w:adjustRightInd w:val="0"/>
        <w:spacing w:before="120" w:after="0"/>
        <w:ind w:right="-59"/>
        <w:jc w:val="both"/>
        <w:rPr>
          <w:rFonts w:ascii="Times New Roman" w:hAnsi="Times New Roman" w:cs="Times New Roman"/>
          <w:noProof/>
          <w:color w:val="000000" w:themeColor="text1"/>
        </w:rPr>
      </w:pPr>
    </w:p>
    <w:p w14:paraId="6F26A580" w14:textId="77777777" w:rsidR="00050B91" w:rsidRPr="002912B4" w:rsidRDefault="00050B91" w:rsidP="00050B91">
      <w:pPr>
        <w:rPr>
          <w:rFonts w:ascii="Times New Roman" w:hAnsi="Times New Roman" w:cs="Times New Roman"/>
        </w:rPr>
      </w:pPr>
      <w:r w:rsidRPr="002912B4">
        <w:rPr>
          <w:rFonts w:ascii="Times New Roman" w:hAnsi="Times New Roman" w:cs="Times New Roman"/>
        </w:rPr>
        <w:t>Living organisms encounter endogenous or exogenous substances containing toxicity throughout their life processes. They carry out their defense mechanisms against such harmful substances through their detoxification systems. Thus, xenobiotics that form in the body of the living thing or enter the body from outside are detoxified. To get rid of harmful substances, there are reactions called Phase I, Phase II and Phase III. The GST enzyme is involved in Phase II reactions. GST can bind with many organic anions to carry out detoxification reactions with compounds arising from endogenous and exogenous sources [1]. As a result of phase II reactions, the living organism is protected from the attacks of electrophilic substances with very high toxicity [2]. GST binds glutathione (GSH) and its substrate by bringing them closer together in its active site [3]. In this case, the sulfhydryl group on GSH becomes active and the aggressive electrotrophic substrate reacts with GSH [4].</w:t>
      </w:r>
    </w:p>
    <w:p w14:paraId="38A800D5" w14:textId="77777777" w:rsidR="00050B91" w:rsidRPr="002912B4" w:rsidRDefault="00050B91" w:rsidP="00050B91">
      <w:pPr>
        <w:rPr>
          <w:rFonts w:ascii="Times New Roman" w:hAnsi="Times New Roman" w:cs="Times New Roman"/>
        </w:rPr>
      </w:pPr>
      <w:r w:rsidRPr="002912B4">
        <w:rPr>
          <w:rFonts w:ascii="Times New Roman" w:hAnsi="Times New Roman" w:cs="Times New Roman"/>
        </w:rPr>
        <w:t xml:space="preserve">      GSH is endogenously synthesized in the liver through anabolic pathways using glutamic acid, cysteine and glycine [5]. Reduced glutathione (GSH) is a thiol-containing tripeptide of low molecular weight that is found in almost all living cells [6]. Glutathione (GSH) is considered an antioxidant because it eliminates free radicals such as H2O2, which cause serious damage to tissues, and eliminates the effects of reactive oxygen species (ROS) that cause damage to tissues [7]. The GSH/GSSG ratio is approximately 500 in erythrocytes. If a decrease in GSH level is observed, the onset and progression of many degenerative diseases are observed [8]. </w:t>
      </w:r>
      <w:r w:rsidRPr="002912B4">
        <w:rPr>
          <w:rFonts w:ascii="Times New Roman" w:hAnsi="Times New Roman" w:cs="Times New Roman"/>
        </w:rPr>
        <w:lastRenderedPageBreak/>
        <w:t>For example, aging causes symptoms of many diseases, including diabetes, renal failure, pneumonia, malignancy, amyotrophic lateral sclerosis, Parkinson's, Alzheimer's, and cataracts [9].</w:t>
      </w:r>
    </w:p>
    <w:p w14:paraId="2034C36C" w14:textId="77777777" w:rsidR="00050B91" w:rsidRPr="002912B4" w:rsidRDefault="00050B91" w:rsidP="00050B91">
      <w:pPr>
        <w:rPr>
          <w:rFonts w:ascii="Times New Roman" w:hAnsi="Times New Roman" w:cs="Times New Roman"/>
        </w:rPr>
      </w:pPr>
      <w:r w:rsidRPr="002912B4">
        <w:rPr>
          <w:rFonts w:ascii="Times New Roman" w:hAnsi="Times New Roman" w:cs="Times New Roman"/>
        </w:rPr>
        <w:t xml:space="preserve">   </w:t>
      </w:r>
    </w:p>
    <w:p w14:paraId="2339CA1F" w14:textId="77777777" w:rsidR="00050B91" w:rsidRPr="002912B4" w:rsidRDefault="00050B91" w:rsidP="00050B91">
      <w:pPr>
        <w:rPr>
          <w:rFonts w:ascii="Times New Roman" w:hAnsi="Times New Roman" w:cs="Times New Roman"/>
        </w:rPr>
      </w:pPr>
      <w:r w:rsidRPr="002912B4">
        <w:rPr>
          <w:rFonts w:ascii="Times New Roman" w:hAnsi="Times New Roman" w:cs="Times New Roman"/>
        </w:rPr>
        <w:t>The aim of this study is to examine the effects of antibiotics such as amoxicillin, cefazolin sodium and cefuroxime sodium on GST enzyme activity.</w:t>
      </w:r>
    </w:p>
    <w:p w14:paraId="7B0BD077" w14:textId="77777777" w:rsidR="00050B91" w:rsidRPr="002912B4" w:rsidRDefault="00050B91" w:rsidP="00050B91">
      <w:pPr>
        <w:rPr>
          <w:rFonts w:ascii="Times New Roman" w:hAnsi="Times New Roman" w:cs="Times New Roman"/>
        </w:rPr>
      </w:pPr>
    </w:p>
    <w:p w14:paraId="373DFB26" w14:textId="77777777" w:rsidR="00050B91" w:rsidRPr="00050B91" w:rsidRDefault="00050B91" w:rsidP="00050B91">
      <w:pPr>
        <w:autoSpaceDE w:val="0"/>
        <w:autoSpaceDN w:val="0"/>
        <w:adjustRightInd w:val="0"/>
        <w:spacing w:before="120" w:after="0"/>
        <w:ind w:right="-59"/>
        <w:jc w:val="both"/>
        <w:rPr>
          <w:rFonts w:ascii="Times New Roman" w:hAnsi="Times New Roman" w:cs="Times New Roman"/>
          <w:noProof/>
          <w:color w:val="000000" w:themeColor="text1"/>
        </w:rPr>
      </w:pPr>
    </w:p>
    <w:p w14:paraId="75B4DDE7" w14:textId="77777777" w:rsidR="00050B91" w:rsidRPr="0097784A" w:rsidRDefault="00050B91" w:rsidP="00050B91">
      <w:pPr>
        <w:pStyle w:val="ListeParagraf"/>
        <w:autoSpaceDE w:val="0"/>
        <w:autoSpaceDN w:val="0"/>
        <w:adjustRightInd w:val="0"/>
        <w:spacing w:before="120" w:after="0"/>
        <w:ind w:left="426" w:right="-59"/>
        <w:jc w:val="both"/>
        <w:rPr>
          <w:rFonts w:ascii="Times New Roman" w:hAnsi="Times New Roman" w:cs="Times New Roman"/>
          <w:noProof/>
          <w:color w:val="000000" w:themeColor="text1"/>
        </w:rPr>
      </w:pPr>
    </w:p>
    <w:p w14:paraId="0C053254" w14:textId="6EF58D28" w:rsidR="00C00D5F" w:rsidRPr="00050B91" w:rsidRDefault="00CF58C0" w:rsidP="00050B91">
      <w:pPr>
        <w:pStyle w:val="ListeParagraf"/>
        <w:numPr>
          <w:ilvl w:val="0"/>
          <w:numId w:val="6"/>
        </w:numPr>
        <w:autoSpaceDE w:val="0"/>
        <w:autoSpaceDN w:val="0"/>
        <w:adjustRightInd w:val="0"/>
        <w:spacing w:after="120" w:line="276" w:lineRule="auto"/>
        <w:jc w:val="both"/>
        <w:rPr>
          <w:color w:val="000000" w:themeColor="text1"/>
          <w:lang w:eastAsia="tr-TR"/>
        </w:rPr>
      </w:pPr>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 and Method</w:t>
      </w:r>
      <w:r w:rsidR="00EF68D7" w:rsidRPr="0097784A">
        <w:rPr>
          <w:rFonts w:ascii="Times New Roman" w:hAnsi="Times New Roman" w:cs="Times New Roman"/>
          <w:b/>
          <w:color w:val="000000" w:themeColor="text1"/>
          <w:sz w:val="24"/>
          <w:szCs w:val="24"/>
        </w:rPr>
        <w:t>s</w:t>
      </w:r>
      <w:r w:rsidR="00A664CE">
        <w:rPr>
          <w:rFonts w:ascii="Times New Roman" w:hAnsi="Times New Roman" w:cs="Times New Roman"/>
          <w:b/>
          <w:color w:val="000000" w:themeColor="text1"/>
          <w:sz w:val="24"/>
          <w:szCs w:val="24"/>
        </w:rPr>
        <w:t xml:space="preserve"> </w:t>
      </w:r>
    </w:p>
    <w:p w14:paraId="4F6087EE" w14:textId="77777777" w:rsidR="00050B91" w:rsidRPr="002912B4" w:rsidRDefault="00050B91" w:rsidP="00050B91">
      <w:pPr>
        <w:rPr>
          <w:rFonts w:ascii="Times New Roman" w:hAnsi="Times New Roman" w:cs="Times New Roman"/>
          <w:b/>
        </w:rPr>
      </w:pPr>
      <w:r w:rsidRPr="002912B4">
        <w:rPr>
          <w:rFonts w:ascii="Times New Roman" w:hAnsi="Times New Roman" w:cs="Times New Roman"/>
          <w:b/>
        </w:rPr>
        <w:t>2.1. Procuring Chicken Heart and Preparing the Homogenate</w:t>
      </w:r>
    </w:p>
    <w:p w14:paraId="454B8B67" w14:textId="77777777" w:rsidR="00050B91" w:rsidRPr="004C25E6" w:rsidRDefault="00050B91" w:rsidP="00050B91">
      <w:pPr>
        <w:rPr>
          <w:rFonts w:ascii="Times New Roman" w:hAnsi="Times New Roman" w:cs="Times New Roman"/>
        </w:rPr>
      </w:pPr>
      <w:proofErr w:type="gramStart"/>
      <w:r w:rsidRPr="004C25E6">
        <w:rPr>
          <w:rFonts w:ascii="Times New Roman" w:hAnsi="Times New Roman" w:cs="Times New Roman"/>
        </w:rPr>
        <w:t xml:space="preserve">The chicken hearts used in the experiments were obtained from Bingöl Meat and Milk Institution in accordance with the cold chain rules and kept in the deep freezer at -20°C. To prepare the homogenate solution, the frozen heart was cut into small pieces, 5 g of chicken heart was taken and 3 times the amount of homogenate buffer was added. </w:t>
      </w:r>
      <w:proofErr w:type="gramEnd"/>
      <w:r w:rsidRPr="004C25E6">
        <w:rPr>
          <w:rFonts w:ascii="Times New Roman" w:hAnsi="Times New Roman" w:cs="Times New Roman"/>
        </w:rPr>
        <w:t>The homogenate, which was made homogeneous using a homogenizer, was placed in Ependorf tubes and centrifuged at 13,000 x g for one hour. The precipitate was separated and homogenate was obtained. These processes were carried out at +4 °C.</w:t>
      </w:r>
    </w:p>
    <w:p w14:paraId="7E2FD55E" w14:textId="77777777" w:rsidR="00050B91" w:rsidRPr="004C25E6" w:rsidRDefault="00050B91" w:rsidP="00050B91">
      <w:pPr>
        <w:rPr>
          <w:rFonts w:ascii="Times New Roman" w:hAnsi="Times New Roman" w:cs="Times New Roman"/>
          <w:b/>
        </w:rPr>
      </w:pPr>
      <w:r w:rsidRPr="004C25E6">
        <w:rPr>
          <w:rFonts w:ascii="Times New Roman" w:hAnsi="Times New Roman" w:cs="Times New Roman"/>
          <w:b/>
        </w:rPr>
        <w:t>2.2. Purification of the Enzyme and Determination of Activity</w:t>
      </w:r>
    </w:p>
    <w:p w14:paraId="0C196705" w14:textId="77777777" w:rsidR="00050B91" w:rsidRDefault="00050B91" w:rsidP="00050B91">
      <w:pPr>
        <w:rPr>
          <w:rFonts w:ascii="Times New Roman" w:hAnsi="Times New Roman" w:cs="Times New Roman"/>
        </w:rPr>
      </w:pPr>
      <w:r w:rsidRPr="004C25E6">
        <w:rPr>
          <w:rFonts w:ascii="Times New Roman" w:hAnsi="Times New Roman" w:cs="Times New Roman"/>
        </w:rPr>
        <w:t xml:space="preserve">The enzyme sample was applied to the glutathione agarose affinity column equilibrated with 10 mM KH2PO4 and 0.1M KCl, pH: </w:t>
      </w:r>
      <w:proofErr w:type="gramStart"/>
      <w:r w:rsidRPr="004C25E6">
        <w:rPr>
          <w:rFonts w:ascii="Times New Roman" w:hAnsi="Times New Roman" w:cs="Times New Roman"/>
        </w:rPr>
        <w:t>8.0</w:t>
      </w:r>
      <w:proofErr w:type="gramEnd"/>
      <w:r w:rsidRPr="004C25E6">
        <w:rPr>
          <w:rFonts w:ascii="Times New Roman" w:hAnsi="Times New Roman" w:cs="Times New Roman"/>
        </w:rPr>
        <w:t xml:space="preserve"> buffer. Gradient elution was performed to obtain the enzyme pure. The solution for the prepared elution was created from a solution containing 50 mM Tris-HCl and (1.25-10 mM, pH: </w:t>
      </w:r>
      <w:proofErr w:type="gramStart"/>
      <w:r w:rsidRPr="004C25E6">
        <w:rPr>
          <w:rFonts w:ascii="Times New Roman" w:hAnsi="Times New Roman" w:cs="Times New Roman"/>
        </w:rPr>
        <w:t>9.5</w:t>
      </w:r>
      <w:proofErr w:type="gramEnd"/>
      <w:r w:rsidRPr="004C25E6">
        <w:rPr>
          <w:rFonts w:ascii="Times New Roman" w:hAnsi="Times New Roman" w:cs="Times New Roman"/>
        </w:rPr>
        <w:t>) GSH. The activities of the obtained eluates were measured on a spectrophotometer set to 340 nm wavelength. Enzyme activity was performed according to the method used by Habig et al. [10].</w:t>
      </w:r>
    </w:p>
    <w:p w14:paraId="4591E5A3" w14:textId="77777777" w:rsidR="00050B91" w:rsidRDefault="00050B91" w:rsidP="00050B91">
      <w:pPr>
        <w:rPr>
          <w:rFonts w:ascii="Times New Roman" w:hAnsi="Times New Roman" w:cs="Times New Roman"/>
        </w:rPr>
      </w:pPr>
    </w:p>
    <w:p w14:paraId="0923683F" w14:textId="77777777" w:rsidR="00050B91" w:rsidRPr="003F6E11" w:rsidRDefault="00050B91" w:rsidP="00050B91">
      <w:pPr>
        <w:rPr>
          <w:rFonts w:ascii="Times New Roman" w:hAnsi="Times New Roman" w:cs="Times New Roman"/>
          <w:b/>
        </w:rPr>
      </w:pPr>
      <w:r w:rsidRPr="003F6E11">
        <w:rPr>
          <w:rFonts w:ascii="Times New Roman" w:hAnsi="Times New Roman" w:cs="Times New Roman"/>
          <w:b/>
        </w:rPr>
        <w:t>2.3. Kinetic Studies</w:t>
      </w:r>
    </w:p>
    <w:p w14:paraId="2E62FE0C" w14:textId="77777777" w:rsidR="00050B91" w:rsidRDefault="00050B91" w:rsidP="00050B91">
      <w:pPr>
        <w:rPr>
          <w:rFonts w:ascii="Times New Roman" w:hAnsi="Times New Roman" w:cs="Times New Roman"/>
        </w:rPr>
      </w:pPr>
      <w:r w:rsidRPr="004C25E6">
        <w:rPr>
          <w:rFonts w:ascii="Times New Roman" w:hAnsi="Times New Roman" w:cs="Times New Roman"/>
        </w:rPr>
        <w:t>To prepare the IC</w:t>
      </w:r>
      <w:r w:rsidRPr="00134A2E">
        <w:rPr>
          <w:rFonts w:ascii="Times New Roman" w:hAnsi="Times New Roman" w:cs="Times New Roman"/>
          <w:vertAlign w:val="subscript"/>
        </w:rPr>
        <w:t>50</w:t>
      </w:r>
      <w:r w:rsidRPr="004C25E6">
        <w:rPr>
          <w:rFonts w:ascii="Times New Roman" w:hAnsi="Times New Roman" w:cs="Times New Roman"/>
        </w:rPr>
        <w:t xml:space="preserve"> chart, the activity value of the purified enzyme was measured as a control in the inhibitor-free environment. This measured value was accepted as 100%. Afterwards, IC50 values were calculated by measuring the values of antibiotics at different concentrations. These concentration values; for cefuroxime sodium; 0.896, 1.792, 4.48 and 8.96 mM, 0.419, 0.838, 1.676, 4.19 and 8.38 mM for cefazolin sodium, 0.228, 0.456, 0.912, 1.14, 1.368 and 1,596 mM for amoxicillin. The graphic equation was obtained by creating % Activity-[I] concentration graphs with these concentration values obtained. IC</w:t>
      </w:r>
      <w:r w:rsidRPr="00134A2E">
        <w:rPr>
          <w:rFonts w:ascii="Times New Roman" w:hAnsi="Times New Roman" w:cs="Times New Roman"/>
          <w:vertAlign w:val="subscript"/>
        </w:rPr>
        <w:t>50</w:t>
      </w:r>
      <w:r w:rsidRPr="004C25E6">
        <w:rPr>
          <w:rFonts w:ascii="Times New Roman" w:hAnsi="Times New Roman" w:cs="Times New Roman"/>
        </w:rPr>
        <w:t xml:space="preserve"> values were calculated using this equation.</w:t>
      </w:r>
    </w:p>
    <w:p w14:paraId="5D352D8B" w14:textId="4172023D" w:rsidR="00050B91" w:rsidRDefault="00050B91" w:rsidP="00050B91">
      <w:pPr>
        <w:autoSpaceDE w:val="0"/>
        <w:autoSpaceDN w:val="0"/>
        <w:adjustRightInd w:val="0"/>
        <w:spacing w:after="120" w:line="276" w:lineRule="auto"/>
        <w:jc w:val="both"/>
        <w:rPr>
          <w:color w:val="000000" w:themeColor="text1"/>
          <w:lang w:eastAsia="tr-TR"/>
        </w:rPr>
      </w:pPr>
    </w:p>
    <w:p w14:paraId="4DCCBBAC" w14:textId="77777777" w:rsidR="00050B91" w:rsidRPr="00050B91" w:rsidRDefault="00050B91" w:rsidP="00050B91">
      <w:pPr>
        <w:autoSpaceDE w:val="0"/>
        <w:autoSpaceDN w:val="0"/>
        <w:adjustRightInd w:val="0"/>
        <w:spacing w:after="120" w:line="276" w:lineRule="auto"/>
        <w:jc w:val="both"/>
        <w:rPr>
          <w:color w:val="000000" w:themeColor="text1"/>
          <w:lang w:eastAsia="tr-TR"/>
        </w:rPr>
      </w:pPr>
    </w:p>
    <w:p w14:paraId="4A0C6CD6" w14:textId="448D565E" w:rsidR="00CA318B" w:rsidRPr="00050B91" w:rsidRDefault="00CA318B" w:rsidP="00CA318B">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sidRPr="00CA318B">
        <w:rPr>
          <w:rFonts w:ascii="Times New Roman" w:hAnsi="Times New Roman" w:cs="Times New Roman"/>
          <w:b/>
          <w:sz w:val="24"/>
          <w:szCs w:val="24"/>
        </w:rPr>
        <w:t>Results and Discussion</w:t>
      </w:r>
      <w:r>
        <w:rPr>
          <w:rFonts w:ascii="Times New Roman" w:hAnsi="Times New Roman" w:cs="Times New Roman"/>
          <w:b/>
          <w:sz w:val="24"/>
          <w:szCs w:val="24"/>
        </w:rPr>
        <w:t xml:space="preserve"> </w:t>
      </w:r>
    </w:p>
    <w:p w14:paraId="6FC9EDDD" w14:textId="77777777" w:rsidR="00050B91" w:rsidRDefault="00050B91" w:rsidP="00050B91">
      <w:pPr>
        <w:rPr>
          <w:rFonts w:ascii="Times New Roman" w:hAnsi="Times New Roman" w:cs="Times New Roman"/>
        </w:rPr>
      </w:pPr>
      <w:r w:rsidRPr="004C25E6">
        <w:rPr>
          <w:rFonts w:ascii="Times New Roman" w:hAnsi="Times New Roman" w:cs="Times New Roman"/>
        </w:rPr>
        <w:t>In the study, GST enzyme was purified from chicken heart tissue according to the processes mentioned above. In the kinetic study, % Activity - inhibitor concentration graphs were drawn for the antibiotics amoxicillin, cefuroxime sodium and cefazolin sodium, which inhibit enzyme activity, and Figure 1, Figure 2 and Figure 3 were created. With the help of these graphs, IC</w:t>
      </w:r>
      <w:r w:rsidRPr="00134A2E">
        <w:rPr>
          <w:rFonts w:ascii="Times New Roman" w:hAnsi="Times New Roman" w:cs="Times New Roman"/>
          <w:vertAlign w:val="subscript"/>
        </w:rPr>
        <w:t>50</w:t>
      </w:r>
      <w:r w:rsidRPr="004C25E6">
        <w:rPr>
          <w:rFonts w:ascii="Times New Roman" w:hAnsi="Times New Roman" w:cs="Times New Roman"/>
        </w:rPr>
        <w:t xml:space="preserve"> values for the antibiotics amoxicillin, cefuroxime sodium and cefazolin sodium were calculated as 0.66, 2.07 and 2.09 mM, respectively. These values are shown in Table 1.</w:t>
      </w:r>
    </w:p>
    <w:p w14:paraId="30B72EDF" w14:textId="77777777" w:rsidR="00050B91" w:rsidRDefault="00050B91" w:rsidP="00050B91">
      <w:pPr>
        <w:rPr>
          <w:rFonts w:ascii="Times New Roman" w:hAnsi="Times New Roman" w:cs="Times New Roman"/>
        </w:rPr>
      </w:pPr>
    </w:p>
    <w:p w14:paraId="7E8DF6F3" w14:textId="77777777" w:rsidR="00050B91" w:rsidRDefault="00050B91" w:rsidP="00050B91">
      <w:pPr>
        <w:rPr>
          <w:rFonts w:ascii="Times New Roman" w:hAnsi="Times New Roman" w:cs="Times New Roman"/>
        </w:rPr>
      </w:pPr>
      <w:r>
        <w:rPr>
          <w:noProof/>
          <w:lang w:eastAsia="tr-TR"/>
        </w:rPr>
        <w:lastRenderedPageBreak/>
        <w:drawing>
          <wp:inline distT="0" distB="0" distL="0" distR="0" wp14:anchorId="6B43E9DB" wp14:editId="276F7377">
            <wp:extent cx="4420925" cy="2409245"/>
            <wp:effectExtent l="0" t="0" r="17780" b="1016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47D598" w14:textId="77777777" w:rsidR="00050B91" w:rsidRDefault="00050B91" w:rsidP="00050B91">
      <w:pPr>
        <w:rPr>
          <w:rFonts w:ascii="Times New Roman" w:hAnsi="Times New Roman" w:cs="Times New Roman"/>
          <w:sz w:val="20"/>
          <w:szCs w:val="20"/>
        </w:rPr>
      </w:pPr>
      <w:r w:rsidRPr="004C25E6">
        <w:rPr>
          <w:rFonts w:ascii="Times New Roman" w:hAnsi="Times New Roman" w:cs="Times New Roman"/>
          <w:b/>
          <w:sz w:val="20"/>
          <w:szCs w:val="20"/>
        </w:rPr>
        <w:t>Figure 1</w:t>
      </w:r>
      <w:r w:rsidRPr="004C25E6">
        <w:rPr>
          <w:rFonts w:ascii="Times New Roman" w:hAnsi="Times New Roman" w:cs="Times New Roman"/>
          <w:sz w:val="20"/>
          <w:szCs w:val="20"/>
        </w:rPr>
        <w:t>. Effect graph of amoxicillin antibiotic on GST enzyme activity</w:t>
      </w:r>
    </w:p>
    <w:p w14:paraId="09D9F1E0" w14:textId="77777777" w:rsidR="00050B91" w:rsidRDefault="00050B91" w:rsidP="00050B91">
      <w:pPr>
        <w:rPr>
          <w:rFonts w:ascii="Times New Roman" w:hAnsi="Times New Roman" w:cs="Times New Roman"/>
          <w:sz w:val="20"/>
          <w:szCs w:val="20"/>
        </w:rPr>
      </w:pPr>
    </w:p>
    <w:p w14:paraId="0920E70F" w14:textId="77777777" w:rsidR="00050B91" w:rsidRDefault="00050B91" w:rsidP="00050B91">
      <w:pPr>
        <w:rPr>
          <w:rFonts w:ascii="Times New Roman" w:hAnsi="Times New Roman" w:cs="Times New Roman"/>
          <w:sz w:val="20"/>
          <w:szCs w:val="20"/>
        </w:rPr>
      </w:pPr>
    </w:p>
    <w:p w14:paraId="4E4CE544" w14:textId="77777777" w:rsidR="00050B91" w:rsidRDefault="00050B91" w:rsidP="00050B91">
      <w:pPr>
        <w:rPr>
          <w:rFonts w:ascii="Times New Roman" w:hAnsi="Times New Roman" w:cs="Times New Roman"/>
          <w:sz w:val="20"/>
          <w:szCs w:val="20"/>
        </w:rPr>
      </w:pPr>
    </w:p>
    <w:p w14:paraId="77045218" w14:textId="77777777" w:rsidR="00050B91" w:rsidRDefault="00050B91" w:rsidP="00050B91">
      <w:pPr>
        <w:rPr>
          <w:rFonts w:ascii="Times New Roman" w:hAnsi="Times New Roman" w:cs="Times New Roman"/>
          <w:sz w:val="20"/>
          <w:szCs w:val="20"/>
        </w:rPr>
      </w:pPr>
    </w:p>
    <w:p w14:paraId="7BCE4E3D" w14:textId="77777777" w:rsidR="00050B91" w:rsidRDefault="00050B91" w:rsidP="00050B91">
      <w:pPr>
        <w:rPr>
          <w:rFonts w:ascii="Times New Roman" w:hAnsi="Times New Roman" w:cs="Times New Roman"/>
          <w:sz w:val="20"/>
          <w:szCs w:val="20"/>
        </w:rPr>
      </w:pPr>
      <w:r>
        <w:rPr>
          <w:noProof/>
          <w:lang w:eastAsia="tr-TR"/>
        </w:rPr>
        <w:drawing>
          <wp:anchor distT="0" distB="0" distL="114300" distR="114300" simplePos="0" relativeHeight="251659264" behindDoc="0" locked="0" layoutInCell="1" allowOverlap="1" wp14:anchorId="79AD6E46" wp14:editId="0D6C6FAA">
            <wp:simplePos x="0" y="0"/>
            <wp:positionH relativeFrom="margin">
              <wp:posOffset>0</wp:posOffset>
            </wp:positionH>
            <wp:positionV relativeFrom="paragraph">
              <wp:posOffset>-601345</wp:posOffset>
            </wp:positionV>
            <wp:extent cx="4539615" cy="2636520"/>
            <wp:effectExtent l="0" t="0" r="13335" b="11430"/>
            <wp:wrapSquare wrapText="bothSides"/>
            <wp:docPr id="985269380" name="Grafik 1">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349C6D2D" w14:textId="77777777" w:rsidR="00050B91" w:rsidRPr="009668A5" w:rsidRDefault="00050B91" w:rsidP="00050B91">
      <w:pPr>
        <w:rPr>
          <w:rFonts w:ascii="Times New Roman" w:hAnsi="Times New Roman" w:cs="Times New Roman"/>
          <w:sz w:val="20"/>
          <w:szCs w:val="20"/>
        </w:rPr>
      </w:pPr>
    </w:p>
    <w:p w14:paraId="70152A4A" w14:textId="77777777" w:rsidR="00050B91" w:rsidRPr="009668A5" w:rsidRDefault="00050B91" w:rsidP="00050B91">
      <w:pPr>
        <w:rPr>
          <w:rFonts w:ascii="Times New Roman" w:hAnsi="Times New Roman" w:cs="Times New Roman"/>
          <w:sz w:val="20"/>
          <w:szCs w:val="20"/>
        </w:rPr>
      </w:pPr>
    </w:p>
    <w:p w14:paraId="77045C01" w14:textId="77777777" w:rsidR="00050B91" w:rsidRPr="009668A5" w:rsidRDefault="00050B91" w:rsidP="00050B91">
      <w:pPr>
        <w:rPr>
          <w:rFonts w:ascii="Times New Roman" w:hAnsi="Times New Roman" w:cs="Times New Roman"/>
          <w:sz w:val="20"/>
          <w:szCs w:val="20"/>
        </w:rPr>
      </w:pPr>
    </w:p>
    <w:p w14:paraId="7D4A8DC4" w14:textId="77777777" w:rsidR="00050B91" w:rsidRPr="009668A5" w:rsidRDefault="00050B91" w:rsidP="00050B91">
      <w:pPr>
        <w:rPr>
          <w:rFonts w:ascii="Times New Roman" w:hAnsi="Times New Roman" w:cs="Times New Roman"/>
          <w:sz w:val="20"/>
          <w:szCs w:val="20"/>
        </w:rPr>
      </w:pPr>
    </w:p>
    <w:p w14:paraId="302D9EB3" w14:textId="77777777" w:rsidR="00050B91" w:rsidRPr="009668A5" w:rsidRDefault="00050B91" w:rsidP="00050B91">
      <w:pPr>
        <w:rPr>
          <w:rFonts w:ascii="Times New Roman" w:hAnsi="Times New Roman" w:cs="Times New Roman"/>
          <w:sz w:val="20"/>
          <w:szCs w:val="20"/>
        </w:rPr>
      </w:pPr>
    </w:p>
    <w:p w14:paraId="612E14AA" w14:textId="77777777" w:rsidR="00050B91" w:rsidRDefault="00050B91" w:rsidP="00050B91">
      <w:pPr>
        <w:rPr>
          <w:rFonts w:ascii="Times New Roman" w:hAnsi="Times New Roman" w:cs="Times New Roman"/>
          <w:sz w:val="20"/>
          <w:szCs w:val="20"/>
        </w:rPr>
      </w:pPr>
    </w:p>
    <w:p w14:paraId="3FDB9D37" w14:textId="77777777" w:rsidR="00050B91" w:rsidRDefault="00050B91" w:rsidP="00050B91">
      <w:pPr>
        <w:rPr>
          <w:rFonts w:ascii="Times New Roman" w:hAnsi="Times New Roman" w:cs="Times New Roman"/>
          <w:sz w:val="20"/>
          <w:szCs w:val="20"/>
        </w:rPr>
      </w:pPr>
    </w:p>
    <w:p w14:paraId="0E196D09" w14:textId="77777777" w:rsidR="00050B91" w:rsidRDefault="00050B91" w:rsidP="00050B91">
      <w:pPr>
        <w:rPr>
          <w:rFonts w:ascii="Times New Roman" w:hAnsi="Times New Roman" w:cs="Times New Roman"/>
          <w:b/>
          <w:sz w:val="20"/>
          <w:szCs w:val="20"/>
        </w:rPr>
      </w:pPr>
    </w:p>
    <w:p w14:paraId="5F9FD9D3" w14:textId="77777777" w:rsidR="00050B91" w:rsidRDefault="00050B91" w:rsidP="00050B91">
      <w:pPr>
        <w:rPr>
          <w:rFonts w:ascii="Times New Roman" w:hAnsi="Times New Roman" w:cs="Times New Roman"/>
          <w:b/>
          <w:sz w:val="20"/>
          <w:szCs w:val="20"/>
        </w:rPr>
      </w:pPr>
    </w:p>
    <w:p w14:paraId="0448B8EA" w14:textId="77777777" w:rsidR="00050B91" w:rsidRDefault="00050B91" w:rsidP="00050B91">
      <w:pPr>
        <w:rPr>
          <w:rFonts w:ascii="Times New Roman" w:hAnsi="Times New Roman" w:cs="Times New Roman"/>
          <w:b/>
          <w:sz w:val="20"/>
          <w:szCs w:val="20"/>
        </w:rPr>
      </w:pPr>
    </w:p>
    <w:p w14:paraId="672B308D" w14:textId="69553114" w:rsidR="00050B91" w:rsidRDefault="00050B91" w:rsidP="00050B91">
      <w:pPr>
        <w:rPr>
          <w:rFonts w:ascii="Times New Roman" w:hAnsi="Times New Roman" w:cs="Times New Roman"/>
          <w:sz w:val="20"/>
          <w:szCs w:val="20"/>
        </w:rPr>
      </w:pPr>
      <w:r w:rsidRPr="009668A5">
        <w:rPr>
          <w:rFonts w:ascii="Times New Roman" w:hAnsi="Times New Roman" w:cs="Times New Roman"/>
          <w:b/>
          <w:sz w:val="20"/>
          <w:szCs w:val="20"/>
        </w:rPr>
        <w:t>Figure 2</w:t>
      </w:r>
      <w:r w:rsidRPr="009668A5">
        <w:rPr>
          <w:rFonts w:ascii="Times New Roman" w:hAnsi="Times New Roman" w:cs="Times New Roman"/>
          <w:sz w:val="20"/>
          <w:szCs w:val="20"/>
        </w:rPr>
        <w:t>. Effect graph of cefuroxime sodium antibiotic on GST enzyme activity.</w:t>
      </w:r>
    </w:p>
    <w:p w14:paraId="5254905C" w14:textId="77777777" w:rsidR="00050B91" w:rsidRDefault="00050B91" w:rsidP="00050B91">
      <w:pPr>
        <w:tabs>
          <w:tab w:val="left" w:pos="7460"/>
        </w:tabs>
        <w:rPr>
          <w:rFonts w:ascii="Times New Roman" w:hAnsi="Times New Roman" w:cs="Times New Roman"/>
          <w:sz w:val="20"/>
          <w:szCs w:val="20"/>
        </w:rPr>
      </w:pPr>
    </w:p>
    <w:p w14:paraId="7EF28ECD" w14:textId="3F26E60F" w:rsidR="00050B91" w:rsidRDefault="00050B91" w:rsidP="00050B91">
      <w:pPr>
        <w:tabs>
          <w:tab w:val="left" w:pos="7460"/>
        </w:tabs>
        <w:rPr>
          <w:rFonts w:ascii="Times New Roman" w:hAnsi="Times New Roman" w:cs="Times New Roman"/>
          <w:sz w:val="20"/>
          <w:szCs w:val="20"/>
        </w:rPr>
      </w:pPr>
      <w:r>
        <w:rPr>
          <w:rFonts w:ascii="Times New Roman" w:hAnsi="Times New Roman" w:cs="Times New Roman"/>
          <w:sz w:val="20"/>
          <w:szCs w:val="20"/>
        </w:rPr>
        <w:tab/>
      </w:r>
    </w:p>
    <w:p w14:paraId="3A5D38CC" w14:textId="77777777" w:rsidR="00050B91" w:rsidRDefault="00050B91" w:rsidP="00050B91">
      <w:pPr>
        <w:tabs>
          <w:tab w:val="left" w:pos="7460"/>
        </w:tabs>
        <w:rPr>
          <w:rFonts w:ascii="Times New Roman" w:hAnsi="Times New Roman" w:cs="Times New Roman"/>
          <w:sz w:val="20"/>
          <w:szCs w:val="20"/>
        </w:rPr>
      </w:pPr>
      <w:r>
        <w:rPr>
          <w:noProof/>
          <w:lang w:eastAsia="tr-TR"/>
        </w:rPr>
        <w:lastRenderedPageBreak/>
        <w:drawing>
          <wp:inline distT="0" distB="0" distL="0" distR="0" wp14:anchorId="14048688" wp14:editId="0CA9C49C">
            <wp:extent cx="4484536" cy="2695493"/>
            <wp:effectExtent l="0" t="0" r="11430" b="1016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58BA5C" w14:textId="77777777" w:rsidR="00050B91" w:rsidRPr="009668A5" w:rsidRDefault="00050B91" w:rsidP="00050B91">
      <w:pPr>
        <w:tabs>
          <w:tab w:val="left" w:pos="7460"/>
        </w:tabs>
        <w:rPr>
          <w:rFonts w:ascii="Times New Roman" w:hAnsi="Times New Roman" w:cs="Times New Roman"/>
          <w:sz w:val="20"/>
          <w:szCs w:val="20"/>
        </w:rPr>
      </w:pPr>
      <w:r w:rsidRPr="009668A5">
        <w:rPr>
          <w:rFonts w:ascii="Times New Roman" w:hAnsi="Times New Roman" w:cs="Times New Roman"/>
          <w:b/>
          <w:sz w:val="20"/>
          <w:szCs w:val="20"/>
        </w:rPr>
        <w:t>Figure 3</w:t>
      </w:r>
      <w:r w:rsidRPr="009668A5">
        <w:rPr>
          <w:rFonts w:ascii="Times New Roman" w:hAnsi="Times New Roman" w:cs="Times New Roman"/>
          <w:sz w:val="20"/>
          <w:szCs w:val="20"/>
        </w:rPr>
        <w:t>. Effect graph of cefazolin sodium antibiotic on GST enzyme activity</w:t>
      </w:r>
    </w:p>
    <w:p w14:paraId="57F22380" w14:textId="77777777" w:rsidR="00050B91" w:rsidRDefault="00050B91" w:rsidP="00050B91">
      <w:pPr>
        <w:tabs>
          <w:tab w:val="left" w:pos="7460"/>
        </w:tabs>
        <w:rPr>
          <w:rFonts w:ascii="Times New Roman" w:hAnsi="Times New Roman" w:cs="Times New Roman"/>
          <w:sz w:val="20"/>
          <w:szCs w:val="20"/>
        </w:rPr>
      </w:pPr>
      <w:r w:rsidRPr="009668A5">
        <w:rPr>
          <w:rFonts w:ascii="Times New Roman" w:hAnsi="Times New Roman" w:cs="Times New Roman"/>
          <w:sz w:val="20"/>
          <w:szCs w:val="20"/>
        </w:rPr>
        <w:t>​</w:t>
      </w:r>
    </w:p>
    <w:p w14:paraId="7F48DBA9" w14:textId="77777777" w:rsidR="00050B91" w:rsidRDefault="00050B91" w:rsidP="00050B91">
      <w:pPr>
        <w:tabs>
          <w:tab w:val="left" w:pos="7460"/>
        </w:tabs>
        <w:rPr>
          <w:rFonts w:ascii="Times New Roman" w:hAnsi="Times New Roman" w:cs="Times New Roman"/>
          <w:sz w:val="20"/>
          <w:szCs w:val="20"/>
        </w:rPr>
      </w:pPr>
      <w:r w:rsidRPr="009668A5">
        <w:rPr>
          <w:rFonts w:ascii="Times New Roman" w:hAnsi="Times New Roman" w:cs="Times New Roman"/>
          <w:b/>
          <w:sz w:val="20"/>
          <w:szCs w:val="20"/>
        </w:rPr>
        <w:t>Table 1.</w:t>
      </w:r>
      <w:r w:rsidRPr="009668A5">
        <w:rPr>
          <w:rFonts w:ascii="Times New Roman" w:hAnsi="Times New Roman" w:cs="Times New Roman"/>
          <w:sz w:val="20"/>
          <w:szCs w:val="20"/>
        </w:rPr>
        <w:t xml:space="preserve"> Effects of antibiotics on GST enzyme activities</w:t>
      </w:r>
    </w:p>
    <w:p w14:paraId="291FCD65" w14:textId="77777777" w:rsidR="00050B91" w:rsidRPr="0018417F" w:rsidRDefault="00050B91" w:rsidP="00050B91">
      <w:pPr>
        <w:spacing w:after="0"/>
        <w:jc w:val="both"/>
        <w:rPr>
          <w:rFonts w:ascii="Times New Roman" w:hAnsi="Times New Roman" w:cs="Times New Roman"/>
          <w:color w:val="000000" w:themeColor="text1"/>
          <w:sz w:val="20"/>
          <w:szCs w:val="20"/>
          <w:lang w:val="en-US" w:eastAsia="tr-TR"/>
        </w:rPr>
      </w:pPr>
    </w:p>
    <w:tbl>
      <w:tblPr>
        <w:tblStyle w:val="TabloKlavuzu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0"/>
        <w:gridCol w:w="2561"/>
        <w:gridCol w:w="1525"/>
      </w:tblGrid>
      <w:tr w:rsidR="00050B91" w:rsidRPr="00482A04" w14:paraId="2B59C72F" w14:textId="77777777" w:rsidTr="00032642">
        <w:trPr>
          <w:trHeight w:val="263"/>
        </w:trPr>
        <w:tc>
          <w:tcPr>
            <w:tcW w:w="2390" w:type="dxa"/>
            <w:tcBorders>
              <w:top w:val="single" w:sz="4" w:space="0" w:color="auto"/>
              <w:bottom w:val="single" w:sz="4" w:space="0" w:color="auto"/>
            </w:tcBorders>
          </w:tcPr>
          <w:p w14:paraId="44175DDA" w14:textId="77777777" w:rsidR="00050B91" w:rsidRPr="00482A04" w:rsidRDefault="00050B91" w:rsidP="00032642">
            <w:pPr>
              <w:spacing w:after="80"/>
              <w:jc w:val="both"/>
              <w:rPr>
                <w:rFonts w:ascii="Times New Roman" w:eastAsia="Times New Roman" w:hAnsi="Times New Roman" w:cs="Times New Roman"/>
                <w:b/>
                <w:color w:val="000000"/>
                <w:shd w:val="clear" w:color="auto" w:fill="FFFFFF"/>
                <w:lang w:eastAsia="tr-TR"/>
              </w:rPr>
            </w:pPr>
            <w:r w:rsidRPr="00E747A9">
              <w:rPr>
                <w:rFonts w:ascii="Times New Roman" w:hAnsi="Times New Roman" w:cs="Times New Roman"/>
                <w:b/>
                <w:bCs/>
              </w:rPr>
              <w:t xml:space="preserve"> </w:t>
            </w:r>
            <w:r w:rsidRPr="009668A5">
              <w:rPr>
                <w:rFonts w:ascii="Times New Roman" w:hAnsi="Times New Roman" w:cs="Times New Roman"/>
                <w:b/>
                <w:bCs/>
              </w:rPr>
              <w:t>Antibiotic</w:t>
            </w:r>
            <w:r w:rsidRPr="00E747A9">
              <w:rPr>
                <w:rFonts w:ascii="Times New Roman" w:hAnsi="Times New Roman" w:cs="Times New Roman"/>
                <w:b/>
                <w:bCs/>
              </w:rPr>
              <w:t xml:space="preserve"> </w:t>
            </w:r>
          </w:p>
        </w:tc>
        <w:tc>
          <w:tcPr>
            <w:tcW w:w="2561" w:type="dxa"/>
            <w:tcBorders>
              <w:top w:val="single" w:sz="4" w:space="0" w:color="auto"/>
              <w:bottom w:val="single" w:sz="4" w:space="0" w:color="auto"/>
            </w:tcBorders>
          </w:tcPr>
          <w:p w14:paraId="4F785CF2" w14:textId="77777777" w:rsidR="00050B91" w:rsidRPr="00482A04" w:rsidRDefault="00050B91" w:rsidP="00032642">
            <w:pPr>
              <w:spacing w:after="80"/>
              <w:jc w:val="both"/>
              <w:rPr>
                <w:rFonts w:ascii="Times New Roman" w:eastAsia="Times New Roman" w:hAnsi="Times New Roman" w:cs="Times New Roman"/>
                <w:b/>
                <w:color w:val="000000"/>
                <w:shd w:val="clear" w:color="auto" w:fill="FFFFFF"/>
                <w:lang w:eastAsia="tr-TR"/>
              </w:rPr>
            </w:pPr>
          </w:p>
        </w:tc>
        <w:tc>
          <w:tcPr>
            <w:tcW w:w="1525" w:type="dxa"/>
            <w:tcBorders>
              <w:top w:val="single" w:sz="4" w:space="0" w:color="auto"/>
              <w:bottom w:val="single" w:sz="4" w:space="0" w:color="auto"/>
            </w:tcBorders>
          </w:tcPr>
          <w:p w14:paraId="57928734" w14:textId="77777777" w:rsidR="00050B91" w:rsidRPr="00482A04" w:rsidRDefault="00050B91" w:rsidP="00032642">
            <w:pPr>
              <w:spacing w:after="80"/>
              <w:jc w:val="both"/>
              <w:rPr>
                <w:rFonts w:ascii="Times New Roman" w:eastAsia="Times New Roman" w:hAnsi="Times New Roman" w:cs="Times New Roman"/>
                <w:b/>
                <w:color w:val="000000"/>
                <w:shd w:val="clear" w:color="auto" w:fill="FFFFFF"/>
                <w:lang w:eastAsia="tr-TR"/>
              </w:rPr>
            </w:pPr>
            <w:r w:rsidRPr="00E747A9">
              <w:rPr>
                <w:rFonts w:ascii="Times New Roman" w:hAnsi="Times New Roman" w:cs="Times New Roman"/>
                <w:b/>
                <w:bCs/>
              </w:rPr>
              <w:t>IC</w:t>
            </w:r>
            <w:r w:rsidRPr="00E747A9">
              <w:rPr>
                <w:rFonts w:ascii="Times New Roman" w:hAnsi="Times New Roman" w:cs="Times New Roman"/>
                <w:b/>
                <w:bCs/>
                <w:vertAlign w:val="subscript"/>
              </w:rPr>
              <w:t xml:space="preserve">50 </w:t>
            </w:r>
            <w:r w:rsidRPr="00E747A9">
              <w:rPr>
                <w:rFonts w:ascii="Times New Roman" w:hAnsi="Times New Roman" w:cs="Times New Roman"/>
                <w:b/>
                <w:bCs/>
              </w:rPr>
              <w:t>(mM)</w:t>
            </w:r>
          </w:p>
        </w:tc>
      </w:tr>
      <w:tr w:rsidR="00050B91" w:rsidRPr="00482A04" w14:paraId="12E311DB" w14:textId="77777777" w:rsidTr="00032642">
        <w:trPr>
          <w:trHeight w:val="263"/>
        </w:trPr>
        <w:tc>
          <w:tcPr>
            <w:tcW w:w="2390" w:type="dxa"/>
            <w:tcBorders>
              <w:top w:val="single" w:sz="4" w:space="0" w:color="auto"/>
            </w:tcBorders>
          </w:tcPr>
          <w:p w14:paraId="2E3B2221" w14:textId="77777777" w:rsidR="00050B91" w:rsidRDefault="00050B91" w:rsidP="00032642">
            <w:pPr>
              <w:spacing w:after="80"/>
              <w:jc w:val="both"/>
              <w:rPr>
                <w:rFonts w:ascii="Times New Roman" w:eastAsia="Times New Roman" w:hAnsi="Times New Roman" w:cs="Times New Roman"/>
                <w:color w:val="000000"/>
                <w:shd w:val="clear" w:color="auto" w:fill="FFFFFF"/>
                <w:lang w:eastAsia="tr-TR"/>
              </w:rPr>
            </w:pPr>
            <w:r>
              <w:rPr>
                <w:rFonts w:ascii="Times New Roman" w:hAnsi="Times New Roman" w:cs="Times New Roman"/>
              </w:rPr>
              <w:t>A</w:t>
            </w:r>
            <w:r w:rsidRPr="009668A5">
              <w:rPr>
                <w:rFonts w:ascii="Times New Roman" w:hAnsi="Times New Roman" w:cs="Times New Roman"/>
              </w:rPr>
              <w:t>moxicillin</w:t>
            </w:r>
          </w:p>
          <w:p w14:paraId="2D990D7A" w14:textId="77777777" w:rsidR="00050B91" w:rsidRPr="00482A04" w:rsidRDefault="00050B91" w:rsidP="00032642">
            <w:pPr>
              <w:spacing w:after="80"/>
              <w:jc w:val="both"/>
              <w:rPr>
                <w:rFonts w:ascii="Times New Roman" w:eastAsia="Times New Roman" w:hAnsi="Times New Roman" w:cs="Times New Roman"/>
                <w:color w:val="000000"/>
                <w:shd w:val="clear" w:color="auto" w:fill="FFFFFF"/>
                <w:lang w:eastAsia="tr-TR"/>
              </w:rPr>
            </w:pPr>
            <w:r w:rsidRPr="009668A5">
              <w:rPr>
                <w:rFonts w:ascii="Times New Roman" w:eastAsia="Times New Roman" w:hAnsi="Times New Roman" w:cs="Times New Roman"/>
                <w:color w:val="000000"/>
                <w:shd w:val="clear" w:color="auto" w:fill="FFFFFF"/>
                <w:lang w:eastAsia="tr-TR"/>
              </w:rPr>
              <w:t>Cefuroxime sodium</w:t>
            </w:r>
          </w:p>
        </w:tc>
        <w:tc>
          <w:tcPr>
            <w:tcW w:w="2561" w:type="dxa"/>
            <w:tcBorders>
              <w:top w:val="single" w:sz="4" w:space="0" w:color="auto"/>
            </w:tcBorders>
          </w:tcPr>
          <w:p w14:paraId="63A6D1B7" w14:textId="77777777" w:rsidR="00050B91" w:rsidRPr="00482A04" w:rsidRDefault="00050B91" w:rsidP="00032642">
            <w:pPr>
              <w:spacing w:after="80"/>
              <w:jc w:val="both"/>
              <w:rPr>
                <w:rFonts w:ascii="Times New Roman" w:eastAsia="Times New Roman" w:hAnsi="Times New Roman" w:cs="Times New Roman"/>
                <w:color w:val="000000"/>
                <w:shd w:val="clear" w:color="auto" w:fill="FFFFFF"/>
                <w:lang w:eastAsia="tr-TR"/>
              </w:rPr>
            </w:pPr>
          </w:p>
        </w:tc>
        <w:tc>
          <w:tcPr>
            <w:tcW w:w="1525" w:type="dxa"/>
            <w:tcBorders>
              <w:top w:val="single" w:sz="4" w:space="0" w:color="auto"/>
            </w:tcBorders>
          </w:tcPr>
          <w:p w14:paraId="11C855DD" w14:textId="77777777" w:rsidR="00050B91" w:rsidRDefault="00050B91" w:rsidP="00032642">
            <w:pPr>
              <w:spacing w:after="80"/>
              <w:jc w:val="both"/>
              <w:rPr>
                <w:rFonts w:ascii="Times New Roman" w:eastAsia="Times New Roman" w:hAnsi="Times New Roman" w:cs="Times New Roman"/>
                <w:color w:val="000000"/>
                <w:shd w:val="clear" w:color="auto" w:fill="FFFFFF"/>
                <w:lang w:eastAsia="tr-TR"/>
              </w:rPr>
            </w:pPr>
            <w:r>
              <w:rPr>
                <w:rFonts w:ascii="Times New Roman" w:eastAsia="Times New Roman" w:hAnsi="Times New Roman" w:cs="Times New Roman"/>
                <w:color w:val="000000"/>
                <w:shd w:val="clear" w:color="auto" w:fill="FFFFFF"/>
                <w:lang w:eastAsia="tr-TR"/>
              </w:rPr>
              <w:t xml:space="preserve"> 0.66</w:t>
            </w:r>
          </w:p>
          <w:p w14:paraId="4D92C6D7" w14:textId="77777777" w:rsidR="00050B91" w:rsidRPr="00482A04" w:rsidRDefault="00050B91" w:rsidP="00032642">
            <w:pPr>
              <w:spacing w:after="80"/>
              <w:jc w:val="both"/>
              <w:rPr>
                <w:rFonts w:ascii="Times New Roman" w:eastAsia="Times New Roman" w:hAnsi="Times New Roman" w:cs="Times New Roman"/>
                <w:color w:val="000000"/>
                <w:shd w:val="clear" w:color="auto" w:fill="FFFFFF"/>
                <w:lang w:eastAsia="tr-TR"/>
              </w:rPr>
            </w:pPr>
            <w:r>
              <w:rPr>
                <w:rFonts w:ascii="Times New Roman" w:eastAsia="Times New Roman" w:hAnsi="Times New Roman" w:cs="Times New Roman"/>
                <w:color w:val="000000"/>
                <w:shd w:val="clear" w:color="auto" w:fill="FFFFFF"/>
                <w:lang w:eastAsia="tr-TR"/>
              </w:rPr>
              <w:t xml:space="preserve"> 2.07</w:t>
            </w:r>
          </w:p>
        </w:tc>
      </w:tr>
      <w:tr w:rsidR="00050B91" w:rsidRPr="00482A04" w14:paraId="380AB275" w14:textId="77777777" w:rsidTr="00032642">
        <w:trPr>
          <w:trHeight w:val="263"/>
        </w:trPr>
        <w:tc>
          <w:tcPr>
            <w:tcW w:w="2390" w:type="dxa"/>
          </w:tcPr>
          <w:p w14:paraId="2C30B9AE" w14:textId="77777777" w:rsidR="00050B91" w:rsidRPr="00482A04" w:rsidRDefault="00050B91" w:rsidP="00032642">
            <w:pPr>
              <w:spacing w:after="80"/>
              <w:jc w:val="both"/>
              <w:rPr>
                <w:rFonts w:ascii="Times New Roman" w:eastAsia="Times New Roman" w:hAnsi="Times New Roman" w:cs="Times New Roman"/>
                <w:color w:val="000000"/>
                <w:shd w:val="clear" w:color="auto" w:fill="FFFFFF"/>
                <w:lang w:eastAsia="tr-TR"/>
              </w:rPr>
            </w:pPr>
            <w:r w:rsidRPr="009668A5">
              <w:rPr>
                <w:rFonts w:ascii="Times New Roman" w:hAnsi="Times New Roman" w:cs="Times New Roman"/>
              </w:rPr>
              <w:t>Cefazolin sodium</w:t>
            </w:r>
          </w:p>
        </w:tc>
        <w:tc>
          <w:tcPr>
            <w:tcW w:w="2561" w:type="dxa"/>
          </w:tcPr>
          <w:p w14:paraId="645007C0" w14:textId="77777777" w:rsidR="00050B91" w:rsidRPr="00482A04" w:rsidRDefault="00050B91" w:rsidP="00032642">
            <w:pPr>
              <w:spacing w:after="80"/>
              <w:jc w:val="both"/>
              <w:rPr>
                <w:rFonts w:ascii="Times New Roman" w:eastAsia="Times New Roman" w:hAnsi="Times New Roman" w:cs="Times New Roman"/>
                <w:color w:val="000000"/>
                <w:shd w:val="clear" w:color="auto" w:fill="FFFFFF"/>
                <w:lang w:eastAsia="tr-TR"/>
              </w:rPr>
            </w:pPr>
          </w:p>
        </w:tc>
        <w:tc>
          <w:tcPr>
            <w:tcW w:w="1525" w:type="dxa"/>
          </w:tcPr>
          <w:p w14:paraId="6D462BC9" w14:textId="77777777" w:rsidR="00050B91" w:rsidRPr="00482A04" w:rsidRDefault="00050B91" w:rsidP="00032642">
            <w:pPr>
              <w:spacing w:after="80"/>
              <w:jc w:val="both"/>
              <w:rPr>
                <w:rFonts w:ascii="Times New Roman" w:eastAsia="Times New Roman" w:hAnsi="Times New Roman" w:cs="Times New Roman"/>
                <w:color w:val="000000"/>
                <w:shd w:val="clear" w:color="auto" w:fill="FFFFFF"/>
                <w:lang w:eastAsia="tr-TR"/>
              </w:rPr>
            </w:pPr>
            <w:r>
              <w:rPr>
                <w:rFonts w:ascii="Times New Roman" w:eastAsia="Times New Roman" w:hAnsi="Times New Roman" w:cs="Times New Roman"/>
                <w:color w:val="000000"/>
                <w:shd w:val="clear" w:color="auto" w:fill="FFFFFF"/>
                <w:lang w:eastAsia="tr-TR"/>
              </w:rPr>
              <w:t xml:space="preserve"> 2.09</w:t>
            </w:r>
          </w:p>
        </w:tc>
      </w:tr>
      <w:tr w:rsidR="00050B91" w:rsidRPr="00482A04" w14:paraId="653715B4" w14:textId="77777777" w:rsidTr="00032642">
        <w:trPr>
          <w:trHeight w:val="360"/>
        </w:trPr>
        <w:tc>
          <w:tcPr>
            <w:tcW w:w="2390" w:type="dxa"/>
          </w:tcPr>
          <w:p w14:paraId="0D6D16D6" w14:textId="77777777" w:rsidR="00050B91" w:rsidRPr="00482A04" w:rsidRDefault="00050B91" w:rsidP="00032642">
            <w:pPr>
              <w:spacing w:after="80"/>
              <w:jc w:val="both"/>
              <w:rPr>
                <w:rFonts w:ascii="Times New Roman" w:eastAsia="Times New Roman" w:hAnsi="Times New Roman" w:cs="Times New Roman"/>
                <w:color w:val="000000"/>
                <w:shd w:val="clear" w:color="auto" w:fill="FFFFFF"/>
                <w:lang w:eastAsia="tr-TR"/>
              </w:rPr>
            </w:pPr>
          </w:p>
        </w:tc>
        <w:tc>
          <w:tcPr>
            <w:tcW w:w="2561" w:type="dxa"/>
          </w:tcPr>
          <w:p w14:paraId="2D11CB89" w14:textId="77777777" w:rsidR="00050B91" w:rsidRPr="00482A04" w:rsidRDefault="00050B91" w:rsidP="00032642">
            <w:pPr>
              <w:spacing w:after="80"/>
              <w:jc w:val="center"/>
              <w:rPr>
                <w:rFonts w:ascii="Times New Roman" w:eastAsia="Times New Roman" w:hAnsi="Times New Roman" w:cs="Times New Roman"/>
                <w:color w:val="000000"/>
                <w:shd w:val="clear" w:color="auto" w:fill="FFFFFF"/>
                <w:lang w:eastAsia="tr-TR"/>
              </w:rPr>
            </w:pPr>
          </w:p>
        </w:tc>
        <w:tc>
          <w:tcPr>
            <w:tcW w:w="1525" w:type="dxa"/>
          </w:tcPr>
          <w:p w14:paraId="1EBA1EAA" w14:textId="77777777" w:rsidR="00050B91" w:rsidRPr="00482A04" w:rsidRDefault="00050B91" w:rsidP="00032642">
            <w:pPr>
              <w:spacing w:after="80"/>
              <w:jc w:val="both"/>
              <w:rPr>
                <w:rFonts w:ascii="Times New Roman" w:eastAsia="Times New Roman" w:hAnsi="Times New Roman" w:cs="Times New Roman"/>
                <w:color w:val="000000"/>
                <w:shd w:val="clear" w:color="auto" w:fill="FFFFFF"/>
                <w:lang w:eastAsia="tr-TR"/>
              </w:rPr>
            </w:pPr>
            <w:r>
              <w:rPr>
                <w:rFonts w:ascii="Times New Roman" w:eastAsia="Times New Roman" w:hAnsi="Times New Roman" w:cs="Times New Roman"/>
                <w:color w:val="000000"/>
                <w:shd w:val="clear" w:color="auto" w:fill="FFFFFF"/>
                <w:lang w:eastAsia="tr-TR"/>
              </w:rPr>
              <w:t xml:space="preserve"> </w:t>
            </w:r>
          </w:p>
        </w:tc>
      </w:tr>
    </w:tbl>
    <w:p w14:paraId="0D489234" w14:textId="77777777" w:rsidR="00050B91" w:rsidRDefault="00050B91" w:rsidP="00050B91">
      <w:pPr>
        <w:spacing w:after="0" w:line="360" w:lineRule="auto"/>
        <w:jc w:val="both"/>
        <w:rPr>
          <w:rFonts w:ascii="Times New Roman" w:hAnsi="Times New Roman" w:cs="Times New Roman"/>
          <w:sz w:val="24"/>
          <w:szCs w:val="24"/>
        </w:rPr>
      </w:pPr>
    </w:p>
    <w:p w14:paraId="341D9960" w14:textId="77777777" w:rsidR="00050B91" w:rsidRDefault="00050B91" w:rsidP="00050B91">
      <w:pPr>
        <w:spacing w:after="0" w:line="360" w:lineRule="auto"/>
        <w:jc w:val="both"/>
        <w:rPr>
          <w:rFonts w:ascii="Times New Roman" w:hAnsi="Times New Roman" w:cs="Times New Roman"/>
        </w:rPr>
      </w:pPr>
      <w:r w:rsidRPr="009668A5">
        <w:rPr>
          <w:rFonts w:ascii="Times New Roman" w:hAnsi="Times New Roman" w:cs="Times New Roman"/>
        </w:rPr>
        <w:t>Today, many different substances have been identified that activate and inhibit the GST enzyme. Scientific studies have been conducted showing that while some of these are cations, most of them are drugs. In a study conducted by Casalino et al</w:t>
      </w:r>
      <w:proofErr w:type="gramStart"/>
      <w:r w:rsidRPr="009668A5">
        <w:rPr>
          <w:rFonts w:ascii="Times New Roman" w:hAnsi="Times New Roman" w:cs="Times New Roman"/>
        </w:rPr>
        <w:t>.,</w:t>
      </w:r>
      <w:proofErr w:type="gramEnd"/>
      <w:r w:rsidRPr="009668A5">
        <w:rPr>
          <w:rFonts w:ascii="Times New Roman" w:hAnsi="Times New Roman" w:cs="Times New Roman"/>
        </w:rPr>
        <w:t xml:space="preserve"> the effects of Cd</w:t>
      </w:r>
      <w:r w:rsidRPr="00134A2E">
        <w:rPr>
          <w:rFonts w:ascii="Times New Roman" w:hAnsi="Times New Roman" w:cs="Times New Roman"/>
          <w:vertAlign w:val="superscript"/>
        </w:rPr>
        <w:t>+2</w:t>
      </w:r>
      <w:r w:rsidRPr="009668A5">
        <w:rPr>
          <w:rFonts w:ascii="Times New Roman" w:hAnsi="Times New Roman" w:cs="Times New Roman"/>
        </w:rPr>
        <w:t xml:space="preserve"> and Mn</w:t>
      </w:r>
      <w:r w:rsidRPr="00134A2E">
        <w:rPr>
          <w:rFonts w:ascii="Times New Roman" w:hAnsi="Times New Roman" w:cs="Times New Roman"/>
          <w:vertAlign w:val="superscript"/>
        </w:rPr>
        <w:t>+2</w:t>
      </w:r>
      <w:r w:rsidRPr="009668A5">
        <w:rPr>
          <w:rFonts w:ascii="Times New Roman" w:hAnsi="Times New Roman" w:cs="Times New Roman"/>
        </w:rPr>
        <w:t xml:space="preserve"> heavy metal cations on the activity of the GST enzyme isolated from rat liver tissue were examined. The rat was given </w:t>
      </w:r>
      <w:proofErr w:type="gramStart"/>
      <w:r w:rsidRPr="009668A5">
        <w:rPr>
          <w:rFonts w:ascii="Times New Roman" w:hAnsi="Times New Roman" w:cs="Times New Roman"/>
        </w:rPr>
        <w:t>2.5</w:t>
      </w:r>
      <w:proofErr w:type="gramEnd"/>
      <w:r w:rsidRPr="009668A5">
        <w:rPr>
          <w:rFonts w:ascii="Times New Roman" w:hAnsi="Times New Roman" w:cs="Times New Roman"/>
        </w:rPr>
        <w:t xml:space="preserve"> mg/kg CdCl</w:t>
      </w:r>
      <w:r w:rsidRPr="00134A2E">
        <w:rPr>
          <w:rFonts w:ascii="Times New Roman" w:hAnsi="Times New Roman" w:cs="Times New Roman"/>
          <w:vertAlign w:val="subscript"/>
        </w:rPr>
        <w:t>2</w:t>
      </w:r>
      <w:r w:rsidRPr="009668A5">
        <w:rPr>
          <w:rFonts w:ascii="Times New Roman" w:hAnsi="Times New Roman" w:cs="Times New Roman"/>
        </w:rPr>
        <w:t xml:space="preserve"> or 2.0 mg/kg MnCl</w:t>
      </w:r>
      <w:r w:rsidRPr="00134A2E">
        <w:rPr>
          <w:rFonts w:ascii="Times New Roman" w:hAnsi="Times New Roman" w:cs="Times New Roman"/>
          <w:vertAlign w:val="subscript"/>
        </w:rPr>
        <w:t>2</w:t>
      </w:r>
      <w:r w:rsidRPr="009668A5">
        <w:rPr>
          <w:rFonts w:ascii="Times New Roman" w:hAnsi="Times New Roman" w:cs="Times New Roman"/>
        </w:rPr>
        <w:t xml:space="preserve"> salts as a single dose. As a result, it was measured that the enzyme activity increased by approximately 36% one day after the experiment [11]. Türkanoğlu examined the GST enzyme activity purified from human blood serum with some metal cations. As a result of the research, it was reported that Cd</w:t>
      </w:r>
      <w:r w:rsidRPr="00134A2E">
        <w:rPr>
          <w:rFonts w:ascii="Times New Roman" w:hAnsi="Times New Roman" w:cs="Times New Roman"/>
          <w:vertAlign w:val="superscript"/>
        </w:rPr>
        <w:t>+2</w:t>
      </w:r>
      <w:r w:rsidRPr="009668A5">
        <w:rPr>
          <w:rFonts w:ascii="Times New Roman" w:hAnsi="Times New Roman" w:cs="Times New Roman"/>
        </w:rPr>
        <w:t>, Hg</w:t>
      </w:r>
      <w:r w:rsidRPr="00134A2E">
        <w:rPr>
          <w:rFonts w:ascii="Times New Roman" w:hAnsi="Times New Roman" w:cs="Times New Roman"/>
          <w:vertAlign w:val="superscript"/>
        </w:rPr>
        <w:t>+2</w:t>
      </w:r>
      <w:r w:rsidRPr="009668A5">
        <w:rPr>
          <w:rFonts w:ascii="Times New Roman" w:hAnsi="Times New Roman" w:cs="Times New Roman"/>
        </w:rPr>
        <w:t xml:space="preserve"> and Ni</w:t>
      </w:r>
      <w:r w:rsidRPr="00134A2E">
        <w:rPr>
          <w:rFonts w:ascii="Times New Roman" w:hAnsi="Times New Roman" w:cs="Times New Roman"/>
          <w:vertAlign w:val="superscript"/>
        </w:rPr>
        <w:t>+2</w:t>
      </w:r>
      <w:r w:rsidRPr="009668A5">
        <w:rPr>
          <w:rFonts w:ascii="Times New Roman" w:hAnsi="Times New Roman" w:cs="Times New Roman"/>
        </w:rPr>
        <w:t xml:space="preserve"> cations reduced the activity of the GST enzyme [12]. Again, Chun-hua Zhang and his colleagues examined the effect of Cd</w:t>
      </w:r>
      <w:r w:rsidRPr="00134A2E">
        <w:rPr>
          <w:rFonts w:ascii="Times New Roman" w:hAnsi="Times New Roman" w:cs="Times New Roman"/>
          <w:vertAlign w:val="superscript"/>
        </w:rPr>
        <w:t>+2</w:t>
      </w:r>
      <w:r w:rsidRPr="009668A5">
        <w:rPr>
          <w:rFonts w:ascii="Times New Roman" w:hAnsi="Times New Roman" w:cs="Times New Roman"/>
        </w:rPr>
        <w:t xml:space="preserve"> cation on the activity of GST purified from rice. As a result of the study, it was revealed that Cd</w:t>
      </w:r>
      <w:r w:rsidRPr="00134A2E">
        <w:rPr>
          <w:rFonts w:ascii="Times New Roman" w:hAnsi="Times New Roman" w:cs="Times New Roman"/>
          <w:vertAlign w:val="superscript"/>
        </w:rPr>
        <w:t>+2</w:t>
      </w:r>
      <w:r w:rsidRPr="009668A5">
        <w:rPr>
          <w:rFonts w:ascii="Times New Roman" w:hAnsi="Times New Roman" w:cs="Times New Roman"/>
        </w:rPr>
        <w:t xml:space="preserve"> cation inhibits the enzyme [13]. In their study, Türkan and his colleagues isolated GST enzymes from the liver, heart muscle and kidney tissues of the albino rat species and examined the in vivo effects of the antibiotics cefuroxime sodium and cefoperazone sodium on this enzyme. They found that enzyme activity decreased seven hours after drug use [14]. In their study, Bayindir et al. examined the effects of gentamicin and clindamycin on GST enzyme activity isolated from rat erythrocyte tissue in vitro and calculated IC</w:t>
      </w:r>
      <w:r w:rsidRPr="00134A2E">
        <w:rPr>
          <w:rFonts w:ascii="Times New Roman" w:hAnsi="Times New Roman" w:cs="Times New Roman"/>
          <w:vertAlign w:val="subscript"/>
        </w:rPr>
        <w:t>50</w:t>
      </w:r>
      <w:r w:rsidRPr="009668A5">
        <w:rPr>
          <w:rFonts w:ascii="Times New Roman" w:hAnsi="Times New Roman" w:cs="Times New Roman"/>
        </w:rPr>
        <w:t xml:space="preserve"> values. As a result of the experiment, it was reported that both antibiotics inhibited the enzyme. As a result of the experiment, IC</w:t>
      </w:r>
      <w:r w:rsidRPr="00134A2E">
        <w:rPr>
          <w:rFonts w:ascii="Times New Roman" w:hAnsi="Times New Roman" w:cs="Times New Roman"/>
          <w:vertAlign w:val="subscript"/>
        </w:rPr>
        <w:t>50</w:t>
      </w:r>
      <w:r w:rsidRPr="009668A5">
        <w:rPr>
          <w:rFonts w:ascii="Times New Roman" w:hAnsi="Times New Roman" w:cs="Times New Roman"/>
        </w:rPr>
        <w:t xml:space="preserve"> values were found to be 1.69 and </w:t>
      </w:r>
      <w:proofErr w:type="gramStart"/>
      <w:r w:rsidRPr="009668A5">
        <w:rPr>
          <w:rFonts w:ascii="Times New Roman" w:hAnsi="Times New Roman" w:cs="Times New Roman"/>
        </w:rPr>
        <w:t>6.9</w:t>
      </w:r>
      <w:proofErr w:type="gramEnd"/>
      <w:r w:rsidRPr="009668A5">
        <w:rPr>
          <w:rFonts w:ascii="Times New Roman" w:hAnsi="Times New Roman" w:cs="Times New Roman"/>
        </w:rPr>
        <w:t xml:space="preserve"> mM, respectively [15].</w:t>
      </w:r>
    </w:p>
    <w:p w14:paraId="6E91D276" w14:textId="77777777" w:rsidR="00050B91" w:rsidRDefault="00050B91" w:rsidP="00050B91">
      <w:pPr>
        <w:spacing w:after="0" w:line="360" w:lineRule="auto"/>
        <w:jc w:val="both"/>
        <w:rPr>
          <w:rFonts w:ascii="Times New Roman" w:hAnsi="Times New Roman" w:cs="Times New Roman"/>
        </w:rPr>
      </w:pPr>
    </w:p>
    <w:p w14:paraId="7D372D29" w14:textId="77777777" w:rsidR="00050B91" w:rsidRPr="00050B91" w:rsidRDefault="00050B91" w:rsidP="00050B91">
      <w:p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p>
    <w:p w14:paraId="7C96E47E" w14:textId="77777777" w:rsidR="00A664CE" w:rsidRDefault="00A664CE" w:rsidP="00A664CE">
      <w:pPr>
        <w:shd w:val="clear" w:color="auto" w:fill="FFFFFF"/>
        <w:spacing w:after="0"/>
        <w:jc w:val="both"/>
        <w:rPr>
          <w:rFonts w:ascii="Times New Roman" w:hAnsi="Times New Roman"/>
          <w:sz w:val="20"/>
          <w:szCs w:val="20"/>
          <w:lang w:val="en-GB"/>
        </w:rPr>
      </w:pPr>
    </w:p>
    <w:p w14:paraId="62EAC885" w14:textId="42E1C83E" w:rsidR="00F25C16" w:rsidRPr="00050B91" w:rsidRDefault="00E910FB" w:rsidP="00050B91">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lang w:val="en-US" w:eastAsia="tr-TR"/>
        </w:rPr>
      </w:pPr>
      <w:r w:rsidRPr="00F25C16">
        <w:rPr>
          <w:rFonts w:ascii="Times New Roman" w:hAnsi="Times New Roman" w:cs="Times New Roman"/>
          <w:b/>
          <w:color w:val="000000" w:themeColor="text1"/>
          <w:sz w:val="24"/>
          <w:szCs w:val="24"/>
        </w:rPr>
        <w:t>Conclusion</w:t>
      </w:r>
      <w:r w:rsidR="00F25C16" w:rsidRPr="00F25C16">
        <w:rPr>
          <w:rFonts w:ascii="Times New Roman" w:hAnsi="Times New Roman" w:cs="Times New Roman"/>
          <w:b/>
          <w:color w:val="000000" w:themeColor="text1"/>
          <w:sz w:val="24"/>
          <w:szCs w:val="24"/>
        </w:rPr>
        <w:t xml:space="preserve"> </w:t>
      </w:r>
    </w:p>
    <w:p w14:paraId="6ACBD62D" w14:textId="29F34CF5" w:rsidR="00050B91" w:rsidRDefault="00050B91" w:rsidP="00050B91">
      <w:pPr>
        <w:autoSpaceDE w:val="0"/>
        <w:autoSpaceDN w:val="0"/>
        <w:adjustRightInd w:val="0"/>
        <w:spacing w:before="240" w:after="360"/>
        <w:contextualSpacing/>
        <w:jc w:val="both"/>
        <w:rPr>
          <w:rFonts w:ascii="Times New Roman" w:hAnsi="Times New Roman" w:cs="Times New Roman"/>
          <w:b/>
          <w:color w:val="000000" w:themeColor="text1"/>
          <w:sz w:val="24"/>
          <w:szCs w:val="24"/>
        </w:rPr>
      </w:pPr>
    </w:p>
    <w:p w14:paraId="197AC0DE" w14:textId="77777777" w:rsidR="00050B91" w:rsidRDefault="00050B91" w:rsidP="00050B91">
      <w:pPr>
        <w:spacing w:after="0" w:line="360" w:lineRule="auto"/>
        <w:jc w:val="both"/>
        <w:rPr>
          <w:rFonts w:ascii="Times New Roman" w:hAnsi="Times New Roman" w:cs="Times New Roman"/>
        </w:rPr>
      </w:pPr>
      <w:r w:rsidRPr="009668A5">
        <w:rPr>
          <w:rFonts w:ascii="Times New Roman" w:hAnsi="Times New Roman" w:cs="Times New Roman"/>
        </w:rPr>
        <w:t>In this study, the in vitro effects of antibiotics such as cefuroxime sodium, cefazolin sodium and amoxicillin on the GST enzyme isolated from chicken heart tissue were examined and IC</w:t>
      </w:r>
      <w:r w:rsidRPr="00134A2E">
        <w:rPr>
          <w:rFonts w:ascii="Times New Roman" w:hAnsi="Times New Roman" w:cs="Times New Roman"/>
          <w:vertAlign w:val="subscript"/>
        </w:rPr>
        <w:t>50</w:t>
      </w:r>
      <w:r w:rsidRPr="009668A5">
        <w:rPr>
          <w:rFonts w:ascii="Times New Roman" w:hAnsi="Times New Roman" w:cs="Times New Roman"/>
        </w:rPr>
        <w:t xml:space="preserve"> values were calculated. Experimental results showed that these antibiotics inhibited enzyme activity. IC</w:t>
      </w:r>
      <w:r w:rsidRPr="00134A2E">
        <w:rPr>
          <w:rFonts w:ascii="Times New Roman" w:hAnsi="Times New Roman" w:cs="Times New Roman"/>
          <w:vertAlign w:val="subscript"/>
        </w:rPr>
        <w:t>50</w:t>
      </w:r>
      <w:r w:rsidRPr="009668A5">
        <w:rPr>
          <w:rFonts w:ascii="Times New Roman" w:hAnsi="Times New Roman" w:cs="Times New Roman"/>
        </w:rPr>
        <w:t xml:space="preserve"> values of amoxicillin, cefuroxime sodium and cefazolin sodium were calculated as 0.66, 2.07 and 2.09 mM, respectively. Today, the therapeutic properties of antibiotics against bacterial infections have been demonstrated by many studies. However, the dose factor is very important in drug use. It is recommended that IC</w:t>
      </w:r>
      <w:r w:rsidRPr="00134A2E">
        <w:rPr>
          <w:rFonts w:ascii="Times New Roman" w:hAnsi="Times New Roman" w:cs="Times New Roman"/>
          <w:vertAlign w:val="subscript"/>
        </w:rPr>
        <w:t>50</w:t>
      </w:r>
      <w:r w:rsidRPr="009668A5">
        <w:rPr>
          <w:rFonts w:ascii="Times New Roman" w:hAnsi="Times New Roman" w:cs="Times New Roman"/>
        </w:rPr>
        <w:t xml:space="preserve"> values be taken into consideration when using antibiotics whose kinetic effects on GST are examined.</w:t>
      </w:r>
    </w:p>
    <w:p w14:paraId="75DC2246" w14:textId="67CC2B30" w:rsidR="00050B91" w:rsidRDefault="00050B91" w:rsidP="00050B91">
      <w:pPr>
        <w:autoSpaceDE w:val="0"/>
        <w:autoSpaceDN w:val="0"/>
        <w:adjustRightInd w:val="0"/>
        <w:spacing w:before="240" w:after="360"/>
        <w:contextualSpacing/>
        <w:jc w:val="both"/>
        <w:rPr>
          <w:rFonts w:ascii="Times New Roman" w:hAnsi="Times New Roman" w:cs="Times New Roman"/>
          <w:b/>
          <w:color w:val="000000" w:themeColor="text1"/>
          <w:sz w:val="24"/>
          <w:szCs w:val="24"/>
        </w:rPr>
      </w:pPr>
    </w:p>
    <w:p w14:paraId="1EA1CD45" w14:textId="77777777" w:rsidR="00050B91" w:rsidRPr="0097784A" w:rsidRDefault="00050B91" w:rsidP="00050B91">
      <w:pPr>
        <w:autoSpaceDE w:val="0"/>
        <w:autoSpaceDN w:val="0"/>
        <w:adjustRightInd w:val="0"/>
        <w:spacing w:before="240" w:after="360"/>
        <w:contextualSpacing/>
        <w:jc w:val="both"/>
        <w:rPr>
          <w:rFonts w:ascii="Times New Roman" w:hAnsi="Times New Roman" w:cs="Times New Roman"/>
          <w:b/>
          <w:color w:val="000000" w:themeColor="text1"/>
          <w:sz w:val="24"/>
          <w:szCs w:val="24"/>
          <w:lang w:val="en-US" w:eastAsia="tr-TR"/>
        </w:rPr>
      </w:pPr>
    </w:p>
    <w:p w14:paraId="7E1069DA" w14:textId="6D05160E"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1DA28867" w14:textId="4FEFB556" w:rsidR="00050B91" w:rsidRPr="00164AD5" w:rsidRDefault="00050B91" w:rsidP="00050B91">
      <w:pPr>
        <w:pStyle w:val="ListeParagraf"/>
        <w:numPr>
          <w:ilvl w:val="0"/>
          <w:numId w:val="37"/>
        </w:numPr>
        <w:spacing w:after="160"/>
        <w:jc w:val="both"/>
        <w:rPr>
          <w:rFonts w:ascii="Times New Roman" w:hAnsi="Times New Roman" w:cs="Times New Roman"/>
          <w:b/>
          <w:bCs/>
          <w:sz w:val="24"/>
          <w:szCs w:val="24"/>
        </w:rPr>
      </w:pPr>
      <w:r w:rsidRPr="00164AD5">
        <w:rPr>
          <w:rFonts w:ascii="Times New Roman" w:hAnsi="Times New Roman" w:cs="Times New Roman"/>
        </w:rPr>
        <w:t xml:space="preserve">Rebbeck, T. R. (1997). Molecıılar Epidemiology of the Human </w:t>
      </w:r>
      <w:r w:rsidR="00134A2E">
        <w:rPr>
          <w:rFonts w:ascii="Times New Roman" w:hAnsi="Times New Roman" w:cs="Times New Roman"/>
        </w:rPr>
        <w:t xml:space="preserve">Glutathione S-Transferase </w:t>
      </w:r>
      <w:proofErr w:type="gramStart"/>
      <w:r w:rsidRPr="00164AD5">
        <w:rPr>
          <w:rFonts w:ascii="Times New Roman" w:hAnsi="Times New Roman" w:cs="Times New Roman"/>
        </w:rPr>
        <w:t>Genotypes       GSTM1</w:t>
      </w:r>
      <w:proofErr w:type="gramEnd"/>
      <w:r w:rsidRPr="00164AD5">
        <w:rPr>
          <w:rFonts w:ascii="Times New Roman" w:hAnsi="Times New Roman" w:cs="Times New Roman"/>
        </w:rPr>
        <w:t xml:space="preserve"> and GSTT1 in Cancer Susceptibility, Cancer Epidemiology, Biomarkers and Prevention, 6(9), 733-743.</w:t>
      </w:r>
    </w:p>
    <w:p w14:paraId="7F57ABEF" w14:textId="77777777" w:rsidR="00050B91" w:rsidRPr="00164AD5" w:rsidRDefault="00050B91" w:rsidP="00050B91">
      <w:pPr>
        <w:pStyle w:val="ListeParagraf"/>
        <w:spacing w:after="0"/>
        <w:ind w:left="360"/>
        <w:jc w:val="both"/>
        <w:rPr>
          <w:rFonts w:ascii="Times New Roman" w:hAnsi="Times New Roman" w:cs="Times New Roman"/>
        </w:rPr>
      </w:pPr>
    </w:p>
    <w:p w14:paraId="616BEBD4" w14:textId="77777777" w:rsidR="00050B91" w:rsidRPr="00164AD5" w:rsidRDefault="00050B91" w:rsidP="00050B91">
      <w:pPr>
        <w:pStyle w:val="ListeParagraf"/>
        <w:numPr>
          <w:ilvl w:val="0"/>
          <w:numId w:val="37"/>
        </w:numPr>
        <w:spacing w:after="0"/>
        <w:jc w:val="both"/>
        <w:rPr>
          <w:rFonts w:ascii="Times New Roman" w:hAnsi="Times New Roman" w:cs="Times New Roman"/>
        </w:rPr>
      </w:pPr>
      <w:r w:rsidRPr="00164AD5">
        <w:rPr>
          <w:rFonts w:ascii="Times New Roman" w:hAnsi="Times New Roman" w:cs="Times New Roman"/>
        </w:rPr>
        <w:t>Awasthi, Y. C</w:t>
      </w:r>
      <w:proofErr w:type="gramStart"/>
      <w:r w:rsidRPr="00164AD5">
        <w:rPr>
          <w:rFonts w:ascii="Times New Roman" w:hAnsi="Times New Roman" w:cs="Times New Roman"/>
        </w:rPr>
        <w:t>.,</w:t>
      </w:r>
      <w:proofErr w:type="gramEnd"/>
      <w:r w:rsidRPr="00164AD5">
        <w:rPr>
          <w:rFonts w:ascii="Times New Roman" w:hAnsi="Times New Roman" w:cs="Times New Roman"/>
        </w:rPr>
        <w:t xml:space="preserve"> Dao, D. D., and Saneto, R. P. (1980). Interrelationship between anionic and cationicforms of glutathione S-transferases of human liver. Biochem J</w:t>
      </w:r>
      <w:proofErr w:type="gramStart"/>
      <w:r w:rsidRPr="00164AD5">
        <w:rPr>
          <w:rFonts w:ascii="Times New Roman" w:hAnsi="Times New Roman" w:cs="Times New Roman"/>
        </w:rPr>
        <w:t>.,</w:t>
      </w:r>
      <w:proofErr w:type="gramEnd"/>
      <w:r w:rsidRPr="00164AD5">
        <w:rPr>
          <w:rFonts w:ascii="Times New Roman" w:hAnsi="Times New Roman" w:cs="Times New Roman"/>
        </w:rPr>
        <w:t xml:space="preserve"> 191(1): 1-10.</w:t>
      </w:r>
    </w:p>
    <w:p w14:paraId="04431589" w14:textId="77777777" w:rsidR="00050B91" w:rsidRPr="00164AD5" w:rsidRDefault="00050B91" w:rsidP="00050B91">
      <w:pPr>
        <w:pStyle w:val="ListeParagraf"/>
        <w:spacing w:after="0"/>
        <w:ind w:left="360"/>
        <w:jc w:val="both"/>
        <w:rPr>
          <w:rFonts w:ascii="Times New Roman" w:hAnsi="Times New Roman" w:cs="Times New Roman"/>
        </w:rPr>
      </w:pPr>
    </w:p>
    <w:p w14:paraId="1C9DE35E" w14:textId="77777777" w:rsidR="00050B91" w:rsidRPr="00164AD5" w:rsidRDefault="00050B91" w:rsidP="00050B91">
      <w:pPr>
        <w:pStyle w:val="ListeParagraf"/>
        <w:numPr>
          <w:ilvl w:val="0"/>
          <w:numId w:val="37"/>
        </w:numPr>
        <w:spacing w:after="0"/>
        <w:jc w:val="both"/>
        <w:rPr>
          <w:rFonts w:ascii="Times New Roman" w:hAnsi="Times New Roman" w:cs="Times New Roman"/>
        </w:rPr>
      </w:pPr>
      <w:r w:rsidRPr="00164AD5">
        <w:rPr>
          <w:rFonts w:ascii="Times New Roman" w:hAnsi="Times New Roman" w:cs="Times New Roman"/>
        </w:rPr>
        <w:t>Eaton, D. L</w:t>
      </w:r>
      <w:proofErr w:type="gramStart"/>
      <w:r w:rsidRPr="00164AD5">
        <w:rPr>
          <w:rFonts w:ascii="Times New Roman" w:hAnsi="Times New Roman" w:cs="Times New Roman"/>
        </w:rPr>
        <w:t>.,</w:t>
      </w:r>
      <w:proofErr w:type="gramEnd"/>
      <w:r w:rsidRPr="00164AD5">
        <w:rPr>
          <w:rFonts w:ascii="Times New Roman" w:hAnsi="Times New Roman" w:cs="Times New Roman"/>
        </w:rPr>
        <w:t xml:space="preserve"> and Bammler, T. K. (1999). Concise review of the glutathione S-transferases and their significance to toxicology. Toxicol Sci. Jun; 49(2), 156-64.</w:t>
      </w:r>
    </w:p>
    <w:p w14:paraId="70284245" w14:textId="77777777" w:rsidR="00050B91" w:rsidRPr="00164AD5" w:rsidRDefault="00050B91" w:rsidP="00050B91">
      <w:pPr>
        <w:pStyle w:val="ListeParagraf"/>
        <w:spacing w:after="0"/>
        <w:ind w:left="360"/>
        <w:jc w:val="both"/>
        <w:rPr>
          <w:rFonts w:ascii="Times New Roman" w:hAnsi="Times New Roman" w:cs="Times New Roman"/>
        </w:rPr>
      </w:pPr>
    </w:p>
    <w:p w14:paraId="538348F3" w14:textId="77777777" w:rsidR="00050B91" w:rsidRPr="00164AD5" w:rsidRDefault="00050B91" w:rsidP="00050B91">
      <w:pPr>
        <w:pStyle w:val="ListeParagraf"/>
        <w:numPr>
          <w:ilvl w:val="0"/>
          <w:numId w:val="37"/>
        </w:numPr>
        <w:spacing w:after="0"/>
        <w:jc w:val="both"/>
        <w:rPr>
          <w:rFonts w:ascii="Times New Roman" w:hAnsi="Times New Roman" w:cs="Times New Roman"/>
        </w:rPr>
      </w:pPr>
      <w:r w:rsidRPr="00164AD5">
        <w:rPr>
          <w:rFonts w:ascii="Times New Roman" w:hAnsi="Times New Roman" w:cs="Times New Roman"/>
        </w:rPr>
        <w:t>Armstrong, R. N. (1997). Structure, Catalytic Mechanism, and Evolution of the Glutathione Transferases. Chem. Res. Toxiol</w:t>
      </w:r>
      <w:proofErr w:type="gramStart"/>
      <w:r w:rsidRPr="00164AD5">
        <w:rPr>
          <w:rFonts w:ascii="Times New Roman" w:hAnsi="Times New Roman" w:cs="Times New Roman"/>
        </w:rPr>
        <w:t>.,</w:t>
      </w:r>
      <w:proofErr w:type="gramEnd"/>
      <w:r w:rsidRPr="00164AD5">
        <w:rPr>
          <w:rFonts w:ascii="Times New Roman" w:hAnsi="Times New Roman" w:cs="Times New Roman"/>
        </w:rPr>
        <w:t xml:space="preserve"> 10(1), 2-18.</w:t>
      </w:r>
    </w:p>
    <w:p w14:paraId="6E928417" w14:textId="77777777" w:rsidR="00050B91" w:rsidRPr="00164AD5" w:rsidRDefault="00050B91" w:rsidP="00050B91">
      <w:pPr>
        <w:spacing w:after="0"/>
        <w:jc w:val="both"/>
        <w:rPr>
          <w:rFonts w:ascii="Times New Roman" w:hAnsi="Times New Roman" w:cs="Times New Roman"/>
        </w:rPr>
      </w:pPr>
    </w:p>
    <w:p w14:paraId="05E26331" w14:textId="77777777" w:rsidR="00050B91" w:rsidRPr="00164AD5" w:rsidRDefault="00050B91" w:rsidP="00050B91">
      <w:pPr>
        <w:pStyle w:val="ListeParagraf"/>
        <w:numPr>
          <w:ilvl w:val="0"/>
          <w:numId w:val="37"/>
        </w:numPr>
        <w:spacing w:after="0"/>
        <w:jc w:val="both"/>
        <w:rPr>
          <w:rFonts w:ascii="Times New Roman" w:hAnsi="Times New Roman" w:cs="Times New Roman"/>
        </w:rPr>
      </w:pPr>
      <w:r w:rsidRPr="00164AD5">
        <w:rPr>
          <w:rFonts w:ascii="Times New Roman" w:hAnsi="Times New Roman" w:cs="Times New Roman"/>
        </w:rPr>
        <w:t>Lu, S. C</w:t>
      </w:r>
      <w:proofErr w:type="gramStart"/>
      <w:r w:rsidRPr="00164AD5">
        <w:rPr>
          <w:rFonts w:ascii="Times New Roman" w:hAnsi="Times New Roman" w:cs="Times New Roman"/>
        </w:rPr>
        <w:t>.,</w:t>
      </w:r>
      <w:proofErr w:type="gramEnd"/>
      <w:r w:rsidRPr="00164AD5">
        <w:rPr>
          <w:rFonts w:ascii="Times New Roman" w:hAnsi="Times New Roman" w:cs="Times New Roman"/>
        </w:rPr>
        <w:t xml:space="preserve"> 2009. Regulation of glutathione synthesis. Molecular aspects of medicine, 30(1-2), 42-59.</w:t>
      </w:r>
    </w:p>
    <w:p w14:paraId="5903F397" w14:textId="77777777" w:rsidR="00050B91" w:rsidRPr="00164AD5" w:rsidRDefault="00050B91" w:rsidP="00050B91">
      <w:pPr>
        <w:spacing w:after="0"/>
        <w:jc w:val="both"/>
        <w:rPr>
          <w:rFonts w:ascii="Times New Roman" w:hAnsi="Times New Roman" w:cs="Times New Roman"/>
        </w:rPr>
      </w:pPr>
    </w:p>
    <w:p w14:paraId="07A4C8D1" w14:textId="77777777" w:rsidR="00050B91" w:rsidRPr="00164AD5" w:rsidRDefault="00050B91" w:rsidP="00050B91">
      <w:pPr>
        <w:pStyle w:val="ListeParagraf"/>
        <w:numPr>
          <w:ilvl w:val="0"/>
          <w:numId w:val="37"/>
        </w:numPr>
        <w:spacing w:after="0"/>
        <w:jc w:val="both"/>
        <w:rPr>
          <w:rFonts w:ascii="Times New Roman" w:hAnsi="Times New Roman" w:cs="Times New Roman"/>
        </w:rPr>
      </w:pPr>
      <w:r w:rsidRPr="00164AD5">
        <w:rPr>
          <w:rFonts w:ascii="Times New Roman" w:hAnsi="Times New Roman" w:cs="Times New Roman"/>
        </w:rPr>
        <w:t>Meister, A</w:t>
      </w:r>
      <w:proofErr w:type="gramStart"/>
      <w:r w:rsidRPr="00164AD5">
        <w:rPr>
          <w:rFonts w:ascii="Times New Roman" w:hAnsi="Times New Roman" w:cs="Times New Roman"/>
        </w:rPr>
        <w:t>.,</w:t>
      </w:r>
      <w:proofErr w:type="gramEnd"/>
      <w:r w:rsidRPr="00164AD5">
        <w:rPr>
          <w:rFonts w:ascii="Times New Roman" w:hAnsi="Times New Roman" w:cs="Times New Roman"/>
        </w:rPr>
        <w:t xml:space="preserve"> Anderson, M. E., (1983). Glutathione, Annual Review of Biochemistry, 52, 711-760.</w:t>
      </w:r>
    </w:p>
    <w:p w14:paraId="57B8AF0C" w14:textId="77777777" w:rsidR="00050B91" w:rsidRPr="00164AD5" w:rsidRDefault="00050B91" w:rsidP="00050B91">
      <w:pPr>
        <w:spacing w:after="0"/>
        <w:jc w:val="both"/>
        <w:rPr>
          <w:rFonts w:ascii="Times New Roman" w:hAnsi="Times New Roman" w:cs="Times New Roman"/>
        </w:rPr>
      </w:pPr>
    </w:p>
    <w:p w14:paraId="6320573E" w14:textId="77777777" w:rsidR="00050B91" w:rsidRPr="00164AD5" w:rsidRDefault="00050B91" w:rsidP="00050B91">
      <w:pPr>
        <w:pStyle w:val="ListeParagraf"/>
        <w:numPr>
          <w:ilvl w:val="0"/>
          <w:numId w:val="37"/>
        </w:numPr>
        <w:spacing w:after="0"/>
        <w:jc w:val="both"/>
        <w:rPr>
          <w:rFonts w:ascii="Times New Roman" w:hAnsi="Times New Roman" w:cs="Times New Roman"/>
        </w:rPr>
      </w:pPr>
      <w:r w:rsidRPr="00164AD5">
        <w:rPr>
          <w:rFonts w:ascii="Times New Roman" w:hAnsi="Times New Roman" w:cs="Times New Roman"/>
        </w:rPr>
        <w:t>Giblin, F. J. (2000). Glutathione lens transparency: cataracts. J Ocul Pharmacol Ther.</w:t>
      </w:r>
      <w:proofErr w:type="gramStart"/>
      <w:r w:rsidRPr="00164AD5">
        <w:rPr>
          <w:rFonts w:ascii="Times New Roman" w:hAnsi="Times New Roman" w:cs="Times New Roman"/>
        </w:rPr>
        <w:t>16:121</w:t>
      </w:r>
      <w:proofErr w:type="gramEnd"/>
      <w:r w:rsidRPr="00164AD5">
        <w:rPr>
          <w:rFonts w:ascii="Times New Roman" w:hAnsi="Times New Roman" w:cs="Times New Roman"/>
        </w:rPr>
        <w:t>–135.</w:t>
      </w:r>
    </w:p>
    <w:p w14:paraId="6ABFD756" w14:textId="77777777" w:rsidR="00050B91" w:rsidRPr="00164AD5" w:rsidRDefault="00050B91" w:rsidP="00050B91">
      <w:pPr>
        <w:spacing w:after="0"/>
        <w:jc w:val="both"/>
        <w:rPr>
          <w:rFonts w:ascii="Times New Roman" w:hAnsi="Times New Roman" w:cs="Times New Roman"/>
        </w:rPr>
      </w:pPr>
    </w:p>
    <w:p w14:paraId="5CB4FB12" w14:textId="77777777" w:rsidR="00050B91" w:rsidRPr="00164AD5" w:rsidRDefault="00050B91" w:rsidP="00050B91">
      <w:pPr>
        <w:pStyle w:val="ListeParagraf"/>
        <w:numPr>
          <w:ilvl w:val="0"/>
          <w:numId w:val="37"/>
        </w:numPr>
        <w:spacing w:after="0"/>
        <w:jc w:val="both"/>
        <w:rPr>
          <w:rFonts w:ascii="Times New Roman" w:hAnsi="Times New Roman" w:cs="Times New Roman"/>
        </w:rPr>
      </w:pPr>
      <w:r w:rsidRPr="00164AD5">
        <w:rPr>
          <w:rFonts w:ascii="Times New Roman" w:hAnsi="Times New Roman" w:cs="Times New Roman"/>
        </w:rPr>
        <w:t>Flagg, E. W</w:t>
      </w:r>
      <w:proofErr w:type="gramStart"/>
      <w:r w:rsidRPr="00164AD5">
        <w:rPr>
          <w:rFonts w:ascii="Times New Roman" w:hAnsi="Times New Roman" w:cs="Times New Roman"/>
        </w:rPr>
        <w:t>.,</w:t>
      </w:r>
      <w:proofErr w:type="gramEnd"/>
      <w:r w:rsidRPr="00164AD5">
        <w:rPr>
          <w:rFonts w:ascii="Times New Roman" w:hAnsi="Times New Roman" w:cs="Times New Roman"/>
        </w:rPr>
        <w:t xml:space="preserve"> Coates, R. J., and Jones, D. P. (1994). Dietary glutathione intake and the risk of oral and pharyngeal cancer. Am J Epidemiol. 139:453–465.</w:t>
      </w:r>
    </w:p>
    <w:p w14:paraId="2610D2E8" w14:textId="77777777" w:rsidR="00050B91" w:rsidRPr="00164AD5" w:rsidRDefault="00050B91" w:rsidP="00050B91">
      <w:pPr>
        <w:pStyle w:val="ListeParagraf"/>
        <w:spacing w:after="0"/>
        <w:ind w:left="360"/>
        <w:jc w:val="both"/>
        <w:rPr>
          <w:rFonts w:ascii="Times New Roman" w:hAnsi="Times New Roman" w:cs="Times New Roman"/>
        </w:rPr>
      </w:pPr>
    </w:p>
    <w:p w14:paraId="6E77E14D" w14:textId="77777777" w:rsidR="00050B91" w:rsidRPr="00164AD5" w:rsidRDefault="00050B91" w:rsidP="00050B91">
      <w:pPr>
        <w:pStyle w:val="ListeParagraf"/>
        <w:numPr>
          <w:ilvl w:val="0"/>
          <w:numId w:val="37"/>
        </w:numPr>
        <w:spacing w:after="0"/>
        <w:jc w:val="both"/>
        <w:rPr>
          <w:rFonts w:ascii="Times New Roman" w:hAnsi="Times New Roman" w:cs="Times New Roman"/>
        </w:rPr>
      </w:pPr>
      <w:r w:rsidRPr="00164AD5">
        <w:rPr>
          <w:rFonts w:ascii="Times New Roman" w:hAnsi="Times New Roman" w:cs="Times New Roman"/>
        </w:rPr>
        <w:t>Ballatori, N</w:t>
      </w:r>
      <w:proofErr w:type="gramStart"/>
      <w:r w:rsidRPr="00164AD5">
        <w:rPr>
          <w:rFonts w:ascii="Times New Roman" w:hAnsi="Times New Roman" w:cs="Times New Roman"/>
        </w:rPr>
        <w:t>.,</w:t>
      </w:r>
      <w:proofErr w:type="gramEnd"/>
      <w:r w:rsidRPr="00164AD5">
        <w:rPr>
          <w:rFonts w:ascii="Times New Roman" w:hAnsi="Times New Roman" w:cs="Times New Roman"/>
        </w:rPr>
        <w:t xml:space="preserve"> Krance, S. M., Notenboom. S</w:t>
      </w:r>
      <w:proofErr w:type="gramStart"/>
      <w:r w:rsidRPr="00164AD5">
        <w:rPr>
          <w:rFonts w:ascii="Times New Roman" w:hAnsi="Times New Roman" w:cs="Times New Roman"/>
        </w:rPr>
        <w:t>.,</w:t>
      </w:r>
      <w:proofErr w:type="gramEnd"/>
      <w:r w:rsidRPr="00164AD5">
        <w:rPr>
          <w:rFonts w:ascii="Times New Roman" w:hAnsi="Times New Roman" w:cs="Times New Roman"/>
        </w:rPr>
        <w:t xml:space="preserve"> Shi, S., Tieu, K., and Hammond. C. L. (2009). Glutathione dysregulation and the etiology and progression of human diseases. Biol. Chem. 390, 191–214.</w:t>
      </w:r>
    </w:p>
    <w:p w14:paraId="080B2AB5" w14:textId="77777777" w:rsidR="00050B91" w:rsidRPr="00164AD5" w:rsidRDefault="00050B91" w:rsidP="00050B91">
      <w:pPr>
        <w:pStyle w:val="ListeParagraf"/>
        <w:spacing w:after="0"/>
        <w:ind w:left="360"/>
        <w:jc w:val="both"/>
        <w:rPr>
          <w:rFonts w:ascii="Times New Roman" w:hAnsi="Times New Roman" w:cs="Times New Roman"/>
        </w:rPr>
      </w:pPr>
    </w:p>
    <w:p w14:paraId="2F720C3D" w14:textId="77777777" w:rsidR="00050B91" w:rsidRPr="00164AD5" w:rsidRDefault="00050B91" w:rsidP="00050B91">
      <w:pPr>
        <w:spacing w:after="0"/>
        <w:jc w:val="both"/>
        <w:rPr>
          <w:rFonts w:ascii="Times New Roman" w:hAnsi="Times New Roman" w:cs="Times New Roman"/>
        </w:rPr>
      </w:pPr>
    </w:p>
    <w:p w14:paraId="454C59A0" w14:textId="77777777" w:rsidR="00050B91" w:rsidRPr="00164AD5" w:rsidRDefault="00050B91" w:rsidP="00050B91">
      <w:pPr>
        <w:pStyle w:val="ListeParagraf"/>
        <w:numPr>
          <w:ilvl w:val="0"/>
          <w:numId w:val="37"/>
        </w:numPr>
        <w:spacing w:after="0"/>
        <w:jc w:val="both"/>
        <w:rPr>
          <w:rFonts w:ascii="Times New Roman" w:hAnsi="Times New Roman" w:cs="Times New Roman"/>
        </w:rPr>
      </w:pPr>
      <w:r w:rsidRPr="00164AD5">
        <w:rPr>
          <w:rFonts w:ascii="Times New Roman" w:hAnsi="Times New Roman" w:cs="Times New Roman"/>
        </w:rPr>
        <w:t xml:space="preserve"> Habig WH, Pabst MJ, Jakoby WB. Glutathione STransferases. Journal of Biological Chemistry. 1974 Nov;249(22):7130–9.</w:t>
      </w:r>
    </w:p>
    <w:p w14:paraId="1D172452" w14:textId="77777777" w:rsidR="00050B91" w:rsidRPr="00164AD5" w:rsidRDefault="00050B91" w:rsidP="00050B91">
      <w:pPr>
        <w:spacing w:after="0"/>
        <w:jc w:val="both"/>
        <w:rPr>
          <w:rFonts w:ascii="Times New Roman" w:hAnsi="Times New Roman" w:cs="Times New Roman"/>
        </w:rPr>
      </w:pPr>
    </w:p>
    <w:p w14:paraId="1BD9256C" w14:textId="77777777" w:rsidR="00050B91" w:rsidRPr="00164AD5" w:rsidRDefault="00050B91" w:rsidP="00050B91">
      <w:pPr>
        <w:pStyle w:val="ListeParagraf"/>
        <w:numPr>
          <w:ilvl w:val="0"/>
          <w:numId w:val="37"/>
        </w:numPr>
        <w:spacing w:after="0"/>
        <w:jc w:val="both"/>
        <w:rPr>
          <w:rFonts w:ascii="Times New Roman" w:hAnsi="Times New Roman" w:cs="Times New Roman"/>
        </w:rPr>
      </w:pPr>
      <w:r w:rsidRPr="00164AD5">
        <w:rPr>
          <w:rFonts w:ascii="Times New Roman" w:hAnsi="Times New Roman" w:cs="Times New Roman"/>
        </w:rPr>
        <w:t xml:space="preserve">  Casalino, E</w:t>
      </w:r>
      <w:proofErr w:type="gramStart"/>
      <w:r w:rsidRPr="00164AD5">
        <w:rPr>
          <w:rFonts w:ascii="Times New Roman" w:hAnsi="Times New Roman" w:cs="Times New Roman"/>
        </w:rPr>
        <w:t>.,</w:t>
      </w:r>
      <w:proofErr w:type="gramEnd"/>
      <w:r w:rsidRPr="00164AD5">
        <w:rPr>
          <w:rFonts w:ascii="Times New Roman" w:hAnsi="Times New Roman" w:cs="Times New Roman"/>
        </w:rPr>
        <w:t xml:space="preserve"> Sblano, C., Landriscina, V., Calzarettı, and G., Landriscina. C. (2004). Rat Liver Glutathione S-transferase Activity Stimulation Following Acute Cadmıum or Mangenese İntoxication. Toxicology, 200, 29-38.</w:t>
      </w:r>
    </w:p>
    <w:p w14:paraId="747D6C95" w14:textId="77777777" w:rsidR="00050B91" w:rsidRPr="00164AD5" w:rsidRDefault="00050B91" w:rsidP="00050B91">
      <w:pPr>
        <w:spacing w:after="0"/>
        <w:jc w:val="both"/>
        <w:rPr>
          <w:rFonts w:ascii="Times New Roman" w:hAnsi="Times New Roman" w:cs="Times New Roman"/>
        </w:rPr>
      </w:pPr>
    </w:p>
    <w:p w14:paraId="0ABB93DB" w14:textId="77777777" w:rsidR="00050B91" w:rsidRPr="00164AD5" w:rsidRDefault="00050B91" w:rsidP="00050B91">
      <w:pPr>
        <w:pStyle w:val="ListeParagraf"/>
        <w:numPr>
          <w:ilvl w:val="0"/>
          <w:numId w:val="37"/>
        </w:numPr>
        <w:spacing w:after="0"/>
        <w:jc w:val="both"/>
        <w:rPr>
          <w:rFonts w:ascii="Times New Roman" w:hAnsi="Times New Roman" w:cs="Times New Roman"/>
        </w:rPr>
      </w:pPr>
      <w:r w:rsidRPr="00164AD5">
        <w:rPr>
          <w:rFonts w:ascii="Times New Roman" w:hAnsi="Times New Roman" w:cs="Times New Roman"/>
        </w:rPr>
        <w:t xml:space="preserve">  Türkanoğlu, A. (2007). Human Serum Arylesterase And Glutathıone S-transferase actıvıtıes in patıents wıth ıschemıc stroke compared to healthy controls. Approval of the Thesis Master of Science in Biochemistry Department, Middle East Technical University. Ankara.</w:t>
      </w:r>
    </w:p>
    <w:p w14:paraId="5923F89F" w14:textId="77777777" w:rsidR="00050B91" w:rsidRPr="00164AD5" w:rsidRDefault="00050B91" w:rsidP="00050B91">
      <w:pPr>
        <w:spacing w:after="0"/>
        <w:jc w:val="both"/>
        <w:rPr>
          <w:rFonts w:ascii="Times New Roman" w:hAnsi="Times New Roman" w:cs="Times New Roman"/>
        </w:rPr>
      </w:pPr>
    </w:p>
    <w:p w14:paraId="5405D137" w14:textId="314F84C4" w:rsidR="00050B91" w:rsidRPr="00164AD5" w:rsidRDefault="00050B91" w:rsidP="00050B91">
      <w:pPr>
        <w:pStyle w:val="ListeParagraf"/>
        <w:numPr>
          <w:ilvl w:val="0"/>
          <w:numId w:val="37"/>
        </w:numPr>
        <w:spacing w:after="0"/>
        <w:rPr>
          <w:rFonts w:ascii="Times New Roman" w:hAnsi="Times New Roman" w:cs="Times New Roman"/>
        </w:rPr>
      </w:pPr>
      <w:r w:rsidRPr="00164AD5">
        <w:rPr>
          <w:rFonts w:ascii="Times New Roman" w:hAnsi="Times New Roman" w:cs="Times New Roman"/>
        </w:rPr>
        <w:t xml:space="preserve">  Chun-hua, Z</w:t>
      </w:r>
      <w:proofErr w:type="gramStart"/>
      <w:r w:rsidRPr="00164AD5">
        <w:rPr>
          <w:rFonts w:ascii="Times New Roman" w:hAnsi="Times New Roman" w:cs="Times New Roman"/>
        </w:rPr>
        <w:t>.,</w:t>
      </w:r>
      <w:proofErr w:type="gramEnd"/>
      <w:r w:rsidRPr="00164AD5">
        <w:rPr>
          <w:rFonts w:ascii="Times New Roman" w:hAnsi="Times New Roman" w:cs="Times New Roman"/>
        </w:rPr>
        <w:t xml:space="preserve"> W. Ze-ying, J., and Ting, G. (2013). Purification and Identification of Glutathione S-transferase in</w:t>
      </w:r>
      <w:r w:rsidR="00134A2E">
        <w:rPr>
          <w:rFonts w:ascii="Times New Roman" w:hAnsi="Times New Roman" w:cs="Times New Roman"/>
        </w:rPr>
        <w:t xml:space="preserve"> Rice Root under Cadmium Stress. </w:t>
      </w:r>
      <w:r w:rsidRPr="00164AD5">
        <w:rPr>
          <w:rFonts w:ascii="Times New Roman" w:hAnsi="Times New Roman" w:cs="Times New Roman"/>
        </w:rPr>
        <w:t>Ying, Rice Science, 20(3), 173-178.</w:t>
      </w:r>
    </w:p>
    <w:p w14:paraId="7E380291" w14:textId="77777777" w:rsidR="00050B91" w:rsidRPr="00164AD5" w:rsidRDefault="00050B91" w:rsidP="00050B91">
      <w:pPr>
        <w:pStyle w:val="ListeParagraf"/>
        <w:spacing w:after="0"/>
        <w:ind w:left="360"/>
        <w:rPr>
          <w:rFonts w:ascii="Times New Roman" w:hAnsi="Times New Roman" w:cs="Times New Roman"/>
        </w:rPr>
      </w:pPr>
    </w:p>
    <w:p w14:paraId="45C781D7" w14:textId="77777777" w:rsidR="00050B91" w:rsidRPr="00164AD5" w:rsidRDefault="00050B91" w:rsidP="00050B91">
      <w:pPr>
        <w:pStyle w:val="ListeParagraf"/>
        <w:numPr>
          <w:ilvl w:val="0"/>
          <w:numId w:val="37"/>
        </w:numPr>
        <w:spacing w:after="0"/>
        <w:rPr>
          <w:rStyle w:val="Kpr"/>
          <w:rFonts w:ascii="Times New Roman" w:hAnsi="Times New Roman" w:cs="Times New Roman"/>
        </w:rPr>
      </w:pPr>
      <w:r w:rsidRPr="00164AD5">
        <w:rPr>
          <w:rFonts w:ascii="Times New Roman" w:hAnsi="Times New Roman" w:cs="Times New Roman"/>
        </w:rPr>
        <w:t xml:space="preserve"> Türkan, F</w:t>
      </w:r>
      <w:proofErr w:type="gramStart"/>
      <w:r w:rsidRPr="00164AD5">
        <w:rPr>
          <w:rFonts w:ascii="Times New Roman" w:hAnsi="Times New Roman" w:cs="Times New Roman"/>
        </w:rPr>
        <w:t>.,</w:t>
      </w:r>
      <w:proofErr w:type="gramEnd"/>
      <w:r w:rsidRPr="00164AD5">
        <w:rPr>
          <w:rFonts w:ascii="Times New Roman" w:hAnsi="Times New Roman" w:cs="Times New Roman"/>
        </w:rPr>
        <w:t xml:space="preserve"> Huyut, Z., Taslimi, P., Huyut, M. T., &amp; Gülçin, İ. (2020). Investigation of the effects of cephalosporin antibiotics on glutathione S-transferase activity in different tissues of rats in vivo conditions in order to drug development research. Drug and Chemical Toxicology, 43(4), 423–428. </w:t>
      </w:r>
    </w:p>
    <w:p w14:paraId="11CCF70A" w14:textId="77777777" w:rsidR="00050B91" w:rsidRPr="00164AD5" w:rsidRDefault="00050B91" w:rsidP="00050B91">
      <w:pPr>
        <w:spacing w:after="0"/>
        <w:rPr>
          <w:rStyle w:val="Kpr"/>
          <w:rFonts w:ascii="Times New Roman" w:hAnsi="Times New Roman" w:cs="Times New Roman"/>
        </w:rPr>
      </w:pPr>
    </w:p>
    <w:p w14:paraId="7F2DFD9D" w14:textId="77777777" w:rsidR="00050B91" w:rsidRPr="00164AD5" w:rsidRDefault="00050B91" w:rsidP="00050B91">
      <w:pPr>
        <w:pStyle w:val="ListeParagraf"/>
        <w:numPr>
          <w:ilvl w:val="0"/>
          <w:numId w:val="37"/>
        </w:numPr>
        <w:spacing w:after="0"/>
        <w:rPr>
          <w:rFonts w:ascii="Times New Roman" w:hAnsi="Times New Roman" w:cs="Times New Roman"/>
        </w:rPr>
      </w:pPr>
      <w:r w:rsidRPr="00164AD5">
        <w:rPr>
          <w:rFonts w:ascii="Times New Roman" w:hAnsi="Times New Roman" w:cs="Times New Roman"/>
        </w:rPr>
        <w:t>Bayindir, S</w:t>
      </w:r>
      <w:proofErr w:type="gramStart"/>
      <w:r w:rsidRPr="00164AD5">
        <w:rPr>
          <w:rFonts w:ascii="Times New Roman" w:hAnsi="Times New Roman" w:cs="Times New Roman"/>
        </w:rPr>
        <w:t>.,</w:t>
      </w:r>
      <w:proofErr w:type="gramEnd"/>
      <w:r w:rsidRPr="00164AD5">
        <w:rPr>
          <w:rFonts w:ascii="Times New Roman" w:hAnsi="Times New Roman" w:cs="Times New Roman"/>
        </w:rPr>
        <w:t xml:space="preserve"> Temel, Y., Ayna, A., &amp; Ciftci, M. (2018). The synthesis of N-benzoylindoles as inhibitors of rat erythrocyte glucose-6-phosphate dehydrogenase and 6- phosphogluconate dehydrogenase. Journal of Biochemical and Molecular Toxicology, 32(9), 1–9. https://doi.org/</w:t>
      </w:r>
      <w:proofErr w:type="gramStart"/>
      <w:r w:rsidRPr="00164AD5">
        <w:rPr>
          <w:rFonts w:ascii="Times New Roman" w:hAnsi="Times New Roman" w:cs="Times New Roman"/>
        </w:rPr>
        <w:t>10.1002</w:t>
      </w:r>
      <w:proofErr w:type="gramEnd"/>
      <w:r w:rsidRPr="00164AD5">
        <w:rPr>
          <w:rFonts w:ascii="Times New Roman" w:hAnsi="Times New Roman" w:cs="Times New Roman"/>
        </w:rPr>
        <w:t>/jbt.22193</w:t>
      </w:r>
    </w:p>
    <w:p w14:paraId="22677F13" w14:textId="77777777" w:rsidR="00050B91" w:rsidRPr="00164AD5" w:rsidRDefault="00050B91" w:rsidP="00050B91">
      <w:pPr>
        <w:spacing w:after="0"/>
        <w:rPr>
          <w:rStyle w:val="Kpr"/>
          <w:rFonts w:ascii="Times New Roman" w:hAnsi="Times New Roman" w:cs="Times New Roman"/>
        </w:rPr>
      </w:pPr>
    </w:p>
    <w:p w14:paraId="7782CC4C" w14:textId="77777777" w:rsidR="00050B91" w:rsidRDefault="00050B91" w:rsidP="00050B91">
      <w:pPr>
        <w:spacing w:after="0"/>
      </w:pPr>
    </w:p>
    <w:p w14:paraId="6FE47BFD" w14:textId="77777777" w:rsidR="00050B91" w:rsidRPr="009668A5" w:rsidRDefault="00050B91" w:rsidP="00050B91">
      <w:pPr>
        <w:tabs>
          <w:tab w:val="left" w:pos="7460"/>
        </w:tabs>
        <w:rPr>
          <w:rFonts w:ascii="Times New Roman" w:hAnsi="Times New Roman" w:cs="Times New Roman"/>
          <w:sz w:val="20"/>
          <w:szCs w:val="20"/>
        </w:rPr>
      </w:pPr>
    </w:p>
    <w:p w14:paraId="3992B296" w14:textId="5271A2C2" w:rsidR="00E25067"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6C7DBF6B" w14:textId="77777777" w:rsidR="00050B91" w:rsidRPr="0097784A" w:rsidRDefault="00050B91" w:rsidP="007D49B8">
      <w:pPr>
        <w:spacing w:after="0" w:line="23" w:lineRule="atLeast"/>
        <w:jc w:val="both"/>
        <w:rPr>
          <w:rFonts w:ascii="Times New Roman" w:hAnsi="Times New Roman" w:cs="Times New Roman"/>
          <w:b/>
          <w:color w:val="000000" w:themeColor="text1"/>
          <w:sz w:val="24"/>
          <w:szCs w:val="24"/>
          <w:lang w:val="en-US" w:eastAsia="tr-TR"/>
        </w:rPr>
      </w:pPr>
    </w:p>
    <w:p w14:paraId="20E9393F" w14:textId="7496C821" w:rsidR="00907C17" w:rsidRPr="00C84AD4" w:rsidRDefault="00907C17" w:rsidP="00CE06FC">
      <w:pPr>
        <w:pStyle w:val="ListeParagraf"/>
        <w:widowControl w:val="0"/>
        <w:shd w:val="clear" w:color="auto" w:fill="FFFFFF"/>
        <w:tabs>
          <w:tab w:val="left" w:pos="426"/>
        </w:tabs>
        <w:suppressAutoHyphens/>
        <w:spacing w:after="0" w:line="23" w:lineRule="atLeast"/>
        <w:ind w:left="426"/>
        <w:contextualSpacing w:val="0"/>
        <w:jc w:val="both"/>
        <w:rPr>
          <w:rFonts w:ascii="Times New Roman" w:eastAsia="Times New Roman" w:hAnsi="Times New Roman" w:cs="Times New Roman"/>
          <w:i/>
          <w:color w:val="FF0000"/>
          <w:lang w:eastAsia="tr-TR"/>
        </w:rPr>
      </w:pPr>
    </w:p>
    <w:p w14:paraId="3F6A8EAD" w14:textId="52E54226" w:rsidR="00F25C16" w:rsidRPr="00C84AD4" w:rsidRDefault="00F25C16" w:rsidP="003159D2">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sectPr w:rsidR="00F25C16" w:rsidRPr="00C84AD4" w:rsidSect="001869AE">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021" w:bottom="1418" w:left="1021" w:header="709" w:footer="709" w:gutter="0"/>
          <w:pgNumType w:start="1"/>
          <w:cols w:space="282"/>
          <w:titlePg/>
          <w:docGrid w:linePitch="360"/>
        </w:sectPr>
      </w:pPr>
    </w:p>
    <w:p w14:paraId="52C4B2E4" w14:textId="40BA023A" w:rsidR="0007224B" w:rsidRPr="004F0667" w:rsidRDefault="0007224B" w:rsidP="00F803B1">
      <w:pPr>
        <w:jc w:val="both"/>
        <w:rPr>
          <w:rFonts w:ascii="Times New Roman" w:hAnsi="Times New Roman" w:cs="Times New Roman"/>
          <w:b/>
          <w:color w:val="FF0000"/>
          <w:highlight w:val="yellow"/>
          <w:lang w:val="en-US" w:eastAsia="tr-TR"/>
        </w:rPr>
      </w:pPr>
    </w:p>
    <w:sectPr w:rsidR="0007224B" w:rsidRPr="004F0667" w:rsidSect="008E75EF">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92C9A" w14:textId="77777777" w:rsidR="002F4F33" w:rsidRDefault="002F4F33" w:rsidP="00A86FE2">
      <w:pPr>
        <w:spacing w:after="0"/>
      </w:pPr>
      <w:r>
        <w:separator/>
      </w:r>
    </w:p>
  </w:endnote>
  <w:endnote w:type="continuationSeparator" w:id="0">
    <w:p w14:paraId="75A2F808" w14:textId="77777777" w:rsidR="002F4F33" w:rsidRDefault="002F4F33"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F0140" w14:textId="77777777" w:rsidR="003159D2" w:rsidRDefault="003159D2">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2336" behindDoc="0" locked="0" layoutInCell="1" allowOverlap="1" wp14:anchorId="6DEAD4E6" wp14:editId="64F67935">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4B011AFE" w14:textId="77777777" w:rsidR="003159D2" w:rsidRPr="00BA518C" w:rsidRDefault="003159D2">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oval w14:anchorId="6DEAD4E6" id="Oval 19" o:spid="_x0000_s1029" style="position:absolute;margin-left:232.5pt;margin-top:8.3pt;width:58.5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" fillcolor="#00b0f0" stroked="f">
              <v:textbox>
                <w:txbxContent>
                  <w:p w14:paraId="4B011AFE" w14:textId="77777777" w:rsidR="003159D2" w:rsidRPr="00BA518C" w:rsidRDefault="003159D2">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70AFB031" w14:textId="77777777" w:rsidR="003159D2" w:rsidRDefault="003159D2" w:rsidP="00CD3262">
    <w:pPr>
      <w:pStyle w:val="Altbilgi"/>
      <w:tabs>
        <w:tab w:val="clear" w:pos="4703"/>
        <w:tab w:val="clear" w:pos="9406"/>
        <w:tab w:val="left" w:pos="64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980039"/>
      <w:docPartObj>
        <w:docPartGallery w:val="Page Numbers (Bottom of Page)"/>
        <w:docPartUnique/>
      </w:docPartObj>
    </w:sdtPr>
    <w:sdtEndPr/>
    <w:sdtContent>
      <w:p w14:paraId="2FA51904" w14:textId="0720C366" w:rsidR="003159D2" w:rsidRDefault="003159D2" w:rsidP="004F0667">
        <w:pPr>
          <w:pStyle w:val="Altbilgi"/>
          <w:jc w:val="center"/>
        </w:pPr>
        <w:r>
          <w:fldChar w:fldCharType="begin"/>
        </w:r>
        <w:r>
          <w:instrText>PAGE   \* MERGEFORMAT</w:instrText>
        </w:r>
        <w:r>
          <w:fldChar w:fldCharType="separate"/>
        </w:r>
        <w:r w:rsidR="00E75761">
          <w:rPr>
            <w:noProof/>
          </w:rPr>
          <w:t>6</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909931"/>
      <w:docPartObj>
        <w:docPartGallery w:val="Page Numbers (Bottom of Page)"/>
        <w:docPartUnique/>
      </w:docPartObj>
    </w:sdtPr>
    <w:sdtEndPr/>
    <w:sdtContent>
      <w:p w14:paraId="7B43CF64" w14:textId="4291D5B9" w:rsidR="003159D2" w:rsidRPr="00DB0AE9" w:rsidRDefault="00DB0AE9" w:rsidP="00DB0AE9">
        <w:pPr>
          <w:pStyle w:val="Altbilgi"/>
          <w:jc w:val="center"/>
        </w:pPr>
        <w:r>
          <w:fldChar w:fldCharType="begin"/>
        </w:r>
        <w:r>
          <w:instrText>PAGE   \* MERGEFORMAT</w:instrText>
        </w:r>
        <w:r>
          <w:fldChar w:fldCharType="separate"/>
        </w:r>
        <w:r w:rsidR="00E75761">
          <w:rPr>
            <w:noProof/>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78EA0" w14:textId="77777777" w:rsidR="003159D2" w:rsidRDefault="003159D2">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34F78" w14:textId="77777777" w:rsidR="003159D2" w:rsidRDefault="003159D2">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685998"/>
      <w:docPartObj>
        <w:docPartGallery w:val="Page Numbers (Bottom of Page)"/>
        <w:docPartUnique/>
      </w:docPartObj>
    </w:sdtPr>
    <w:sdtEndPr/>
    <w:sdtContent>
      <w:p w14:paraId="7C9A0385" w14:textId="462282D0" w:rsidR="003159D2" w:rsidRDefault="003159D2">
        <w:pPr>
          <w:pStyle w:val="Altbilgi"/>
          <w:jc w:val="center"/>
        </w:pPr>
        <w:r>
          <w:fldChar w:fldCharType="begin"/>
        </w:r>
        <w:r>
          <w:instrText>PAGE   \* MERGEFORMAT</w:instrText>
        </w:r>
        <w:r>
          <w:fldChar w:fldCharType="separate"/>
        </w:r>
        <w:r w:rsidR="00050B91">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72E6F" w14:textId="77777777" w:rsidR="002F4F33" w:rsidRDefault="002F4F33" w:rsidP="00A86FE2">
      <w:pPr>
        <w:spacing w:after="0"/>
      </w:pPr>
      <w:r>
        <w:separator/>
      </w:r>
    </w:p>
  </w:footnote>
  <w:footnote w:type="continuationSeparator" w:id="0">
    <w:p w14:paraId="70C741B3" w14:textId="77777777" w:rsidR="002F4F33" w:rsidRDefault="002F4F33" w:rsidP="00A86F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5670E" w14:textId="77777777" w:rsidR="003159D2" w:rsidRPr="00E21D99" w:rsidRDefault="003159D2" w:rsidP="00D63A79">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60288" behindDoc="0" locked="0" layoutInCell="0" allowOverlap="1" wp14:anchorId="647F4941" wp14:editId="022A393B">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w:t>
                          </w:r>
                          <w:proofErr w:type="gramStart"/>
                          <w:r>
                            <w:rPr>
                              <w:rFonts w:ascii="Times New Roman" w:hAnsi="Times New Roman" w:cs="Times New Roman"/>
                              <w:bCs/>
                              <w:i/>
                              <w:color w:val="000000" w:themeColor="text1"/>
                              <w:sz w:val="20"/>
                              <w:szCs w:val="16"/>
                            </w:rPr>
                            <w:t>.,</w:t>
                          </w:r>
                          <w:proofErr w:type="gramEnd"/>
                          <w:r>
                            <w:rPr>
                              <w:rFonts w:ascii="Times New Roman" w:hAnsi="Times New Roman" w:cs="Times New Roman"/>
                              <w:bCs/>
                              <w:i/>
                              <w:color w:val="000000" w:themeColor="text1"/>
                              <w:sz w:val="20"/>
                              <w:szCs w:val="16"/>
                            </w:rPr>
                            <w:t xml:space="preserve">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se="http://schemas.microsoft.com/office/word/2015/wordml/symex" xmlns:cx="http://schemas.microsoft.com/office/drawing/2014/chartex">
          <w:pict>
            <v:shapetype w14:anchorId="647F4941"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XuS1RugIA&#10;ALgFAAAOAAAAAAAAAAAAAAAAAC4CAABkcnMvZTJvRG9jLnhtbFBLAQItABQABgAIAAAAIQCdzm+q&#10;3AAAAAUBAAAPAAAAAAAAAAAAAAAAABQFAABkcnMvZG93bnJldi54bWxQSwUGAAAAAAQABADzAAAA&#10;HQYAAAAA&#10;" o:allowincell="f" filled="f" stroked="f">
              <v:textbox style="mso-fit-shape-to-text:t" inset=",0,,0">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28E22E27" wp14:editId="08115DF9">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xmlns:w16se="http://schemas.microsoft.com/office/word/2015/wordml/symex" xmlns:cx="http://schemas.microsoft.com/office/drawing/2014/chartex">
          <w:pict>
            <v:shape w14:anchorId="28E22E27" id="Metin Kutusu 11" o:spid="_x0000_s1027" type="#_x0000_t202" style="position:absolute;left:0;text-align:left;margin-left:0;margin-top:0;width:36pt;height:12.6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" o:allowincell="f" fillcolor="#00b0f0" stroked="f">
              <v:textbox style="mso-fit-shape-to-text:t" inset=",0,,0">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6ACAF" w14:textId="77777777" w:rsidR="003159D2" w:rsidRPr="000B0C6C" w:rsidRDefault="003159D2" w:rsidP="008D1B4F">
    <w:pPr>
      <w:pStyle w:val="stbilgi"/>
      <w:jc w:val="center"/>
      <w:rPr>
        <w:rFonts w:ascii="Times New Roman" w:hAnsi="Times New Roman" w:cs="Times New Roman"/>
        <w:i/>
        <w:sz w:val="18"/>
      </w:rPr>
    </w:pPr>
    <w:r>
      <w:rPr>
        <w:rFonts w:ascii="Times New Roman" w:hAnsi="Times New Roman" w:cs="Times New Roman"/>
        <w:i/>
        <w:noProof/>
        <w:sz w:val="18"/>
        <w:lang w:eastAsia="tr-TR"/>
      </w:rPr>
      <mc:AlternateContent>
        <mc:Choice Requires="wps">
          <w:drawing>
            <wp:anchor distT="0" distB="0" distL="114300" distR="114300" simplePos="0" relativeHeight="251661312" behindDoc="0" locked="0" layoutInCell="0" allowOverlap="1" wp14:anchorId="1D4ECEBC" wp14:editId="735DBB64">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C2832" w14:textId="60DE0C9D"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4F0667">
                            <w:rPr>
                              <w:rFonts w:ascii="Times New Roman" w:hAnsi="Times New Roman" w:cs="Times New Roman"/>
                              <w:bCs/>
                              <w:i/>
                              <w:color w:val="000000" w:themeColor="text1"/>
                              <w:sz w:val="20"/>
                              <w:szCs w:val="16"/>
                            </w:rPr>
                            <w:t>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se="http://schemas.microsoft.com/office/word/2015/wordml/symex" xmlns:cx="http://schemas.microsoft.com/office/drawing/2014/chartex">
          <w:pict>
            <v:shapetype w14:anchorId="1D4ECEBC"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" o:allowincell="f" filled="f" stroked="f">
              <v:textbox style="mso-fit-shape-to-text:t" inset=",0,,0">
                <w:txbxContent>
                  <w:p w14:paraId="632C2832" w14:textId="60DE0C9D"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4F0667">
                      <w:rPr>
                        <w:rFonts w:ascii="Times New Roman" w:hAnsi="Times New Roman" w:cs="Times New Roman"/>
                        <w:bCs/>
                        <w:i/>
                        <w:color w:val="000000" w:themeColor="text1"/>
                        <w:sz w:val="20"/>
                        <w:szCs w:val="16"/>
                      </w:rPr>
                      <w:t>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86C92" w14:textId="401A8138" w:rsidR="003159D2" w:rsidRPr="00B04BE4" w:rsidRDefault="003159D2" w:rsidP="000823EB">
    <w:pPr>
      <w:jc w:val="center"/>
      <w:rPr>
        <w:rFonts w:cs="Arial"/>
        <w:b/>
        <w:color w:val="4F81BD" w:themeColor="accent1"/>
        <w:sz w:val="20"/>
        <w:szCs w:val="20"/>
      </w:rPr>
    </w:pPr>
    <w:r>
      <w:rPr>
        <w:noProof/>
        <w:lang w:eastAsia="tr-TR"/>
      </w:rPr>
      <w:drawing>
        <wp:inline distT="0" distB="0" distL="0" distR="0" wp14:anchorId="5E94D79E" wp14:editId="0F20C1C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006E46CE">
      <w:rPr>
        <w:rFonts w:cs="Arial"/>
        <w:b/>
        <w:caps/>
        <w:color w:val="4F81BD" w:themeColor="accent1"/>
        <w:sz w:val="18"/>
        <w:szCs w:val="18"/>
      </w:rPr>
      <w:t>Proceedıngs of ıkstc 2023 - 2</w:t>
    </w:r>
    <w:r w:rsidR="006E46CE">
      <w:rPr>
        <w:rFonts w:cs="Arial"/>
        <w:b/>
        <w:caps/>
        <w:color w:val="4F81BD" w:themeColor="accent1"/>
        <w:sz w:val="18"/>
        <w:szCs w:val="18"/>
        <w:vertAlign w:val="superscript"/>
      </w:rPr>
      <w:t>nd</w:t>
    </w:r>
    <w:r w:rsidR="006E46CE">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sidR="006E46CE">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76B6F962" wp14:editId="648A1BBC">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83A0629" w14:textId="7BF1853C" w:rsidR="003159D2" w:rsidRDefault="006E46CE" w:rsidP="007B369A">
    <w:pPr>
      <w:wordWrap w:val="0"/>
      <w:ind w:left="6372"/>
      <w:rPr>
        <w:rFonts w:eastAsiaTheme="minorEastAsia" w:cs="Arial"/>
        <w:b/>
        <w:caps/>
        <w:color w:val="7030A0"/>
        <w:sz w:val="16"/>
        <w:szCs w:val="16"/>
        <w:lang w:eastAsia="zh-CN"/>
      </w:rPr>
    </w:pPr>
    <w:r>
      <w:rPr>
        <w:rFonts w:cs="Arial"/>
        <w:b/>
        <w:caps/>
        <w:color w:val="7030A0"/>
        <w:sz w:val="16"/>
        <w:szCs w:val="16"/>
      </w:rPr>
      <w:t>2</w:t>
    </w:r>
    <w:r w:rsidR="003159D2">
      <w:rPr>
        <w:rFonts w:cs="Arial"/>
        <w:b/>
        <w:caps/>
        <w:color w:val="7030A0"/>
        <w:sz w:val="16"/>
        <w:szCs w:val="16"/>
      </w:rPr>
      <w:t>1-</w:t>
    </w:r>
    <w:r>
      <w:rPr>
        <w:rFonts w:cs="Arial"/>
        <w:b/>
        <w:caps/>
        <w:color w:val="7030A0"/>
        <w:sz w:val="16"/>
        <w:szCs w:val="16"/>
      </w:rPr>
      <w:t>22 december 2023</w:t>
    </w:r>
    <w:r w:rsidR="003159D2" w:rsidRPr="00B04BE4">
      <w:rPr>
        <w:rFonts w:cs="Arial"/>
        <w:b/>
        <w:caps/>
        <w:color w:val="7030A0"/>
        <w:sz w:val="16"/>
        <w:szCs w:val="16"/>
      </w:rPr>
      <w:t>, ÇANKIRI,</w:t>
    </w:r>
    <w:r w:rsidR="003159D2" w:rsidRPr="00B04BE4">
      <w:rPr>
        <w:rFonts w:eastAsiaTheme="minorEastAsia" w:cs="Arial"/>
        <w:b/>
        <w:caps/>
        <w:color w:val="7030A0"/>
        <w:sz w:val="16"/>
        <w:szCs w:val="16"/>
        <w:lang w:eastAsia="zh-CN"/>
      </w:rPr>
      <w:t xml:space="preserve"> TURK</w:t>
    </w:r>
    <w:r w:rsidR="00296EE9">
      <w:rPr>
        <w:rFonts w:eastAsiaTheme="minorEastAsia" w:cs="Arial"/>
        <w:b/>
        <w:caps/>
        <w:color w:val="7030A0"/>
        <w:sz w:val="16"/>
        <w:szCs w:val="16"/>
        <w:lang w:eastAsia="zh-CN"/>
      </w:rPr>
      <w:t>ıye</w:t>
    </w:r>
  </w:p>
  <w:p w14:paraId="650B4D07" w14:textId="77777777" w:rsidR="003159D2" w:rsidRDefault="003159D2" w:rsidP="007B369A">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2443" w14:textId="77777777" w:rsidR="003159D2" w:rsidRDefault="003159D2">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AEFAD" w14:textId="77777777" w:rsidR="003159D2" w:rsidRDefault="003159D2">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848BD" w14:textId="77777777" w:rsidR="003159D2" w:rsidRDefault="003159D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0C302A"/>
    <w:multiLevelType w:val="hybridMultilevel"/>
    <w:tmpl w:val="5BAEA1BE"/>
    <w:lvl w:ilvl="0" w:tplc="055A9350">
      <w:start w:val="1"/>
      <w:numFmt w:val="decimal"/>
      <w:lvlText w:val="[%1]"/>
      <w:lvlJc w:val="left"/>
      <w:pPr>
        <w:ind w:left="360" w:hanging="360"/>
      </w:pPr>
      <w:rPr>
        <w:rFonts w:hint="default"/>
        <w:b w:val="0"/>
        <w:bCs w:val="0"/>
        <w:i w:val="0"/>
        <w:iCs/>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1">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6">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8"/>
  </w:num>
  <w:num w:numId="2">
    <w:abstractNumId w:val="11"/>
  </w:num>
  <w:num w:numId="3">
    <w:abstractNumId w:val="8"/>
  </w:num>
  <w:num w:numId="4">
    <w:abstractNumId w:val="0"/>
  </w:num>
  <w:num w:numId="5">
    <w:abstractNumId w:val="32"/>
  </w:num>
  <w:num w:numId="6">
    <w:abstractNumId w:val="10"/>
  </w:num>
  <w:num w:numId="7">
    <w:abstractNumId w:val="4"/>
  </w:num>
  <w:num w:numId="8">
    <w:abstractNumId w:val="19"/>
  </w:num>
  <w:num w:numId="9">
    <w:abstractNumId w:val="27"/>
  </w:num>
  <w:num w:numId="10">
    <w:abstractNumId w:val="23"/>
  </w:num>
  <w:num w:numId="11">
    <w:abstractNumId w:val="12"/>
  </w:num>
  <w:num w:numId="12">
    <w:abstractNumId w:val="3"/>
  </w:num>
  <w:num w:numId="13">
    <w:abstractNumId w:val="24"/>
  </w:num>
  <w:num w:numId="14">
    <w:abstractNumId w:val="33"/>
  </w:num>
  <w:num w:numId="15">
    <w:abstractNumId w:val="35"/>
  </w:num>
  <w:num w:numId="16">
    <w:abstractNumId w:val="37"/>
  </w:num>
  <w:num w:numId="17">
    <w:abstractNumId w:val="13"/>
  </w:num>
  <w:num w:numId="18">
    <w:abstractNumId w:val="29"/>
  </w:num>
  <w:num w:numId="19">
    <w:abstractNumId w:val="31"/>
  </w:num>
  <w:num w:numId="20">
    <w:abstractNumId w:val="9"/>
  </w:num>
  <w:num w:numId="21">
    <w:abstractNumId w:val="20"/>
  </w:num>
  <w:num w:numId="22">
    <w:abstractNumId w:val="6"/>
  </w:num>
  <w:num w:numId="23">
    <w:abstractNumId w:val="26"/>
  </w:num>
  <w:num w:numId="24">
    <w:abstractNumId w:val="2"/>
  </w:num>
  <w:num w:numId="25">
    <w:abstractNumId w:val="7"/>
  </w:num>
  <w:num w:numId="26">
    <w:abstractNumId w:val="17"/>
  </w:num>
  <w:num w:numId="27">
    <w:abstractNumId w:val="16"/>
  </w:num>
  <w:num w:numId="28">
    <w:abstractNumId w:val="30"/>
  </w:num>
  <w:num w:numId="29">
    <w:abstractNumId w:val="34"/>
  </w:num>
  <w:num w:numId="30">
    <w:abstractNumId w:val="21"/>
  </w:num>
  <w:num w:numId="31">
    <w:abstractNumId w:val="22"/>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5"/>
  </w:num>
  <w:num w:numId="35">
    <w:abstractNumId w:val="25"/>
  </w:num>
  <w:num w:numId="36">
    <w:abstractNumId w:val="36"/>
  </w:num>
  <w:num w:numId="37">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0B91"/>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4785"/>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4A2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0CD7"/>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4F33"/>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508E"/>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8F67F3"/>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408A"/>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06FC"/>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5761"/>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1BFD"/>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1"/>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tman.edu.tr/Birimler/1472"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chart" Target="charts/chart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shmyo.bingol.edu.tr/en/" TargetMode="External"/><Relationship Id="rId14" Type="http://schemas.openxmlformats.org/officeDocument/2006/relationships/header" Target="head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6"/>
            <c:spPr>
              <a:solidFill>
                <a:schemeClr val="accent1"/>
              </a:solidFill>
              <a:ln w="12700">
                <a:solidFill>
                  <a:schemeClr val="tx1">
                    <a:lumMod val="65000"/>
                    <a:lumOff val="35000"/>
                  </a:schemeClr>
                </a:solidFill>
              </a:ln>
              <a:effectLst/>
            </c:spPr>
          </c:marker>
          <c:trendline>
            <c:spPr>
              <a:ln w="12700" cap="rnd">
                <a:solidFill>
                  <a:schemeClr val="tx1"/>
                </a:solidFill>
                <a:prstDash val="solid"/>
              </a:ln>
              <a:effectLst/>
            </c:spPr>
            <c:trendlineType val="exp"/>
            <c:intercept val="100"/>
            <c:dispRSqr val="0"/>
            <c:dispEq val="1"/>
            <c:trendlineLbl>
              <c:layout>
                <c:manualLayout>
                  <c:x val="0.14800091521538472"/>
                  <c:y val="-0.62973857710756975"/>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rendlineLbl>
          </c:trendline>
          <c:xVal>
            <c:numRef>
              <c:f>Sayfa1!$A$1:$A$7</c:f>
              <c:numCache>
                <c:formatCode>General</c:formatCode>
                <c:ptCount val="7"/>
                <c:pt idx="0">
                  <c:v>0</c:v>
                </c:pt>
                <c:pt idx="1">
                  <c:v>0.22800000000000001</c:v>
                </c:pt>
                <c:pt idx="2">
                  <c:v>0.45600000000000002</c:v>
                </c:pt>
                <c:pt idx="3">
                  <c:v>0.91200000000000003</c:v>
                </c:pt>
                <c:pt idx="4">
                  <c:v>1.1399999999999999</c:v>
                </c:pt>
                <c:pt idx="5">
                  <c:v>1.3680000000000001</c:v>
                </c:pt>
                <c:pt idx="6">
                  <c:v>1.5960000000000001</c:v>
                </c:pt>
              </c:numCache>
            </c:numRef>
          </c:xVal>
          <c:yVal>
            <c:numRef>
              <c:f>Sayfa1!$B$1:$B$7</c:f>
              <c:numCache>
                <c:formatCode>General</c:formatCode>
                <c:ptCount val="7"/>
                <c:pt idx="0">
                  <c:v>100</c:v>
                </c:pt>
                <c:pt idx="1">
                  <c:v>82.35</c:v>
                </c:pt>
                <c:pt idx="2">
                  <c:v>58.82</c:v>
                </c:pt>
                <c:pt idx="3">
                  <c:v>45</c:v>
                </c:pt>
                <c:pt idx="4">
                  <c:v>37.049999999999997</c:v>
                </c:pt>
                <c:pt idx="5">
                  <c:v>25.58</c:v>
                </c:pt>
                <c:pt idx="6">
                  <c:v>15.15</c:v>
                </c:pt>
              </c:numCache>
            </c:numRef>
          </c:yVal>
          <c:smooth val="0"/>
          <c:extLst xmlns:c16r2="http://schemas.microsoft.com/office/drawing/2015/06/chart">
            <c:ext xmlns:c16="http://schemas.microsoft.com/office/drawing/2014/chart" uri="{C3380CC4-5D6E-409C-BE32-E72D297353CC}">
              <c16:uniqueId val="{00000000-F1DA-44D8-AE1D-CC231D9DADD8}"/>
            </c:ext>
          </c:extLst>
        </c:ser>
        <c:dLbls>
          <c:showLegendKey val="0"/>
          <c:showVal val="0"/>
          <c:showCatName val="0"/>
          <c:showSerName val="0"/>
          <c:showPercent val="0"/>
          <c:showBubbleSize val="0"/>
        </c:dLbls>
        <c:axId val="406358160"/>
        <c:axId val="406359336"/>
      </c:scatterChart>
      <c:valAx>
        <c:axId val="406358160"/>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tr-TR"/>
                  <a:t>[Amoxicillin] mM</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406359336"/>
        <c:crosses val="autoZero"/>
        <c:crossBetween val="midCat"/>
      </c:valAx>
      <c:valAx>
        <c:axId val="406359336"/>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tr-TR"/>
                  <a:t>Activity%</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406358160"/>
        <c:crosses val="autoZero"/>
        <c:crossBetween val="midCat"/>
      </c:val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6"/>
            <c:spPr>
              <a:solidFill>
                <a:schemeClr val="tx1">
                  <a:lumMod val="50000"/>
                  <a:lumOff val="50000"/>
                </a:schemeClr>
              </a:solidFill>
              <a:ln w="12700">
                <a:solidFill>
                  <a:schemeClr val="tx1">
                    <a:lumMod val="50000"/>
                    <a:lumOff val="50000"/>
                  </a:schemeClr>
                </a:solidFill>
              </a:ln>
              <a:effectLst/>
            </c:spPr>
          </c:marker>
          <c:trendline>
            <c:spPr>
              <a:ln w="12700" cap="rnd">
                <a:solidFill>
                  <a:schemeClr val="tx1"/>
                </a:solidFill>
                <a:prstDash val="solid"/>
              </a:ln>
              <a:effectLst/>
            </c:spPr>
            <c:trendlineType val="exp"/>
            <c:intercept val="100"/>
            <c:dispRSqr val="0"/>
            <c:dispEq val="1"/>
            <c:trendlineLbl>
              <c:layout>
                <c:manualLayout>
                  <c:x val="6.7919291338582682E-2"/>
                  <c:y val="-0.64574074074074073"/>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rendlineLbl>
          </c:trendline>
          <c:xVal>
            <c:numRef>
              <c:f>Sayfa1!$A$1:$A$5</c:f>
              <c:numCache>
                <c:formatCode>General</c:formatCode>
                <c:ptCount val="5"/>
                <c:pt idx="0">
                  <c:v>0</c:v>
                </c:pt>
                <c:pt idx="1">
                  <c:v>0.89600000000000002</c:v>
                </c:pt>
                <c:pt idx="2">
                  <c:v>1.792</c:v>
                </c:pt>
                <c:pt idx="3">
                  <c:v>4.4800000000000004</c:v>
                </c:pt>
                <c:pt idx="4">
                  <c:v>8.9600000000000009</c:v>
                </c:pt>
              </c:numCache>
            </c:numRef>
          </c:xVal>
          <c:yVal>
            <c:numRef>
              <c:f>Sayfa1!$B$1:$B$5</c:f>
              <c:numCache>
                <c:formatCode>General</c:formatCode>
                <c:ptCount val="5"/>
                <c:pt idx="0">
                  <c:v>100</c:v>
                </c:pt>
                <c:pt idx="1">
                  <c:v>60</c:v>
                </c:pt>
                <c:pt idx="2">
                  <c:v>43</c:v>
                </c:pt>
                <c:pt idx="3">
                  <c:v>25</c:v>
                </c:pt>
                <c:pt idx="4">
                  <c:v>5</c:v>
                </c:pt>
              </c:numCache>
            </c:numRef>
          </c:yVal>
          <c:smooth val="0"/>
          <c:extLst xmlns:c16r2="http://schemas.microsoft.com/office/drawing/2015/06/chart">
            <c:ext xmlns:c16="http://schemas.microsoft.com/office/drawing/2014/chart" uri="{C3380CC4-5D6E-409C-BE32-E72D297353CC}">
              <c16:uniqueId val="{00000000-0DB3-4AFF-A593-774721E30D02}"/>
            </c:ext>
          </c:extLst>
        </c:ser>
        <c:dLbls>
          <c:showLegendKey val="0"/>
          <c:showVal val="0"/>
          <c:showCatName val="0"/>
          <c:showSerName val="0"/>
          <c:showPercent val="0"/>
          <c:showBubbleSize val="0"/>
        </c:dLbls>
        <c:axId val="406358552"/>
        <c:axId val="406358944"/>
      </c:scatterChart>
      <c:valAx>
        <c:axId val="406358552"/>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tr-TR"/>
                  <a:t>[Cefuroxime Sodium] mM</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406358944"/>
        <c:crosses val="autoZero"/>
        <c:crossBetween val="midCat"/>
      </c:valAx>
      <c:valAx>
        <c:axId val="406358944"/>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tr-TR"/>
                  <a:t>Activity%</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406358552"/>
        <c:crosses val="autoZero"/>
        <c:crossBetween val="midCat"/>
      </c:val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6"/>
            <c:spPr>
              <a:solidFill>
                <a:schemeClr val="accent1"/>
              </a:solidFill>
              <a:ln w="12700">
                <a:solidFill>
                  <a:schemeClr val="tx1">
                    <a:lumMod val="50000"/>
                    <a:lumOff val="50000"/>
                  </a:schemeClr>
                </a:solidFill>
              </a:ln>
              <a:effectLst/>
            </c:spPr>
          </c:marker>
          <c:trendline>
            <c:spPr>
              <a:ln w="12700" cap="rnd">
                <a:solidFill>
                  <a:schemeClr val="tx1"/>
                </a:solidFill>
                <a:prstDash val="solid"/>
              </a:ln>
              <a:effectLst/>
            </c:spPr>
            <c:trendlineType val="exp"/>
            <c:intercept val="100"/>
            <c:dispRSqr val="0"/>
            <c:dispEq val="1"/>
            <c:trendlineLbl>
              <c:layout>
                <c:manualLayout>
                  <c:x val="0.10201048926334845"/>
                  <c:y val="-0.68602818080983963"/>
                </c:manualLayout>
              </c:layout>
              <c:numFmt formatCode="General" sourceLinked="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rendlineLbl>
          </c:trendline>
          <c:xVal>
            <c:numRef>
              <c:f>Sayfa1!$A$1:$A$6</c:f>
              <c:numCache>
                <c:formatCode>General</c:formatCode>
                <c:ptCount val="6"/>
                <c:pt idx="0">
                  <c:v>0</c:v>
                </c:pt>
                <c:pt idx="1">
                  <c:v>0.41899999999999998</c:v>
                </c:pt>
                <c:pt idx="2">
                  <c:v>0.83799999999999997</c:v>
                </c:pt>
                <c:pt idx="3">
                  <c:v>1.6759999999999999</c:v>
                </c:pt>
                <c:pt idx="4">
                  <c:v>4.1900000000000004</c:v>
                </c:pt>
                <c:pt idx="5">
                  <c:v>8.3800000000000008</c:v>
                </c:pt>
              </c:numCache>
            </c:numRef>
          </c:xVal>
          <c:yVal>
            <c:numRef>
              <c:f>Sayfa1!$B$1:$B$6</c:f>
              <c:numCache>
                <c:formatCode>General</c:formatCode>
                <c:ptCount val="6"/>
                <c:pt idx="0">
                  <c:v>100</c:v>
                </c:pt>
                <c:pt idx="1">
                  <c:v>79.41</c:v>
                </c:pt>
                <c:pt idx="2">
                  <c:v>50</c:v>
                </c:pt>
                <c:pt idx="3">
                  <c:v>29.41</c:v>
                </c:pt>
                <c:pt idx="4">
                  <c:v>17.64</c:v>
                </c:pt>
                <c:pt idx="5">
                  <c:v>8.82</c:v>
                </c:pt>
              </c:numCache>
            </c:numRef>
          </c:yVal>
          <c:smooth val="0"/>
          <c:extLst xmlns:c16r2="http://schemas.microsoft.com/office/drawing/2015/06/chart">
            <c:ext xmlns:c16="http://schemas.microsoft.com/office/drawing/2014/chart" uri="{C3380CC4-5D6E-409C-BE32-E72D297353CC}">
              <c16:uniqueId val="{00000000-E291-4406-9A55-D33B81E87240}"/>
            </c:ext>
          </c:extLst>
        </c:ser>
        <c:dLbls>
          <c:showLegendKey val="0"/>
          <c:showVal val="0"/>
          <c:showCatName val="0"/>
          <c:showSerName val="0"/>
          <c:showPercent val="0"/>
          <c:showBubbleSize val="0"/>
        </c:dLbls>
        <c:axId val="415936944"/>
        <c:axId val="415936552"/>
      </c:scatterChart>
      <c:valAx>
        <c:axId val="415936944"/>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tr-TR"/>
                  <a:t>[Cefazolin sodium] mM</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415936552"/>
        <c:crosses val="autoZero"/>
        <c:crossBetween val="midCat"/>
      </c:valAx>
      <c:valAx>
        <c:axId val="415936552"/>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tr-TR"/>
                  <a:t>Activity%</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415936944"/>
        <c:crosses val="autoZero"/>
        <c:crossBetween val="midCat"/>
      </c:val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007E795E-B97A-4B3B-94CA-914DBFB93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1769</Words>
  <Characters>10088</Characters>
  <Application>Microsoft Office Word</Application>
  <DocSecurity>0</DocSecurity>
  <Lines>84</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Lenovo</cp:lastModifiedBy>
  <cp:revision>2</cp:revision>
  <cp:lastPrinted>2022-10-06T12:06:00Z</cp:lastPrinted>
  <dcterms:created xsi:type="dcterms:W3CDTF">2023-12-11T07:15:00Z</dcterms:created>
  <dcterms:modified xsi:type="dcterms:W3CDTF">2023-12-11T07:15:00Z</dcterms:modified>
</cp:coreProperties>
</file>