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C4B" w:rsidRDefault="005C1C4B" w:rsidP="00E036A9">
      <w:pPr>
        <w:spacing w:before="120" w:after="0" w:line="240" w:lineRule="auto"/>
        <w:ind w:firstLine="567"/>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Sağlık Harcamaları ve Ekonomik Büyüme İlişkisi: </w:t>
      </w:r>
      <w:r w:rsidRPr="00814EC5">
        <w:rPr>
          <w:rFonts w:ascii="Times New Roman" w:eastAsia="Calibri" w:hAnsi="Times New Roman" w:cs="Times New Roman"/>
          <w:b/>
          <w:bCs/>
          <w:sz w:val="28"/>
          <w:szCs w:val="28"/>
        </w:rPr>
        <w:t xml:space="preserve">Türkiye’de İller Düzeyinde </w:t>
      </w:r>
      <w:r>
        <w:rPr>
          <w:rFonts w:ascii="Times New Roman" w:eastAsia="Calibri" w:hAnsi="Times New Roman" w:cs="Times New Roman"/>
          <w:b/>
          <w:bCs/>
          <w:sz w:val="28"/>
          <w:szCs w:val="28"/>
        </w:rPr>
        <w:t>Panel Kanıtlar</w:t>
      </w:r>
    </w:p>
    <w:p w:rsidR="00FC6B0A" w:rsidRPr="00FC6B0A" w:rsidRDefault="00FC6B0A" w:rsidP="00E036A9">
      <w:pPr>
        <w:spacing w:before="120" w:after="0" w:line="240" w:lineRule="auto"/>
        <w:ind w:firstLine="567"/>
        <w:jc w:val="both"/>
        <w:rPr>
          <w:rFonts w:ascii="Times New Roman" w:eastAsia="Calibri" w:hAnsi="Times New Roman" w:cs="Times New Roman"/>
          <w:b/>
          <w:bCs/>
          <w:sz w:val="28"/>
          <w:szCs w:val="28"/>
        </w:rPr>
      </w:pPr>
    </w:p>
    <w:p w:rsidR="005C1C4B" w:rsidRPr="00E036A9" w:rsidRDefault="005C1C4B" w:rsidP="00E036A9">
      <w:pPr>
        <w:spacing w:before="120" w:after="0" w:line="240" w:lineRule="auto"/>
        <w:jc w:val="both"/>
        <w:rPr>
          <w:rFonts w:ascii="Times New Roman" w:eastAsia="Calibri" w:hAnsi="Times New Roman" w:cs="Times New Roman"/>
          <w:b/>
          <w:i/>
          <w:sz w:val="20"/>
          <w:szCs w:val="20"/>
        </w:rPr>
      </w:pPr>
      <w:r w:rsidRPr="00E036A9">
        <w:rPr>
          <w:rFonts w:ascii="Times New Roman" w:eastAsia="Calibri" w:hAnsi="Times New Roman" w:cs="Times New Roman"/>
          <w:b/>
          <w:i/>
          <w:sz w:val="20"/>
          <w:szCs w:val="20"/>
        </w:rPr>
        <w:t>Özet</w:t>
      </w:r>
    </w:p>
    <w:p w:rsidR="00E036A9" w:rsidRDefault="005C1C4B" w:rsidP="00E036A9">
      <w:pPr>
        <w:spacing w:before="120" w:after="0" w:line="240" w:lineRule="auto"/>
        <w:jc w:val="both"/>
        <w:rPr>
          <w:rFonts w:ascii="Times New Roman" w:eastAsia="Calibri" w:hAnsi="Times New Roman" w:cs="Times New Roman"/>
          <w:i/>
          <w:sz w:val="20"/>
          <w:szCs w:val="20"/>
        </w:rPr>
      </w:pPr>
      <w:r w:rsidRPr="00E036A9">
        <w:rPr>
          <w:rFonts w:ascii="Times New Roman" w:eastAsia="Calibri" w:hAnsi="Times New Roman" w:cs="Times New Roman"/>
          <w:i/>
          <w:sz w:val="20"/>
          <w:szCs w:val="20"/>
        </w:rPr>
        <w:t>Bir refah ve gelişmişlik ölçütü olan sağlık, ekonomik büyüme ve kalkınmanın en temel unsurlarındandır. Üretimde girdi olarak kullanılan işgücünün rehabilite edilmesi sürecinde kritik bir rol oynayan sağlık harcamaları, sağlıklı toplumların teminatıdır. Sağlıklı toplumlarda, yaşam kalitesinin yükselmesine paralel olarak beşeri sermayenin de kalitesi artmaktadır. Sağlıklı toplumlar ise şüphesiz sağlık ve eğitim gibi beşeri sermayeye yönelik harcamalarla oluşmaktadır. Bu bağlamda beşeri sermayenin geliştirilmesi, korunması ve sürdürülebilir bir ekonomik büyümenin sağlanmasında kritik bir önem sahip olan sağlık harcamalarının ülke ekonomisindeki öneminin saptanması, bilimsel yazında üzerinde yoğun çalışılan bir araştırma konusudur. Buradan hareketle yapılan bu çalışmanın amacı, sağlık harcamaları ile ekonomik büyüme ilişkisini araştırmaktır. Belirtilen amaç kapsamında, 2004-2020 dönemi baz alınarak Türkiye’de 81 ilin yıllık verilerden oluşan bir veri seti kullanılarak sağlık ve eğitim harcamalarının ekonomik büyüme üzerindeki etkisi panel veri analizi ile incelenmiştir. Panel ARDL analizinden elde edilen bulgularımız, uzun dönemde sağlık harcamalarındaki artışın ekonomik büyümeyi negatif ve bir kontrol değişkeni olarak kullanılan eğitim harcamalarındaki artışın ise ekonomik büyümeyi pozitif yönde etkilediğini göstermiştir. Ayrıca Panel Granger (1969) nedensellik testi sonuçlarına göre, değişkenler arasında çift yönlü nedensellik ilişkisi tespit edilmiştir.</w:t>
      </w:r>
      <w:r w:rsidR="00FF50F3" w:rsidRPr="00E036A9">
        <w:rPr>
          <w:rFonts w:ascii="Times New Roman" w:eastAsia="Calibri" w:hAnsi="Times New Roman" w:cs="Times New Roman"/>
          <w:i/>
          <w:sz w:val="20"/>
          <w:szCs w:val="20"/>
        </w:rPr>
        <w:t xml:space="preserve"> </w:t>
      </w:r>
      <w:r w:rsidRPr="00E036A9">
        <w:rPr>
          <w:rFonts w:ascii="Times New Roman" w:eastAsia="Calibri" w:hAnsi="Times New Roman" w:cs="Times New Roman"/>
          <w:i/>
          <w:sz w:val="20"/>
          <w:szCs w:val="20"/>
        </w:rPr>
        <w:t xml:space="preserve"> </w:t>
      </w:r>
    </w:p>
    <w:p w:rsidR="005C1C4B" w:rsidRPr="00E036A9" w:rsidRDefault="005C1C4B" w:rsidP="00E036A9">
      <w:pPr>
        <w:spacing w:before="120" w:after="0" w:line="240" w:lineRule="auto"/>
        <w:jc w:val="both"/>
        <w:rPr>
          <w:rFonts w:ascii="Times New Roman" w:eastAsia="Calibri" w:hAnsi="Times New Roman" w:cs="Times New Roman"/>
          <w:i/>
          <w:sz w:val="20"/>
          <w:szCs w:val="20"/>
        </w:rPr>
      </w:pPr>
      <w:r w:rsidRPr="00E036A9">
        <w:rPr>
          <w:rFonts w:ascii="Times New Roman" w:eastAsia="Calibri" w:hAnsi="Times New Roman" w:cs="Times New Roman"/>
          <w:b/>
          <w:i/>
          <w:sz w:val="20"/>
          <w:szCs w:val="20"/>
        </w:rPr>
        <w:t>Anahtar Kelimeler:</w:t>
      </w:r>
      <w:r w:rsidRPr="00E036A9">
        <w:rPr>
          <w:rFonts w:ascii="Times New Roman" w:eastAsia="Calibri" w:hAnsi="Times New Roman" w:cs="Times New Roman"/>
          <w:i/>
          <w:color w:val="000000"/>
          <w:sz w:val="20"/>
          <w:szCs w:val="20"/>
        </w:rPr>
        <w:t xml:space="preserve"> Sağlık Harcamaları, Ekonomik Büyüme, Türkiye</w:t>
      </w:r>
      <w:r w:rsidR="00591FA8" w:rsidRPr="00E036A9">
        <w:rPr>
          <w:rFonts w:ascii="Times New Roman" w:eastAsia="Calibri" w:hAnsi="Times New Roman" w:cs="Times New Roman"/>
          <w:i/>
          <w:color w:val="000000"/>
          <w:sz w:val="20"/>
          <w:szCs w:val="20"/>
        </w:rPr>
        <w:t>’deki İller</w:t>
      </w:r>
      <w:r w:rsidRPr="00E036A9">
        <w:rPr>
          <w:rFonts w:ascii="Times New Roman" w:eastAsia="Calibri" w:hAnsi="Times New Roman" w:cs="Times New Roman"/>
          <w:i/>
          <w:color w:val="000000"/>
          <w:sz w:val="20"/>
          <w:szCs w:val="20"/>
        </w:rPr>
        <w:t xml:space="preserve">, Panel ARDL Analizi, Panel Granger Nedensellik Testi. </w:t>
      </w:r>
    </w:p>
    <w:p w:rsidR="00FC6B0A" w:rsidRPr="00814EC5" w:rsidRDefault="00FC6B0A" w:rsidP="00E036A9">
      <w:pPr>
        <w:spacing w:before="120" w:after="0" w:line="240" w:lineRule="auto"/>
        <w:jc w:val="both"/>
        <w:rPr>
          <w:rFonts w:ascii="Times New Roman" w:eastAsia="Calibri" w:hAnsi="Times New Roman" w:cs="Times New Roman"/>
          <w:color w:val="000000"/>
          <w:sz w:val="20"/>
          <w:szCs w:val="20"/>
        </w:rPr>
      </w:pPr>
    </w:p>
    <w:p w:rsidR="005C1C4B" w:rsidRDefault="005C1C4B" w:rsidP="00E036A9">
      <w:pPr>
        <w:spacing w:before="120" w:after="0" w:line="240" w:lineRule="auto"/>
        <w:jc w:val="center"/>
        <w:rPr>
          <w:rFonts w:ascii="Times New Roman" w:eastAsia="Calibri" w:hAnsi="Times New Roman" w:cs="Times New Roman"/>
          <w:b/>
          <w:bCs/>
          <w:sz w:val="28"/>
          <w:szCs w:val="28"/>
          <w:shd w:val="clear" w:color="auto" w:fill="FFFFFF"/>
        </w:rPr>
      </w:pPr>
      <w:r>
        <w:rPr>
          <w:rFonts w:ascii="Times New Roman" w:eastAsia="Calibri" w:hAnsi="Times New Roman" w:cs="Times New Roman"/>
          <w:b/>
          <w:bCs/>
          <w:sz w:val="28"/>
          <w:szCs w:val="28"/>
          <w:shd w:val="clear" w:color="auto" w:fill="FFFFFF"/>
        </w:rPr>
        <w:t>The Relation</w:t>
      </w:r>
      <w:r w:rsidRPr="00B2730E">
        <w:rPr>
          <w:rFonts w:ascii="Times New Roman" w:eastAsia="Calibri" w:hAnsi="Times New Roman" w:cs="Times New Roman"/>
          <w:b/>
          <w:bCs/>
          <w:sz w:val="28"/>
          <w:szCs w:val="28"/>
          <w:shd w:val="clear" w:color="auto" w:fill="FFFFFF"/>
        </w:rPr>
        <w:t xml:space="preserve"> of Health Expenditures and </w:t>
      </w:r>
      <w:r>
        <w:rPr>
          <w:rFonts w:ascii="Times New Roman" w:eastAsia="Calibri" w:hAnsi="Times New Roman" w:cs="Times New Roman"/>
          <w:b/>
          <w:bCs/>
          <w:sz w:val="28"/>
          <w:szCs w:val="28"/>
          <w:shd w:val="clear" w:color="auto" w:fill="FFFFFF"/>
        </w:rPr>
        <w:t>Economic Growth:</w:t>
      </w:r>
      <w:r w:rsidRPr="00814EC5">
        <w:rPr>
          <w:rFonts w:ascii="Times New Roman" w:eastAsia="Calibri" w:hAnsi="Times New Roman" w:cs="Times New Roman"/>
          <w:b/>
          <w:bCs/>
          <w:sz w:val="28"/>
          <w:szCs w:val="28"/>
          <w:shd w:val="clear" w:color="auto" w:fill="FFFFFF"/>
        </w:rPr>
        <w:t xml:space="preserve"> </w:t>
      </w:r>
      <w:r>
        <w:rPr>
          <w:rFonts w:ascii="Times New Roman" w:eastAsia="Calibri" w:hAnsi="Times New Roman" w:cs="Times New Roman"/>
          <w:b/>
          <w:bCs/>
          <w:sz w:val="28"/>
          <w:szCs w:val="28"/>
          <w:shd w:val="clear" w:color="auto" w:fill="FFFFFF"/>
        </w:rPr>
        <w:t xml:space="preserve">Panel Evidence </w:t>
      </w:r>
      <w:r w:rsidR="00FC6B0A">
        <w:rPr>
          <w:rFonts w:ascii="Times New Roman" w:eastAsia="Calibri" w:hAnsi="Times New Roman" w:cs="Times New Roman"/>
          <w:b/>
          <w:bCs/>
          <w:sz w:val="28"/>
          <w:szCs w:val="28"/>
          <w:shd w:val="clear" w:color="auto" w:fill="FFFFFF"/>
        </w:rPr>
        <w:t>from Provinces in Turkey</w:t>
      </w:r>
    </w:p>
    <w:p w:rsidR="00FC6B0A" w:rsidRPr="00FC6B0A" w:rsidRDefault="00FC6B0A" w:rsidP="00E036A9">
      <w:pPr>
        <w:spacing w:before="120" w:after="0" w:line="240" w:lineRule="auto"/>
        <w:jc w:val="both"/>
        <w:rPr>
          <w:rFonts w:ascii="Times New Roman" w:eastAsia="Calibri" w:hAnsi="Times New Roman" w:cs="Times New Roman"/>
          <w:b/>
          <w:bCs/>
          <w:sz w:val="28"/>
          <w:szCs w:val="28"/>
          <w:shd w:val="clear" w:color="auto" w:fill="FFFFFF"/>
        </w:rPr>
      </w:pPr>
    </w:p>
    <w:p w:rsidR="005C1C4B" w:rsidRPr="00E036A9" w:rsidRDefault="005C1C4B" w:rsidP="00E036A9">
      <w:pPr>
        <w:spacing w:before="120" w:after="0" w:line="240" w:lineRule="auto"/>
        <w:jc w:val="both"/>
        <w:rPr>
          <w:rFonts w:ascii="Times New Roman" w:eastAsia="Calibri" w:hAnsi="Times New Roman" w:cs="Times New Roman"/>
          <w:b/>
          <w:i/>
          <w:color w:val="000000"/>
          <w:sz w:val="20"/>
          <w:szCs w:val="20"/>
        </w:rPr>
      </w:pPr>
      <w:r w:rsidRPr="00E036A9">
        <w:rPr>
          <w:rFonts w:ascii="Times New Roman" w:eastAsia="Calibri" w:hAnsi="Times New Roman" w:cs="Times New Roman"/>
          <w:b/>
          <w:i/>
          <w:color w:val="000000"/>
          <w:sz w:val="20"/>
          <w:szCs w:val="20"/>
        </w:rPr>
        <w:t>Abstract</w:t>
      </w:r>
    </w:p>
    <w:p w:rsidR="00E036A9" w:rsidRPr="00E036A9" w:rsidRDefault="005C1C4B" w:rsidP="00E036A9">
      <w:pPr>
        <w:spacing w:before="120" w:after="0" w:line="240" w:lineRule="auto"/>
        <w:jc w:val="both"/>
        <w:rPr>
          <w:rFonts w:ascii="Times New Roman" w:eastAsia="Calibri" w:hAnsi="Times New Roman" w:cs="Times New Roman"/>
          <w:i/>
          <w:color w:val="000000"/>
          <w:sz w:val="20"/>
          <w:szCs w:val="20"/>
          <w:lang w:eastAsia="tr-TR"/>
        </w:rPr>
      </w:pPr>
      <w:r w:rsidRPr="00E036A9">
        <w:rPr>
          <w:rFonts w:ascii="Times New Roman" w:eastAsia="Calibri" w:hAnsi="Times New Roman" w:cs="Times New Roman"/>
          <w:i/>
          <w:color w:val="000000"/>
          <w:sz w:val="20"/>
          <w:szCs w:val="20"/>
          <w:lang w:eastAsia="tr-TR"/>
        </w:rPr>
        <w:t>Health, which is a measure of welfare is one of the most basic elements of economic growth and development. Health expenditure that play a critical role in the rehabilitation of the labor force used as input in production, are the guarantee of healthy societies. In healthy societies, the quality of human capital is increasing in parallel with the rise of quality of life. Healthy societies are undoubtedly made up of expenditure on human capital, such as helath and education. In healthy society, the employment of quality human capital makes it possible to achieve more efficient results.</w:t>
      </w:r>
      <w:r w:rsidRPr="00E036A9">
        <w:rPr>
          <w:i/>
        </w:rPr>
        <w:t xml:space="preserve"> </w:t>
      </w:r>
      <w:r w:rsidRPr="00E036A9">
        <w:rPr>
          <w:rFonts w:ascii="Times New Roman" w:eastAsia="Calibri" w:hAnsi="Times New Roman" w:cs="Times New Roman"/>
          <w:i/>
          <w:color w:val="000000"/>
          <w:sz w:val="20"/>
          <w:szCs w:val="20"/>
          <w:lang w:eastAsia="tr-TR"/>
        </w:rPr>
        <w:t xml:space="preserve">In this context, determining the importance of health expenditures in the country's economy, which has a critical importance in the development and protection of human capital and ensuring a sustainable economic growth, is a research subject that has been studied extensively in the scientific literature. From this point of view, the aim of this study is to investigate the relationship between health expenditures and economic growth. Within the scope of the stated purpose, the effect of health and education expenditures on economic growth was examined by panel data analysis, using a data set consisting of annual data from 81 provinces in Turkey, based on the period of 2004-2020. Our findings from the panel ARDL analysis showed that the increase in health expenditures negatively affects economic growth in the long run, and the increase in education expenditures, which is used as a control variable, affects economic growth positively. In addition, according to the results of the Panel Granger (1969) causality test, a bidirectional causality relationship was determined between the variables. </w:t>
      </w:r>
    </w:p>
    <w:p w:rsidR="005C1C4B" w:rsidRPr="00E036A9" w:rsidRDefault="005C1C4B" w:rsidP="00E036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Times New Roman" w:eastAsia="Calibri" w:hAnsi="Times New Roman" w:cs="Times New Roman"/>
          <w:b/>
          <w:i/>
        </w:rPr>
      </w:pPr>
      <w:r w:rsidRPr="00E036A9">
        <w:rPr>
          <w:rFonts w:ascii="Times New Roman" w:eastAsia="Calibri" w:hAnsi="Times New Roman" w:cs="Times New Roman"/>
          <w:b/>
          <w:i/>
          <w:sz w:val="20"/>
          <w:szCs w:val="20"/>
          <w:lang w:eastAsia="tr-TR"/>
        </w:rPr>
        <w:t>Keywords</w:t>
      </w:r>
      <w:r w:rsidRPr="00E036A9">
        <w:rPr>
          <w:rFonts w:ascii="Times New Roman" w:eastAsia="Calibri" w:hAnsi="Times New Roman" w:cs="Times New Roman"/>
          <w:i/>
          <w:sz w:val="20"/>
          <w:szCs w:val="20"/>
          <w:lang w:eastAsia="tr-TR"/>
        </w:rPr>
        <w:t xml:space="preserve">: Health Expenditures, Economic Growth, </w:t>
      </w:r>
      <w:r w:rsidR="00591FA8" w:rsidRPr="00E036A9">
        <w:rPr>
          <w:rFonts w:ascii="Times New Roman" w:eastAsia="Calibri" w:hAnsi="Times New Roman" w:cs="Times New Roman"/>
          <w:i/>
          <w:sz w:val="20"/>
          <w:szCs w:val="20"/>
          <w:lang w:eastAsia="tr-TR"/>
        </w:rPr>
        <w:t xml:space="preserve">Provinces in </w:t>
      </w:r>
      <w:r w:rsidRPr="00E036A9">
        <w:rPr>
          <w:rFonts w:ascii="Times New Roman" w:eastAsia="Calibri" w:hAnsi="Times New Roman" w:cs="Times New Roman"/>
          <w:i/>
          <w:sz w:val="20"/>
          <w:szCs w:val="20"/>
          <w:lang w:eastAsia="tr-TR"/>
        </w:rPr>
        <w:t>Turkey, Panel ARDL Analysis, Panel Gr</w:t>
      </w:r>
      <w:r w:rsidR="00D17FAE" w:rsidRPr="00E036A9">
        <w:rPr>
          <w:rFonts w:ascii="Times New Roman" w:eastAsia="Calibri" w:hAnsi="Times New Roman" w:cs="Times New Roman"/>
          <w:i/>
          <w:sz w:val="20"/>
          <w:szCs w:val="20"/>
          <w:lang w:eastAsia="tr-TR"/>
        </w:rPr>
        <w:t>a</w:t>
      </w:r>
      <w:r w:rsidRPr="00E036A9">
        <w:rPr>
          <w:rFonts w:ascii="Times New Roman" w:eastAsia="Calibri" w:hAnsi="Times New Roman" w:cs="Times New Roman"/>
          <w:i/>
          <w:sz w:val="20"/>
          <w:szCs w:val="20"/>
          <w:lang w:eastAsia="tr-TR"/>
        </w:rPr>
        <w:t>nger Causality Test.</w:t>
      </w:r>
    </w:p>
    <w:p w:rsidR="005375D6" w:rsidRDefault="005375D6" w:rsidP="00E036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rPr>
      </w:pPr>
    </w:p>
    <w:p w:rsidR="00591FA8" w:rsidRDefault="00591FA8" w:rsidP="00E036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rPr>
      </w:pPr>
    </w:p>
    <w:p w:rsidR="00321D8F" w:rsidRPr="00E036A9" w:rsidRDefault="00C341CB" w:rsidP="00E036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w:t>
      </w:r>
      <w:r w:rsidRPr="00E036A9">
        <w:rPr>
          <w:rFonts w:ascii="Times New Roman" w:eastAsia="Calibri" w:hAnsi="Times New Roman" w:cs="Times New Roman"/>
          <w:b/>
          <w:sz w:val="24"/>
          <w:szCs w:val="24"/>
        </w:rPr>
        <w:t xml:space="preserve">GİRİŞ </w:t>
      </w:r>
    </w:p>
    <w:p w:rsidR="00F97CB9" w:rsidRPr="00E036A9" w:rsidRDefault="00F97CB9" w:rsidP="00E036A9">
      <w:pPr>
        <w:spacing w:before="120" w:after="0" w:line="240" w:lineRule="auto"/>
        <w:ind w:firstLine="709"/>
        <w:jc w:val="both"/>
        <w:rPr>
          <w:rFonts w:ascii="Times New Roman" w:eastAsia="Calibri" w:hAnsi="Times New Roman" w:cs="Times New Roman"/>
          <w:sz w:val="24"/>
          <w:szCs w:val="24"/>
        </w:rPr>
      </w:pPr>
      <w:r w:rsidRPr="00E036A9">
        <w:rPr>
          <w:rFonts w:ascii="Times New Roman" w:eastAsia="Calibri" w:hAnsi="Times New Roman" w:cs="Times New Roman"/>
          <w:sz w:val="24"/>
          <w:szCs w:val="24"/>
        </w:rPr>
        <w:t xml:space="preserve">Yasalarla güvence altına alınan yaşam hakkı, ilkel toplumlardan günümüz modern toplumlarına doğru algısal olarak farklılıklar göstermiştir. Bu yönde yapılan tartışmalar, toplumların yaşamlarını devam ettirebilmek adına sadece temel ihtiyaçların karşılanabildiği bir süreçten daha kaliteli bir yaşama doğru evrilmiştir. Özellikle sosyal devlet anlayışının gelişmesiyle birlikte ortaya çıkan sosyal haklardan sağlık hakkı, daha kaliteli bir yaşam için </w:t>
      </w:r>
      <w:r w:rsidRPr="00E036A9">
        <w:rPr>
          <w:rFonts w:ascii="Times New Roman" w:eastAsia="Calibri" w:hAnsi="Times New Roman" w:cs="Times New Roman"/>
          <w:sz w:val="24"/>
          <w:szCs w:val="24"/>
        </w:rPr>
        <w:lastRenderedPageBreak/>
        <w:t>gerekli olan temel haklardan biri olmuştur. Bu anlamda g</w:t>
      </w:r>
      <w:r w:rsidR="00DA5F35" w:rsidRPr="00E036A9">
        <w:rPr>
          <w:rFonts w:ascii="Times New Roman" w:eastAsia="Calibri" w:hAnsi="Times New Roman" w:cs="Times New Roman"/>
          <w:sz w:val="24"/>
          <w:szCs w:val="24"/>
        </w:rPr>
        <w:t>ünümüzde s</w:t>
      </w:r>
      <w:r w:rsidR="00814EC5" w:rsidRPr="00E036A9">
        <w:rPr>
          <w:rFonts w:ascii="Times New Roman" w:eastAsia="Calibri" w:hAnsi="Times New Roman" w:cs="Times New Roman"/>
          <w:sz w:val="24"/>
          <w:szCs w:val="24"/>
        </w:rPr>
        <w:t xml:space="preserve">ağlık, hem bireyler için hem de </w:t>
      </w:r>
      <w:r w:rsidR="00DA5F35" w:rsidRPr="00E036A9">
        <w:rPr>
          <w:rFonts w:ascii="Times New Roman" w:eastAsia="Calibri" w:hAnsi="Times New Roman" w:cs="Times New Roman"/>
          <w:sz w:val="24"/>
          <w:szCs w:val="24"/>
        </w:rPr>
        <w:t>toplumlar için oldukça önemli bir kavramdır</w:t>
      </w:r>
      <w:r w:rsidR="00875326" w:rsidRPr="00E036A9">
        <w:rPr>
          <w:rFonts w:ascii="Times New Roman" w:eastAsia="Calibri" w:hAnsi="Times New Roman" w:cs="Times New Roman"/>
          <w:sz w:val="24"/>
          <w:szCs w:val="24"/>
        </w:rPr>
        <w:t>. S</w:t>
      </w:r>
      <w:r w:rsidR="00814EC5" w:rsidRPr="00E036A9">
        <w:rPr>
          <w:rFonts w:ascii="Times New Roman" w:eastAsia="Calibri" w:hAnsi="Times New Roman" w:cs="Times New Roman"/>
          <w:sz w:val="24"/>
          <w:szCs w:val="24"/>
        </w:rPr>
        <w:t>ağlıklı olabilme durumu yalnızca bireyi etkilemekle kalmamakta, aynı zamanda ülke genelinde işgücünün niceliğini ve niteliğini etkileyerek hem üretim hem de tüketim yapısına yansımaktadır. Sağlıklı toplum, sağlam bir ekonomik yapının sacayağını oluşturduğundan dolayı sağ</w:t>
      </w:r>
      <w:r w:rsidR="00DA5F35" w:rsidRPr="00E036A9">
        <w:rPr>
          <w:rFonts w:ascii="Times New Roman" w:eastAsia="Calibri" w:hAnsi="Times New Roman" w:cs="Times New Roman"/>
          <w:sz w:val="24"/>
          <w:szCs w:val="24"/>
        </w:rPr>
        <w:t>lık alanına yapılan yatırımlar</w:t>
      </w:r>
      <w:r w:rsidR="00E1213A" w:rsidRPr="00E036A9">
        <w:rPr>
          <w:rFonts w:ascii="Times New Roman" w:eastAsia="Calibri" w:hAnsi="Times New Roman" w:cs="Times New Roman"/>
          <w:sz w:val="24"/>
          <w:szCs w:val="24"/>
        </w:rPr>
        <w:t>ın</w:t>
      </w:r>
      <w:r w:rsidR="00DA5F35" w:rsidRPr="00E036A9">
        <w:rPr>
          <w:rFonts w:ascii="Times New Roman" w:eastAsia="Calibri" w:hAnsi="Times New Roman" w:cs="Times New Roman"/>
          <w:sz w:val="24"/>
          <w:szCs w:val="24"/>
        </w:rPr>
        <w:t xml:space="preserve"> </w:t>
      </w:r>
      <w:r w:rsidR="00814EC5" w:rsidRPr="00E036A9">
        <w:rPr>
          <w:rFonts w:ascii="Times New Roman" w:eastAsia="Calibri" w:hAnsi="Times New Roman" w:cs="Times New Roman"/>
          <w:sz w:val="24"/>
          <w:szCs w:val="24"/>
        </w:rPr>
        <w:t xml:space="preserve">ve </w:t>
      </w:r>
      <w:r w:rsidR="00DA5F35" w:rsidRPr="00E036A9">
        <w:rPr>
          <w:rFonts w:ascii="Times New Roman" w:eastAsia="Calibri" w:hAnsi="Times New Roman" w:cs="Times New Roman"/>
          <w:sz w:val="24"/>
          <w:szCs w:val="24"/>
        </w:rPr>
        <w:t>sağlık için ayrılan kaynaklar</w:t>
      </w:r>
      <w:r w:rsidR="00E1213A" w:rsidRPr="00E036A9">
        <w:rPr>
          <w:rFonts w:ascii="Times New Roman" w:eastAsia="Calibri" w:hAnsi="Times New Roman" w:cs="Times New Roman"/>
          <w:sz w:val="24"/>
          <w:szCs w:val="24"/>
        </w:rPr>
        <w:t>ın</w:t>
      </w:r>
      <w:r w:rsidR="00DA5F35" w:rsidRPr="00E036A9">
        <w:rPr>
          <w:rFonts w:ascii="Times New Roman" w:eastAsia="Calibri" w:hAnsi="Times New Roman" w:cs="Times New Roman"/>
          <w:sz w:val="24"/>
          <w:szCs w:val="24"/>
        </w:rPr>
        <w:t xml:space="preserve"> </w:t>
      </w:r>
      <w:r w:rsidR="00814EC5" w:rsidRPr="00E036A9">
        <w:rPr>
          <w:rFonts w:ascii="Times New Roman" w:eastAsia="Calibri" w:hAnsi="Times New Roman" w:cs="Times New Roman"/>
          <w:sz w:val="24"/>
          <w:szCs w:val="24"/>
        </w:rPr>
        <w:t xml:space="preserve">önemi giderek daha iyi anlaşılmaktadır. </w:t>
      </w:r>
      <w:r w:rsidR="00DF24CF" w:rsidRPr="00E036A9">
        <w:rPr>
          <w:rFonts w:ascii="Times New Roman" w:eastAsia="Calibri" w:hAnsi="Times New Roman" w:cs="Times New Roman"/>
          <w:sz w:val="24"/>
          <w:szCs w:val="24"/>
        </w:rPr>
        <w:t xml:space="preserve">Çünkü </w:t>
      </w:r>
      <w:r w:rsidR="00875326" w:rsidRPr="00E036A9">
        <w:rPr>
          <w:rFonts w:ascii="Times New Roman" w:eastAsia="Calibri" w:hAnsi="Times New Roman" w:cs="Times New Roman"/>
          <w:sz w:val="24"/>
          <w:szCs w:val="24"/>
        </w:rPr>
        <w:t>s</w:t>
      </w:r>
      <w:r w:rsidRPr="00E036A9">
        <w:rPr>
          <w:rFonts w:ascii="Times New Roman" w:eastAsia="Calibri" w:hAnsi="Times New Roman" w:cs="Times New Roman"/>
          <w:sz w:val="24"/>
          <w:szCs w:val="24"/>
        </w:rPr>
        <w:t>ağlığın ekonomik boyutunun el</w:t>
      </w:r>
      <w:r w:rsidR="00875326" w:rsidRPr="00E036A9">
        <w:rPr>
          <w:rFonts w:ascii="Times New Roman" w:eastAsia="Calibri" w:hAnsi="Times New Roman" w:cs="Times New Roman"/>
          <w:sz w:val="24"/>
          <w:szCs w:val="24"/>
        </w:rPr>
        <w:t xml:space="preserve">e alındığı sağlık ekonomisinde </w:t>
      </w:r>
      <w:r w:rsidRPr="00E036A9">
        <w:rPr>
          <w:rFonts w:ascii="Times New Roman" w:eastAsia="Calibri" w:hAnsi="Times New Roman" w:cs="Times New Roman"/>
          <w:sz w:val="24"/>
          <w:szCs w:val="24"/>
        </w:rPr>
        <w:t xml:space="preserve">sağlık harcamaları, </w:t>
      </w:r>
      <w:r w:rsidR="00DF24CF" w:rsidRPr="00E036A9">
        <w:rPr>
          <w:rFonts w:ascii="Times New Roman" w:eastAsia="Calibri" w:hAnsi="Times New Roman" w:cs="Times New Roman"/>
          <w:sz w:val="24"/>
          <w:szCs w:val="24"/>
        </w:rPr>
        <w:t xml:space="preserve">beşeri sermayeyi geliştiren ve koruyan önemli bir unsur olarak </w:t>
      </w:r>
      <w:r w:rsidRPr="00E036A9">
        <w:rPr>
          <w:rFonts w:ascii="Times New Roman" w:eastAsia="Calibri" w:hAnsi="Times New Roman" w:cs="Times New Roman"/>
          <w:sz w:val="24"/>
          <w:szCs w:val="24"/>
        </w:rPr>
        <w:t xml:space="preserve">ekonomik </w:t>
      </w:r>
      <w:r w:rsidR="00DF24CF" w:rsidRPr="00E036A9">
        <w:rPr>
          <w:rFonts w:ascii="Times New Roman" w:eastAsia="Calibri" w:hAnsi="Times New Roman" w:cs="Times New Roman"/>
          <w:sz w:val="24"/>
          <w:szCs w:val="24"/>
        </w:rPr>
        <w:t xml:space="preserve">büyüme ve kalkınma sürecine işlerlik kazandırmaktadır. </w:t>
      </w:r>
    </w:p>
    <w:p w:rsidR="002E5BEF" w:rsidRPr="00E036A9" w:rsidRDefault="00DF24CF" w:rsidP="00E036A9">
      <w:pPr>
        <w:spacing w:before="120" w:after="0" w:line="240" w:lineRule="auto"/>
        <w:ind w:firstLine="709"/>
        <w:jc w:val="both"/>
        <w:rPr>
          <w:rFonts w:ascii="Times New Roman" w:eastAsia="Calibri" w:hAnsi="Times New Roman" w:cs="Times New Roman"/>
          <w:sz w:val="24"/>
          <w:szCs w:val="24"/>
        </w:rPr>
      </w:pPr>
      <w:r w:rsidRPr="00E036A9">
        <w:rPr>
          <w:rFonts w:ascii="Times New Roman" w:eastAsia="Calibri" w:hAnsi="Times New Roman" w:cs="Times New Roman"/>
          <w:sz w:val="24"/>
          <w:szCs w:val="24"/>
        </w:rPr>
        <w:t xml:space="preserve">Sağlık harcamaları, ekonomik büyümenin dinamiklerinden beşeri sermayenin geliştirilmesi ve korunmasında önemli bir unsur olduğundan, daha sağlıklı bir beşeri sermayenin üretime katkısının daha yüksek olacağı ve bunun da gelir artışı yaratmak suretiyle ekonomik büyüme sürecine işlerlik kazandıracağı varsayılmaktadır. Bireylerin yaşam kalitesini önemli düzeyde etkileyen sağlık harcamaları, beşeri sermayeyi geliştirmekle birlikte sağlık sektörüne yönelik teknolojik gelişme sürecini de işlevsel kılmaktadır. Nitekim </w:t>
      </w:r>
      <w:r w:rsidR="00D32673" w:rsidRPr="00E036A9">
        <w:rPr>
          <w:rFonts w:ascii="Times New Roman" w:eastAsia="Calibri" w:hAnsi="Times New Roman" w:cs="Times New Roman"/>
          <w:sz w:val="24"/>
          <w:szCs w:val="24"/>
        </w:rPr>
        <w:t>Barro (1996) sağlığı</w:t>
      </w:r>
      <w:r w:rsidR="008042B7" w:rsidRPr="00E036A9">
        <w:rPr>
          <w:rFonts w:ascii="Times New Roman" w:eastAsia="Calibri" w:hAnsi="Times New Roman" w:cs="Times New Roman"/>
          <w:sz w:val="24"/>
          <w:szCs w:val="24"/>
        </w:rPr>
        <w:t xml:space="preserve">, sermaye üreten bir varlık olarak </w:t>
      </w:r>
      <w:r w:rsidRPr="00E036A9">
        <w:rPr>
          <w:rFonts w:ascii="Times New Roman" w:eastAsia="Calibri" w:hAnsi="Times New Roman" w:cs="Times New Roman"/>
          <w:sz w:val="24"/>
          <w:szCs w:val="24"/>
        </w:rPr>
        <w:t>nitelendirilmekte ve</w:t>
      </w:r>
      <w:r w:rsidR="008042B7" w:rsidRPr="00E036A9">
        <w:rPr>
          <w:rFonts w:ascii="Times New Roman" w:eastAsia="Calibri" w:hAnsi="Times New Roman" w:cs="Times New Roman"/>
          <w:sz w:val="24"/>
          <w:szCs w:val="24"/>
        </w:rPr>
        <w:t xml:space="preserve"> b</w:t>
      </w:r>
      <w:r w:rsidRPr="00E036A9">
        <w:rPr>
          <w:rFonts w:ascii="Times New Roman" w:eastAsia="Calibri" w:hAnsi="Times New Roman" w:cs="Times New Roman"/>
          <w:sz w:val="24"/>
          <w:szCs w:val="24"/>
        </w:rPr>
        <w:t>eşeri sermayenin bir bi</w:t>
      </w:r>
      <w:r w:rsidR="00D32673" w:rsidRPr="00E036A9">
        <w:rPr>
          <w:rFonts w:ascii="Times New Roman" w:eastAsia="Calibri" w:hAnsi="Times New Roman" w:cs="Times New Roman"/>
          <w:sz w:val="24"/>
          <w:szCs w:val="24"/>
        </w:rPr>
        <w:t>leşeni olarak kabul etmektedir</w:t>
      </w:r>
      <w:r w:rsidR="008042B7" w:rsidRPr="00E036A9">
        <w:rPr>
          <w:rFonts w:ascii="Times New Roman" w:eastAsia="Calibri" w:hAnsi="Times New Roman" w:cs="Times New Roman"/>
          <w:sz w:val="24"/>
          <w:szCs w:val="24"/>
        </w:rPr>
        <w:t xml:space="preserve">. </w:t>
      </w:r>
      <w:r w:rsidRPr="00E036A9">
        <w:rPr>
          <w:rFonts w:ascii="Times New Roman" w:eastAsia="Calibri" w:hAnsi="Times New Roman" w:cs="Times New Roman"/>
          <w:sz w:val="24"/>
          <w:szCs w:val="24"/>
        </w:rPr>
        <w:t>Dolayısıyla s</w:t>
      </w:r>
      <w:r w:rsidR="008042B7" w:rsidRPr="00E036A9">
        <w:rPr>
          <w:rFonts w:ascii="Times New Roman" w:eastAsia="Calibri" w:hAnsi="Times New Roman" w:cs="Times New Roman"/>
          <w:sz w:val="24"/>
          <w:szCs w:val="24"/>
        </w:rPr>
        <w:t>ağlıklı bir toplumda, beşeri sermay</w:t>
      </w:r>
      <w:r w:rsidRPr="00E036A9">
        <w:rPr>
          <w:rFonts w:ascii="Times New Roman" w:eastAsia="Calibri" w:hAnsi="Times New Roman" w:cs="Times New Roman"/>
          <w:sz w:val="24"/>
          <w:szCs w:val="24"/>
        </w:rPr>
        <w:t>enin a</w:t>
      </w:r>
      <w:r w:rsidR="004D35E8" w:rsidRPr="00E036A9">
        <w:rPr>
          <w:rFonts w:ascii="Times New Roman" w:eastAsia="Calibri" w:hAnsi="Times New Roman" w:cs="Times New Roman"/>
          <w:sz w:val="24"/>
          <w:szCs w:val="24"/>
        </w:rPr>
        <w:t>rtışı daha kolay olabilmekte ve b</w:t>
      </w:r>
      <w:r w:rsidR="008042B7" w:rsidRPr="00E036A9">
        <w:rPr>
          <w:rFonts w:ascii="Times New Roman" w:eastAsia="Calibri" w:hAnsi="Times New Roman" w:cs="Times New Roman"/>
          <w:sz w:val="24"/>
          <w:szCs w:val="24"/>
        </w:rPr>
        <w:t xml:space="preserve">unu hedefleyen ülkelerin, toplumun sağlık düzeyinin geliştirilmesine yönelik çalışmaları artırması </w:t>
      </w:r>
      <w:r w:rsidR="0036303F" w:rsidRPr="00E036A9">
        <w:rPr>
          <w:rFonts w:ascii="Times New Roman" w:eastAsia="Calibri" w:hAnsi="Times New Roman" w:cs="Times New Roman"/>
          <w:sz w:val="24"/>
          <w:szCs w:val="24"/>
        </w:rPr>
        <w:t>gerekmektedir.</w:t>
      </w:r>
      <w:r w:rsidR="004D35E8" w:rsidRPr="00E036A9">
        <w:rPr>
          <w:rFonts w:ascii="Times New Roman" w:eastAsia="Calibri" w:hAnsi="Times New Roman" w:cs="Times New Roman"/>
          <w:sz w:val="24"/>
          <w:szCs w:val="24"/>
        </w:rPr>
        <w:t xml:space="preserve"> </w:t>
      </w:r>
    </w:p>
    <w:p w:rsidR="00497F7E" w:rsidRPr="00E036A9" w:rsidRDefault="004D35E8" w:rsidP="00E036A9">
      <w:pPr>
        <w:spacing w:before="120" w:after="0" w:line="240" w:lineRule="auto"/>
        <w:ind w:firstLine="709"/>
        <w:jc w:val="both"/>
        <w:rPr>
          <w:rFonts w:ascii="Times New Roman" w:eastAsia="Calibri" w:hAnsi="Times New Roman" w:cs="Times New Roman"/>
          <w:sz w:val="24"/>
          <w:szCs w:val="24"/>
        </w:rPr>
      </w:pPr>
      <w:r w:rsidRPr="00E036A9">
        <w:rPr>
          <w:rFonts w:ascii="Times New Roman" w:eastAsia="Calibri" w:hAnsi="Times New Roman" w:cs="Times New Roman"/>
          <w:sz w:val="24"/>
          <w:szCs w:val="24"/>
        </w:rPr>
        <w:t xml:space="preserve">Sağlık harcamalarının ekonomik büyüme ile olan ilişkisi ifade edilirken, sağlığın yarı kamusal hizmet niteliği taşıması ve beşeri sermayeye olan katkısı üzerinde </w:t>
      </w:r>
      <w:r w:rsidR="00FF50F3" w:rsidRPr="00E036A9">
        <w:rPr>
          <w:rFonts w:ascii="Times New Roman" w:eastAsia="Calibri" w:hAnsi="Times New Roman" w:cs="Times New Roman"/>
          <w:sz w:val="24"/>
          <w:szCs w:val="24"/>
        </w:rPr>
        <w:t xml:space="preserve">de </w:t>
      </w:r>
      <w:r w:rsidRPr="00E036A9">
        <w:rPr>
          <w:rFonts w:ascii="Times New Roman" w:eastAsia="Calibri" w:hAnsi="Times New Roman" w:cs="Times New Roman"/>
          <w:sz w:val="24"/>
          <w:szCs w:val="24"/>
        </w:rPr>
        <w:t xml:space="preserve">durulmaktadır. Sağlık hizmetlerinin yarı kamusal hizmet olması, bireye fayda sağlamanın yanında tüm topluma da fayda sağlayan bir hizmet olmasından kaynaklanmaktadır. Bu yönüyle hem bireyi hem de toplumu koruması ve beşeri sermayeyi geliştirmesi açısından devlet müdahalesinin varlığını zorunlu kılan sağlık hizmetlerinin sunumu, daha yoğun olarak </w:t>
      </w:r>
      <w:r w:rsidR="00D32673" w:rsidRPr="00E036A9">
        <w:rPr>
          <w:rFonts w:ascii="Times New Roman" w:eastAsia="Calibri" w:hAnsi="Times New Roman" w:cs="Times New Roman"/>
          <w:sz w:val="24"/>
          <w:szCs w:val="24"/>
        </w:rPr>
        <w:t>kamu sektörünce</w:t>
      </w:r>
      <w:r w:rsidRPr="00E036A9">
        <w:rPr>
          <w:rFonts w:ascii="Times New Roman" w:eastAsia="Calibri" w:hAnsi="Times New Roman" w:cs="Times New Roman"/>
          <w:sz w:val="24"/>
          <w:szCs w:val="24"/>
        </w:rPr>
        <w:t xml:space="preserve"> yapılmaktadır. Devletin sağlık hizmetlerini sunması neticesinde katlanmış olduğu maliyet, bir finansman sorunu yaratsa da sağlık harcamalarının ekonomik büyüme sürecine işlerlik kazandırması sonucu elde edilen fayda daha fazla ön plana çıkmaktadır. Çünkü sağlık ve sağlık harcamaları, insani gelişmişliğin önemli bir unsuru olduğu gibi küreselleşen dünyada rekabet edilebilirliği sağlayan beşeri sermayenin geliştirilme sürecinin en önemli unsurlarından biridir. Daha sağlıklı bir beşeri sermaye ise sağlam ekonomik yapının ve sürdürülebilir</w:t>
      </w:r>
      <w:r w:rsidR="00956D99" w:rsidRPr="00E036A9">
        <w:rPr>
          <w:rFonts w:ascii="Times New Roman" w:eastAsia="Calibri" w:hAnsi="Times New Roman" w:cs="Times New Roman"/>
          <w:sz w:val="24"/>
          <w:szCs w:val="24"/>
        </w:rPr>
        <w:t xml:space="preserve"> ekonomik büyümenin altyapısını oluşturmaktadır</w:t>
      </w:r>
      <w:r w:rsidRPr="00E036A9">
        <w:rPr>
          <w:rFonts w:ascii="Times New Roman" w:eastAsia="Calibri" w:hAnsi="Times New Roman" w:cs="Times New Roman"/>
          <w:sz w:val="24"/>
          <w:szCs w:val="24"/>
        </w:rPr>
        <w:t xml:space="preserve">. </w:t>
      </w:r>
    </w:p>
    <w:p w:rsidR="00497F7E" w:rsidRPr="00E036A9" w:rsidRDefault="0048315E" w:rsidP="00E036A9">
      <w:pPr>
        <w:spacing w:before="120" w:after="0" w:line="240" w:lineRule="auto"/>
        <w:ind w:firstLine="709"/>
        <w:jc w:val="both"/>
        <w:rPr>
          <w:rFonts w:ascii="Times New Roman" w:eastAsia="Calibri" w:hAnsi="Times New Roman" w:cs="Times New Roman"/>
          <w:sz w:val="24"/>
          <w:szCs w:val="24"/>
        </w:rPr>
      </w:pPr>
      <w:r w:rsidRPr="00E036A9">
        <w:rPr>
          <w:rFonts w:ascii="Times New Roman" w:eastAsia="Calibri" w:hAnsi="Times New Roman" w:cs="Times New Roman"/>
          <w:sz w:val="24"/>
          <w:szCs w:val="24"/>
        </w:rPr>
        <w:t>Verilen temel bilgilerden hareketle</w:t>
      </w:r>
      <w:r w:rsidR="004D35E8" w:rsidRPr="00E036A9">
        <w:rPr>
          <w:rFonts w:ascii="Times New Roman" w:eastAsia="Calibri" w:hAnsi="Times New Roman" w:cs="Times New Roman"/>
          <w:sz w:val="24"/>
          <w:szCs w:val="24"/>
        </w:rPr>
        <w:t xml:space="preserve"> beşeri sermayenin geliştirilmesi, korunması ve üretim yapısına katkısının artırılması noktasında kritik bir öneme sahip olan sağlık harcamalarının ekonomik büyüme üzerindeki et</w:t>
      </w:r>
      <w:r w:rsidR="00956D99" w:rsidRPr="00E036A9">
        <w:rPr>
          <w:rFonts w:ascii="Times New Roman" w:eastAsia="Calibri" w:hAnsi="Times New Roman" w:cs="Times New Roman"/>
          <w:sz w:val="24"/>
          <w:szCs w:val="24"/>
        </w:rPr>
        <w:t>kisinin Türkiye’de iller düzeyinde</w:t>
      </w:r>
      <w:r w:rsidRPr="00E036A9">
        <w:rPr>
          <w:rFonts w:ascii="Times New Roman" w:eastAsia="Calibri" w:hAnsi="Times New Roman" w:cs="Times New Roman"/>
          <w:sz w:val="24"/>
          <w:szCs w:val="24"/>
        </w:rPr>
        <w:t xml:space="preserve"> incelenmesi amaçlanmıştır. </w:t>
      </w:r>
      <w:r w:rsidR="004D35E8" w:rsidRPr="00E036A9">
        <w:rPr>
          <w:rFonts w:ascii="Times New Roman" w:eastAsia="Calibri" w:hAnsi="Times New Roman" w:cs="Times New Roman"/>
          <w:sz w:val="24"/>
          <w:szCs w:val="24"/>
        </w:rPr>
        <w:t>2004-2020 dönemi</w:t>
      </w:r>
      <w:r w:rsidR="00956D99" w:rsidRPr="00E036A9">
        <w:rPr>
          <w:rFonts w:ascii="Times New Roman" w:eastAsia="Calibri" w:hAnsi="Times New Roman" w:cs="Times New Roman"/>
          <w:sz w:val="24"/>
          <w:szCs w:val="24"/>
        </w:rPr>
        <w:t>ne ilişkin yıllık veriler</w:t>
      </w:r>
      <w:r w:rsidR="004D35E8" w:rsidRPr="00E036A9">
        <w:rPr>
          <w:rFonts w:ascii="Times New Roman" w:eastAsia="Calibri" w:hAnsi="Times New Roman" w:cs="Times New Roman"/>
          <w:sz w:val="24"/>
          <w:szCs w:val="24"/>
        </w:rPr>
        <w:t xml:space="preserve"> temel alınarak Türkiye’de iller düzeyinde sağlık harcamalarının ekonomik büyüme üzerindeki etkisini analiz etmek süratiyle sürdürülebilir ekonomik büyümenin sağlanmasında sağlık harcamalarının rolünü ortaya koymak ve bu yönde politika önerilerinde bulunmak, çalı</w:t>
      </w:r>
      <w:r w:rsidR="00636ADC" w:rsidRPr="00E036A9">
        <w:rPr>
          <w:rFonts w:ascii="Times New Roman" w:eastAsia="Calibri" w:hAnsi="Times New Roman" w:cs="Times New Roman"/>
          <w:sz w:val="24"/>
          <w:szCs w:val="24"/>
        </w:rPr>
        <w:t xml:space="preserve">şmanın önemini oluşturmaktadır. </w:t>
      </w:r>
      <w:r w:rsidR="00956D99" w:rsidRPr="00E036A9">
        <w:rPr>
          <w:rFonts w:ascii="Times New Roman" w:eastAsia="Calibri" w:hAnsi="Times New Roman" w:cs="Times New Roman"/>
          <w:sz w:val="24"/>
          <w:szCs w:val="24"/>
        </w:rPr>
        <w:t xml:space="preserve">Belirtilen amaç ve önem ekseninde yapılan bu çalışmada, girişten sonraki birinci bölümde sağlık harcamaları ve ekonomik büyüme ilişkisi teorik çerçevede ele alınmıştır. Çalışmanın ikinci bölümünde literatür taramasına yer verilmiştir. </w:t>
      </w:r>
      <w:r w:rsidR="00636ADC" w:rsidRPr="00E036A9">
        <w:rPr>
          <w:rFonts w:ascii="Times New Roman" w:eastAsia="Calibri" w:hAnsi="Times New Roman" w:cs="Times New Roman"/>
          <w:sz w:val="24"/>
          <w:szCs w:val="24"/>
        </w:rPr>
        <w:t>Üçüncü bölümde</w:t>
      </w:r>
      <w:r w:rsidR="00956D99" w:rsidRPr="00E036A9">
        <w:rPr>
          <w:rFonts w:ascii="Times New Roman" w:eastAsia="Calibri" w:hAnsi="Times New Roman" w:cs="Times New Roman"/>
          <w:sz w:val="24"/>
          <w:szCs w:val="24"/>
        </w:rPr>
        <w:t xml:space="preserve"> ise </w:t>
      </w:r>
      <w:r w:rsidR="00D32673" w:rsidRPr="00E036A9">
        <w:rPr>
          <w:rFonts w:ascii="Times New Roman" w:eastAsia="Calibri" w:hAnsi="Times New Roman" w:cs="Times New Roman"/>
          <w:sz w:val="24"/>
          <w:szCs w:val="24"/>
        </w:rPr>
        <w:t xml:space="preserve">model, yöntem, </w:t>
      </w:r>
      <w:r w:rsidR="00956D99" w:rsidRPr="00E036A9">
        <w:rPr>
          <w:rFonts w:ascii="Times New Roman" w:eastAsia="Calibri" w:hAnsi="Times New Roman" w:cs="Times New Roman"/>
          <w:sz w:val="24"/>
          <w:szCs w:val="24"/>
        </w:rPr>
        <w:t xml:space="preserve">metodoloji ve uygulama kısmına geçilmiştir. Çalışma, sonuç </w:t>
      </w:r>
      <w:r w:rsidR="00636ADC" w:rsidRPr="00E036A9">
        <w:rPr>
          <w:rFonts w:ascii="Times New Roman" w:eastAsia="Calibri" w:hAnsi="Times New Roman" w:cs="Times New Roman"/>
          <w:sz w:val="24"/>
          <w:szCs w:val="24"/>
        </w:rPr>
        <w:t xml:space="preserve">ve politika önerileri </w:t>
      </w:r>
      <w:r w:rsidR="00956D99" w:rsidRPr="00E036A9">
        <w:rPr>
          <w:rFonts w:ascii="Times New Roman" w:eastAsia="Calibri" w:hAnsi="Times New Roman" w:cs="Times New Roman"/>
          <w:sz w:val="24"/>
          <w:szCs w:val="24"/>
        </w:rPr>
        <w:t>kısmıyla tamamlanmıştır.</w:t>
      </w:r>
      <w:r w:rsidR="00636ADC" w:rsidRPr="00E036A9">
        <w:rPr>
          <w:rFonts w:ascii="Times New Roman" w:eastAsia="Calibri" w:hAnsi="Times New Roman" w:cs="Times New Roman"/>
          <w:sz w:val="24"/>
          <w:szCs w:val="24"/>
        </w:rPr>
        <w:t xml:space="preserve"> </w:t>
      </w:r>
      <w:r w:rsidR="00956D99" w:rsidRPr="00E036A9">
        <w:rPr>
          <w:rFonts w:ascii="Times New Roman" w:eastAsia="Calibri" w:hAnsi="Times New Roman" w:cs="Times New Roman"/>
          <w:sz w:val="24"/>
          <w:szCs w:val="24"/>
        </w:rPr>
        <w:t xml:space="preserve">  </w:t>
      </w:r>
    </w:p>
    <w:p w:rsidR="00321D8F" w:rsidRPr="00E036A9" w:rsidRDefault="00C341CB" w:rsidP="00E036A9">
      <w:pPr>
        <w:spacing w:before="120"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E036A9">
        <w:rPr>
          <w:rFonts w:ascii="Times New Roman" w:eastAsia="Calibri" w:hAnsi="Times New Roman" w:cs="Times New Roman"/>
          <w:b/>
          <w:sz w:val="24"/>
          <w:szCs w:val="24"/>
        </w:rPr>
        <w:t>. SAĞLIK HARCAMALARI VE EKONOMİK BÜYÜME İLİŞKİSİ</w:t>
      </w:r>
    </w:p>
    <w:p w:rsidR="0048315E" w:rsidRPr="00E036A9" w:rsidRDefault="0048315E" w:rsidP="00E036A9">
      <w:pPr>
        <w:spacing w:before="120" w:after="0" w:line="240" w:lineRule="auto"/>
        <w:ind w:firstLine="709"/>
        <w:jc w:val="both"/>
        <w:rPr>
          <w:rFonts w:ascii="Times New Roman" w:eastAsia="Calibri" w:hAnsi="Times New Roman" w:cs="Times New Roman"/>
          <w:sz w:val="24"/>
          <w:szCs w:val="24"/>
        </w:rPr>
      </w:pPr>
      <w:r w:rsidRPr="00E036A9">
        <w:rPr>
          <w:rFonts w:ascii="Times New Roman" w:eastAsia="Calibri" w:hAnsi="Times New Roman" w:cs="Times New Roman"/>
          <w:sz w:val="24"/>
          <w:szCs w:val="24"/>
        </w:rPr>
        <w:t>Sağlığın korunması, iyileştirilmesi ve geliştirilmesi amacıyla çeşitli yatırımlar kapsamında sağlık harcama</w:t>
      </w:r>
      <w:r w:rsidR="00ED3E66">
        <w:rPr>
          <w:rFonts w:ascii="Times New Roman" w:eastAsia="Calibri" w:hAnsi="Times New Roman" w:cs="Times New Roman"/>
          <w:sz w:val="24"/>
          <w:szCs w:val="24"/>
        </w:rPr>
        <w:t>ları yapılmakta (Akar 2014</w:t>
      </w:r>
      <w:r w:rsidRPr="00E036A9">
        <w:rPr>
          <w:rFonts w:ascii="Times New Roman" w:eastAsia="Calibri" w:hAnsi="Times New Roman" w:cs="Times New Roman"/>
          <w:sz w:val="24"/>
          <w:szCs w:val="24"/>
        </w:rPr>
        <w:t xml:space="preserve">) ve dolayısıyla toplumlar için daha sağlıklı ve daha kaliteli bir yaşam </w:t>
      </w:r>
      <w:r w:rsidR="00ED3E66">
        <w:rPr>
          <w:rFonts w:ascii="Times New Roman" w:eastAsia="Calibri" w:hAnsi="Times New Roman" w:cs="Times New Roman"/>
          <w:sz w:val="24"/>
          <w:szCs w:val="24"/>
        </w:rPr>
        <w:t xml:space="preserve">amaçlanmaktadır (Öztürk </w:t>
      </w:r>
      <w:r w:rsidR="00ED3E66" w:rsidRPr="00ED3E66">
        <w:rPr>
          <w:rFonts w:ascii="Times New Roman" w:eastAsia="Calibri" w:hAnsi="Times New Roman" w:cs="Times New Roman"/>
          <w:sz w:val="24"/>
          <w:szCs w:val="24"/>
        </w:rPr>
        <w:t>&amp;</w:t>
      </w:r>
      <w:r w:rsidR="00ED3E66">
        <w:rPr>
          <w:rFonts w:ascii="Times New Roman" w:eastAsia="Calibri" w:hAnsi="Times New Roman" w:cs="Times New Roman"/>
          <w:sz w:val="24"/>
          <w:szCs w:val="24"/>
        </w:rPr>
        <w:t xml:space="preserve"> Uçan 2017</w:t>
      </w:r>
      <w:r w:rsidRPr="00E036A9">
        <w:rPr>
          <w:rFonts w:ascii="Times New Roman" w:eastAsia="Calibri" w:hAnsi="Times New Roman" w:cs="Times New Roman"/>
          <w:sz w:val="24"/>
          <w:szCs w:val="24"/>
        </w:rPr>
        <w:t xml:space="preserve">). Sağlık harcamaları, </w:t>
      </w:r>
      <w:r w:rsidRPr="00E036A9">
        <w:rPr>
          <w:rFonts w:ascii="Times New Roman" w:eastAsia="Calibri" w:hAnsi="Times New Roman" w:cs="Times New Roman"/>
          <w:sz w:val="24"/>
          <w:szCs w:val="24"/>
        </w:rPr>
        <w:lastRenderedPageBreak/>
        <w:t>mevcut dönemde ve daha sonraki dönemlerde çıkabilecek olası sağlık problemlerini azaltıp hükümetlerin sağlık harcam</w:t>
      </w:r>
      <w:r w:rsidR="00031D8E" w:rsidRPr="00E036A9">
        <w:rPr>
          <w:rFonts w:ascii="Times New Roman" w:eastAsia="Calibri" w:hAnsi="Times New Roman" w:cs="Times New Roman"/>
          <w:sz w:val="24"/>
          <w:szCs w:val="24"/>
        </w:rPr>
        <w:t xml:space="preserve">alarından tasarruf yapmalarına imkân tanımaktadır </w:t>
      </w:r>
      <w:r w:rsidR="00ED3E66">
        <w:rPr>
          <w:rFonts w:ascii="Times New Roman" w:eastAsia="Calibri" w:hAnsi="Times New Roman" w:cs="Times New Roman"/>
          <w:sz w:val="24"/>
          <w:szCs w:val="24"/>
        </w:rPr>
        <w:t>(Mazgit 2002</w:t>
      </w:r>
      <w:r w:rsidRPr="00E036A9">
        <w:rPr>
          <w:rFonts w:ascii="Times New Roman" w:eastAsia="Calibri" w:hAnsi="Times New Roman" w:cs="Times New Roman"/>
          <w:sz w:val="24"/>
          <w:szCs w:val="24"/>
        </w:rPr>
        <w:t>).</w:t>
      </w:r>
      <w:r w:rsidR="00031D8E" w:rsidRPr="00E036A9">
        <w:rPr>
          <w:rFonts w:ascii="Times New Roman" w:eastAsia="Calibri" w:hAnsi="Times New Roman" w:cs="Times New Roman"/>
          <w:sz w:val="24"/>
          <w:szCs w:val="24"/>
        </w:rPr>
        <w:t xml:space="preserve">  S</w:t>
      </w:r>
      <w:r w:rsidRPr="00E036A9">
        <w:rPr>
          <w:rFonts w:ascii="Times New Roman" w:eastAsia="Calibri" w:hAnsi="Times New Roman" w:cs="Times New Roman"/>
          <w:sz w:val="24"/>
          <w:szCs w:val="24"/>
        </w:rPr>
        <w:t xml:space="preserve">osyal ve ekonomik </w:t>
      </w:r>
      <w:r w:rsidR="00031D8E" w:rsidRPr="00E036A9">
        <w:rPr>
          <w:rFonts w:ascii="Times New Roman" w:eastAsia="Calibri" w:hAnsi="Times New Roman" w:cs="Times New Roman"/>
          <w:sz w:val="24"/>
          <w:szCs w:val="24"/>
        </w:rPr>
        <w:t xml:space="preserve">açıdan </w:t>
      </w:r>
      <w:r w:rsidRPr="00E036A9">
        <w:rPr>
          <w:rFonts w:ascii="Times New Roman" w:eastAsia="Calibri" w:hAnsi="Times New Roman" w:cs="Times New Roman"/>
          <w:sz w:val="24"/>
          <w:szCs w:val="24"/>
        </w:rPr>
        <w:t>bakıldığında, sağlık harcamalarının toplumdaki gelir eşitsizliği problemini azaltma noktasında da önemli bir iş</w:t>
      </w:r>
      <w:r w:rsidR="00031D8E" w:rsidRPr="00E036A9">
        <w:rPr>
          <w:rFonts w:ascii="Times New Roman" w:eastAsia="Calibri" w:hAnsi="Times New Roman" w:cs="Times New Roman"/>
          <w:sz w:val="24"/>
          <w:szCs w:val="24"/>
        </w:rPr>
        <w:t xml:space="preserve">levinin bulunduğunu belirtmek mümkündür </w:t>
      </w:r>
      <w:r w:rsidRPr="00E036A9">
        <w:rPr>
          <w:rFonts w:ascii="Times New Roman" w:eastAsia="Calibri" w:hAnsi="Times New Roman" w:cs="Times New Roman"/>
          <w:sz w:val="24"/>
          <w:szCs w:val="24"/>
        </w:rPr>
        <w:t>(B</w:t>
      </w:r>
      <w:r w:rsidR="007010BD">
        <w:rPr>
          <w:rFonts w:ascii="Times New Roman" w:eastAsia="Calibri" w:hAnsi="Times New Roman" w:cs="Times New Roman"/>
          <w:sz w:val="24"/>
          <w:szCs w:val="24"/>
        </w:rPr>
        <w:t xml:space="preserve">ulğurcu </w:t>
      </w:r>
      <w:r w:rsidR="007010BD" w:rsidRPr="007010BD">
        <w:rPr>
          <w:rFonts w:ascii="Times New Roman" w:eastAsia="Calibri" w:hAnsi="Times New Roman" w:cs="Times New Roman"/>
          <w:sz w:val="24"/>
          <w:szCs w:val="24"/>
        </w:rPr>
        <w:t>&amp;</w:t>
      </w:r>
      <w:r w:rsidR="00031D8E" w:rsidRPr="00E036A9">
        <w:rPr>
          <w:rFonts w:ascii="Times New Roman" w:eastAsia="Calibri" w:hAnsi="Times New Roman" w:cs="Times New Roman"/>
          <w:sz w:val="24"/>
          <w:szCs w:val="24"/>
        </w:rPr>
        <w:t xml:space="preserve"> Özdemi</w:t>
      </w:r>
      <w:r w:rsidR="00E94741">
        <w:rPr>
          <w:rFonts w:ascii="Times New Roman" w:eastAsia="Calibri" w:hAnsi="Times New Roman" w:cs="Times New Roman"/>
          <w:sz w:val="24"/>
          <w:szCs w:val="24"/>
        </w:rPr>
        <w:t>r 2015</w:t>
      </w:r>
      <w:r w:rsidR="00031D8E" w:rsidRPr="00E036A9">
        <w:rPr>
          <w:rFonts w:ascii="Times New Roman" w:eastAsia="Calibri" w:hAnsi="Times New Roman" w:cs="Times New Roman"/>
          <w:sz w:val="24"/>
          <w:szCs w:val="24"/>
        </w:rPr>
        <w:t>).</w:t>
      </w:r>
    </w:p>
    <w:p w:rsidR="00814EC5" w:rsidRPr="00E036A9" w:rsidRDefault="00814EC5" w:rsidP="00E036A9">
      <w:pPr>
        <w:spacing w:before="120" w:after="0" w:line="240" w:lineRule="auto"/>
        <w:ind w:firstLine="709"/>
        <w:jc w:val="both"/>
        <w:rPr>
          <w:rFonts w:ascii="Times New Roman" w:eastAsia="Calibri" w:hAnsi="Times New Roman" w:cs="Times New Roman"/>
          <w:color w:val="000000"/>
          <w:sz w:val="24"/>
          <w:szCs w:val="24"/>
        </w:rPr>
      </w:pPr>
      <w:r w:rsidRPr="00E036A9">
        <w:rPr>
          <w:rFonts w:ascii="Times New Roman" w:eastAsia="Calibri" w:hAnsi="Times New Roman" w:cs="Times New Roman"/>
          <w:color w:val="000000"/>
          <w:sz w:val="24"/>
          <w:szCs w:val="24"/>
        </w:rPr>
        <w:t>Ülkeler, vatandaşlarının sağlıklı olmalarını ve sağlıklı kalabilmelerini temin ettikleri takdirde sağlıklı ve güçlü bir ekonomik yapı altında varlıklarını sürdürebilirler. Sağlıklı bir toplum yaratma neticesinde oluşturulan güçlü bir ekonomik yapı, sonraki dönemlerde sağlık hizmetlerinin iyileştirilmesi ve daha kaliteli sağlık hizmetlerinin sunulması imkânını yaratacaktır. Bu da şüphesiz sağlık hizmetlerinin zamanında ve doğru şekilde yerine getirilmesi için gerekli olan sağlık harcamalarını zorunl</w:t>
      </w:r>
      <w:r w:rsidR="00E94741">
        <w:rPr>
          <w:rFonts w:ascii="Times New Roman" w:eastAsia="Calibri" w:hAnsi="Times New Roman" w:cs="Times New Roman"/>
          <w:color w:val="000000"/>
          <w:sz w:val="24"/>
          <w:szCs w:val="24"/>
        </w:rPr>
        <w:t>u kılmaktadır (Akın 2007</w:t>
      </w:r>
      <w:r w:rsidRPr="00E036A9">
        <w:rPr>
          <w:rFonts w:ascii="Times New Roman" w:eastAsia="Calibri" w:hAnsi="Times New Roman" w:cs="Times New Roman"/>
          <w:color w:val="000000"/>
          <w:sz w:val="24"/>
          <w:szCs w:val="24"/>
        </w:rPr>
        <w:t xml:space="preserve">). </w:t>
      </w:r>
      <w:r w:rsidR="009A27F3" w:rsidRPr="00E036A9">
        <w:rPr>
          <w:rFonts w:ascii="Times New Roman" w:eastAsia="Calibri" w:hAnsi="Times New Roman" w:cs="Times New Roman"/>
          <w:color w:val="000000"/>
          <w:sz w:val="24"/>
          <w:szCs w:val="24"/>
        </w:rPr>
        <w:t>Sağlık hizmetlerine duyulan ihtiyaç ise insanların var oldukları süre boyunca devam ed</w:t>
      </w:r>
      <w:r w:rsidR="00007991" w:rsidRPr="00E036A9">
        <w:rPr>
          <w:rFonts w:ascii="Times New Roman" w:eastAsia="Calibri" w:hAnsi="Times New Roman" w:cs="Times New Roman"/>
          <w:color w:val="000000"/>
          <w:sz w:val="24"/>
          <w:szCs w:val="24"/>
        </w:rPr>
        <w:t>ecek ve</w:t>
      </w:r>
      <w:r w:rsidR="009A27F3" w:rsidRPr="00E036A9">
        <w:rPr>
          <w:rFonts w:ascii="Times New Roman" w:eastAsia="Calibri" w:hAnsi="Times New Roman" w:cs="Times New Roman"/>
          <w:color w:val="000000"/>
          <w:sz w:val="24"/>
          <w:szCs w:val="24"/>
        </w:rPr>
        <w:t xml:space="preserve"> sağlık hizmetlerine duyulan talep üzerinde bir süreklilik görülecektir. Sağlık harcamalarını her geçen gün artıran tüm bu</w:t>
      </w:r>
      <w:r w:rsidR="00031D8E" w:rsidRPr="00E036A9">
        <w:rPr>
          <w:rFonts w:ascii="Times New Roman" w:eastAsia="Calibri" w:hAnsi="Times New Roman" w:cs="Times New Roman"/>
          <w:color w:val="000000"/>
          <w:sz w:val="24"/>
          <w:szCs w:val="24"/>
        </w:rPr>
        <w:t xml:space="preserve"> gelişmelerle beraber gelirin</w:t>
      </w:r>
      <w:r w:rsidR="009A27F3" w:rsidRPr="00E036A9">
        <w:rPr>
          <w:rFonts w:ascii="Times New Roman" w:eastAsia="Calibri" w:hAnsi="Times New Roman" w:cs="Times New Roman"/>
          <w:color w:val="000000"/>
          <w:sz w:val="24"/>
          <w:szCs w:val="24"/>
        </w:rPr>
        <w:t xml:space="preserve"> yükselmesi, ihtiyaçlardaki sürekli artış ve girdi maliyetlerinin artması, sağlık harcamalarının da sürekli bir artış sü</w:t>
      </w:r>
      <w:r w:rsidR="003F1CB1" w:rsidRPr="00E036A9">
        <w:rPr>
          <w:rFonts w:ascii="Times New Roman" w:eastAsia="Calibri" w:hAnsi="Times New Roman" w:cs="Times New Roman"/>
          <w:color w:val="000000"/>
          <w:sz w:val="24"/>
          <w:szCs w:val="24"/>
        </w:rPr>
        <w:t>recine gireceğini göstermektedir</w:t>
      </w:r>
      <w:r w:rsidRPr="00E036A9">
        <w:rPr>
          <w:rFonts w:ascii="Times New Roman" w:eastAsia="Calibri" w:hAnsi="Times New Roman" w:cs="Times New Roman"/>
          <w:color w:val="000000"/>
          <w:sz w:val="24"/>
          <w:szCs w:val="24"/>
        </w:rPr>
        <w:t xml:space="preserve"> (Gemmel, 1995). </w:t>
      </w:r>
    </w:p>
    <w:p w:rsidR="0048315E" w:rsidRPr="00E036A9" w:rsidRDefault="009A27F3" w:rsidP="00E036A9">
      <w:pPr>
        <w:spacing w:before="120" w:after="0" w:line="240" w:lineRule="auto"/>
        <w:ind w:firstLine="709"/>
        <w:jc w:val="both"/>
        <w:rPr>
          <w:rFonts w:ascii="Times New Roman" w:eastAsia="Calibri" w:hAnsi="Times New Roman" w:cs="Times New Roman"/>
          <w:color w:val="000000"/>
          <w:sz w:val="24"/>
          <w:szCs w:val="24"/>
        </w:rPr>
      </w:pPr>
      <w:r w:rsidRPr="00E036A9">
        <w:rPr>
          <w:rFonts w:ascii="Times New Roman" w:eastAsia="Calibri" w:hAnsi="Times New Roman" w:cs="Times New Roman"/>
          <w:color w:val="000000"/>
          <w:sz w:val="24"/>
          <w:szCs w:val="24"/>
        </w:rPr>
        <w:t>Sağlık harcamaları, meydana gelmesi muhtemel olan sağlık problemlerine karşı bireyleri ve bireylerin bulunduğu toplumları koruma gayesi güden sağlık hizmetlerinin sunulması amacıyla yapılmaktadır. Ülkeleri</w:t>
      </w:r>
      <w:r w:rsidR="00007991" w:rsidRPr="00E036A9">
        <w:rPr>
          <w:rFonts w:ascii="Times New Roman" w:eastAsia="Calibri" w:hAnsi="Times New Roman" w:cs="Times New Roman"/>
          <w:color w:val="000000"/>
          <w:sz w:val="24"/>
          <w:szCs w:val="24"/>
        </w:rPr>
        <w:t>n ekonomik anlamda gelişim süreçlerine</w:t>
      </w:r>
      <w:r w:rsidRPr="00E036A9">
        <w:rPr>
          <w:rFonts w:ascii="Times New Roman" w:eastAsia="Calibri" w:hAnsi="Times New Roman" w:cs="Times New Roman"/>
          <w:color w:val="000000"/>
          <w:sz w:val="24"/>
          <w:szCs w:val="24"/>
        </w:rPr>
        <w:t xml:space="preserve"> de katkı sağlayan sa</w:t>
      </w:r>
      <w:r w:rsidR="00E44749" w:rsidRPr="00E036A9">
        <w:rPr>
          <w:rFonts w:ascii="Times New Roman" w:eastAsia="Calibri" w:hAnsi="Times New Roman" w:cs="Times New Roman"/>
          <w:color w:val="000000"/>
          <w:sz w:val="24"/>
          <w:szCs w:val="24"/>
        </w:rPr>
        <w:t>ğlık harcamaları, bireylerin iş</w:t>
      </w:r>
      <w:r w:rsidRPr="00E036A9">
        <w:rPr>
          <w:rFonts w:ascii="Times New Roman" w:eastAsia="Calibri" w:hAnsi="Times New Roman" w:cs="Times New Roman"/>
          <w:color w:val="000000"/>
          <w:sz w:val="24"/>
          <w:szCs w:val="24"/>
        </w:rPr>
        <w:t>gücünü koruyarak sağlı</w:t>
      </w:r>
      <w:r w:rsidR="00A1352B" w:rsidRPr="00E036A9">
        <w:rPr>
          <w:rFonts w:ascii="Times New Roman" w:eastAsia="Calibri" w:hAnsi="Times New Roman" w:cs="Times New Roman"/>
          <w:color w:val="000000"/>
          <w:sz w:val="24"/>
          <w:szCs w:val="24"/>
        </w:rPr>
        <w:t>ğın iyileştirilmesini ve geliştirilmesi</w:t>
      </w:r>
      <w:r w:rsidR="003F1CB1" w:rsidRPr="00E036A9">
        <w:rPr>
          <w:rFonts w:ascii="Times New Roman" w:eastAsia="Calibri" w:hAnsi="Times New Roman" w:cs="Times New Roman"/>
          <w:color w:val="000000"/>
          <w:sz w:val="24"/>
          <w:szCs w:val="24"/>
        </w:rPr>
        <w:t>ni</w:t>
      </w:r>
      <w:r w:rsidR="00A1352B" w:rsidRPr="00E036A9">
        <w:rPr>
          <w:rFonts w:ascii="Times New Roman" w:eastAsia="Calibri" w:hAnsi="Times New Roman" w:cs="Times New Roman"/>
          <w:color w:val="000000"/>
          <w:sz w:val="24"/>
          <w:szCs w:val="24"/>
        </w:rPr>
        <w:t xml:space="preserve"> amaçlamaktadır</w:t>
      </w:r>
      <w:r w:rsidR="00E94741">
        <w:rPr>
          <w:rFonts w:ascii="Times New Roman" w:eastAsia="Calibri" w:hAnsi="Times New Roman" w:cs="Times New Roman"/>
          <w:color w:val="000000"/>
          <w:sz w:val="24"/>
          <w:szCs w:val="24"/>
        </w:rPr>
        <w:t xml:space="preserve"> (Taban 2006</w:t>
      </w:r>
      <w:r w:rsidR="00814EC5" w:rsidRPr="00E036A9">
        <w:rPr>
          <w:rFonts w:ascii="Times New Roman" w:eastAsia="Calibri" w:hAnsi="Times New Roman" w:cs="Times New Roman"/>
          <w:color w:val="000000"/>
          <w:sz w:val="24"/>
          <w:szCs w:val="24"/>
        </w:rPr>
        <w:t xml:space="preserve">). </w:t>
      </w:r>
      <w:r w:rsidR="00031D8E" w:rsidRPr="00E036A9">
        <w:rPr>
          <w:rFonts w:ascii="Times New Roman" w:eastAsia="Calibri" w:hAnsi="Times New Roman" w:cs="Times New Roman"/>
          <w:color w:val="000000"/>
          <w:sz w:val="24"/>
          <w:szCs w:val="24"/>
        </w:rPr>
        <w:t>Diğer bir ifade ile</w:t>
      </w:r>
      <w:r w:rsidR="00A1352B" w:rsidRPr="00E036A9">
        <w:rPr>
          <w:rFonts w:ascii="Times New Roman" w:eastAsia="Calibri" w:hAnsi="Times New Roman" w:cs="Times New Roman"/>
          <w:color w:val="000000"/>
          <w:sz w:val="24"/>
          <w:szCs w:val="24"/>
        </w:rPr>
        <w:t xml:space="preserve"> sağlık harcamaları, toplum sağlığını koruma ve geliştirmenin yanı sıra ülke ekonomilerinin gelişimleri ve kalkınmaları için de </w:t>
      </w:r>
      <w:r w:rsidR="00031D8E" w:rsidRPr="00E036A9">
        <w:rPr>
          <w:rFonts w:ascii="Times New Roman" w:eastAsia="Calibri" w:hAnsi="Times New Roman" w:cs="Times New Roman"/>
          <w:color w:val="000000"/>
          <w:sz w:val="24"/>
          <w:szCs w:val="24"/>
        </w:rPr>
        <w:t xml:space="preserve">önemli bir yarar sağlamaktadır. Nitekim </w:t>
      </w:r>
      <w:r w:rsidR="00031D8E" w:rsidRPr="00E036A9">
        <w:rPr>
          <w:rFonts w:ascii="Times New Roman" w:eastAsia="Calibri" w:hAnsi="Times New Roman" w:cs="Times New Roman"/>
          <w:sz w:val="24"/>
          <w:szCs w:val="24"/>
        </w:rPr>
        <w:t>s</w:t>
      </w:r>
      <w:r w:rsidR="0048315E" w:rsidRPr="00E036A9">
        <w:rPr>
          <w:rFonts w:ascii="Times New Roman" w:eastAsia="Calibri" w:hAnsi="Times New Roman" w:cs="Times New Roman"/>
          <w:sz w:val="24"/>
          <w:szCs w:val="24"/>
        </w:rPr>
        <w:t xml:space="preserve">ağlık harcamaları, </w:t>
      </w:r>
      <w:r w:rsidR="00031D8E" w:rsidRPr="00E036A9">
        <w:rPr>
          <w:rFonts w:ascii="Times New Roman" w:eastAsia="Calibri" w:hAnsi="Times New Roman" w:cs="Times New Roman"/>
          <w:sz w:val="24"/>
          <w:szCs w:val="24"/>
        </w:rPr>
        <w:t>ülkelerin gelişmişlik göstergeleri</w:t>
      </w:r>
      <w:r w:rsidR="0048315E" w:rsidRPr="00E036A9">
        <w:rPr>
          <w:rFonts w:ascii="Times New Roman" w:eastAsia="Calibri" w:hAnsi="Times New Roman" w:cs="Times New Roman"/>
          <w:sz w:val="24"/>
          <w:szCs w:val="24"/>
        </w:rPr>
        <w:t xml:space="preserve"> arasında yer almakla birlikte uluslararası karşılaştırma</w:t>
      </w:r>
      <w:r w:rsidR="00031D8E" w:rsidRPr="00E036A9">
        <w:rPr>
          <w:rFonts w:ascii="Times New Roman" w:eastAsia="Calibri" w:hAnsi="Times New Roman" w:cs="Times New Roman"/>
          <w:sz w:val="24"/>
          <w:szCs w:val="24"/>
        </w:rPr>
        <w:t>larda</w:t>
      </w:r>
      <w:r w:rsidR="0048315E" w:rsidRPr="00E036A9">
        <w:rPr>
          <w:rFonts w:ascii="Times New Roman" w:eastAsia="Calibri" w:hAnsi="Times New Roman" w:cs="Times New Roman"/>
          <w:sz w:val="24"/>
          <w:szCs w:val="24"/>
        </w:rPr>
        <w:t xml:space="preserve"> kullanılan önemli bir ölçüt olarak da karşı</w:t>
      </w:r>
      <w:r w:rsidR="00E94741">
        <w:rPr>
          <w:rFonts w:ascii="Times New Roman" w:eastAsia="Calibri" w:hAnsi="Times New Roman" w:cs="Times New Roman"/>
          <w:sz w:val="24"/>
          <w:szCs w:val="24"/>
        </w:rPr>
        <w:t xml:space="preserve">mıza çıkmaktadır (Mutlu </w:t>
      </w:r>
      <w:r w:rsidR="00E94741" w:rsidRPr="00E94741">
        <w:rPr>
          <w:rFonts w:ascii="Times New Roman" w:eastAsia="Calibri" w:hAnsi="Times New Roman" w:cs="Times New Roman"/>
          <w:sz w:val="24"/>
          <w:szCs w:val="24"/>
        </w:rPr>
        <w:t>&amp;</w:t>
      </w:r>
      <w:r w:rsidR="00E94741">
        <w:rPr>
          <w:rFonts w:ascii="Times New Roman" w:eastAsia="Calibri" w:hAnsi="Times New Roman" w:cs="Times New Roman"/>
          <w:sz w:val="24"/>
          <w:szCs w:val="24"/>
        </w:rPr>
        <w:t xml:space="preserve"> Işık 2012</w:t>
      </w:r>
      <w:r w:rsidR="0048315E" w:rsidRPr="00E036A9">
        <w:rPr>
          <w:rFonts w:ascii="Times New Roman" w:eastAsia="Calibri" w:hAnsi="Times New Roman" w:cs="Times New Roman"/>
          <w:sz w:val="24"/>
          <w:szCs w:val="24"/>
        </w:rPr>
        <w:t xml:space="preserve">). </w:t>
      </w:r>
      <w:r w:rsidR="001B5C7A">
        <w:rPr>
          <w:rFonts w:ascii="Times New Roman" w:eastAsia="Calibri" w:hAnsi="Times New Roman" w:cs="Times New Roman"/>
          <w:sz w:val="24"/>
          <w:szCs w:val="24"/>
        </w:rPr>
        <w:t xml:space="preserve">Sağlık harcamaları, ülkelerin gelişim süreçlerini desteklediği gibi ülkelerin gelişim süreçlerinden de etkilenmektedir. </w:t>
      </w:r>
      <w:r w:rsidR="0048315E" w:rsidRPr="00E036A9">
        <w:rPr>
          <w:rFonts w:ascii="Times New Roman" w:eastAsia="Calibri" w:hAnsi="Times New Roman" w:cs="Times New Roman"/>
          <w:sz w:val="24"/>
          <w:szCs w:val="24"/>
        </w:rPr>
        <w:t>Böylece artan sağlık harcamalarında görülen değişimlerin, ekonomik büyümedeki değişimlerin sebebi olacağı gibi ekonomik büyümede görülen değişimlerin de sağlık harcamalarındaki değişimlerin sebebi olacağı anlaşılmaktadır.</w:t>
      </w:r>
    </w:p>
    <w:p w:rsidR="00814EC5" w:rsidRPr="00E036A9" w:rsidRDefault="00AA7046" w:rsidP="00E036A9">
      <w:pPr>
        <w:spacing w:before="120" w:after="0" w:line="240" w:lineRule="auto"/>
        <w:ind w:firstLine="709"/>
        <w:jc w:val="both"/>
        <w:rPr>
          <w:rFonts w:ascii="Times New Roman" w:eastAsia="Calibri" w:hAnsi="Times New Roman" w:cs="Times New Roman"/>
          <w:color w:val="000000"/>
          <w:sz w:val="24"/>
          <w:szCs w:val="24"/>
        </w:rPr>
      </w:pPr>
      <w:r w:rsidRPr="00E036A9">
        <w:rPr>
          <w:rFonts w:ascii="Times New Roman" w:eastAsia="Calibri" w:hAnsi="Times New Roman" w:cs="Times New Roman"/>
          <w:color w:val="000000"/>
          <w:sz w:val="24"/>
          <w:szCs w:val="24"/>
        </w:rPr>
        <w:t xml:space="preserve">Sağlık </w:t>
      </w:r>
      <w:r w:rsidR="00A1352B" w:rsidRPr="00E036A9">
        <w:rPr>
          <w:rFonts w:ascii="Times New Roman" w:eastAsia="Calibri" w:hAnsi="Times New Roman" w:cs="Times New Roman"/>
          <w:color w:val="000000"/>
          <w:sz w:val="24"/>
          <w:szCs w:val="24"/>
        </w:rPr>
        <w:t>harcamala</w:t>
      </w:r>
      <w:r w:rsidR="00031D8E" w:rsidRPr="00E036A9">
        <w:rPr>
          <w:rFonts w:ascii="Times New Roman" w:eastAsia="Calibri" w:hAnsi="Times New Roman" w:cs="Times New Roman"/>
          <w:color w:val="000000"/>
          <w:sz w:val="24"/>
          <w:szCs w:val="24"/>
        </w:rPr>
        <w:t xml:space="preserve">rının </w:t>
      </w:r>
      <w:r w:rsidRPr="00E036A9">
        <w:rPr>
          <w:rFonts w:ascii="Times New Roman" w:eastAsia="Calibri" w:hAnsi="Times New Roman" w:cs="Times New Roman"/>
          <w:color w:val="000000"/>
          <w:sz w:val="24"/>
          <w:szCs w:val="24"/>
        </w:rPr>
        <w:t xml:space="preserve">ekonomik büyüme üzerindeki </w:t>
      </w:r>
      <w:r w:rsidR="00031D8E" w:rsidRPr="00E036A9">
        <w:rPr>
          <w:rFonts w:ascii="Times New Roman" w:eastAsia="Calibri" w:hAnsi="Times New Roman" w:cs="Times New Roman"/>
          <w:color w:val="000000"/>
          <w:sz w:val="24"/>
          <w:szCs w:val="24"/>
        </w:rPr>
        <w:t xml:space="preserve">etkisine bakıldığında, </w:t>
      </w:r>
      <w:r w:rsidR="00A1352B" w:rsidRPr="00E036A9">
        <w:rPr>
          <w:rFonts w:ascii="Times New Roman" w:eastAsia="Calibri" w:hAnsi="Times New Roman" w:cs="Times New Roman"/>
          <w:color w:val="000000"/>
          <w:sz w:val="24"/>
          <w:szCs w:val="24"/>
        </w:rPr>
        <w:t>bu etkinin daha çok uzun vadede kendini gösterdiğini belirtmek mümkündür. Özellikle gelişmekte ola</w:t>
      </w:r>
      <w:r w:rsidR="00031D8E" w:rsidRPr="00E036A9">
        <w:rPr>
          <w:rFonts w:ascii="Times New Roman" w:eastAsia="Calibri" w:hAnsi="Times New Roman" w:cs="Times New Roman"/>
          <w:color w:val="000000"/>
          <w:sz w:val="24"/>
          <w:szCs w:val="24"/>
        </w:rPr>
        <w:t xml:space="preserve">n ülke ekonomilerinde, işgücünün </w:t>
      </w:r>
      <w:r w:rsidR="00A1352B" w:rsidRPr="00E036A9">
        <w:rPr>
          <w:rFonts w:ascii="Times New Roman" w:eastAsia="Calibri" w:hAnsi="Times New Roman" w:cs="Times New Roman"/>
          <w:color w:val="000000"/>
          <w:sz w:val="24"/>
          <w:szCs w:val="24"/>
        </w:rPr>
        <w:t>sağlık sorunlarından</w:t>
      </w:r>
      <w:r w:rsidRPr="00E036A9">
        <w:rPr>
          <w:rFonts w:ascii="Times New Roman" w:eastAsia="Calibri" w:hAnsi="Times New Roman" w:cs="Times New Roman"/>
          <w:color w:val="000000"/>
          <w:sz w:val="24"/>
          <w:szCs w:val="24"/>
        </w:rPr>
        <w:t xml:space="preserve"> çok fazla etkilendiği düşünüldüğünde </w:t>
      </w:r>
      <w:r w:rsidR="00182C1E" w:rsidRPr="00E036A9">
        <w:rPr>
          <w:rFonts w:ascii="Times New Roman" w:eastAsia="Calibri" w:hAnsi="Times New Roman" w:cs="Times New Roman"/>
          <w:color w:val="000000"/>
          <w:sz w:val="24"/>
          <w:szCs w:val="24"/>
        </w:rPr>
        <w:t xml:space="preserve">bu ülkelerde </w:t>
      </w:r>
      <w:r w:rsidRPr="00E036A9">
        <w:rPr>
          <w:rFonts w:ascii="Times New Roman" w:eastAsia="Calibri" w:hAnsi="Times New Roman" w:cs="Times New Roman"/>
          <w:color w:val="000000"/>
          <w:sz w:val="24"/>
          <w:szCs w:val="24"/>
        </w:rPr>
        <w:t>i</w:t>
      </w:r>
      <w:r w:rsidR="00A1352B" w:rsidRPr="00E036A9">
        <w:rPr>
          <w:rFonts w:ascii="Times New Roman" w:eastAsia="Calibri" w:hAnsi="Times New Roman" w:cs="Times New Roman"/>
          <w:color w:val="000000"/>
          <w:sz w:val="24"/>
          <w:szCs w:val="24"/>
        </w:rPr>
        <w:t>şgücündeki</w:t>
      </w:r>
      <w:r w:rsidRPr="00E036A9">
        <w:rPr>
          <w:rFonts w:ascii="Times New Roman" w:eastAsia="Calibri" w:hAnsi="Times New Roman" w:cs="Times New Roman"/>
          <w:color w:val="000000"/>
          <w:sz w:val="24"/>
          <w:szCs w:val="24"/>
        </w:rPr>
        <w:t xml:space="preserve"> verimliliğin artırılması için </w:t>
      </w:r>
      <w:r w:rsidR="00A1352B" w:rsidRPr="00E036A9">
        <w:rPr>
          <w:rFonts w:ascii="Times New Roman" w:eastAsia="Calibri" w:hAnsi="Times New Roman" w:cs="Times New Roman"/>
          <w:color w:val="000000"/>
          <w:sz w:val="24"/>
          <w:szCs w:val="24"/>
        </w:rPr>
        <w:t>olası kayıpla</w:t>
      </w:r>
      <w:r w:rsidRPr="00E036A9">
        <w:rPr>
          <w:rFonts w:ascii="Times New Roman" w:eastAsia="Calibri" w:hAnsi="Times New Roman" w:cs="Times New Roman"/>
          <w:color w:val="000000"/>
          <w:sz w:val="24"/>
          <w:szCs w:val="24"/>
        </w:rPr>
        <w:t>rı önleme ve sağlıklı bir nüfus yapısı oluşturma noktasında politikaların geliştirilmesi temel bir zorunluluk olmaktadır</w:t>
      </w:r>
      <w:r w:rsidR="00A1352B" w:rsidRPr="00E036A9">
        <w:rPr>
          <w:rFonts w:ascii="Times New Roman" w:eastAsia="Calibri" w:hAnsi="Times New Roman" w:cs="Times New Roman"/>
          <w:color w:val="000000"/>
          <w:sz w:val="24"/>
          <w:szCs w:val="24"/>
        </w:rPr>
        <w:t xml:space="preserve">. </w:t>
      </w:r>
      <w:r w:rsidR="00182C1E" w:rsidRPr="00E036A9">
        <w:rPr>
          <w:rFonts w:ascii="Times New Roman" w:eastAsia="Calibri" w:hAnsi="Times New Roman" w:cs="Times New Roman"/>
          <w:color w:val="000000"/>
          <w:sz w:val="24"/>
          <w:szCs w:val="24"/>
        </w:rPr>
        <w:t>Çünkü s</w:t>
      </w:r>
      <w:r w:rsidR="00A1352B" w:rsidRPr="00E036A9">
        <w:rPr>
          <w:rFonts w:ascii="Times New Roman" w:eastAsia="Calibri" w:hAnsi="Times New Roman" w:cs="Times New Roman"/>
          <w:color w:val="000000"/>
          <w:sz w:val="24"/>
          <w:szCs w:val="24"/>
        </w:rPr>
        <w:t>ağlığa önem verilmesi ve sağlık harcamalarının artırılmasıyla birlikte, o ülkede yaşayan bireylerin ortalama yaşam</w:t>
      </w:r>
      <w:r w:rsidR="00007991" w:rsidRPr="00E036A9">
        <w:rPr>
          <w:rFonts w:ascii="Times New Roman" w:eastAsia="Calibri" w:hAnsi="Times New Roman" w:cs="Times New Roman"/>
          <w:color w:val="000000"/>
          <w:sz w:val="24"/>
          <w:szCs w:val="24"/>
        </w:rPr>
        <w:t xml:space="preserve"> süresi uzamakta</w:t>
      </w:r>
      <w:r w:rsidR="00182C1E" w:rsidRPr="00E036A9">
        <w:rPr>
          <w:rFonts w:ascii="Times New Roman" w:eastAsia="Calibri" w:hAnsi="Times New Roman" w:cs="Times New Roman"/>
          <w:color w:val="000000"/>
          <w:sz w:val="24"/>
          <w:szCs w:val="24"/>
        </w:rPr>
        <w:t xml:space="preserve"> ve nihai olarak </w:t>
      </w:r>
      <w:r w:rsidR="00A1352B" w:rsidRPr="00E036A9">
        <w:rPr>
          <w:rFonts w:ascii="Times New Roman" w:eastAsia="Calibri" w:hAnsi="Times New Roman" w:cs="Times New Roman"/>
          <w:color w:val="000000"/>
          <w:sz w:val="24"/>
          <w:szCs w:val="24"/>
        </w:rPr>
        <w:t>işgücünd</w:t>
      </w:r>
      <w:r w:rsidR="00007991" w:rsidRPr="00E036A9">
        <w:rPr>
          <w:rFonts w:ascii="Times New Roman" w:eastAsia="Calibri" w:hAnsi="Times New Roman" w:cs="Times New Roman"/>
          <w:color w:val="000000"/>
          <w:sz w:val="24"/>
          <w:szCs w:val="24"/>
        </w:rPr>
        <w:t>e bir süreklilik sağlanmaktadır</w:t>
      </w:r>
      <w:r w:rsidR="00182C1E" w:rsidRPr="00E036A9">
        <w:rPr>
          <w:rFonts w:ascii="Times New Roman" w:eastAsia="Calibri" w:hAnsi="Times New Roman" w:cs="Times New Roman"/>
          <w:color w:val="000000"/>
          <w:sz w:val="24"/>
          <w:szCs w:val="24"/>
        </w:rPr>
        <w:t>. Dolayısıyla s</w:t>
      </w:r>
      <w:r w:rsidR="0039089F" w:rsidRPr="00E036A9">
        <w:rPr>
          <w:rFonts w:ascii="Times New Roman" w:eastAsia="Calibri" w:hAnsi="Times New Roman" w:cs="Times New Roman"/>
          <w:color w:val="000000"/>
          <w:sz w:val="24"/>
          <w:szCs w:val="24"/>
        </w:rPr>
        <w:t>ağlık</w:t>
      </w:r>
      <w:r w:rsidR="00182C1E" w:rsidRPr="00E036A9">
        <w:rPr>
          <w:rFonts w:ascii="Times New Roman" w:eastAsia="Calibri" w:hAnsi="Times New Roman" w:cs="Times New Roman"/>
          <w:color w:val="000000"/>
          <w:sz w:val="24"/>
          <w:szCs w:val="24"/>
        </w:rPr>
        <w:t xml:space="preserve"> kavramı</w:t>
      </w:r>
      <w:r w:rsidR="0039089F" w:rsidRPr="00E036A9">
        <w:rPr>
          <w:rFonts w:ascii="Times New Roman" w:eastAsia="Calibri" w:hAnsi="Times New Roman" w:cs="Times New Roman"/>
          <w:color w:val="000000"/>
          <w:sz w:val="24"/>
          <w:szCs w:val="24"/>
        </w:rPr>
        <w:t xml:space="preserve">, hastalığa yakalanmama durumundan daha fazlasını ifade etmektedir. Bu açıdan bakıldığında sağlık, bireylerin </w:t>
      </w:r>
      <w:r w:rsidR="00182C1E" w:rsidRPr="00E036A9">
        <w:rPr>
          <w:rFonts w:ascii="Times New Roman" w:eastAsia="Calibri" w:hAnsi="Times New Roman" w:cs="Times New Roman"/>
          <w:color w:val="000000"/>
          <w:sz w:val="24"/>
          <w:szCs w:val="24"/>
        </w:rPr>
        <w:t>refah seviyesini yükselttiği gibi</w:t>
      </w:r>
      <w:r w:rsidR="0039089F" w:rsidRPr="00E036A9">
        <w:rPr>
          <w:rFonts w:ascii="Times New Roman" w:eastAsia="Calibri" w:hAnsi="Times New Roman" w:cs="Times New Roman"/>
          <w:color w:val="000000"/>
          <w:sz w:val="24"/>
          <w:szCs w:val="24"/>
        </w:rPr>
        <w:t xml:space="preserve"> ekonomik büyüme üzeri</w:t>
      </w:r>
      <w:r w:rsidR="007F4ED2" w:rsidRPr="00E036A9">
        <w:rPr>
          <w:rFonts w:ascii="Times New Roman" w:eastAsia="Calibri" w:hAnsi="Times New Roman" w:cs="Times New Roman"/>
          <w:color w:val="000000"/>
          <w:sz w:val="24"/>
          <w:szCs w:val="24"/>
        </w:rPr>
        <w:t>nde farklı kanallardan</w:t>
      </w:r>
      <w:r w:rsidR="0039089F" w:rsidRPr="00E036A9">
        <w:rPr>
          <w:rFonts w:ascii="Times New Roman" w:eastAsia="Calibri" w:hAnsi="Times New Roman" w:cs="Times New Roman"/>
          <w:color w:val="000000"/>
          <w:sz w:val="24"/>
          <w:szCs w:val="24"/>
        </w:rPr>
        <w:t xml:space="preserve"> çe</w:t>
      </w:r>
      <w:r w:rsidR="007F4ED2" w:rsidRPr="00E036A9">
        <w:rPr>
          <w:rFonts w:ascii="Times New Roman" w:eastAsia="Calibri" w:hAnsi="Times New Roman" w:cs="Times New Roman"/>
          <w:color w:val="000000"/>
          <w:sz w:val="24"/>
          <w:szCs w:val="24"/>
        </w:rPr>
        <w:t>şitli etkiler yaratabilmektedir</w:t>
      </w:r>
      <w:r w:rsidR="00AF1CA1">
        <w:rPr>
          <w:rFonts w:ascii="Times New Roman" w:eastAsia="Calibri" w:hAnsi="Times New Roman" w:cs="Times New Roman"/>
          <w:color w:val="000000"/>
          <w:sz w:val="24"/>
          <w:szCs w:val="24"/>
        </w:rPr>
        <w:t xml:space="preserve"> (Çetin </w:t>
      </w:r>
      <w:r w:rsidR="00AF1CA1" w:rsidRPr="00E94741">
        <w:rPr>
          <w:rFonts w:ascii="Times New Roman" w:eastAsia="Calibri" w:hAnsi="Times New Roman" w:cs="Times New Roman"/>
          <w:sz w:val="24"/>
          <w:szCs w:val="24"/>
        </w:rPr>
        <w:t>&amp;</w:t>
      </w:r>
      <w:r w:rsidR="00AF1CA1">
        <w:rPr>
          <w:rFonts w:ascii="Times New Roman" w:eastAsia="Calibri" w:hAnsi="Times New Roman" w:cs="Times New Roman"/>
          <w:color w:val="000000"/>
          <w:sz w:val="24"/>
          <w:szCs w:val="24"/>
        </w:rPr>
        <w:t xml:space="preserve"> Ecevit 2010</w:t>
      </w:r>
      <w:r w:rsidR="00CE2493" w:rsidRPr="00E036A9">
        <w:rPr>
          <w:rFonts w:ascii="Times New Roman" w:eastAsia="Calibri" w:hAnsi="Times New Roman" w:cs="Times New Roman"/>
          <w:color w:val="000000"/>
          <w:sz w:val="24"/>
          <w:szCs w:val="24"/>
        </w:rPr>
        <w:t>)</w:t>
      </w:r>
      <w:r w:rsidR="0039089F" w:rsidRPr="00E036A9">
        <w:rPr>
          <w:rFonts w:ascii="Times New Roman" w:eastAsia="Calibri" w:hAnsi="Times New Roman" w:cs="Times New Roman"/>
          <w:color w:val="000000"/>
          <w:sz w:val="24"/>
          <w:szCs w:val="24"/>
        </w:rPr>
        <w:t xml:space="preserve">. </w:t>
      </w:r>
      <w:r w:rsidR="00843749" w:rsidRPr="00E036A9">
        <w:rPr>
          <w:rFonts w:ascii="Times New Roman" w:eastAsia="Calibri" w:hAnsi="Times New Roman" w:cs="Times New Roman"/>
          <w:color w:val="000000"/>
          <w:sz w:val="24"/>
          <w:szCs w:val="24"/>
        </w:rPr>
        <w:t>Söz konusu sağlık, işgücü rahatsızlığı nedeniyle üretim kayıplarını en aza düşürerek üretimde verimliliği artırabilmekte</w:t>
      </w:r>
      <w:r w:rsidR="0039089F" w:rsidRPr="00E036A9">
        <w:rPr>
          <w:rFonts w:ascii="Times New Roman" w:eastAsia="Calibri" w:hAnsi="Times New Roman" w:cs="Times New Roman"/>
          <w:color w:val="000000"/>
          <w:sz w:val="24"/>
          <w:szCs w:val="24"/>
        </w:rPr>
        <w:t>, okullardaki d</w:t>
      </w:r>
      <w:r w:rsidR="00843749" w:rsidRPr="00E036A9">
        <w:rPr>
          <w:rFonts w:ascii="Times New Roman" w:eastAsia="Calibri" w:hAnsi="Times New Roman" w:cs="Times New Roman"/>
          <w:color w:val="000000"/>
          <w:sz w:val="24"/>
          <w:szCs w:val="24"/>
        </w:rPr>
        <w:t>evamsızlık oranın düşürebilmekte ve öğrenmeyi geliş</w:t>
      </w:r>
      <w:r w:rsidR="00AF1CA1">
        <w:rPr>
          <w:rFonts w:ascii="Times New Roman" w:eastAsia="Calibri" w:hAnsi="Times New Roman" w:cs="Times New Roman"/>
          <w:color w:val="000000"/>
          <w:sz w:val="24"/>
          <w:szCs w:val="24"/>
        </w:rPr>
        <w:t>tirebilmektedir (Lusting, 2006</w:t>
      </w:r>
      <w:r w:rsidR="00843749" w:rsidRPr="00E036A9">
        <w:rPr>
          <w:rFonts w:ascii="Times New Roman" w:eastAsia="Calibri" w:hAnsi="Times New Roman" w:cs="Times New Roman"/>
          <w:color w:val="000000"/>
          <w:sz w:val="24"/>
          <w:szCs w:val="24"/>
        </w:rPr>
        <w:t xml:space="preserve">).  </w:t>
      </w:r>
      <w:r w:rsidR="0039089F" w:rsidRPr="00E036A9">
        <w:rPr>
          <w:rFonts w:ascii="Times New Roman" w:eastAsia="Calibri" w:hAnsi="Times New Roman" w:cs="Times New Roman"/>
          <w:color w:val="000000"/>
          <w:sz w:val="24"/>
          <w:szCs w:val="24"/>
        </w:rPr>
        <w:t xml:space="preserve">Tüm bu etkilere </w:t>
      </w:r>
      <w:r w:rsidR="0076319A" w:rsidRPr="00E036A9">
        <w:rPr>
          <w:rFonts w:ascii="Times New Roman" w:eastAsia="Calibri" w:hAnsi="Times New Roman" w:cs="Times New Roman"/>
          <w:color w:val="000000"/>
          <w:sz w:val="24"/>
          <w:szCs w:val="24"/>
        </w:rPr>
        <w:t>ilaveten sağlık, hastalıkların görülme riskini azaltarak</w:t>
      </w:r>
      <w:r w:rsidR="0039089F" w:rsidRPr="00E036A9">
        <w:rPr>
          <w:rFonts w:ascii="Times New Roman" w:eastAsia="Calibri" w:hAnsi="Times New Roman" w:cs="Times New Roman"/>
          <w:color w:val="000000"/>
          <w:sz w:val="24"/>
          <w:szCs w:val="24"/>
        </w:rPr>
        <w:t xml:space="preserve"> </w:t>
      </w:r>
      <w:r w:rsidR="0076319A" w:rsidRPr="00E036A9">
        <w:rPr>
          <w:rFonts w:ascii="Times New Roman" w:eastAsia="Calibri" w:hAnsi="Times New Roman" w:cs="Times New Roman"/>
          <w:color w:val="000000"/>
          <w:sz w:val="24"/>
          <w:szCs w:val="24"/>
        </w:rPr>
        <w:t xml:space="preserve">hastalık nedeniyle oluşacak </w:t>
      </w:r>
      <w:r w:rsidR="0039089F" w:rsidRPr="00E036A9">
        <w:rPr>
          <w:rFonts w:ascii="Times New Roman" w:eastAsia="Calibri" w:hAnsi="Times New Roman" w:cs="Times New Roman"/>
          <w:color w:val="000000"/>
          <w:sz w:val="24"/>
          <w:szCs w:val="24"/>
        </w:rPr>
        <w:t xml:space="preserve">tedavi masraflarının </w:t>
      </w:r>
      <w:r w:rsidR="0076319A" w:rsidRPr="00E036A9">
        <w:rPr>
          <w:rFonts w:ascii="Times New Roman" w:eastAsia="Calibri" w:hAnsi="Times New Roman" w:cs="Times New Roman"/>
          <w:color w:val="000000"/>
          <w:sz w:val="24"/>
          <w:szCs w:val="24"/>
        </w:rPr>
        <w:t xml:space="preserve">en aza indirgenmesini sağlamaktadır. </w:t>
      </w:r>
    </w:p>
    <w:p w:rsidR="003B1D59" w:rsidRPr="00E036A9" w:rsidRDefault="0039089F" w:rsidP="00E036A9">
      <w:pPr>
        <w:spacing w:before="120" w:after="0" w:line="240" w:lineRule="auto"/>
        <w:ind w:firstLine="709"/>
        <w:jc w:val="both"/>
        <w:rPr>
          <w:rFonts w:ascii="Times New Roman" w:eastAsia="Calibri" w:hAnsi="Times New Roman" w:cs="Times New Roman"/>
          <w:color w:val="000000"/>
          <w:sz w:val="24"/>
          <w:szCs w:val="24"/>
        </w:rPr>
      </w:pPr>
      <w:r w:rsidRPr="00E036A9">
        <w:rPr>
          <w:rFonts w:ascii="Times New Roman" w:eastAsia="Calibri" w:hAnsi="Times New Roman" w:cs="Times New Roman"/>
          <w:color w:val="000000"/>
          <w:sz w:val="24"/>
          <w:szCs w:val="24"/>
        </w:rPr>
        <w:t xml:space="preserve">Sağlık harcamalarının ekonomik </w:t>
      </w:r>
      <w:r w:rsidR="00BF46A8" w:rsidRPr="00E036A9">
        <w:rPr>
          <w:rFonts w:ascii="Times New Roman" w:eastAsia="Calibri" w:hAnsi="Times New Roman" w:cs="Times New Roman"/>
          <w:color w:val="000000"/>
          <w:sz w:val="24"/>
          <w:szCs w:val="24"/>
        </w:rPr>
        <w:t xml:space="preserve">büyüme üzerindeki </w:t>
      </w:r>
      <w:r w:rsidR="0076319A" w:rsidRPr="00E036A9">
        <w:rPr>
          <w:rFonts w:ascii="Times New Roman" w:eastAsia="Calibri" w:hAnsi="Times New Roman" w:cs="Times New Roman"/>
          <w:color w:val="000000"/>
          <w:sz w:val="24"/>
          <w:szCs w:val="24"/>
        </w:rPr>
        <w:t xml:space="preserve">etkisi, </w:t>
      </w:r>
      <w:r w:rsidR="00007991" w:rsidRPr="00E036A9">
        <w:rPr>
          <w:rFonts w:ascii="Times New Roman" w:eastAsia="Calibri" w:hAnsi="Times New Roman" w:cs="Times New Roman"/>
          <w:color w:val="000000"/>
          <w:sz w:val="24"/>
          <w:szCs w:val="24"/>
        </w:rPr>
        <w:t xml:space="preserve">özellikle </w:t>
      </w:r>
      <w:r w:rsidRPr="00E036A9">
        <w:rPr>
          <w:rFonts w:ascii="Times New Roman" w:eastAsia="Calibri" w:hAnsi="Times New Roman" w:cs="Times New Roman"/>
          <w:color w:val="000000"/>
          <w:sz w:val="24"/>
          <w:szCs w:val="24"/>
        </w:rPr>
        <w:t>beşeri sermaye kavramıyla</w:t>
      </w:r>
      <w:r w:rsidR="0076319A" w:rsidRPr="00E036A9">
        <w:rPr>
          <w:rFonts w:ascii="Times New Roman" w:eastAsia="Calibri" w:hAnsi="Times New Roman" w:cs="Times New Roman"/>
          <w:color w:val="000000"/>
          <w:sz w:val="24"/>
          <w:szCs w:val="24"/>
        </w:rPr>
        <w:t xml:space="preserve"> da ilişkilendirilmektedir</w:t>
      </w:r>
      <w:r w:rsidRPr="00E036A9">
        <w:rPr>
          <w:rFonts w:ascii="Times New Roman" w:eastAsia="Calibri" w:hAnsi="Times New Roman" w:cs="Times New Roman"/>
          <w:color w:val="000000"/>
          <w:sz w:val="24"/>
          <w:szCs w:val="24"/>
        </w:rPr>
        <w:t>. Beşeri sermaye</w:t>
      </w:r>
      <w:r w:rsidR="005802DF" w:rsidRPr="00E036A9">
        <w:rPr>
          <w:rFonts w:ascii="Times New Roman" w:eastAsia="Calibri" w:hAnsi="Times New Roman" w:cs="Times New Roman"/>
          <w:color w:val="000000"/>
          <w:sz w:val="24"/>
          <w:szCs w:val="24"/>
        </w:rPr>
        <w:t xml:space="preserve"> modelinde</w:t>
      </w:r>
      <w:r w:rsidRPr="00E036A9">
        <w:rPr>
          <w:rFonts w:ascii="Times New Roman" w:eastAsia="Calibri" w:hAnsi="Times New Roman" w:cs="Times New Roman"/>
          <w:color w:val="000000"/>
          <w:sz w:val="24"/>
          <w:szCs w:val="24"/>
        </w:rPr>
        <w:t xml:space="preserve"> bireylerin ekonomik olarak etkinliği</w:t>
      </w:r>
      <w:r w:rsidR="005802DF" w:rsidRPr="00E036A9">
        <w:rPr>
          <w:rFonts w:ascii="Times New Roman" w:eastAsia="Calibri" w:hAnsi="Times New Roman" w:cs="Times New Roman"/>
          <w:color w:val="000000"/>
          <w:sz w:val="24"/>
          <w:szCs w:val="24"/>
        </w:rPr>
        <w:t>ni</w:t>
      </w:r>
      <w:r w:rsidRPr="00E036A9">
        <w:rPr>
          <w:rFonts w:ascii="Times New Roman" w:eastAsia="Calibri" w:hAnsi="Times New Roman" w:cs="Times New Roman"/>
          <w:color w:val="000000"/>
          <w:sz w:val="24"/>
          <w:szCs w:val="24"/>
        </w:rPr>
        <w:t xml:space="preserve"> artıran asıl faktörün, bireylerin bilgi ve beceri seviyelerindeki artı</w:t>
      </w:r>
      <w:r w:rsidR="00BF46A8" w:rsidRPr="00E036A9">
        <w:rPr>
          <w:rFonts w:ascii="Times New Roman" w:eastAsia="Calibri" w:hAnsi="Times New Roman" w:cs="Times New Roman"/>
          <w:color w:val="000000"/>
          <w:sz w:val="24"/>
          <w:szCs w:val="24"/>
        </w:rPr>
        <w:t>ş olduğu savunulur</w:t>
      </w:r>
      <w:r w:rsidRPr="00E036A9">
        <w:rPr>
          <w:rFonts w:ascii="Times New Roman" w:eastAsia="Calibri" w:hAnsi="Times New Roman" w:cs="Times New Roman"/>
          <w:color w:val="000000"/>
          <w:sz w:val="24"/>
          <w:szCs w:val="24"/>
        </w:rPr>
        <w:t xml:space="preserve">. </w:t>
      </w:r>
      <w:r w:rsidR="00BF46A8" w:rsidRPr="00E036A9">
        <w:rPr>
          <w:rFonts w:ascii="Times New Roman" w:eastAsia="Calibri" w:hAnsi="Times New Roman" w:cs="Times New Roman"/>
          <w:color w:val="000000"/>
          <w:sz w:val="24"/>
          <w:szCs w:val="24"/>
        </w:rPr>
        <w:t>Bireylerin bilgi ve beceri</w:t>
      </w:r>
      <w:r w:rsidR="006F6D26" w:rsidRPr="00E036A9">
        <w:rPr>
          <w:rFonts w:ascii="Times New Roman" w:eastAsia="Calibri" w:hAnsi="Times New Roman" w:cs="Times New Roman"/>
          <w:color w:val="000000"/>
          <w:sz w:val="24"/>
          <w:szCs w:val="24"/>
        </w:rPr>
        <w:t xml:space="preserve"> seviyelerini artırabilmeleri ve ekonomik faaliyetlerde bulunabilmeleri </w:t>
      </w:r>
      <w:r w:rsidR="006F6D26" w:rsidRPr="00E036A9">
        <w:rPr>
          <w:rFonts w:ascii="Times New Roman" w:eastAsia="Calibri" w:hAnsi="Times New Roman" w:cs="Times New Roman"/>
          <w:color w:val="000000"/>
          <w:sz w:val="24"/>
          <w:szCs w:val="24"/>
        </w:rPr>
        <w:lastRenderedPageBreak/>
        <w:t>için ise sağlık koşu</w:t>
      </w:r>
      <w:r w:rsidR="005802DF" w:rsidRPr="00E036A9">
        <w:rPr>
          <w:rFonts w:ascii="Times New Roman" w:eastAsia="Calibri" w:hAnsi="Times New Roman" w:cs="Times New Roman"/>
          <w:color w:val="000000"/>
          <w:sz w:val="24"/>
          <w:szCs w:val="24"/>
        </w:rPr>
        <w:t>llarının iyileştirilmesi gerekmektedir</w:t>
      </w:r>
      <w:r w:rsidR="00A91F34" w:rsidRPr="00E036A9">
        <w:rPr>
          <w:rFonts w:ascii="Times New Roman" w:eastAsia="Calibri" w:hAnsi="Times New Roman" w:cs="Times New Roman"/>
          <w:color w:val="000000"/>
          <w:sz w:val="24"/>
          <w:szCs w:val="24"/>
        </w:rPr>
        <w:t xml:space="preserve">. Bundan </w:t>
      </w:r>
      <w:r w:rsidR="006F6D26" w:rsidRPr="00E036A9">
        <w:rPr>
          <w:rFonts w:ascii="Times New Roman" w:eastAsia="Calibri" w:hAnsi="Times New Roman" w:cs="Times New Roman"/>
          <w:color w:val="000000"/>
          <w:sz w:val="24"/>
          <w:szCs w:val="24"/>
        </w:rPr>
        <w:t xml:space="preserve">dolayı beşeri sermayenin bileşenleri olarak görülen eğitim ve sağlık harcamalarının birlikte değerlendirilmesi, çoğu iktisatçı tarafından </w:t>
      </w:r>
      <w:r w:rsidR="00E44749" w:rsidRPr="00E036A9">
        <w:rPr>
          <w:rFonts w:ascii="Times New Roman" w:eastAsia="Calibri" w:hAnsi="Times New Roman" w:cs="Times New Roman"/>
          <w:color w:val="000000"/>
          <w:sz w:val="24"/>
          <w:szCs w:val="24"/>
        </w:rPr>
        <w:t xml:space="preserve">üzerinde </w:t>
      </w:r>
      <w:r w:rsidR="006F6D26" w:rsidRPr="00E036A9">
        <w:rPr>
          <w:rFonts w:ascii="Times New Roman" w:eastAsia="Calibri" w:hAnsi="Times New Roman" w:cs="Times New Roman"/>
          <w:color w:val="000000"/>
          <w:sz w:val="24"/>
          <w:szCs w:val="24"/>
        </w:rPr>
        <w:t>uzlaşılan ortak bir görüş olarak karşımıza çıkmaktadır</w:t>
      </w:r>
      <w:r w:rsidR="00814EC5" w:rsidRPr="00E036A9">
        <w:rPr>
          <w:rFonts w:ascii="Times New Roman" w:eastAsia="Calibri" w:hAnsi="Times New Roman" w:cs="Times New Roman"/>
          <w:color w:val="000000"/>
          <w:sz w:val="24"/>
          <w:szCs w:val="24"/>
        </w:rPr>
        <w:t xml:space="preserve"> (Karagül, 2002: 70). </w:t>
      </w:r>
      <w:r w:rsidR="00102395" w:rsidRPr="00E036A9">
        <w:rPr>
          <w:rFonts w:ascii="Times New Roman" w:eastAsia="Calibri" w:hAnsi="Times New Roman" w:cs="Times New Roman"/>
          <w:color w:val="000000"/>
          <w:sz w:val="24"/>
          <w:szCs w:val="24"/>
        </w:rPr>
        <w:t>İçsel büyüme modellerin</w:t>
      </w:r>
      <w:r w:rsidR="00D46D6E" w:rsidRPr="00E036A9">
        <w:rPr>
          <w:rFonts w:ascii="Times New Roman" w:eastAsia="Calibri" w:hAnsi="Times New Roman" w:cs="Times New Roman"/>
          <w:color w:val="000000"/>
          <w:sz w:val="24"/>
          <w:szCs w:val="24"/>
        </w:rPr>
        <w:t>den birini oluşturan Romer</w:t>
      </w:r>
      <w:r w:rsidR="002E26D0" w:rsidRPr="00E036A9">
        <w:rPr>
          <w:rFonts w:ascii="Times New Roman" w:eastAsia="Calibri" w:hAnsi="Times New Roman" w:cs="Times New Roman"/>
          <w:color w:val="000000"/>
          <w:sz w:val="24"/>
          <w:szCs w:val="24"/>
        </w:rPr>
        <w:t xml:space="preserve"> </w:t>
      </w:r>
      <w:r w:rsidR="00D46D6E" w:rsidRPr="00E036A9">
        <w:rPr>
          <w:rFonts w:ascii="Times New Roman" w:eastAsia="Calibri" w:hAnsi="Times New Roman" w:cs="Times New Roman"/>
          <w:color w:val="000000"/>
          <w:sz w:val="24"/>
          <w:szCs w:val="24"/>
        </w:rPr>
        <w:t>(1994</w:t>
      </w:r>
      <w:r w:rsidR="005802DF" w:rsidRPr="00E036A9">
        <w:rPr>
          <w:rFonts w:ascii="Times New Roman" w:eastAsia="Calibri" w:hAnsi="Times New Roman" w:cs="Times New Roman"/>
          <w:color w:val="000000"/>
          <w:sz w:val="24"/>
          <w:szCs w:val="24"/>
        </w:rPr>
        <w:t>)’in büyüme modeline</w:t>
      </w:r>
      <w:r w:rsidR="00102395" w:rsidRPr="00E036A9">
        <w:rPr>
          <w:rFonts w:ascii="Times New Roman" w:eastAsia="Calibri" w:hAnsi="Times New Roman" w:cs="Times New Roman"/>
          <w:color w:val="000000"/>
          <w:sz w:val="24"/>
          <w:szCs w:val="24"/>
        </w:rPr>
        <w:t xml:space="preserve"> göre ekonomik büyümenin temel belirleyicisi, </w:t>
      </w:r>
      <w:r w:rsidR="007010BD">
        <w:rPr>
          <w:rFonts w:ascii="Times New Roman" w:eastAsia="Calibri" w:hAnsi="Times New Roman" w:cs="Times New Roman"/>
          <w:color w:val="000000"/>
          <w:sz w:val="24"/>
          <w:szCs w:val="24"/>
        </w:rPr>
        <w:t>beşeri sermayedir (Taşar 2015</w:t>
      </w:r>
      <w:r w:rsidR="00102395" w:rsidRPr="00E036A9">
        <w:rPr>
          <w:rFonts w:ascii="Times New Roman" w:eastAsia="Calibri" w:hAnsi="Times New Roman" w:cs="Times New Roman"/>
          <w:color w:val="000000"/>
          <w:sz w:val="24"/>
          <w:szCs w:val="24"/>
        </w:rPr>
        <w:t>).</w:t>
      </w:r>
      <w:r w:rsidR="005802DF" w:rsidRPr="00E036A9">
        <w:rPr>
          <w:rFonts w:ascii="Times New Roman" w:eastAsia="Calibri" w:hAnsi="Times New Roman" w:cs="Times New Roman"/>
          <w:color w:val="000000"/>
          <w:sz w:val="24"/>
          <w:szCs w:val="24"/>
        </w:rPr>
        <w:t xml:space="preserve"> Romer’e göre</w:t>
      </w:r>
      <w:r w:rsidR="00102395" w:rsidRPr="00E036A9">
        <w:rPr>
          <w:rFonts w:ascii="Times New Roman" w:eastAsia="Calibri" w:hAnsi="Times New Roman" w:cs="Times New Roman"/>
          <w:color w:val="000000"/>
          <w:sz w:val="24"/>
          <w:szCs w:val="24"/>
        </w:rPr>
        <w:t xml:space="preserve"> ekonomik büyüme, beşeri sermayeni</w:t>
      </w:r>
      <w:r w:rsidR="002E26D0" w:rsidRPr="00E036A9">
        <w:rPr>
          <w:rFonts w:ascii="Times New Roman" w:eastAsia="Calibri" w:hAnsi="Times New Roman" w:cs="Times New Roman"/>
          <w:color w:val="000000"/>
          <w:sz w:val="24"/>
          <w:szCs w:val="24"/>
        </w:rPr>
        <w:t>n varlığı ile gerçekleşmekte ve dolayısıyla e</w:t>
      </w:r>
      <w:r w:rsidR="00102395" w:rsidRPr="00E036A9">
        <w:rPr>
          <w:rFonts w:ascii="Times New Roman" w:eastAsia="Calibri" w:hAnsi="Times New Roman" w:cs="Times New Roman"/>
          <w:color w:val="000000"/>
          <w:sz w:val="24"/>
          <w:szCs w:val="24"/>
        </w:rPr>
        <w:t xml:space="preserve">konomik büyümenin </w:t>
      </w:r>
      <w:r w:rsidR="002E26D0" w:rsidRPr="00E036A9">
        <w:rPr>
          <w:rFonts w:ascii="Times New Roman" w:eastAsia="Calibri" w:hAnsi="Times New Roman" w:cs="Times New Roman"/>
          <w:color w:val="000000"/>
          <w:sz w:val="24"/>
          <w:szCs w:val="24"/>
        </w:rPr>
        <w:t xml:space="preserve">temel unsuru olarak </w:t>
      </w:r>
      <w:r w:rsidR="00102395" w:rsidRPr="00E036A9">
        <w:rPr>
          <w:rFonts w:ascii="Times New Roman" w:eastAsia="Calibri" w:hAnsi="Times New Roman" w:cs="Times New Roman"/>
          <w:color w:val="000000"/>
          <w:sz w:val="24"/>
          <w:szCs w:val="24"/>
        </w:rPr>
        <w:t>görülen beşeri sermayenin büyüme üzerinde tartışılmaz bir etki</w:t>
      </w:r>
      <w:r w:rsidR="002E26D0" w:rsidRPr="00E036A9">
        <w:rPr>
          <w:rFonts w:ascii="Times New Roman" w:eastAsia="Calibri" w:hAnsi="Times New Roman" w:cs="Times New Roman"/>
          <w:color w:val="000000"/>
          <w:sz w:val="24"/>
          <w:szCs w:val="24"/>
        </w:rPr>
        <w:t>sinin olduğu vurgulanmaktadır</w:t>
      </w:r>
      <w:r w:rsidR="00102395" w:rsidRPr="00E036A9">
        <w:rPr>
          <w:rFonts w:ascii="Times New Roman" w:eastAsia="Calibri" w:hAnsi="Times New Roman" w:cs="Times New Roman"/>
          <w:color w:val="000000"/>
          <w:sz w:val="24"/>
          <w:szCs w:val="24"/>
        </w:rPr>
        <w:t xml:space="preserve">. Benzer bir diğer yaklaşımda Sachs (2001), </w:t>
      </w:r>
      <w:r w:rsidR="006F6D26" w:rsidRPr="00E036A9">
        <w:rPr>
          <w:rFonts w:ascii="Times New Roman" w:eastAsia="Calibri" w:hAnsi="Times New Roman" w:cs="Times New Roman"/>
          <w:color w:val="000000"/>
          <w:sz w:val="24"/>
          <w:szCs w:val="24"/>
        </w:rPr>
        <w:t>sağlık ve ekonomik büyü</w:t>
      </w:r>
      <w:r w:rsidR="002E26D0" w:rsidRPr="00E036A9">
        <w:rPr>
          <w:rFonts w:ascii="Times New Roman" w:eastAsia="Calibri" w:hAnsi="Times New Roman" w:cs="Times New Roman"/>
          <w:color w:val="000000"/>
          <w:sz w:val="24"/>
          <w:szCs w:val="24"/>
        </w:rPr>
        <w:t>me ilişkisinde en önemli faktörün</w:t>
      </w:r>
      <w:r w:rsidR="006F6D26" w:rsidRPr="00E036A9">
        <w:rPr>
          <w:rFonts w:ascii="Times New Roman" w:eastAsia="Calibri" w:hAnsi="Times New Roman" w:cs="Times New Roman"/>
          <w:color w:val="000000"/>
          <w:sz w:val="24"/>
          <w:szCs w:val="24"/>
        </w:rPr>
        <w:t xml:space="preserve"> beşeri sermaye </w:t>
      </w:r>
      <w:r w:rsidR="00CA2CA6" w:rsidRPr="00E036A9">
        <w:rPr>
          <w:rFonts w:ascii="Times New Roman" w:eastAsia="Calibri" w:hAnsi="Times New Roman" w:cs="Times New Roman"/>
          <w:color w:val="000000"/>
          <w:sz w:val="24"/>
          <w:szCs w:val="24"/>
        </w:rPr>
        <w:t>olduğunu vurgulamakta ve sağlığın</w:t>
      </w:r>
      <w:r w:rsidR="006F6D26" w:rsidRPr="00E036A9">
        <w:rPr>
          <w:rFonts w:ascii="Times New Roman" w:eastAsia="Calibri" w:hAnsi="Times New Roman" w:cs="Times New Roman"/>
          <w:color w:val="000000"/>
          <w:sz w:val="24"/>
          <w:szCs w:val="24"/>
        </w:rPr>
        <w:t xml:space="preserve"> ülkenin beşeri sermaye seviyesini ve teknolojik gelişmelerin düzeyini etkileyerek kişi başı gayri safi</w:t>
      </w:r>
      <w:r w:rsidR="00CA2CA6" w:rsidRPr="00E036A9">
        <w:rPr>
          <w:rFonts w:ascii="Times New Roman" w:eastAsia="Calibri" w:hAnsi="Times New Roman" w:cs="Times New Roman"/>
          <w:color w:val="000000"/>
          <w:sz w:val="24"/>
          <w:szCs w:val="24"/>
        </w:rPr>
        <w:t xml:space="preserve"> yurt içi hâsılayı artırdığını belirtmektedir</w:t>
      </w:r>
      <w:r w:rsidR="002A32E3" w:rsidRPr="00E036A9">
        <w:rPr>
          <w:rFonts w:ascii="Times New Roman" w:eastAsia="Calibri" w:hAnsi="Times New Roman" w:cs="Times New Roman"/>
          <w:color w:val="000000"/>
          <w:sz w:val="24"/>
          <w:szCs w:val="24"/>
        </w:rPr>
        <w:t>. Kişi başı gayri safi yurt içi hâsıladaki</w:t>
      </w:r>
      <w:r w:rsidR="000B15D8" w:rsidRPr="00E036A9">
        <w:rPr>
          <w:rFonts w:ascii="Times New Roman" w:eastAsia="Calibri" w:hAnsi="Times New Roman" w:cs="Times New Roman"/>
          <w:color w:val="000000"/>
          <w:sz w:val="24"/>
          <w:szCs w:val="24"/>
        </w:rPr>
        <w:t xml:space="preserve"> artış ise yoksulluğu azaltma noktasında önemli bir etki yaratmakta</w:t>
      </w:r>
      <w:r w:rsidR="005B2DAC" w:rsidRPr="00E036A9">
        <w:rPr>
          <w:rFonts w:ascii="Times New Roman" w:eastAsia="Calibri" w:hAnsi="Times New Roman" w:cs="Times New Roman"/>
          <w:color w:val="000000"/>
          <w:sz w:val="24"/>
          <w:szCs w:val="24"/>
        </w:rPr>
        <w:t xml:space="preserve"> </w:t>
      </w:r>
      <w:r w:rsidR="00E94741">
        <w:rPr>
          <w:rFonts w:ascii="Times New Roman" w:eastAsia="Calibri" w:hAnsi="Times New Roman" w:cs="Times New Roman"/>
          <w:color w:val="000000"/>
          <w:sz w:val="24"/>
          <w:szCs w:val="24"/>
        </w:rPr>
        <w:t xml:space="preserve">(Çetin </w:t>
      </w:r>
      <w:r w:rsidR="00E94741" w:rsidRPr="00E94741">
        <w:rPr>
          <w:rFonts w:ascii="Times New Roman" w:eastAsia="Calibri" w:hAnsi="Times New Roman" w:cs="Times New Roman"/>
          <w:color w:val="000000"/>
          <w:sz w:val="24"/>
          <w:szCs w:val="24"/>
        </w:rPr>
        <w:t>&amp;</w:t>
      </w:r>
      <w:r w:rsidR="00E94741">
        <w:rPr>
          <w:rFonts w:ascii="Times New Roman" w:eastAsia="Calibri" w:hAnsi="Times New Roman" w:cs="Times New Roman"/>
          <w:color w:val="000000"/>
          <w:sz w:val="24"/>
          <w:szCs w:val="24"/>
        </w:rPr>
        <w:t xml:space="preserve"> Ecevit 2010</w:t>
      </w:r>
      <w:r w:rsidR="006F6D26" w:rsidRPr="00E036A9">
        <w:rPr>
          <w:rFonts w:ascii="Times New Roman" w:eastAsia="Calibri" w:hAnsi="Times New Roman" w:cs="Times New Roman"/>
          <w:color w:val="000000"/>
          <w:sz w:val="24"/>
          <w:szCs w:val="24"/>
        </w:rPr>
        <w:t>)</w:t>
      </w:r>
      <w:r w:rsidR="005B2DAC" w:rsidRPr="00E036A9">
        <w:rPr>
          <w:rFonts w:ascii="Times New Roman" w:eastAsia="Calibri" w:hAnsi="Times New Roman" w:cs="Times New Roman"/>
          <w:color w:val="000000"/>
          <w:sz w:val="24"/>
          <w:szCs w:val="24"/>
        </w:rPr>
        <w:t xml:space="preserve"> ve bu etki</w:t>
      </w:r>
      <w:r w:rsidR="000B15D8" w:rsidRPr="00E036A9">
        <w:rPr>
          <w:rFonts w:ascii="Times New Roman" w:eastAsia="Calibri" w:hAnsi="Times New Roman" w:cs="Times New Roman"/>
          <w:color w:val="000000"/>
          <w:sz w:val="24"/>
          <w:szCs w:val="24"/>
        </w:rPr>
        <w:t xml:space="preserve"> ekonomik büyüme ve</w:t>
      </w:r>
      <w:r w:rsidR="006F6D26" w:rsidRPr="00E036A9">
        <w:rPr>
          <w:rFonts w:ascii="Times New Roman" w:eastAsia="Calibri" w:hAnsi="Times New Roman" w:cs="Times New Roman"/>
          <w:color w:val="000000"/>
          <w:sz w:val="24"/>
          <w:szCs w:val="24"/>
        </w:rPr>
        <w:t xml:space="preserve"> kal</w:t>
      </w:r>
      <w:r w:rsidR="000B15D8" w:rsidRPr="00E036A9">
        <w:rPr>
          <w:rFonts w:ascii="Times New Roman" w:eastAsia="Calibri" w:hAnsi="Times New Roman" w:cs="Times New Roman"/>
          <w:color w:val="000000"/>
          <w:sz w:val="24"/>
          <w:szCs w:val="24"/>
        </w:rPr>
        <w:t>kınma sürecine işlerlik kazandırmaktadır.</w:t>
      </w:r>
      <w:r w:rsidR="00BF46A8" w:rsidRPr="00E036A9">
        <w:rPr>
          <w:rFonts w:ascii="Times New Roman" w:eastAsia="Calibri" w:hAnsi="Times New Roman" w:cs="Times New Roman"/>
          <w:color w:val="000000"/>
          <w:sz w:val="24"/>
          <w:szCs w:val="24"/>
        </w:rPr>
        <w:t xml:space="preserve"> Benzer bir diğer içsel büyüme modelinde</w:t>
      </w:r>
      <w:r w:rsidR="00102395" w:rsidRPr="00E036A9">
        <w:rPr>
          <w:rFonts w:ascii="Times New Roman" w:eastAsia="Calibri" w:hAnsi="Times New Roman" w:cs="Times New Roman"/>
          <w:color w:val="000000"/>
          <w:sz w:val="24"/>
          <w:szCs w:val="24"/>
        </w:rPr>
        <w:t xml:space="preserve"> </w:t>
      </w:r>
      <w:r w:rsidR="00BF46A8" w:rsidRPr="00E036A9">
        <w:rPr>
          <w:rFonts w:ascii="Times New Roman" w:eastAsia="Calibri" w:hAnsi="Times New Roman" w:cs="Times New Roman"/>
          <w:color w:val="000000"/>
          <w:sz w:val="24"/>
          <w:szCs w:val="24"/>
        </w:rPr>
        <w:t>Barro (1990)</w:t>
      </w:r>
      <w:r w:rsidR="00102395" w:rsidRPr="00E036A9">
        <w:rPr>
          <w:rFonts w:ascii="Times New Roman" w:eastAsia="Calibri" w:hAnsi="Times New Roman" w:cs="Times New Roman"/>
          <w:color w:val="000000"/>
          <w:sz w:val="24"/>
          <w:szCs w:val="24"/>
        </w:rPr>
        <w:t>, eğitim ve sağlık gibi kamusal fayda sağlayan alanlara yönelik doğrudan yatırım kaynakları</w:t>
      </w:r>
      <w:r w:rsidR="00D46D6E" w:rsidRPr="00E036A9">
        <w:rPr>
          <w:rFonts w:ascii="Times New Roman" w:eastAsia="Calibri" w:hAnsi="Times New Roman" w:cs="Times New Roman"/>
          <w:color w:val="000000"/>
          <w:sz w:val="24"/>
          <w:szCs w:val="24"/>
        </w:rPr>
        <w:t>nın</w:t>
      </w:r>
      <w:r w:rsidR="00102395" w:rsidRPr="00E036A9">
        <w:rPr>
          <w:rFonts w:ascii="Times New Roman" w:eastAsia="Calibri" w:hAnsi="Times New Roman" w:cs="Times New Roman"/>
          <w:color w:val="000000"/>
          <w:sz w:val="24"/>
          <w:szCs w:val="24"/>
        </w:rPr>
        <w:t xml:space="preserve"> ayrıl</w:t>
      </w:r>
      <w:r w:rsidR="00D46D6E" w:rsidRPr="00E036A9">
        <w:rPr>
          <w:rFonts w:ascii="Times New Roman" w:eastAsia="Calibri" w:hAnsi="Times New Roman" w:cs="Times New Roman"/>
          <w:color w:val="000000"/>
          <w:sz w:val="24"/>
          <w:szCs w:val="24"/>
        </w:rPr>
        <w:t xml:space="preserve">ması </w:t>
      </w:r>
      <w:r w:rsidR="00BF46A8" w:rsidRPr="00E036A9">
        <w:rPr>
          <w:rFonts w:ascii="Times New Roman" w:eastAsia="Calibri" w:hAnsi="Times New Roman" w:cs="Times New Roman"/>
          <w:color w:val="000000"/>
          <w:sz w:val="24"/>
          <w:szCs w:val="24"/>
        </w:rPr>
        <w:t xml:space="preserve">ve AR-GE faaliyetlerinin desteklenmesi </w:t>
      </w:r>
      <w:r w:rsidR="00D46D6E" w:rsidRPr="00E036A9">
        <w:rPr>
          <w:rFonts w:ascii="Times New Roman" w:eastAsia="Calibri" w:hAnsi="Times New Roman" w:cs="Times New Roman"/>
          <w:color w:val="000000"/>
          <w:sz w:val="24"/>
          <w:szCs w:val="24"/>
        </w:rPr>
        <w:t>gerektiğini</w:t>
      </w:r>
      <w:r w:rsidR="00102395" w:rsidRPr="00E036A9">
        <w:rPr>
          <w:rFonts w:ascii="Times New Roman" w:eastAsia="Calibri" w:hAnsi="Times New Roman" w:cs="Times New Roman"/>
          <w:color w:val="000000"/>
          <w:sz w:val="24"/>
          <w:szCs w:val="24"/>
        </w:rPr>
        <w:t xml:space="preserve"> vur</w:t>
      </w:r>
      <w:r w:rsidR="00BF46A8" w:rsidRPr="00E036A9">
        <w:rPr>
          <w:rFonts w:ascii="Times New Roman" w:eastAsia="Calibri" w:hAnsi="Times New Roman" w:cs="Times New Roman"/>
          <w:color w:val="000000"/>
          <w:sz w:val="24"/>
          <w:szCs w:val="24"/>
        </w:rPr>
        <w:t xml:space="preserve">gulamıştır </w:t>
      </w:r>
      <w:r w:rsidR="00E94741">
        <w:rPr>
          <w:rFonts w:ascii="Times New Roman" w:eastAsia="Calibri" w:hAnsi="Times New Roman" w:cs="Times New Roman"/>
          <w:color w:val="000000"/>
          <w:sz w:val="24"/>
          <w:szCs w:val="24"/>
        </w:rPr>
        <w:t>(Yardımcı 2006; Özel 2012</w:t>
      </w:r>
      <w:r w:rsidR="00D46D6E" w:rsidRPr="00E036A9">
        <w:rPr>
          <w:rFonts w:ascii="Times New Roman" w:eastAsia="Calibri" w:hAnsi="Times New Roman" w:cs="Times New Roman"/>
          <w:color w:val="000000"/>
          <w:sz w:val="24"/>
          <w:szCs w:val="24"/>
        </w:rPr>
        <w:t>).</w:t>
      </w:r>
      <w:r w:rsidR="00D46E8B" w:rsidRPr="00E036A9">
        <w:rPr>
          <w:rFonts w:ascii="Times New Roman" w:eastAsia="Calibri" w:hAnsi="Times New Roman" w:cs="Times New Roman"/>
          <w:color w:val="000000"/>
          <w:sz w:val="24"/>
          <w:szCs w:val="24"/>
        </w:rPr>
        <w:t xml:space="preserve"> </w:t>
      </w:r>
    </w:p>
    <w:p w:rsidR="00497F7E" w:rsidRPr="00E036A9" w:rsidRDefault="00D46E8B" w:rsidP="00E036A9">
      <w:pPr>
        <w:spacing w:before="120" w:after="0" w:line="240" w:lineRule="auto"/>
        <w:ind w:firstLine="709"/>
        <w:jc w:val="both"/>
        <w:rPr>
          <w:rFonts w:ascii="Times New Roman" w:eastAsia="Calibri" w:hAnsi="Times New Roman" w:cs="Times New Roman"/>
          <w:color w:val="000000"/>
          <w:sz w:val="24"/>
          <w:szCs w:val="24"/>
        </w:rPr>
      </w:pPr>
      <w:r w:rsidRPr="00E036A9">
        <w:rPr>
          <w:rFonts w:ascii="Times New Roman" w:eastAsia="Calibri" w:hAnsi="Times New Roman" w:cs="Times New Roman"/>
          <w:sz w:val="24"/>
          <w:szCs w:val="24"/>
        </w:rPr>
        <w:t>Sağlığın ekonomik boyutta el</w:t>
      </w:r>
      <w:r w:rsidR="003B1D59" w:rsidRPr="00E036A9">
        <w:rPr>
          <w:rFonts w:ascii="Times New Roman" w:eastAsia="Calibri" w:hAnsi="Times New Roman" w:cs="Times New Roman"/>
          <w:sz w:val="24"/>
          <w:szCs w:val="24"/>
        </w:rPr>
        <w:t xml:space="preserve">e alındığı çeşitli içsel büyüme modellerinde </w:t>
      </w:r>
      <w:r w:rsidRPr="00E036A9">
        <w:rPr>
          <w:rFonts w:ascii="Times New Roman" w:eastAsia="Calibri" w:hAnsi="Times New Roman" w:cs="Times New Roman"/>
          <w:sz w:val="24"/>
          <w:szCs w:val="24"/>
        </w:rPr>
        <w:t>sağlık harcamaları</w:t>
      </w:r>
      <w:r w:rsidR="003B1D59" w:rsidRPr="00E036A9">
        <w:rPr>
          <w:rFonts w:ascii="Times New Roman" w:eastAsia="Calibri" w:hAnsi="Times New Roman" w:cs="Times New Roman"/>
          <w:sz w:val="24"/>
          <w:szCs w:val="24"/>
        </w:rPr>
        <w:t>nın veya sağlığa yönelik yatırımların</w:t>
      </w:r>
      <w:r w:rsidRPr="00E036A9">
        <w:rPr>
          <w:rFonts w:ascii="Times New Roman" w:eastAsia="Calibri" w:hAnsi="Times New Roman" w:cs="Times New Roman"/>
          <w:sz w:val="24"/>
          <w:szCs w:val="24"/>
        </w:rPr>
        <w:t xml:space="preserve">, beşeri sermayeyi geliştiren ve koruyan önemli bir unsur olarak ekonomik </w:t>
      </w:r>
      <w:r w:rsidR="003B1D59" w:rsidRPr="00E036A9">
        <w:rPr>
          <w:rFonts w:ascii="Times New Roman" w:eastAsia="Calibri" w:hAnsi="Times New Roman" w:cs="Times New Roman"/>
          <w:sz w:val="24"/>
          <w:szCs w:val="24"/>
        </w:rPr>
        <w:t xml:space="preserve">büyüme ve kalkınma sürecini olumlu etkilediği varsayılmaktadır. </w:t>
      </w:r>
      <w:r w:rsidRPr="00E036A9">
        <w:rPr>
          <w:rFonts w:ascii="Times New Roman" w:eastAsia="Calibri" w:hAnsi="Times New Roman" w:cs="Times New Roman"/>
          <w:color w:val="000000"/>
          <w:sz w:val="24"/>
          <w:szCs w:val="24"/>
        </w:rPr>
        <w:t>S</w:t>
      </w:r>
      <w:r w:rsidR="005B2DAC" w:rsidRPr="00E036A9">
        <w:rPr>
          <w:rFonts w:ascii="Times New Roman" w:eastAsia="Calibri" w:hAnsi="Times New Roman" w:cs="Times New Roman"/>
          <w:color w:val="000000"/>
          <w:sz w:val="24"/>
          <w:szCs w:val="24"/>
        </w:rPr>
        <w:t>ağlık olgu</w:t>
      </w:r>
      <w:r w:rsidRPr="00E036A9">
        <w:rPr>
          <w:rFonts w:ascii="Times New Roman" w:eastAsia="Calibri" w:hAnsi="Times New Roman" w:cs="Times New Roman"/>
          <w:color w:val="000000"/>
          <w:sz w:val="24"/>
          <w:szCs w:val="24"/>
        </w:rPr>
        <w:t>sunun, ekonomik büyüme üzerindeki etkileri nedeniyle Dünya Sağlık Örgütü (DSÖ),</w:t>
      </w:r>
      <w:r w:rsidR="00814EC5" w:rsidRPr="00E036A9">
        <w:rPr>
          <w:rFonts w:ascii="Times New Roman" w:eastAsia="Calibri" w:hAnsi="Times New Roman" w:cs="Times New Roman"/>
          <w:color w:val="000000"/>
          <w:sz w:val="24"/>
          <w:szCs w:val="24"/>
        </w:rPr>
        <w:t xml:space="preserve"> 2001 yılında ülkelere ekonomik büyüme konusunda sağlık harcamalarını </w:t>
      </w:r>
      <w:r w:rsidRPr="00E036A9">
        <w:rPr>
          <w:rFonts w:ascii="Times New Roman" w:eastAsia="Calibri" w:hAnsi="Times New Roman" w:cs="Times New Roman"/>
          <w:color w:val="000000"/>
          <w:sz w:val="24"/>
          <w:szCs w:val="24"/>
        </w:rPr>
        <w:t xml:space="preserve">artırmaları gerektiğine ilişkin tavsiyelerde bulunmuştur. </w:t>
      </w:r>
      <w:r w:rsidR="00814EC5" w:rsidRPr="00E036A9">
        <w:rPr>
          <w:rFonts w:ascii="Times New Roman" w:eastAsia="Calibri" w:hAnsi="Times New Roman" w:cs="Times New Roman"/>
          <w:color w:val="000000"/>
          <w:sz w:val="24"/>
          <w:szCs w:val="24"/>
        </w:rPr>
        <w:t>DSÖ, artan sağlık harcamalarının sağlık statüsünü geliştireceğini ve böylece kişi başına düşen gelirin de yük</w:t>
      </w:r>
      <w:r w:rsidR="003E5D75">
        <w:rPr>
          <w:rFonts w:ascii="Times New Roman" w:eastAsia="Calibri" w:hAnsi="Times New Roman" w:cs="Times New Roman"/>
          <w:color w:val="000000"/>
          <w:sz w:val="24"/>
          <w:szCs w:val="24"/>
        </w:rPr>
        <w:t>seleceğini belirtmiştir (Özyurt 2020</w:t>
      </w:r>
      <w:r w:rsidR="00814EC5" w:rsidRPr="00E036A9">
        <w:rPr>
          <w:rFonts w:ascii="Times New Roman" w:eastAsia="Calibri" w:hAnsi="Times New Roman" w:cs="Times New Roman"/>
          <w:color w:val="000000"/>
          <w:sz w:val="24"/>
          <w:szCs w:val="24"/>
        </w:rPr>
        <w:t>).</w:t>
      </w:r>
      <w:r w:rsidRPr="00E036A9">
        <w:rPr>
          <w:rFonts w:ascii="Times New Roman" w:eastAsia="Calibri" w:hAnsi="Times New Roman" w:cs="Times New Roman"/>
          <w:color w:val="000000"/>
          <w:sz w:val="24"/>
          <w:szCs w:val="24"/>
        </w:rPr>
        <w:t xml:space="preserve"> </w:t>
      </w:r>
      <w:r w:rsidR="005B2DAC" w:rsidRPr="00E036A9">
        <w:rPr>
          <w:rFonts w:ascii="Times New Roman" w:eastAsia="Calibri" w:hAnsi="Times New Roman" w:cs="Times New Roman"/>
          <w:color w:val="000000"/>
          <w:sz w:val="24"/>
          <w:szCs w:val="24"/>
        </w:rPr>
        <w:t xml:space="preserve">Sonuç olarak sağlık harcamalarında görülen artışın, daha sağlıklı bir toplum yaratarak sağlıklı bir beşeri sermayeyi temin edeceği ifade edilebilir. </w:t>
      </w:r>
      <w:r w:rsidR="003B1D59" w:rsidRPr="00E036A9">
        <w:rPr>
          <w:rFonts w:ascii="Times New Roman" w:eastAsia="Calibri" w:hAnsi="Times New Roman" w:cs="Times New Roman"/>
          <w:color w:val="000000"/>
          <w:sz w:val="24"/>
          <w:szCs w:val="24"/>
        </w:rPr>
        <w:t xml:space="preserve">Sağlıklı bir beşeri sermayenin </w:t>
      </w:r>
      <w:r w:rsidR="005B2DAC" w:rsidRPr="00E036A9">
        <w:rPr>
          <w:rFonts w:ascii="Times New Roman" w:eastAsia="Calibri" w:hAnsi="Times New Roman" w:cs="Times New Roman"/>
          <w:color w:val="000000"/>
          <w:sz w:val="24"/>
          <w:szCs w:val="24"/>
        </w:rPr>
        <w:t>üretimde girdi olarak kullanılmas</w:t>
      </w:r>
      <w:r w:rsidR="003B1D59" w:rsidRPr="00E036A9">
        <w:rPr>
          <w:rFonts w:ascii="Times New Roman" w:eastAsia="Calibri" w:hAnsi="Times New Roman" w:cs="Times New Roman"/>
          <w:color w:val="000000"/>
          <w:sz w:val="24"/>
          <w:szCs w:val="24"/>
        </w:rPr>
        <w:t>ı ise</w:t>
      </w:r>
      <w:r w:rsidR="005B2DAC" w:rsidRPr="00E036A9">
        <w:rPr>
          <w:rFonts w:ascii="Times New Roman" w:eastAsia="Calibri" w:hAnsi="Times New Roman" w:cs="Times New Roman"/>
          <w:color w:val="000000"/>
          <w:sz w:val="24"/>
          <w:szCs w:val="24"/>
        </w:rPr>
        <w:t xml:space="preserve"> girdi başına düşen üretim miktarında bir artış sağlayacağı belirtilebilir. Artan üretim ile birlikte sağlıklı bir beşeri sermayenin, teknolojik gelişim ve yeniliklerle bütünleşerek küreselleşen dünyada rekabet gücünü </w:t>
      </w:r>
      <w:r w:rsidR="00586F02" w:rsidRPr="00E036A9">
        <w:rPr>
          <w:rFonts w:ascii="Times New Roman" w:eastAsia="Calibri" w:hAnsi="Times New Roman" w:cs="Times New Roman"/>
          <w:color w:val="000000"/>
          <w:sz w:val="24"/>
          <w:szCs w:val="24"/>
        </w:rPr>
        <w:t>artıracağı ve bunun</w:t>
      </w:r>
      <w:r w:rsidR="00FA2E19" w:rsidRPr="00E036A9">
        <w:rPr>
          <w:rFonts w:ascii="Times New Roman" w:eastAsia="Calibri" w:hAnsi="Times New Roman" w:cs="Times New Roman"/>
          <w:color w:val="000000"/>
          <w:sz w:val="24"/>
          <w:szCs w:val="24"/>
        </w:rPr>
        <w:t xml:space="preserve"> </w:t>
      </w:r>
      <w:r w:rsidR="00586F02" w:rsidRPr="00E036A9">
        <w:rPr>
          <w:rFonts w:ascii="Times New Roman" w:eastAsia="Calibri" w:hAnsi="Times New Roman" w:cs="Times New Roman"/>
          <w:color w:val="000000"/>
          <w:sz w:val="24"/>
          <w:szCs w:val="24"/>
        </w:rPr>
        <w:t xml:space="preserve">da ülkenin özellikle dış ticaret hacminde önemli bir genişlemeyi beraberinde getireceği söylenebilir. </w:t>
      </w:r>
    </w:p>
    <w:p w:rsidR="00814EC5" w:rsidRPr="00E036A9" w:rsidRDefault="00C341CB" w:rsidP="00E036A9">
      <w:pPr>
        <w:widowControl w:val="0"/>
        <w:tabs>
          <w:tab w:val="left" w:pos="220"/>
          <w:tab w:val="left" w:pos="720"/>
        </w:tabs>
        <w:autoSpaceDE w:val="0"/>
        <w:autoSpaceDN w:val="0"/>
        <w:adjustRightInd w:val="0"/>
        <w:spacing w:before="120"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3</w:t>
      </w:r>
      <w:r w:rsidRPr="00E036A9">
        <w:rPr>
          <w:rFonts w:ascii="Times New Roman" w:eastAsia="Calibri" w:hAnsi="Times New Roman" w:cs="Times New Roman"/>
          <w:b/>
          <w:color w:val="000000"/>
          <w:sz w:val="24"/>
          <w:szCs w:val="24"/>
        </w:rPr>
        <w:t>. LİTERATÜR TARAMASI</w:t>
      </w:r>
    </w:p>
    <w:p w:rsidR="00E44749" w:rsidRPr="00E036A9" w:rsidRDefault="00814EC5" w:rsidP="0088707A">
      <w:pPr>
        <w:spacing w:before="120" w:after="0" w:line="240" w:lineRule="auto"/>
        <w:ind w:firstLine="709"/>
        <w:jc w:val="both"/>
        <w:rPr>
          <w:rFonts w:ascii="Times New Roman" w:eastAsia="Calibri" w:hAnsi="Times New Roman" w:cs="Times New Roman"/>
          <w:color w:val="000000"/>
          <w:sz w:val="24"/>
          <w:szCs w:val="24"/>
        </w:rPr>
      </w:pPr>
      <w:r w:rsidRPr="00E036A9">
        <w:rPr>
          <w:rFonts w:ascii="Times New Roman" w:eastAsia="Calibri" w:hAnsi="Times New Roman" w:cs="Times New Roman"/>
          <w:color w:val="000000"/>
          <w:sz w:val="24"/>
          <w:szCs w:val="24"/>
        </w:rPr>
        <w:t>Literatürde, sağlık harcamalarının ekonomik büyüme üzerindeki etkisini inceleyen birçok çalışma bulunmaktadır. Farklı ülke, dönem ve yöntemlerin çalışıldığı literatürde kısmen de olsa farklı sonuçlara ulaşılmakla birlikte ulaşılan g</w:t>
      </w:r>
      <w:r w:rsidR="006B3B7C" w:rsidRPr="00E036A9">
        <w:rPr>
          <w:rFonts w:ascii="Times New Roman" w:eastAsia="Calibri" w:hAnsi="Times New Roman" w:cs="Times New Roman"/>
          <w:color w:val="000000"/>
          <w:sz w:val="24"/>
          <w:szCs w:val="24"/>
        </w:rPr>
        <w:t xml:space="preserve">enel görüş, ekonomik büyüme ve </w:t>
      </w:r>
      <w:r w:rsidRPr="00E036A9">
        <w:rPr>
          <w:rFonts w:ascii="Times New Roman" w:eastAsia="Calibri" w:hAnsi="Times New Roman" w:cs="Times New Roman"/>
          <w:color w:val="000000"/>
          <w:sz w:val="24"/>
          <w:szCs w:val="24"/>
        </w:rPr>
        <w:t xml:space="preserve">sağlık harcamaları arasında pozitif bir ilişkinin olduğu yönündedir. Dolayısıyla sağlık harcamalarının ekonomik büyüme üzerinde </w:t>
      </w:r>
      <w:r w:rsidR="002D0ECD" w:rsidRPr="00E036A9">
        <w:rPr>
          <w:rFonts w:ascii="Times New Roman" w:eastAsia="Calibri" w:hAnsi="Times New Roman" w:cs="Times New Roman"/>
          <w:color w:val="000000"/>
          <w:sz w:val="24"/>
          <w:szCs w:val="24"/>
        </w:rPr>
        <w:t>olumlu</w:t>
      </w:r>
      <w:r w:rsidRPr="00E036A9">
        <w:rPr>
          <w:rFonts w:ascii="Times New Roman" w:eastAsia="Calibri" w:hAnsi="Times New Roman" w:cs="Times New Roman"/>
          <w:color w:val="000000"/>
          <w:sz w:val="24"/>
          <w:szCs w:val="24"/>
        </w:rPr>
        <w:t xml:space="preserve"> etki yarattığı noktasında bir fikir birliğinin sağlandığı söylenebilir. </w:t>
      </w:r>
      <w:r w:rsidR="00111204" w:rsidRPr="00E036A9">
        <w:rPr>
          <w:rFonts w:ascii="Times New Roman" w:eastAsia="Calibri" w:hAnsi="Times New Roman" w:cs="Times New Roman"/>
          <w:color w:val="000000"/>
          <w:sz w:val="24"/>
          <w:szCs w:val="24"/>
        </w:rPr>
        <w:t>Ancak nüfusun giderek yaşlanması</w:t>
      </w:r>
      <w:r w:rsidR="006B3B7C" w:rsidRPr="00E036A9">
        <w:rPr>
          <w:rFonts w:ascii="Times New Roman" w:eastAsia="Calibri" w:hAnsi="Times New Roman" w:cs="Times New Roman"/>
          <w:color w:val="000000"/>
          <w:sz w:val="24"/>
          <w:szCs w:val="24"/>
        </w:rPr>
        <w:t>nın bir</w:t>
      </w:r>
      <w:r w:rsidR="00111204" w:rsidRPr="00E036A9">
        <w:rPr>
          <w:rFonts w:ascii="Times New Roman" w:eastAsia="Calibri" w:hAnsi="Times New Roman" w:cs="Times New Roman"/>
          <w:color w:val="000000"/>
          <w:sz w:val="24"/>
          <w:szCs w:val="24"/>
        </w:rPr>
        <w:t xml:space="preserve"> sonucu</w:t>
      </w:r>
      <w:r w:rsidR="00E44749" w:rsidRPr="00E036A9">
        <w:rPr>
          <w:rFonts w:ascii="Times New Roman" w:eastAsia="Calibri" w:hAnsi="Times New Roman" w:cs="Times New Roman"/>
          <w:color w:val="000000"/>
          <w:sz w:val="24"/>
          <w:szCs w:val="24"/>
        </w:rPr>
        <w:t xml:space="preserve"> </w:t>
      </w:r>
      <w:r w:rsidR="006B3B7C" w:rsidRPr="00E036A9">
        <w:rPr>
          <w:rFonts w:ascii="Times New Roman" w:eastAsia="Calibri" w:hAnsi="Times New Roman" w:cs="Times New Roman"/>
          <w:color w:val="000000"/>
          <w:sz w:val="24"/>
          <w:szCs w:val="24"/>
        </w:rPr>
        <w:t xml:space="preserve">olarak </w:t>
      </w:r>
      <w:r w:rsidR="00E44749" w:rsidRPr="00E036A9">
        <w:rPr>
          <w:rFonts w:ascii="Times New Roman" w:eastAsia="Calibri" w:hAnsi="Times New Roman" w:cs="Times New Roman"/>
          <w:color w:val="000000"/>
          <w:sz w:val="24"/>
          <w:szCs w:val="24"/>
        </w:rPr>
        <w:t xml:space="preserve">ülkelerin sosyal güvenlik </w:t>
      </w:r>
      <w:r w:rsidR="006B3B7C" w:rsidRPr="00E036A9">
        <w:rPr>
          <w:rFonts w:ascii="Times New Roman" w:eastAsia="Calibri" w:hAnsi="Times New Roman" w:cs="Times New Roman"/>
          <w:color w:val="000000"/>
          <w:sz w:val="24"/>
          <w:szCs w:val="24"/>
        </w:rPr>
        <w:t xml:space="preserve">yapılarının </w:t>
      </w:r>
      <w:r w:rsidR="00E44749" w:rsidRPr="00E036A9">
        <w:rPr>
          <w:rFonts w:ascii="Times New Roman" w:eastAsia="Calibri" w:hAnsi="Times New Roman" w:cs="Times New Roman"/>
          <w:color w:val="000000"/>
          <w:sz w:val="24"/>
          <w:szCs w:val="24"/>
        </w:rPr>
        <w:t xml:space="preserve">ve ekonomilerinin </w:t>
      </w:r>
      <w:r w:rsidR="006B3B7C" w:rsidRPr="00E036A9">
        <w:rPr>
          <w:rFonts w:ascii="Times New Roman" w:eastAsia="Calibri" w:hAnsi="Times New Roman" w:cs="Times New Roman"/>
          <w:color w:val="000000"/>
          <w:sz w:val="24"/>
          <w:szCs w:val="24"/>
        </w:rPr>
        <w:t>bu süreçten etkilenmesi nedeniyle</w:t>
      </w:r>
      <w:r w:rsidR="00E44749" w:rsidRPr="00E036A9">
        <w:rPr>
          <w:rFonts w:ascii="Times New Roman" w:eastAsia="Calibri" w:hAnsi="Times New Roman" w:cs="Times New Roman"/>
          <w:color w:val="000000"/>
          <w:sz w:val="24"/>
          <w:szCs w:val="24"/>
        </w:rPr>
        <w:t>, sağlık harcamaları ve ekonomik büyüme arasındaki ilişki güncelliğini koruma</w:t>
      </w:r>
      <w:r w:rsidR="006B3B7C" w:rsidRPr="00E036A9">
        <w:rPr>
          <w:rFonts w:ascii="Times New Roman" w:eastAsia="Calibri" w:hAnsi="Times New Roman" w:cs="Times New Roman"/>
          <w:color w:val="000000"/>
          <w:sz w:val="24"/>
          <w:szCs w:val="24"/>
        </w:rPr>
        <w:t>ktadır. Bu bağlamda bir değerlendirme yapıldığında,</w:t>
      </w:r>
      <w:r w:rsidR="00E44749" w:rsidRPr="00E036A9">
        <w:rPr>
          <w:rFonts w:ascii="Times New Roman" w:eastAsia="Calibri" w:hAnsi="Times New Roman" w:cs="Times New Roman"/>
          <w:color w:val="000000"/>
          <w:sz w:val="24"/>
          <w:szCs w:val="24"/>
        </w:rPr>
        <w:t xml:space="preserve"> mevcut konunun Türkiye özelinde </w:t>
      </w:r>
      <w:r w:rsidR="006B3B7C" w:rsidRPr="00E036A9">
        <w:rPr>
          <w:rFonts w:ascii="Times New Roman" w:eastAsia="Calibri" w:hAnsi="Times New Roman" w:cs="Times New Roman"/>
          <w:color w:val="000000"/>
          <w:sz w:val="24"/>
          <w:szCs w:val="24"/>
        </w:rPr>
        <w:t xml:space="preserve">de </w:t>
      </w:r>
      <w:r w:rsidR="00E44749" w:rsidRPr="00E036A9">
        <w:rPr>
          <w:rFonts w:ascii="Times New Roman" w:eastAsia="Calibri" w:hAnsi="Times New Roman" w:cs="Times New Roman"/>
          <w:color w:val="000000"/>
          <w:sz w:val="24"/>
          <w:szCs w:val="24"/>
        </w:rPr>
        <w:t xml:space="preserve">sıklıkla araştırıldığı ancak bu araştırmaların daha çok zaman serileri analizleriyle yapıldığı görülmektedir. Türkiye </w:t>
      </w:r>
      <w:r w:rsidR="006B3B7C" w:rsidRPr="00E036A9">
        <w:rPr>
          <w:rFonts w:ascii="Times New Roman" w:eastAsia="Calibri" w:hAnsi="Times New Roman" w:cs="Times New Roman"/>
          <w:color w:val="000000"/>
          <w:sz w:val="24"/>
          <w:szCs w:val="24"/>
        </w:rPr>
        <w:t xml:space="preserve">için </w:t>
      </w:r>
      <w:r w:rsidR="00E44749" w:rsidRPr="00E036A9">
        <w:rPr>
          <w:rFonts w:ascii="Times New Roman" w:eastAsia="Calibri" w:hAnsi="Times New Roman" w:cs="Times New Roman"/>
          <w:color w:val="000000"/>
          <w:sz w:val="24"/>
          <w:szCs w:val="24"/>
        </w:rPr>
        <w:t xml:space="preserve">yapılan bu çalışmada ise bilimsel yazından farklı olarak 81 il verilerinden oluşan </w:t>
      </w:r>
      <w:r w:rsidR="006B3B7C" w:rsidRPr="00E036A9">
        <w:rPr>
          <w:rFonts w:ascii="Times New Roman" w:eastAsia="Calibri" w:hAnsi="Times New Roman" w:cs="Times New Roman"/>
          <w:color w:val="000000"/>
          <w:sz w:val="24"/>
          <w:szCs w:val="24"/>
        </w:rPr>
        <w:t xml:space="preserve">bir </w:t>
      </w:r>
      <w:r w:rsidR="00E44749" w:rsidRPr="00E036A9">
        <w:rPr>
          <w:rFonts w:ascii="Times New Roman" w:eastAsia="Calibri" w:hAnsi="Times New Roman" w:cs="Times New Roman"/>
          <w:color w:val="000000"/>
          <w:sz w:val="24"/>
          <w:szCs w:val="24"/>
        </w:rPr>
        <w:t>ver</w:t>
      </w:r>
      <w:r w:rsidR="006B3B7C" w:rsidRPr="00E036A9">
        <w:rPr>
          <w:rFonts w:ascii="Times New Roman" w:eastAsia="Calibri" w:hAnsi="Times New Roman" w:cs="Times New Roman"/>
          <w:color w:val="000000"/>
          <w:sz w:val="24"/>
          <w:szCs w:val="24"/>
        </w:rPr>
        <w:t xml:space="preserve">i seti kullanılarak değişkenler arasındaki ilişki panel veri analiziyle incelenmiştir.  </w:t>
      </w:r>
    </w:p>
    <w:p w:rsidR="0042289E" w:rsidRPr="00E036A9" w:rsidRDefault="0042289E" w:rsidP="0088707A">
      <w:pPr>
        <w:widowControl w:val="0"/>
        <w:tabs>
          <w:tab w:val="left" w:pos="220"/>
          <w:tab w:val="left" w:pos="720"/>
        </w:tabs>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rPr>
      </w:pPr>
      <w:r w:rsidRPr="00E036A9">
        <w:rPr>
          <w:rFonts w:ascii="Times New Roman" w:eastAsia="Calibri" w:hAnsi="Times New Roman" w:cs="Times New Roman"/>
          <w:color w:val="000000"/>
          <w:sz w:val="24"/>
          <w:szCs w:val="24"/>
        </w:rPr>
        <w:t>Grosmann (1972), sağlık harcamaları ve ekonomik büyüme arasındaki ilişkiyi inceleyen ilk kişi olarak literatürde yer almaktadır. Grosmann yaptığı çalışmada, sağlık harcamalarının ekonomik büyümeyi pozitif yönde e</w:t>
      </w:r>
      <w:r w:rsidR="004A67C5">
        <w:rPr>
          <w:rFonts w:ascii="Times New Roman" w:eastAsia="Calibri" w:hAnsi="Times New Roman" w:cs="Times New Roman"/>
          <w:color w:val="000000"/>
          <w:sz w:val="24"/>
          <w:szCs w:val="24"/>
        </w:rPr>
        <w:t>tkilediğini belirtmiştir (Tıraş 2018</w:t>
      </w:r>
      <w:r w:rsidRPr="00E036A9">
        <w:rPr>
          <w:rFonts w:ascii="Times New Roman" w:eastAsia="Calibri" w:hAnsi="Times New Roman" w:cs="Times New Roman"/>
          <w:color w:val="000000"/>
          <w:sz w:val="24"/>
          <w:szCs w:val="24"/>
        </w:rPr>
        <w:t xml:space="preserve">). Heshmati (2001), 1970-1992 dönemini baz alarak OECD ülkelerinden oluşan veri seti ile yaptığı çalışmada, GSYH ile kişi başına düşen sağlık harcamaları arasındaki ilişkiyi araştırmıştır. Solow modeli çerçevesinde yapılan çalışmada, sağlık ile ekonomik büyüme değişkenlerinin pozitif bir ilişki </w:t>
      </w:r>
      <w:r w:rsidRPr="00E036A9">
        <w:rPr>
          <w:rFonts w:ascii="Times New Roman" w:eastAsia="Calibri" w:hAnsi="Times New Roman" w:cs="Times New Roman"/>
          <w:color w:val="000000"/>
          <w:sz w:val="24"/>
          <w:szCs w:val="24"/>
        </w:rPr>
        <w:lastRenderedPageBreak/>
        <w:t>içerisinde olduğu sonucuna ulaşılmıştır. Ka</w:t>
      </w:r>
      <w:r w:rsidR="004A67C5">
        <w:rPr>
          <w:rFonts w:ascii="Times New Roman" w:eastAsia="Calibri" w:hAnsi="Times New Roman" w:cs="Times New Roman"/>
          <w:color w:val="000000"/>
          <w:sz w:val="24"/>
          <w:szCs w:val="24"/>
        </w:rPr>
        <w:t xml:space="preserve">r </w:t>
      </w:r>
      <w:r w:rsidR="004A67C5" w:rsidRPr="004A67C5">
        <w:rPr>
          <w:rFonts w:ascii="Times New Roman" w:eastAsia="Calibri" w:hAnsi="Times New Roman" w:cs="Times New Roman"/>
          <w:color w:val="000000"/>
          <w:sz w:val="24"/>
          <w:szCs w:val="24"/>
        </w:rPr>
        <w:t>&amp;</w:t>
      </w:r>
      <w:r w:rsidRPr="00E036A9">
        <w:rPr>
          <w:rFonts w:ascii="Times New Roman" w:eastAsia="Calibri" w:hAnsi="Times New Roman" w:cs="Times New Roman"/>
          <w:color w:val="000000"/>
          <w:sz w:val="24"/>
          <w:szCs w:val="24"/>
        </w:rPr>
        <w:t xml:space="preserve"> Taban (2003) kamu harcama çeşitlerini dikkate alarak bu harcamaların ekonomik büyüme ile ilişkisini inceledikleri çalışmalarında, literatürün aksine sonuçlar elde etmiş ve eğitim ile sosyal güvenlik harcamalarının büyümeyi pozitif, sağlık harcamalarının ise ekonomik büyümeyi negatif etkilediğine ilişkin</w:t>
      </w:r>
      <w:r w:rsidR="004A67C5">
        <w:rPr>
          <w:rFonts w:ascii="Times New Roman" w:eastAsia="Calibri" w:hAnsi="Times New Roman" w:cs="Times New Roman"/>
          <w:color w:val="000000"/>
          <w:sz w:val="24"/>
          <w:szCs w:val="24"/>
        </w:rPr>
        <w:t xml:space="preserve"> sonuçlara ulaşmışlardır. Kar </w:t>
      </w:r>
      <w:r w:rsidR="004A67C5">
        <w:t>&amp;</w:t>
      </w:r>
      <w:r w:rsidRPr="00E036A9">
        <w:rPr>
          <w:rFonts w:ascii="Times New Roman" w:eastAsia="Calibri" w:hAnsi="Times New Roman" w:cs="Times New Roman"/>
          <w:color w:val="000000"/>
          <w:sz w:val="24"/>
          <w:szCs w:val="24"/>
        </w:rPr>
        <w:t xml:space="preserve"> Ağır (2006) tarafından yapılan bir diğer çalışmada ise sağlık ve eğitim göstergeleri ile ekonomik büyüme arasında nedensellik ilişkisinin olduğu belirlenmiştir.</w:t>
      </w:r>
    </w:p>
    <w:p w:rsidR="0042289E" w:rsidRPr="00E036A9" w:rsidRDefault="0042289E" w:rsidP="0088707A">
      <w:pPr>
        <w:widowControl w:val="0"/>
        <w:tabs>
          <w:tab w:val="left" w:pos="220"/>
          <w:tab w:val="left" w:pos="720"/>
        </w:tabs>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rPr>
      </w:pPr>
      <w:r w:rsidRPr="00E036A9">
        <w:rPr>
          <w:rFonts w:ascii="Times New Roman" w:eastAsia="Calibri" w:hAnsi="Times New Roman" w:cs="Times New Roman"/>
          <w:color w:val="000000"/>
          <w:sz w:val="24"/>
          <w:szCs w:val="24"/>
        </w:rPr>
        <w:t xml:space="preserve"> Literatürde sağlık harcamaları ve ekonomik büyüme</w:t>
      </w:r>
      <w:r w:rsidR="004A67C5">
        <w:rPr>
          <w:rFonts w:ascii="Times New Roman" w:eastAsia="Calibri" w:hAnsi="Times New Roman" w:cs="Times New Roman"/>
          <w:color w:val="000000"/>
          <w:sz w:val="24"/>
          <w:szCs w:val="24"/>
        </w:rPr>
        <w:t xml:space="preserve"> ilişkisini inceleyen </w:t>
      </w:r>
      <w:r w:rsidR="004A67C5">
        <w:rPr>
          <w:rFonts w:ascii="Times New Roman" w:hAnsi="Times New Roman" w:cs="Times New Roman"/>
          <w:sz w:val="24"/>
          <w:szCs w:val="24"/>
        </w:rPr>
        <w:t>Beraldo, Montolio</w:t>
      </w:r>
      <w:r w:rsidR="004A67C5" w:rsidRPr="00EF0E1F">
        <w:rPr>
          <w:rFonts w:ascii="Times New Roman" w:hAnsi="Times New Roman" w:cs="Times New Roman"/>
          <w:sz w:val="24"/>
          <w:szCs w:val="24"/>
        </w:rPr>
        <w:t xml:space="preserve"> &amp; Turati</w:t>
      </w:r>
      <w:r w:rsidRPr="00E036A9">
        <w:rPr>
          <w:rFonts w:ascii="Times New Roman" w:eastAsia="Calibri" w:hAnsi="Times New Roman" w:cs="Times New Roman"/>
          <w:color w:val="000000"/>
          <w:sz w:val="24"/>
          <w:szCs w:val="24"/>
        </w:rPr>
        <w:t xml:space="preserve"> (</w:t>
      </w:r>
      <w:r w:rsidR="004A67C5">
        <w:rPr>
          <w:rFonts w:ascii="Times New Roman" w:eastAsia="Calibri" w:hAnsi="Times New Roman" w:cs="Times New Roman"/>
          <w:color w:val="000000"/>
          <w:sz w:val="24"/>
          <w:szCs w:val="24"/>
        </w:rPr>
        <w:t xml:space="preserve">2009), Çoban (2009), Ogundipe </w:t>
      </w:r>
      <w:r w:rsidR="004A67C5" w:rsidRPr="00EF0E1F">
        <w:rPr>
          <w:rFonts w:ascii="Times New Roman" w:hAnsi="Times New Roman" w:cs="Times New Roman"/>
          <w:sz w:val="24"/>
          <w:szCs w:val="24"/>
        </w:rPr>
        <w:t>&amp;</w:t>
      </w:r>
      <w:r w:rsidR="004A67C5">
        <w:rPr>
          <w:rFonts w:ascii="Times New Roman" w:eastAsia="Calibri" w:hAnsi="Times New Roman" w:cs="Times New Roman"/>
          <w:color w:val="000000"/>
          <w:sz w:val="24"/>
          <w:szCs w:val="24"/>
        </w:rPr>
        <w:t xml:space="preserve"> Lawal (2011) ve </w:t>
      </w:r>
      <w:r w:rsidR="004A67C5">
        <w:rPr>
          <w:rFonts w:ascii="Times New Roman" w:hAnsi="Times New Roman" w:cs="Times New Roman"/>
          <w:sz w:val="24"/>
          <w:szCs w:val="24"/>
        </w:rPr>
        <w:t xml:space="preserve">Odubunmi, Saka </w:t>
      </w:r>
      <w:r w:rsidR="004A67C5" w:rsidRPr="00EF0E1F">
        <w:rPr>
          <w:rFonts w:ascii="Times New Roman" w:hAnsi="Times New Roman" w:cs="Times New Roman"/>
          <w:sz w:val="24"/>
          <w:szCs w:val="24"/>
        </w:rPr>
        <w:t>&amp;</w:t>
      </w:r>
      <w:r w:rsidR="004A67C5">
        <w:rPr>
          <w:rFonts w:ascii="Times New Roman" w:hAnsi="Times New Roman" w:cs="Times New Roman"/>
          <w:sz w:val="24"/>
          <w:szCs w:val="24"/>
        </w:rPr>
        <w:t xml:space="preserve">  Oke</w:t>
      </w:r>
      <w:r w:rsidR="004A67C5" w:rsidRPr="00EF0E1F">
        <w:rPr>
          <w:rFonts w:ascii="Times New Roman" w:hAnsi="Times New Roman" w:cs="Times New Roman"/>
          <w:sz w:val="24"/>
          <w:szCs w:val="24"/>
        </w:rPr>
        <w:t xml:space="preserve"> </w:t>
      </w:r>
      <w:r w:rsidRPr="00E036A9">
        <w:rPr>
          <w:rFonts w:ascii="Times New Roman" w:eastAsia="Calibri" w:hAnsi="Times New Roman" w:cs="Times New Roman"/>
          <w:color w:val="000000"/>
          <w:sz w:val="24"/>
          <w:szCs w:val="24"/>
        </w:rPr>
        <w:t xml:space="preserve"> (2012) sağlık harcamaları ile ekonomik büyüme arasındaki ilişkinin pozitif olduğu sonucuna ulaşmışlardır. Ancak litera</w:t>
      </w:r>
      <w:r w:rsidR="004A67C5">
        <w:rPr>
          <w:rFonts w:ascii="Times New Roman" w:eastAsia="Calibri" w:hAnsi="Times New Roman" w:cs="Times New Roman"/>
          <w:color w:val="000000"/>
          <w:sz w:val="24"/>
          <w:szCs w:val="24"/>
        </w:rPr>
        <w:t xml:space="preserve">türde Yumuşak </w:t>
      </w:r>
      <w:r w:rsidR="004A67C5" w:rsidRPr="00EF0E1F">
        <w:rPr>
          <w:rFonts w:ascii="Times New Roman" w:hAnsi="Times New Roman" w:cs="Times New Roman"/>
          <w:sz w:val="24"/>
          <w:szCs w:val="24"/>
        </w:rPr>
        <w:t>&amp;</w:t>
      </w:r>
      <w:r w:rsidR="004A67C5">
        <w:rPr>
          <w:rFonts w:ascii="Times New Roman" w:hAnsi="Times New Roman" w:cs="Times New Roman"/>
          <w:sz w:val="24"/>
          <w:szCs w:val="24"/>
        </w:rPr>
        <w:t xml:space="preserve"> </w:t>
      </w:r>
      <w:r w:rsidRPr="00E036A9">
        <w:rPr>
          <w:rFonts w:ascii="Times New Roman" w:eastAsia="Calibri" w:hAnsi="Times New Roman" w:cs="Times New Roman"/>
          <w:color w:val="000000"/>
          <w:sz w:val="24"/>
          <w:szCs w:val="24"/>
        </w:rPr>
        <w:t>Yıldırım (2009) Türkiye için yaptıkları çalışmada, sağlık harcamalarının ekonomik büyüme üzerindeki etkisinin negatif olduğunu saptam</w:t>
      </w:r>
      <w:r w:rsidR="00B01692">
        <w:rPr>
          <w:rFonts w:ascii="Times New Roman" w:eastAsia="Calibri" w:hAnsi="Times New Roman" w:cs="Times New Roman"/>
          <w:color w:val="000000"/>
          <w:sz w:val="24"/>
          <w:szCs w:val="24"/>
        </w:rPr>
        <w:t xml:space="preserve">ışlardır. Benzer şekilde Çetin </w:t>
      </w:r>
      <w:r w:rsidR="00B01692" w:rsidRPr="00EF0E1F">
        <w:rPr>
          <w:rFonts w:ascii="Times New Roman" w:hAnsi="Times New Roman" w:cs="Times New Roman"/>
          <w:sz w:val="24"/>
          <w:szCs w:val="24"/>
        </w:rPr>
        <w:t>&amp;</w:t>
      </w:r>
      <w:r w:rsidRPr="00E036A9">
        <w:rPr>
          <w:rFonts w:ascii="Times New Roman" w:eastAsia="Calibri" w:hAnsi="Times New Roman" w:cs="Times New Roman"/>
          <w:color w:val="000000"/>
          <w:sz w:val="24"/>
          <w:szCs w:val="24"/>
        </w:rPr>
        <w:t xml:space="preserve"> Ecevit (2010) tarafından OECD ülkeleri için yapılan çalışmada, sağlık harcamaları ile ekon</w:t>
      </w:r>
      <w:r w:rsidR="006A5098" w:rsidRPr="00E036A9">
        <w:rPr>
          <w:rFonts w:ascii="Times New Roman" w:eastAsia="Calibri" w:hAnsi="Times New Roman" w:cs="Times New Roman"/>
          <w:color w:val="000000"/>
          <w:sz w:val="24"/>
          <w:szCs w:val="24"/>
        </w:rPr>
        <w:t>omik büyüme arasında istatistiksel</w:t>
      </w:r>
      <w:r w:rsidRPr="00E036A9">
        <w:rPr>
          <w:rFonts w:ascii="Times New Roman" w:eastAsia="Calibri" w:hAnsi="Times New Roman" w:cs="Times New Roman"/>
          <w:color w:val="000000"/>
          <w:sz w:val="24"/>
          <w:szCs w:val="24"/>
        </w:rPr>
        <w:t xml:space="preserve"> olarak anlamlı bir ilişkinin bulunmadığı sonucuna ulaşılmıştır</w:t>
      </w:r>
      <w:r w:rsidR="00A91F34" w:rsidRPr="00E036A9">
        <w:rPr>
          <w:rFonts w:ascii="Times New Roman" w:eastAsia="Calibri" w:hAnsi="Times New Roman" w:cs="Times New Roman"/>
          <w:color w:val="000000"/>
          <w:sz w:val="24"/>
          <w:szCs w:val="24"/>
        </w:rPr>
        <w:t xml:space="preserve">. </w:t>
      </w:r>
      <w:r w:rsidRPr="00E036A9">
        <w:rPr>
          <w:rFonts w:ascii="Times New Roman" w:eastAsia="Calibri" w:hAnsi="Times New Roman" w:cs="Times New Roman"/>
          <w:color w:val="000000"/>
          <w:sz w:val="24"/>
          <w:szCs w:val="24"/>
        </w:rPr>
        <w:t>Yardımcıoğlu (2012), 1975-2008 dönemini baz alarak 25 OECD ülkesinden oluşan bir örneklem için yaptığı çalışmada, uzun dönemde sağlık ve ekonomik büyüme arasında çift yönlü nedensellik ilişkisinin olduğu sonucuna ulaşmıştır</w:t>
      </w:r>
      <w:r w:rsidR="00B01692">
        <w:rPr>
          <w:rFonts w:ascii="Times New Roman" w:eastAsia="Calibri" w:hAnsi="Times New Roman" w:cs="Times New Roman"/>
          <w:color w:val="000000"/>
          <w:sz w:val="24"/>
          <w:szCs w:val="24"/>
        </w:rPr>
        <w:t xml:space="preserve">. Akıncı </w:t>
      </w:r>
      <w:r w:rsidR="00B01692" w:rsidRPr="00EF0E1F">
        <w:rPr>
          <w:rFonts w:ascii="Times New Roman" w:hAnsi="Times New Roman" w:cs="Times New Roman"/>
          <w:sz w:val="24"/>
          <w:szCs w:val="24"/>
        </w:rPr>
        <w:t>&amp;</w:t>
      </w:r>
      <w:r w:rsidR="00B01692">
        <w:rPr>
          <w:rFonts w:ascii="Times New Roman" w:eastAsia="Calibri" w:hAnsi="Times New Roman" w:cs="Times New Roman"/>
          <w:color w:val="000000"/>
          <w:sz w:val="24"/>
          <w:szCs w:val="24"/>
        </w:rPr>
        <w:t xml:space="preserve"> Tuncer (2016), Kamacı </w:t>
      </w:r>
      <w:r w:rsidR="00B01692" w:rsidRPr="00EF0E1F">
        <w:rPr>
          <w:rFonts w:ascii="Times New Roman" w:hAnsi="Times New Roman" w:cs="Times New Roman"/>
          <w:sz w:val="24"/>
          <w:szCs w:val="24"/>
        </w:rPr>
        <w:t>&amp;</w:t>
      </w:r>
      <w:r w:rsidR="00B01692">
        <w:rPr>
          <w:rFonts w:ascii="Times New Roman" w:eastAsia="Calibri" w:hAnsi="Times New Roman" w:cs="Times New Roman"/>
          <w:color w:val="000000"/>
          <w:sz w:val="24"/>
          <w:szCs w:val="24"/>
        </w:rPr>
        <w:t xml:space="preserve"> Yazıcı (2017) ve Saraçoğlu </w:t>
      </w:r>
      <w:r w:rsidR="00B01692" w:rsidRPr="00EF0E1F">
        <w:rPr>
          <w:rFonts w:ascii="Times New Roman" w:hAnsi="Times New Roman" w:cs="Times New Roman"/>
          <w:sz w:val="24"/>
          <w:szCs w:val="24"/>
        </w:rPr>
        <w:t>&amp;</w:t>
      </w:r>
      <w:r w:rsidR="006A5098" w:rsidRPr="00E036A9">
        <w:rPr>
          <w:rFonts w:ascii="Times New Roman" w:eastAsia="Calibri" w:hAnsi="Times New Roman" w:cs="Times New Roman"/>
          <w:color w:val="000000"/>
          <w:sz w:val="24"/>
          <w:szCs w:val="24"/>
        </w:rPr>
        <w:t xml:space="preserve"> Songur (2017) tarafından yapılan çalışmalarda da benzer sonuçlar elde edilmiş ve de</w:t>
      </w:r>
      <w:r w:rsidR="00A91F34" w:rsidRPr="00E036A9">
        <w:rPr>
          <w:rFonts w:ascii="Times New Roman" w:eastAsia="Calibri" w:hAnsi="Times New Roman" w:cs="Times New Roman"/>
          <w:color w:val="000000"/>
          <w:sz w:val="24"/>
          <w:szCs w:val="24"/>
        </w:rPr>
        <w:t>ğişkenler arasında nedensellik ilişkileri tespit edilmiştir</w:t>
      </w:r>
      <w:r w:rsidR="006A5098" w:rsidRPr="00E036A9">
        <w:rPr>
          <w:rFonts w:ascii="Times New Roman" w:eastAsia="Calibri" w:hAnsi="Times New Roman" w:cs="Times New Roman"/>
          <w:color w:val="000000"/>
          <w:sz w:val="24"/>
          <w:szCs w:val="24"/>
        </w:rPr>
        <w:t>.</w:t>
      </w:r>
      <w:r w:rsidRPr="00E036A9">
        <w:rPr>
          <w:rFonts w:ascii="Times New Roman" w:eastAsia="Calibri" w:hAnsi="Times New Roman" w:cs="Times New Roman"/>
          <w:color w:val="000000"/>
          <w:sz w:val="24"/>
          <w:szCs w:val="24"/>
        </w:rPr>
        <w:t xml:space="preserve"> </w:t>
      </w:r>
    </w:p>
    <w:p w:rsidR="0042289E" w:rsidRPr="00E036A9" w:rsidRDefault="00B01692" w:rsidP="0088707A">
      <w:pPr>
        <w:widowControl w:val="0"/>
        <w:tabs>
          <w:tab w:val="left" w:pos="220"/>
          <w:tab w:val="left" w:pos="720"/>
        </w:tabs>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Uçan </w:t>
      </w:r>
      <w:r w:rsidRPr="00EF0E1F">
        <w:rPr>
          <w:rFonts w:ascii="Times New Roman" w:hAnsi="Times New Roman" w:cs="Times New Roman"/>
          <w:sz w:val="24"/>
          <w:szCs w:val="24"/>
        </w:rPr>
        <w:t>&amp;</w:t>
      </w:r>
      <w:r>
        <w:rPr>
          <w:rFonts w:ascii="Times New Roman" w:eastAsia="Calibri" w:hAnsi="Times New Roman" w:cs="Times New Roman"/>
          <w:color w:val="000000"/>
          <w:sz w:val="24"/>
          <w:szCs w:val="24"/>
        </w:rPr>
        <w:t xml:space="preserve"> Atay (2016) ve Cebeci </w:t>
      </w:r>
      <w:r w:rsidRPr="00EF0E1F">
        <w:rPr>
          <w:rFonts w:ascii="Times New Roman" w:hAnsi="Times New Roman" w:cs="Times New Roman"/>
          <w:sz w:val="24"/>
          <w:szCs w:val="24"/>
        </w:rPr>
        <w:t>&amp;</w:t>
      </w:r>
      <w:r w:rsidR="0042289E" w:rsidRPr="00E036A9">
        <w:rPr>
          <w:rFonts w:ascii="Times New Roman" w:eastAsia="Calibri" w:hAnsi="Times New Roman" w:cs="Times New Roman"/>
          <w:color w:val="000000"/>
          <w:sz w:val="24"/>
          <w:szCs w:val="24"/>
        </w:rPr>
        <w:t xml:space="preserve"> Ay (2016) tarafından yapılan çalışmalarda, ekonomik büyüme ve sağlık harcamaları arasında pozitif bir ilişkinin varlığına ilişkin b</w:t>
      </w:r>
      <w:r w:rsidR="00014135">
        <w:rPr>
          <w:rFonts w:ascii="Times New Roman" w:eastAsia="Calibri" w:hAnsi="Times New Roman" w:cs="Times New Roman"/>
          <w:color w:val="000000"/>
          <w:sz w:val="24"/>
          <w:szCs w:val="24"/>
        </w:rPr>
        <w:t xml:space="preserve">ulgular elde edilmiştir. Kareem ve diğerleri </w:t>
      </w:r>
      <w:r w:rsidR="0042289E" w:rsidRPr="00E036A9">
        <w:rPr>
          <w:rFonts w:ascii="Times New Roman" w:eastAsia="Calibri" w:hAnsi="Times New Roman" w:cs="Times New Roman"/>
          <w:color w:val="000000"/>
          <w:sz w:val="24"/>
          <w:szCs w:val="24"/>
        </w:rPr>
        <w:t xml:space="preserve">(2017), </w:t>
      </w:r>
      <w:r w:rsidR="00AE209E">
        <w:rPr>
          <w:rFonts w:ascii="Times New Roman" w:eastAsia="Calibri" w:hAnsi="Times New Roman" w:cs="Times New Roman"/>
          <w:color w:val="000000"/>
          <w:sz w:val="24"/>
          <w:szCs w:val="24"/>
        </w:rPr>
        <w:t xml:space="preserve">Nijerya için </w:t>
      </w:r>
      <w:r w:rsidR="0042289E" w:rsidRPr="00E036A9">
        <w:rPr>
          <w:rFonts w:ascii="Times New Roman" w:eastAsia="Calibri" w:hAnsi="Times New Roman" w:cs="Times New Roman"/>
          <w:color w:val="000000"/>
          <w:sz w:val="24"/>
          <w:szCs w:val="24"/>
        </w:rPr>
        <w:t>sağlık harcamaları göstergeleri olarak sağlık</w:t>
      </w:r>
      <w:r w:rsidR="006A5098" w:rsidRPr="00E036A9">
        <w:rPr>
          <w:rFonts w:ascii="Times New Roman" w:eastAsia="Calibri" w:hAnsi="Times New Roman" w:cs="Times New Roman"/>
          <w:color w:val="000000"/>
          <w:sz w:val="24"/>
          <w:szCs w:val="24"/>
        </w:rPr>
        <w:t>ta</w:t>
      </w:r>
      <w:r w:rsidR="00A91F34" w:rsidRPr="00E036A9">
        <w:rPr>
          <w:rFonts w:ascii="Times New Roman" w:eastAsia="Calibri" w:hAnsi="Times New Roman" w:cs="Times New Roman"/>
          <w:color w:val="000000"/>
          <w:sz w:val="24"/>
          <w:szCs w:val="24"/>
        </w:rPr>
        <w:t xml:space="preserve"> yatırım harcamaları </w:t>
      </w:r>
      <w:r w:rsidR="0042289E" w:rsidRPr="00E036A9">
        <w:rPr>
          <w:rFonts w:ascii="Times New Roman" w:eastAsia="Calibri" w:hAnsi="Times New Roman" w:cs="Times New Roman"/>
          <w:color w:val="000000"/>
          <w:sz w:val="24"/>
          <w:szCs w:val="24"/>
        </w:rPr>
        <w:t>ve toplam sağlık harcamalarını kullandıkları çalışmada, kullanılan değişkenlerin ekonomik büyüme üzerindeki etkisinin önemli olduğu</w:t>
      </w:r>
      <w:r w:rsidR="00014135">
        <w:rPr>
          <w:rFonts w:ascii="Times New Roman" w:eastAsia="Calibri" w:hAnsi="Times New Roman" w:cs="Times New Roman"/>
          <w:color w:val="000000"/>
          <w:sz w:val="24"/>
          <w:szCs w:val="24"/>
        </w:rPr>
        <w:t xml:space="preserve">na dikkat çekmişlerdir. Tıraş </w:t>
      </w:r>
      <w:r w:rsidR="00014135" w:rsidRPr="00EF0E1F">
        <w:rPr>
          <w:rFonts w:ascii="Times New Roman" w:hAnsi="Times New Roman" w:cs="Times New Roman"/>
          <w:sz w:val="24"/>
          <w:szCs w:val="24"/>
        </w:rPr>
        <w:t>&amp;</w:t>
      </w:r>
      <w:r w:rsidR="0042289E" w:rsidRPr="00E036A9">
        <w:rPr>
          <w:rFonts w:ascii="Times New Roman" w:eastAsia="Calibri" w:hAnsi="Times New Roman" w:cs="Times New Roman"/>
          <w:color w:val="000000"/>
          <w:sz w:val="24"/>
          <w:szCs w:val="24"/>
        </w:rPr>
        <w:t xml:space="preserve"> Ağır (2018) tarafından 36 OECD ülkesi için yapılan çalışmada, 28 ülkenin gelir</w:t>
      </w:r>
      <w:r w:rsidR="00A91F34" w:rsidRPr="00E036A9">
        <w:rPr>
          <w:rFonts w:ascii="Times New Roman" w:eastAsia="Calibri" w:hAnsi="Times New Roman" w:cs="Times New Roman"/>
          <w:color w:val="000000"/>
          <w:sz w:val="24"/>
          <w:szCs w:val="24"/>
        </w:rPr>
        <w:t xml:space="preserve"> ve sağlık harcamaları</w:t>
      </w:r>
      <w:r w:rsidR="0042289E" w:rsidRPr="00E036A9">
        <w:rPr>
          <w:rFonts w:ascii="Times New Roman" w:eastAsia="Calibri" w:hAnsi="Times New Roman" w:cs="Times New Roman"/>
          <w:color w:val="000000"/>
          <w:sz w:val="24"/>
          <w:szCs w:val="24"/>
        </w:rPr>
        <w:t xml:space="preserve"> arasında nedensellik ilişkisi bulunmasına karşın, kalan 8 ülkede gel</w:t>
      </w:r>
      <w:r w:rsidR="00A91F34" w:rsidRPr="00E036A9">
        <w:rPr>
          <w:rFonts w:ascii="Times New Roman" w:eastAsia="Calibri" w:hAnsi="Times New Roman" w:cs="Times New Roman"/>
          <w:color w:val="000000"/>
          <w:sz w:val="24"/>
          <w:szCs w:val="24"/>
        </w:rPr>
        <w:t>ir ve sağlık harcamaları</w:t>
      </w:r>
      <w:r w:rsidR="0042289E" w:rsidRPr="00E036A9">
        <w:rPr>
          <w:rFonts w:ascii="Times New Roman" w:eastAsia="Calibri" w:hAnsi="Times New Roman" w:cs="Times New Roman"/>
          <w:color w:val="000000"/>
          <w:sz w:val="24"/>
          <w:szCs w:val="24"/>
        </w:rPr>
        <w:t xml:space="preserve"> arasında herhangi bir nedensellik </w:t>
      </w:r>
      <w:r w:rsidR="00014135">
        <w:rPr>
          <w:rFonts w:ascii="Times New Roman" w:eastAsia="Calibri" w:hAnsi="Times New Roman" w:cs="Times New Roman"/>
          <w:color w:val="000000"/>
          <w:sz w:val="24"/>
          <w:szCs w:val="24"/>
        </w:rPr>
        <w:t xml:space="preserve">ilişkisi bulunmamıştır. Özkan </w:t>
      </w:r>
      <w:r w:rsidR="00014135" w:rsidRPr="00EF0E1F">
        <w:rPr>
          <w:rFonts w:ascii="Times New Roman" w:hAnsi="Times New Roman" w:cs="Times New Roman"/>
          <w:sz w:val="24"/>
          <w:szCs w:val="24"/>
        </w:rPr>
        <w:t>&amp;</w:t>
      </w:r>
      <w:r w:rsidR="0042289E" w:rsidRPr="00E036A9">
        <w:rPr>
          <w:rFonts w:ascii="Times New Roman" w:eastAsia="Calibri" w:hAnsi="Times New Roman" w:cs="Times New Roman"/>
          <w:color w:val="000000"/>
          <w:sz w:val="24"/>
          <w:szCs w:val="24"/>
        </w:rPr>
        <w:t xml:space="preserve"> Zengin (2018),  Tıraş (2018</w:t>
      </w:r>
      <w:r w:rsidR="00014135">
        <w:rPr>
          <w:rFonts w:ascii="Times New Roman" w:eastAsia="Calibri" w:hAnsi="Times New Roman" w:cs="Times New Roman"/>
          <w:color w:val="000000"/>
          <w:sz w:val="24"/>
          <w:szCs w:val="24"/>
        </w:rPr>
        <w:t xml:space="preserve">) ve Şen </w:t>
      </w:r>
      <w:r w:rsidR="00014135" w:rsidRPr="00EF0E1F">
        <w:rPr>
          <w:rFonts w:ascii="Times New Roman" w:hAnsi="Times New Roman" w:cs="Times New Roman"/>
          <w:sz w:val="24"/>
          <w:szCs w:val="24"/>
        </w:rPr>
        <w:t>&amp;</w:t>
      </w:r>
      <w:r w:rsidR="0042289E" w:rsidRPr="00E036A9">
        <w:rPr>
          <w:rFonts w:ascii="Times New Roman" w:eastAsia="Calibri" w:hAnsi="Times New Roman" w:cs="Times New Roman"/>
          <w:color w:val="000000"/>
          <w:sz w:val="24"/>
          <w:szCs w:val="24"/>
        </w:rPr>
        <w:t xml:space="preserve"> Bingöl (2018) tarafından yapılan çalışmalarda ise ekonomik büyüme ve sağlık harcamaları arasında çift yönlü nedensellik ilişkilerinin olduğu</w:t>
      </w:r>
      <w:r w:rsidR="00014135">
        <w:rPr>
          <w:rFonts w:ascii="Times New Roman" w:eastAsia="Calibri" w:hAnsi="Times New Roman" w:cs="Times New Roman"/>
          <w:color w:val="000000"/>
          <w:sz w:val="24"/>
          <w:szCs w:val="24"/>
        </w:rPr>
        <w:t xml:space="preserve"> sonucuna ulaşılmıştır. Kılıç </w:t>
      </w:r>
      <w:r w:rsidR="00014135" w:rsidRPr="00EF0E1F">
        <w:rPr>
          <w:rFonts w:ascii="Times New Roman" w:hAnsi="Times New Roman" w:cs="Times New Roman"/>
          <w:sz w:val="24"/>
          <w:szCs w:val="24"/>
        </w:rPr>
        <w:t>&amp;</w:t>
      </w:r>
      <w:r w:rsidR="0042289E" w:rsidRPr="00E036A9">
        <w:rPr>
          <w:rFonts w:ascii="Times New Roman" w:eastAsia="Calibri" w:hAnsi="Times New Roman" w:cs="Times New Roman"/>
          <w:color w:val="000000"/>
          <w:sz w:val="24"/>
          <w:szCs w:val="24"/>
        </w:rPr>
        <w:t xml:space="preserve"> Özbek (2018), 32 OECD ülke veri seti ve 1995-2013 dönemini baz alarak ekonomik büyüme üzerinde sağlık ve eğitim harcamalarının etkilerini araştırmışlardır. Yapılan çalışma sonuçlarına göre, sağlık harcamalarındaki %1’lik bir artışın, ekonomik büyüme üzerinde % 0.21’lik bir artışa neden</w:t>
      </w:r>
      <w:r w:rsidR="006A5098" w:rsidRPr="00E036A9">
        <w:rPr>
          <w:rFonts w:ascii="Times New Roman" w:eastAsia="Calibri" w:hAnsi="Times New Roman" w:cs="Times New Roman"/>
          <w:color w:val="000000"/>
          <w:sz w:val="24"/>
          <w:szCs w:val="24"/>
        </w:rPr>
        <w:t xml:space="preserve"> olduğu</w:t>
      </w:r>
      <w:r w:rsidR="00014135">
        <w:rPr>
          <w:rFonts w:ascii="Times New Roman" w:eastAsia="Calibri" w:hAnsi="Times New Roman" w:cs="Times New Roman"/>
          <w:color w:val="000000"/>
          <w:sz w:val="24"/>
          <w:szCs w:val="24"/>
        </w:rPr>
        <w:t xml:space="preserve"> saptanmıştır. </w:t>
      </w:r>
      <w:r w:rsidR="00014135" w:rsidRPr="00EF0E1F">
        <w:rPr>
          <w:rFonts w:ascii="Times New Roman" w:hAnsi="Times New Roman" w:cs="Times New Roman"/>
          <w:sz w:val="24"/>
          <w:szCs w:val="24"/>
        </w:rPr>
        <w:t>Çalışka</w:t>
      </w:r>
      <w:r w:rsidR="00014135">
        <w:rPr>
          <w:rFonts w:ascii="Times New Roman" w:hAnsi="Times New Roman" w:cs="Times New Roman"/>
          <w:sz w:val="24"/>
          <w:szCs w:val="24"/>
        </w:rPr>
        <w:t>n, Karabacak &amp; Meçik</w:t>
      </w:r>
      <w:r w:rsidR="0042289E" w:rsidRPr="00E036A9">
        <w:rPr>
          <w:rFonts w:ascii="Times New Roman" w:eastAsia="Calibri" w:hAnsi="Times New Roman" w:cs="Times New Roman"/>
          <w:color w:val="000000"/>
          <w:sz w:val="24"/>
          <w:szCs w:val="24"/>
        </w:rPr>
        <w:t xml:space="preserve"> (2018) tarafından yapılan çalışmada, Türkiye’nin 1998-2016 dönemi baz alınarak sağlık, eğitim ve sosyal hizmet harcamalarının ekonomik büyüme üzerindeki etkileri incelenmiştir. Ampirik bulgulara göre, sağlık harcamalar</w:t>
      </w:r>
      <w:r w:rsidR="003513C9" w:rsidRPr="00E036A9">
        <w:rPr>
          <w:rFonts w:ascii="Times New Roman" w:eastAsia="Calibri" w:hAnsi="Times New Roman" w:cs="Times New Roman"/>
          <w:color w:val="000000"/>
          <w:sz w:val="24"/>
          <w:szCs w:val="24"/>
        </w:rPr>
        <w:t>ının ekonomik büyümeyi pozitif etkilediği</w:t>
      </w:r>
      <w:r w:rsidR="0042289E" w:rsidRPr="00E036A9">
        <w:rPr>
          <w:rFonts w:ascii="Times New Roman" w:eastAsia="Calibri" w:hAnsi="Times New Roman" w:cs="Times New Roman"/>
          <w:color w:val="000000"/>
          <w:sz w:val="24"/>
          <w:szCs w:val="24"/>
        </w:rPr>
        <w:t xml:space="preserve"> tespit edilmiştir. </w:t>
      </w:r>
    </w:p>
    <w:p w:rsidR="0042289E" w:rsidRPr="00E036A9" w:rsidRDefault="00014135" w:rsidP="0088707A">
      <w:pPr>
        <w:widowControl w:val="0"/>
        <w:tabs>
          <w:tab w:val="left" w:pos="220"/>
          <w:tab w:val="left" w:pos="720"/>
        </w:tabs>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rPr>
      </w:pPr>
      <w:r w:rsidRPr="00EF0E1F">
        <w:rPr>
          <w:rFonts w:ascii="Times New Roman" w:hAnsi="Times New Roman" w:cs="Times New Roman"/>
          <w:sz w:val="24"/>
          <w:szCs w:val="24"/>
        </w:rPr>
        <w:t>Şe</w:t>
      </w:r>
      <w:r>
        <w:rPr>
          <w:rFonts w:ascii="Times New Roman" w:hAnsi="Times New Roman" w:cs="Times New Roman"/>
          <w:sz w:val="24"/>
          <w:szCs w:val="24"/>
        </w:rPr>
        <w:t>n, Kaya &amp; Alpaslan</w:t>
      </w:r>
      <w:r w:rsidR="0042289E" w:rsidRPr="00E036A9">
        <w:rPr>
          <w:rFonts w:ascii="Times New Roman" w:eastAsia="Calibri" w:hAnsi="Times New Roman" w:cs="Times New Roman"/>
          <w:color w:val="000000"/>
          <w:sz w:val="24"/>
          <w:szCs w:val="24"/>
        </w:rPr>
        <w:t xml:space="preserve"> (2018) 1995-2012 dönemini baz alarak gelişmekte olan ülke gruplarının bulunduğu </w:t>
      </w:r>
      <w:r w:rsidR="00EB43A0" w:rsidRPr="00E036A9">
        <w:rPr>
          <w:rFonts w:ascii="Times New Roman" w:eastAsia="Calibri" w:hAnsi="Times New Roman" w:cs="Times New Roman"/>
          <w:color w:val="000000"/>
          <w:sz w:val="24"/>
          <w:szCs w:val="24"/>
        </w:rPr>
        <w:t xml:space="preserve">bir </w:t>
      </w:r>
      <w:r w:rsidR="0042289E" w:rsidRPr="00E036A9">
        <w:rPr>
          <w:rFonts w:ascii="Times New Roman" w:eastAsia="Calibri" w:hAnsi="Times New Roman" w:cs="Times New Roman"/>
          <w:color w:val="000000"/>
          <w:sz w:val="24"/>
          <w:szCs w:val="24"/>
        </w:rPr>
        <w:t xml:space="preserve">veri seti ile yaptıkları çalışmada, sağlık harcamaları ve ekonomik büyüme arasındaki nedensellik ilişkilerini araştırmışlardır. </w:t>
      </w:r>
      <w:r w:rsidR="00EB43A0" w:rsidRPr="00E036A9">
        <w:rPr>
          <w:rFonts w:ascii="Times New Roman" w:eastAsia="Calibri" w:hAnsi="Times New Roman" w:cs="Times New Roman"/>
          <w:color w:val="000000"/>
          <w:sz w:val="24"/>
          <w:szCs w:val="24"/>
        </w:rPr>
        <w:t>Ç</w:t>
      </w:r>
      <w:r w:rsidR="0042289E" w:rsidRPr="00E036A9">
        <w:rPr>
          <w:rFonts w:ascii="Times New Roman" w:eastAsia="Calibri" w:hAnsi="Times New Roman" w:cs="Times New Roman"/>
          <w:color w:val="000000"/>
          <w:sz w:val="24"/>
          <w:szCs w:val="24"/>
        </w:rPr>
        <w:t xml:space="preserve">alışmada, Brezilya ve Meksika için tek yönlü bir nedensellik ilişkisi bulunurken </w:t>
      </w:r>
      <w:r w:rsidR="003513C9" w:rsidRPr="00E036A9">
        <w:rPr>
          <w:rFonts w:ascii="Times New Roman" w:eastAsia="Calibri" w:hAnsi="Times New Roman" w:cs="Times New Roman"/>
          <w:color w:val="000000"/>
          <w:sz w:val="24"/>
          <w:szCs w:val="24"/>
        </w:rPr>
        <w:t xml:space="preserve">diğer ülkelerde </w:t>
      </w:r>
      <w:r w:rsidR="0042289E" w:rsidRPr="00E036A9">
        <w:rPr>
          <w:rFonts w:ascii="Times New Roman" w:eastAsia="Calibri" w:hAnsi="Times New Roman" w:cs="Times New Roman"/>
          <w:color w:val="000000"/>
          <w:sz w:val="24"/>
          <w:szCs w:val="24"/>
        </w:rPr>
        <w:t>herhangi bir nedensellik i</w:t>
      </w:r>
      <w:r>
        <w:rPr>
          <w:rFonts w:ascii="Times New Roman" w:eastAsia="Calibri" w:hAnsi="Times New Roman" w:cs="Times New Roman"/>
          <w:color w:val="000000"/>
          <w:sz w:val="24"/>
          <w:szCs w:val="24"/>
        </w:rPr>
        <w:t xml:space="preserve">lişkisi bulunamamıştır. Topçu </w:t>
      </w:r>
      <w:r w:rsidRPr="00EF0E1F">
        <w:rPr>
          <w:rFonts w:ascii="Times New Roman" w:hAnsi="Times New Roman" w:cs="Times New Roman"/>
          <w:sz w:val="24"/>
          <w:szCs w:val="24"/>
        </w:rPr>
        <w:t>&amp;</w:t>
      </w:r>
      <w:r w:rsidR="0042289E" w:rsidRPr="00E036A9">
        <w:rPr>
          <w:rFonts w:ascii="Times New Roman" w:eastAsia="Calibri" w:hAnsi="Times New Roman" w:cs="Times New Roman"/>
          <w:color w:val="000000"/>
          <w:sz w:val="24"/>
          <w:szCs w:val="24"/>
        </w:rPr>
        <w:t xml:space="preserve"> Atasayar (2020) tarafından yapılan benzer bir diğer çalışmada, 1999-2018 dönemi verileri kullanılarak gelişmiş ve gelişmekte olan ülkelerde ekonomik büyüme ve sağlık harcamaları ilişkisi incelenmiştir. Çalışmada elde edilen bulgular, ekonomik büyüme ve sağlık harcamaları arasındaki nedensellik ilişkisinin gelişmiş ülkelerde çift yönlü, gelişmekte olan ülkelerde ise t</w:t>
      </w:r>
      <w:r w:rsidR="00527C76" w:rsidRPr="00E036A9">
        <w:rPr>
          <w:rFonts w:ascii="Times New Roman" w:eastAsia="Calibri" w:hAnsi="Times New Roman" w:cs="Times New Roman"/>
          <w:color w:val="000000"/>
          <w:sz w:val="24"/>
          <w:szCs w:val="24"/>
        </w:rPr>
        <w:t xml:space="preserve">ek yönlü olduğunu göstermiştir. </w:t>
      </w:r>
      <w:r w:rsidR="0042289E" w:rsidRPr="00E036A9">
        <w:rPr>
          <w:rFonts w:ascii="Times New Roman" w:eastAsia="Calibri" w:hAnsi="Times New Roman" w:cs="Times New Roman"/>
          <w:color w:val="000000"/>
          <w:sz w:val="24"/>
          <w:szCs w:val="24"/>
        </w:rPr>
        <w:t>Ekonomik büyüme ve sağlık harcamaları ilişkisini inceleyen yakın dönem ça</w:t>
      </w:r>
      <w:r>
        <w:rPr>
          <w:rFonts w:ascii="Times New Roman" w:eastAsia="Calibri" w:hAnsi="Times New Roman" w:cs="Times New Roman"/>
          <w:color w:val="000000"/>
          <w:sz w:val="24"/>
          <w:szCs w:val="24"/>
        </w:rPr>
        <w:t xml:space="preserve">lışmalara bakıldığında; Erdem </w:t>
      </w:r>
      <w:r w:rsidRPr="00EF0E1F">
        <w:rPr>
          <w:rFonts w:ascii="Times New Roman" w:hAnsi="Times New Roman" w:cs="Times New Roman"/>
          <w:sz w:val="24"/>
          <w:szCs w:val="24"/>
        </w:rPr>
        <w:t>&amp;</w:t>
      </w:r>
      <w:r w:rsidR="0042289E" w:rsidRPr="00E036A9">
        <w:rPr>
          <w:rFonts w:ascii="Times New Roman" w:eastAsia="Calibri" w:hAnsi="Times New Roman" w:cs="Times New Roman"/>
          <w:color w:val="000000"/>
          <w:sz w:val="24"/>
          <w:szCs w:val="24"/>
        </w:rPr>
        <w:t xml:space="preserve"> Çelik (2019), Şahin ve Temelli (201</w:t>
      </w:r>
      <w:r w:rsidR="00202E81">
        <w:rPr>
          <w:rFonts w:ascii="Times New Roman" w:eastAsia="Calibri" w:hAnsi="Times New Roman" w:cs="Times New Roman"/>
          <w:color w:val="000000"/>
          <w:sz w:val="24"/>
          <w:szCs w:val="24"/>
        </w:rPr>
        <w:t>9) ve Kocabadak (2021)</w:t>
      </w:r>
      <w:r w:rsidR="0042289E" w:rsidRPr="00E036A9">
        <w:rPr>
          <w:rFonts w:ascii="Times New Roman" w:eastAsia="Calibri" w:hAnsi="Times New Roman" w:cs="Times New Roman"/>
          <w:color w:val="000000"/>
          <w:sz w:val="24"/>
          <w:szCs w:val="24"/>
        </w:rPr>
        <w:t>tarafından yapılan çalışmalarda değişkenler arasındaki ilişkinin anlamı olduğu sonucuna ulaşılmıştır.</w:t>
      </w:r>
      <w:r w:rsidR="00527C76" w:rsidRPr="00E036A9">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Çetiner </w:t>
      </w:r>
      <w:r w:rsidRPr="00EF0E1F">
        <w:rPr>
          <w:rFonts w:ascii="Times New Roman" w:hAnsi="Times New Roman" w:cs="Times New Roman"/>
          <w:sz w:val="24"/>
          <w:szCs w:val="24"/>
        </w:rPr>
        <w:t>&amp;</w:t>
      </w:r>
      <w:r w:rsidR="0042289E" w:rsidRPr="00E036A9">
        <w:rPr>
          <w:rFonts w:ascii="Times New Roman" w:eastAsia="Calibri" w:hAnsi="Times New Roman" w:cs="Times New Roman"/>
          <w:color w:val="000000"/>
          <w:sz w:val="24"/>
          <w:szCs w:val="24"/>
        </w:rPr>
        <w:t xml:space="preserve"> Çelik (2021) Türkiye’nin 1980-2019 dönemini baz alarak yaptıkları çalışmalarında, eğitim ve sağlık harcamaları ile ekonomik </w:t>
      </w:r>
      <w:r w:rsidR="0042289E" w:rsidRPr="00E036A9">
        <w:rPr>
          <w:rFonts w:ascii="Times New Roman" w:eastAsia="Calibri" w:hAnsi="Times New Roman" w:cs="Times New Roman"/>
          <w:color w:val="000000"/>
          <w:sz w:val="24"/>
          <w:szCs w:val="24"/>
        </w:rPr>
        <w:lastRenderedPageBreak/>
        <w:t xml:space="preserve">büyüme arasındaki ilişkiyi araştırmışlardır. Elde edilen sonuçlara göre, sağlık harcamalarında meydana gelen % 1’lik artışın, ekonomik büyüme üzerinde % 0,84’lük bir artış sağlayacağı tespit edilmiştir. </w:t>
      </w:r>
    </w:p>
    <w:p w:rsidR="0042289E" w:rsidRPr="00E036A9" w:rsidRDefault="00527C76" w:rsidP="0088707A">
      <w:pPr>
        <w:widowControl w:val="0"/>
        <w:tabs>
          <w:tab w:val="left" w:pos="220"/>
          <w:tab w:val="left" w:pos="720"/>
        </w:tabs>
        <w:autoSpaceDE w:val="0"/>
        <w:autoSpaceDN w:val="0"/>
        <w:adjustRightInd w:val="0"/>
        <w:spacing w:before="120" w:after="0" w:line="240" w:lineRule="auto"/>
        <w:ind w:firstLine="709"/>
        <w:jc w:val="both"/>
        <w:rPr>
          <w:rFonts w:ascii="Times New Roman" w:eastAsia="Calibri" w:hAnsi="Times New Roman" w:cs="Times New Roman"/>
          <w:color w:val="000000"/>
          <w:sz w:val="24"/>
          <w:szCs w:val="24"/>
        </w:rPr>
      </w:pPr>
      <w:r w:rsidRPr="00E036A9">
        <w:rPr>
          <w:rFonts w:ascii="Times New Roman" w:eastAsia="Calibri" w:hAnsi="Times New Roman" w:cs="Times New Roman"/>
          <w:color w:val="000000"/>
          <w:sz w:val="24"/>
          <w:szCs w:val="24"/>
        </w:rPr>
        <w:t>Literatüre bakıldığında</w:t>
      </w:r>
      <w:r w:rsidR="0042289E" w:rsidRPr="00E036A9">
        <w:rPr>
          <w:rFonts w:ascii="Times New Roman" w:eastAsia="Calibri" w:hAnsi="Times New Roman" w:cs="Times New Roman"/>
          <w:color w:val="000000"/>
          <w:sz w:val="24"/>
          <w:szCs w:val="24"/>
        </w:rPr>
        <w:t>, sağlık harcamaları ve ekonomik büyüme ilişkisi kapsamında yürütülen çalışmaların sınırlı bir kısm</w:t>
      </w:r>
      <w:r w:rsidR="00987C03">
        <w:rPr>
          <w:rFonts w:ascii="Times New Roman" w:eastAsia="Calibri" w:hAnsi="Times New Roman" w:cs="Times New Roman"/>
          <w:color w:val="000000"/>
          <w:sz w:val="24"/>
          <w:szCs w:val="24"/>
        </w:rPr>
        <w:t xml:space="preserve">ı iller özelinde incelenmiştir. </w:t>
      </w:r>
      <w:r w:rsidR="00014135">
        <w:rPr>
          <w:rFonts w:ascii="Times New Roman" w:eastAsia="Calibri" w:hAnsi="Times New Roman" w:cs="Times New Roman"/>
          <w:color w:val="000000"/>
          <w:sz w:val="24"/>
          <w:szCs w:val="24"/>
        </w:rPr>
        <w:t xml:space="preserve">Sağdıç </w:t>
      </w:r>
      <w:r w:rsidR="00014135" w:rsidRPr="00EF0E1F">
        <w:rPr>
          <w:rFonts w:ascii="Times New Roman" w:hAnsi="Times New Roman" w:cs="Times New Roman"/>
          <w:sz w:val="24"/>
          <w:szCs w:val="24"/>
        </w:rPr>
        <w:t>&amp;</w:t>
      </w:r>
      <w:r w:rsidR="0042289E" w:rsidRPr="00E036A9">
        <w:rPr>
          <w:rFonts w:ascii="Times New Roman" w:eastAsia="Calibri" w:hAnsi="Times New Roman" w:cs="Times New Roman"/>
          <w:color w:val="000000"/>
          <w:sz w:val="24"/>
          <w:szCs w:val="24"/>
        </w:rPr>
        <w:t xml:space="preserve"> Yıldız (2021) tarafından yapılan benzer bir çalışmada ise Türkiye’nin 2004-2019 dönemi baz alınarak ekonomik büyüme ve sağlık harca</w:t>
      </w:r>
      <w:r w:rsidR="00EB43A0" w:rsidRPr="00E036A9">
        <w:rPr>
          <w:rFonts w:ascii="Times New Roman" w:eastAsia="Calibri" w:hAnsi="Times New Roman" w:cs="Times New Roman"/>
          <w:color w:val="000000"/>
          <w:sz w:val="24"/>
          <w:szCs w:val="24"/>
        </w:rPr>
        <w:t>maları ilişkisi 81 il için</w:t>
      </w:r>
      <w:r w:rsidR="0042289E" w:rsidRPr="00E036A9">
        <w:rPr>
          <w:rFonts w:ascii="Times New Roman" w:eastAsia="Calibri" w:hAnsi="Times New Roman" w:cs="Times New Roman"/>
          <w:color w:val="000000"/>
          <w:sz w:val="24"/>
          <w:szCs w:val="24"/>
        </w:rPr>
        <w:t xml:space="preserve"> araştırılmıştır. Çalışmada elde edilen bulgulara göre, 30 ilde kamu sağlık harcamalarından ekonomik büyümeye doğru tek yönlü nedensellik ilişkisi bulunmuştur. İlgili literatürde, farklı ülke grupları ve farklı dönemler baz alınarak yapılan çalışma sonuçlarının genellikle benzer ve seriler arasındaki ilişkinin pozitif olması, sağlık harcamalarının ekonomik büyümeyi açıklamada güçlü bir değişken olduğunu göstermektedir. Dolayısıyla ekonomik büyüme ve sağlık harcamaları arasındaki pozitif ve </w:t>
      </w:r>
      <w:r w:rsidRPr="00E036A9">
        <w:rPr>
          <w:rFonts w:ascii="Times New Roman" w:eastAsia="Calibri" w:hAnsi="Times New Roman" w:cs="Times New Roman"/>
          <w:color w:val="000000"/>
          <w:sz w:val="24"/>
          <w:szCs w:val="24"/>
        </w:rPr>
        <w:t xml:space="preserve">var olan </w:t>
      </w:r>
      <w:r w:rsidR="0042289E" w:rsidRPr="00E036A9">
        <w:rPr>
          <w:rFonts w:ascii="Times New Roman" w:eastAsia="Calibri" w:hAnsi="Times New Roman" w:cs="Times New Roman"/>
          <w:color w:val="000000"/>
          <w:sz w:val="24"/>
          <w:szCs w:val="24"/>
        </w:rPr>
        <w:t>nedensellik ilişkileri</w:t>
      </w:r>
      <w:r w:rsidRPr="00E036A9">
        <w:rPr>
          <w:rFonts w:ascii="Times New Roman" w:eastAsia="Calibri" w:hAnsi="Times New Roman" w:cs="Times New Roman"/>
          <w:color w:val="000000"/>
          <w:sz w:val="24"/>
          <w:szCs w:val="24"/>
        </w:rPr>
        <w:t>, sağlık alanına yapılacak</w:t>
      </w:r>
      <w:r w:rsidR="0042289E" w:rsidRPr="00E036A9">
        <w:rPr>
          <w:rFonts w:ascii="Times New Roman" w:eastAsia="Calibri" w:hAnsi="Times New Roman" w:cs="Times New Roman"/>
          <w:color w:val="000000"/>
          <w:sz w:val="24"/>
          <w:szCs w:val="24"/>
        </w:rPr>
        <w:t xml:space="preserve"> yatırımların önemli olduğunu göstermektedir.</w:t>
      </w:r>
      <w:r w:rsidR="00014135">
        <w:rPr>
          <w:rFonts w:ascii="Times New Roman" w:eastAsia="Calibri" w:hAnsi="Times New Roman" w:cs="Times New Roman"/>
          <w:color w:val="000000"/>
          <w:sz w:val="24"/>
          <w:szCs w:val="24"/>
        </w:rPr>
        <w:t xml:space="preserve"> </w:t>
      </w:r>
      <w:r w:rsidR="0042289E" w:rsidRPr="00E036A9">
        <w:rPr>
          <w:rFonts w:ascii="Times New Roman" w:eastAsia="Calibri" w:hAnsi="Times New Roman" w:cs="Times New Roman"/>
          <w:color w:val="000000"/>
          <w:sz w:val="24"/>
          <w:szCs w:val="24"/>
        </w:rPr>
        <w:t xml:space="preserve"> </w:t>
      </w:r>
    </w:p>
    <w:p w:rsidR="00814EC5" w:rsidRPr="0088707A" w:rsidRDefault="00C341CB" w:rsidP="0088707A">
      <w:pPr>
        <w:widowControl w:val="0"/>
        <w:tabs>
          <w:tab w:val="left" w:pos="220"/>
          <w:tab w:val="left" w:pos="720"/>
        </w:tabs>
        <w:autoSpaceDE w:val="0"/>
        <w:autoSpaceDN w:val="0"/>
        <w:adjustRightInd w:val="0"/>
        <w:spacing w:before="120"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Pr="0088707A">
        <w:rPr>
          <w:rFonts w:ascii="Times New Roman" w:eastAsia="Calibri" w:hAnsi="Times New Roman" w:cs="Times New Roman"/>
          <w:b/>
          <w:color w:val="000000"/>
          <w:sz w:val="24"/>
          <w:szCs w:val="24"/>
        </w:rPr>
        <w:t>. ANALİZ</w:t>
      </w:r>
    </w:p>
    <w:p w:rsidR="00814EC5" w:rsidRPr="0088707A" w:rsidRDefault="00C341CB" w:rsidP="0088707A">
      <w:pPr>
        <w:widowControl w:val="0"/>
        <w:tabs>
          <w:tab w:val="left" w:pos="220"/>
          <w:tab w:val="left" w:pos="720"/>
        </w:tabs>
        <w:autoSpaceDE w:val="0"/>
        <w:autoSpaceDN w:val="0"/>
        <w:adjustRightInd w:val="0"/>
        <w:spacing w:before="120" w:after="12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4</w:t>
      </w:r>
      <w:r w:rsidR="00EB43A0" w:rsidRPr="0088707A">
        <w:rPr>
          <w:rFonts w:ascii="Times New Roman" w:eastAsia="Calibri" w:hAnsi="Times New Roman" w:cs="Times New Roman"/>
          <w:b/>
          <w:color w:val="000000"/>
          <w:sz w:val="24"/>
          <w:szCs w:val="24"/>
        </w:rPr>
        <w:t xml:space="preserve">.1. </w:t>
      </w:r>
      <w:r w:rsidR="00814EC5" w:rsidRPr="0088707A">
        <w:rPr>
          <w:rFonts w:ascii="Times New Roman" w:eastAsia="Calibri" w:hAnsi="Times New Roman" w:cs="Times New Roman"/>
          <w:b/>
          <w:color w:val="000000"/>
          <w:sz w:val="24"/>
          <w:szCs w:val="24"/>
        </w:rPr>
        <w:t>Veri Seti</w:t>
      </w:r>
    </w:p>
    <w:p w:rsidR="00EB43A0" w:rsidRPr="0088707A" w:rsidRDefault="00EB43A0" w:rsidP="0088707A">
      <w:pPr>
        <w:tabs>
          <w:tab w:val="left" w:pos="5370"/>
        </w:tabs>
        <w:spacing w:before="120" w:after="0" w:line="240" w:lineRule="auto"/>
        <w:ind w:firstLine="709"/>
        <w:contextualSpacing/>
        <w:jc w:val="both"/>
        <w:rPr>
          <w:rFonts w:ascii="Times New Roman" w:eastAsia="Arial" w:hAnsi="Times New Roman" w:cs="Times New Roman"/>
          <w:sz w:val="24"/>
          <w:szCs w:val="24"/>
        </w:rPr>
      </w:pPr>
      <w:r w:rsidRPr="0088707A">
        <w:rPr>
          <w:rFonts w:ascii="Times New Roman" w:eastAsia="Arial" w:hAnsi="Times New Roman" w:cs="Times New Roman"/>
          <w:sz w:val="24"/>
          <w:szCs w:val="24"/>
        </w:rPr>
        <w:t>Sağlık harcamaları ve büyüme ilişkisinin incelendiği bu çalışmada, Türkiye’de 81 ilin yıllık verilerden oluşan 2004-2020 dönemine ait 1’i bağımlı ve 2’si bağımsız olmak üzere toplam 3 değişken kullanılmıştır. Makroekonomik performans göstergesi olarak kullanılan bağımlı değişken, kişi başı</w:t>
      </w:r>
      <w:r w:rsidR="001F1709" w:rsidRPr="0088707A">
        <w:rPr>
          <w:rFonts w:ascii="Times New Roman" w:eastAsia="Arial" w:hAnsi="Times New Roman" w:cs="Times New Roman"/>
          <w:sz w:val="24"/>
          <w:szCs w:val="24"/>
        </w:rPr>
        <w:t xml:space="preserve"> gayri safi yurtiçi hasıla</w:t>
      </w:r>
      <w:r w:rsidRPr="0088707A">
        <w:rPr>
          <w:rFonts w:ascii="Times New Roman" w:eastAsia="Arial" w:hAnsi="Times New Roman" w:cs="Times New Roman"/>
          <w:sz w:val="24"/>
          <w:szCs w:val="24"/>
        </w:rPr>
        <w:t xml:space="preserve"> </w:t>
      </w:r>
      <w:r w:rsidRPr="0088707A">
        <w:rPr>
          <w:rFonts w:ascii="Times New Roman" w:eastAsia="Arial" w:hAnsi="Times New Roman" w:cs="Times New Roman"/>
          <w:i/>
          <w:sz w:val="24"/>
          <w:szCs w:val="24"/>
        </w:rPr>
        <w:t>(KBGSYH)</w:t>
      </w:r>
      <w:r w:rsidRPr="0088707A">
        <w:rPr>
          <w:rFonts w:ascii="Times New Roman" w:eastAsia="Arial" w:hAnsi="Times New Roman" w:cs="Times New Roman"/>
          <w:sz w:val="24"/>
          <w:szCs w:val="24"/>
        </w:rPr>
        <w:t xml:space="preserve"> şeklindedir. Beşeri sermayenin gelişiminde kritik bir öneme sahip olan ve burada kişi başı </w:t>
      </w:r>
      <w:r w:rsidRPr="0088707A">
        <w:rPr>
          <w:rFonts w:ascii="Times New Roman" w:eastAsia="Arial" w:hAnsi="Times New Roman" w:cs="Times New Roman"/>
          <w:i/>
          <w:sz w:val="24"/>
          <w:szCs w:val="24"/>
        </w:rPr>
        <w:t>GSYH</w:t>
      </w:r>
      <w:r w:rsidRPr="0088707A">
        <w:rPr>
          <w:rFonts w:ascii="Times New Roman" w:eastAsia="Arial" w:hAnsi="Times New Roman" w:cs="Times New Roman"/>
          <w:sz w:val="24"/>
          <w:szCs w:val="24"/>
        </w:rPr>
        <w:t xml:space="preserve">’yi açıklamada kullanılan bağımsız değişken ise iller düzeyinde yapılan sağlık harcamalarıdır </w:t>
      </w:r>
      <w:r w:rsidRPr="0088707A">
        <w:rPr>
          <w:rFonts w:ascii="Times New Roman" w:eastAsia="Arial" w:hAnsi="Times New Roman" w:cs="Times New Roman"/>
          <w:i/>
          <w:sz w:val="24"/>
          <w:szCs w:val="24"/>
        </w:rPr>
        <w:t>(SH)</w:t>
      </w:r>
      <w:r w:rsidRPr="0088707A">
        <w:rPr>
          <w:rFonts w:ascii="Times New Roman" w:eastAsia="Arial" w:hAnsi="Times New Roman" w:cs="Times New Roman"/>
          <w:sz w:val="24"/>
          <w:szCs w:val="24"/>
        </w:rPr>
        <w:t xml:space="preserve">. Beşeri sermayeye olan katkısı dolayısıyla çalışmada, iller düzeyinde yapılan eğitim harcamaları da </w:t>
      </w:r>
      <w:r w:rsidRPr="0088707A">
        <w:rPr>
          <w:rFonts w:ascii="Times New Roman" w:eastAsia="Arial" w:hAnsi="Times New Roman" w:cs="Times New Roman"/>
          <w:i/>
          <w:sz w:val="24"/>
          <w:szCs w:val="24"/>
        </w:rPr>
        <w:t>(EH)</w:t>
      </w:r>
      <w:r w:rsidRPr="0088707A">
        <w:rPr>
          <w:rFonts w:ascii="Times New Roman" w:eastAsia="Arial" w:hAnsi="Times New Roman" w:cs="Times New Roman"/>
          <w:sz w:val="24"/>
          <w:szCs w:val="24"/>
        </w:rPr>
        <w:t xml:space="preserve"> bağımsız ve bir kontrol değişkeni olarak kullanılmıştır. </w:t>
      </w:r>
      <w:r w:rsidR="00814EC5" w:rsidRPr="0088707A">
        <w:rPr>
          <w:rFonts w:ascii="Times New Roman" w:eastAsia="Arial" w:hAnsi="Times New Roman" w:cs="Times New Roman"/>
          <w:sz w:val="24"/>
          <w:szCs w:val="24"/>
        </w:rPr>
        <w:t>Veri setine ait değişkenler Tablo 1’de verilmiştir.</w:t>
      </w:r>
      <w:r w:rsidR="001F1709" w:rsidRPr="0088707A">
        <w:rPr>
          <w:rFonts w:ascii="Times New Roman" w:eastAsia="Arial" w:hAnsi="Times New Roman" w:cs="Times New Roman"/>
          <w:sz w:val="24"/>
          <w:szCs w:val="24"/>
        </w:rPr>
        <w:t xml:space="preserve"> </w:t>
      </w:r>
    </w:p>
    <w:p w:rsidR="00814EC5" w:rsidRPr="00A82D3D" w:rsidRDefault="00814EC5" w:rsidP="0088707A">
      <w:pPr>
        <w:spacing w:before="120" w:after="0" w:line="240" w:lineRule="auto"/>
        <w:jc w:val="center"/>
        <w:rPr>
          <w:rFonts w:ascii="Times New Roman" w:eastAsia="Calibri" w:hAnsi="Times New Roman" w:cs="Times New Roman"/>
          <w:b/>
          <w:sz w:val="24"/>
          <w:szCs w:val="24"/>
        </w:rPr>
      </w:pPr>
      <w:bookmarkStart w:id="0" w:name="_Toc106199891"/>
      <w:bookmarkStart w:id="1" w:name="_Toc106201421"/>
      <w:bookmarkStart w:id="2" w:name="_Toc109756262"/>
      <w:bookmarkStart w:id="3" w:name="_Toc105838091"/>
      <w:bookmarkStart w:id="4" w:name="_Toc106201234"/>
      <w:r w:rsidRPr="00A82D3D">
        <w:rPr>
          <w:rFonts w:ascii="Times New Roman" w:eastAsia="Arial" w:hAnsi="Times New Roman" w:cs="Times New Roman"/>
          <w:b/>
          <w:sz w:val="24"/>
          <w:szCs w:val="24"/>
        </w:rPr>
        <w:t>Tablo 1</w:t>
      </w:r>
      <w:bookmarkEnd w:id="0"/>
      <w:r w:rsidRPr="00A82D3D">
        <w:rPr>
          <w:rFonts w:ascii="Times New Roman" w:eastAsia="Arial" w:hAnsi="Times New Roman" w:cs="Times New Roman"/>
          <w:b/>
          <w:sz w:val="24"/>
          <w:szCs w:val="24"/>
        </w:rPr>
        <w:t>.</w:t>
      </w:r>
      <w:bookmarkEnd w:id="1"/>
      <w:bookmarkEnd w:id="2"/>
      <w:r w:rsidRPr="00A82D3D">
        <w:rPr>
          <w:rFonts w:ascii="Times New Roman" w:eastAsia="Calibri" w:hAnsi="Times New Roman" w:cs="Times New Roman"/>
          <w:b/>
          <w:sz w:val="24"/>
          <w:szCs w:val="24"/>
        </w:rPr>
        <w:t xml:space="preserve"> Veri Setine Ait Değişkenler</w:t>
      </w:r>
      <w:bookmarkEnd w:id="3"/>
      <w:bookmarkEnd w:id="4"/>
    </w:p>
    <w:tbl>
      <w:tblPr>
        <w:tblW w:w="5000" w:type="pct"/>
        <w:jc w:val="center"/>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1483"/>
        <w:gridCol w:w="2979"/>
        <w:gridCol w:w="3425"/>
        <w:gridCol w:w="1183"/>
      </w:tblGrid>
      <w:tr w:rsidR="00814EC5" w:rsidRPr="00814EC5" w:rsidTr="001F1709">
        <w:trPr>
          <w:trHeight w:val="20"/>
          <w:jc w:val="center"/>
        </w:trPr>
        <w:tc>
          <w:tcPr>
            <w:tcW w:w="5000" w:type="pct"/>
            <w:gridSpan w:val="4"/>
            <w:tcBorders>
              <w:bottom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b/>
              </w:rPr>
            </w:pPr>
            <w:r w:rsidRPr="0088707A">
              <w:rPr>
                <w:rFonts w:ascii="Times New Roman" w:eastAsia="Arial" w:hAnsi="Times New Roman" w:cs="Times New Roman"/>
                <w:b/>
              </w:rPr>
              <w:t>Bağımlı Değişkenler</w:t>
            </w:r>
          </w:p>
        </w:tc>
      </w:tr>
      <w:tr w:rsidR="00814EC5" w:rsidRPr="00814EC5" w:rsidTr="001F1709">
        <w:trPr>
          <w:trHeight w:val="20"/>
          <w:jc w:val="center"/>
        </w:trPr>
        <w:tc>
          <w:tcPr>
            <w:tcW w:w="818" w:type="pct"/>
            <w:tcBorders>
              <w:top w:val="single" w:sz="4" w:space="0" w:color="auto"/>
              <w:bottom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b/>
              </w:rPr>
            </w:pPr>
            <w:r w:rsidRPr="0088707A">
              <w:rPr>
                <w:rFonts w:ascii="Times New Roman" w:eastAsia="Arial" w:hAnsi="Times New Roman" w:cs="Times New Roman"/>
                <w:b/>
              </w:rPr>
              <w:t>Kısaltmalar</w:t>
            </w:r>
          </w:p>
        </w:tc>
        <w:tc>
          <w:tcPr>
            <w:tcW w:w="1642" w:type="pct"/>
            <w:tcBorders>
              <w:top w:val="single" w:sz="4" w:space="0" w:color="auto"/>
              <w:bottom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b/>
              </w:rPr>
            </w:pPr>
            <w:r w:rsidRPr="0088707A">
              <w:rPr>
                <w:rFonts w:ascii="Times New Roman" w:eastAsia="Arial" w:hAnsi="Times New Roman" w:cs="Times New Roman"/>
                <w:b/>
              </w:rPr>
              <w:t>Değişkenler</w:t>
            </w:r>
          </w:p>
        </w:tc>
        <w:tc>
          <w:tcPr>
            <w:tcW w:w="2540" w:type="pct"/>
            <w:gridSpan w:val="2"/>
            <w:tcBorders>
              <w:top w:val="single" w:sz="4" w:space="0" w:color="auto"/>
              <w:bottom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b/>
              </w:rPr>
            </w:pPr>
            <w:r w:rsidRPr="0088707A">
              <w:rPr>
                <w:rFonts w:ascii="Times New Roman" w:eastAsia="Arial" w:hAnsi="Times New Roman" w:cs="Times New Roman"/>
                <w:b/>
              </w:rPr>
              <w:t>Kaynak</w:t>
            </w:r>
          </w:p>
        </w:tc>
      </w:tr>
      <w:tr w:rsidR="00814EC5" w:rsidRPr="00814EC5" w:rsidTr="001F1709">
        <w:trPr>
          <w:trHeight w:val="20"/>
          <w:jc w:val="center"/>
        </w:trPr>
        <w:tc>
          <w:tcPr>
            <w:tcW w:w="818" w:type="pct"/>
            <w:tcBorders>
              <w:top w:val="single" w:sz="4" w:space="0" w:color="auto"/>
              <w:bottom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i/>
              </w:rPr>
            </w:pPr>
            <w:r w:rsidRPr="0088707A">
              <w:rPr>
                <w:rFonts w:ascii="Times New Roman" w:eastAsia="Arial" w:hAnsi="Times New Roman" w:cs="Times New Roman"/>
                <w:i/>
              </w:rPr>
              <w:t>KBGSYH</w:t>
            </w:r>
          </w:p>
        </w:tc>
        <w:tc>
          <w:tcPr>
            <w:tcW w:w="1642" w:type="pct"/>
            <w:tcBorders>
              <w:top w:val="single" w:sz="4" w:space="0" w:color="auto"/>
              <w:bottom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rPr>
              <w:t>İller Düzeyinde Kişi Başı GSYH</w:t>
            </w:r>
          </w:p>
        </w:tc>
        <w:tc>
          <w:tcPr>
            <w:tcW w:w="2540" w:type="pct"/>
            <w:gridSpan w:val="2"/>
            <w:tcBorders>
              <w:top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rPr>
              <w:t>Türkiye İstatistik Kurumu</w:t>
            </w:r>
          </w:p>
        </w:tc>
      </w:tr>
      <w:tr w:rsidR="00814EC5" w:rsidRPr="00814EC5" w:rsidTr="001F1709">
        <w:trPr>
          <w:trHeight w:val="20"/>
          <w:jc w:val="center"/>
        </w:trPr>
        <w:tc>
          <w:tcPr>
            <w:tcW w:w="5000" w:type="pct"/>
            <w:gridSpan w:val="4"/>
            <w:tcBorders>
              <w:top w:val="single" w:sz="4" w:space="0" w:color="auto"/>
              <w:bottom w:val="single" w:sz="4" w:space="0" w:color="000000" w:themeColor="text1"/>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b/>
              </w:rPr>
            </w:pPr>
            <w:r w:rsidRPr="0088707A">
              <w:rPr>
                <w:rFonts w:ascii="Times New Roman" w:eastAsia="Arial" w:hAnsi="Times New Roman" w:cs="Times New Roman"/>
                <w:b/>
              </w:rPr>
              <w:t>Bağımsız ve Kontrol Değişkenler</w:t>
            </w:r>
          </w:p>
        </w:tc>
      </w:tr>
      <w:tr w:rsidR="00814EC5" w:rsidRPr="00814EC5" w:rsidTr="001F1709">
        <w:trPr>
          <w:trHeight w:val="20"/>
          <w:jc w:val="center"/>
        </w:trPr>
        <w:tc>
          <w:tcPr>
            <w:tcW w:w="818" w:type="pct"/>
            <w:tcBorders>
              <w:top w:val="single" w:sz="4" w:space="0" w:color="000000" w:themeColor="text1"/>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b/>
              </w:rPr>
              <w:t>Kısaltmalar</w:t>
            </w:r>
          </w:p>
        </w:tc>
        <w:tc>
          <w:tcPr>
            <w:tcW w:w="1642" w:type="pct"/>
            <w:tcBorders>
              <w:top w:val="single" w:sz="4" w:space="0" w:color="000000" w:themeColor="text1"/>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b/>
              </w:rPr>
              <w:t>Değişkenler</w:t>
            </w:r>
          </w:p>
        </w:tc>
        <w:tc>
          <w:tcPr>
            <w:tcW w:w="1888" w:type="pct"/>
            <w:tcBorders>
              <w:top w:val="single" w:sz="4" w:space="0" w:color="000000" w:themeColor="text1"/>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b/>
              </w:rPr>
              <w:t>Kaynak</w:t>
            </w:r>
          </w:p>
        </w:tc>
        <w:tc>
          <w:tcPr>
            <w:tcW w:w="652" w:type="pct"/>
            <w:tcBorders>
              <w:top w:val="single" w:sz="4" w:space="0" w:color="000000" w:themeColor="text1"/>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b/>
              </w:rPr>
              <w:t>Beklenti</w:t>
            </w:r>
          </w:p>
        </w:tc>
      </w:tr>
      <w:tr w:rsidR="00814EC5" w:rsidRPr="00814EC5" w:rsidTr="001F1709">
        <w:trPr>
          <w:trHeight w:val="20"/>
          <w:jc w:val="center"/>
        </w:trPr>
        <w:tc>
          <w:tcPr>
            <w:tcW w:w="818" w:type="pct"/>
            <w:tcBorders>
              <w:top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i/>
              </w:rPr>
            </w:pPr>
            <w:r w:rsidRPr="0088707A">
              <w:rPr>
                <w:rFonts w:ascii="Times New Roman" w:eastAsia="Arial" w:hAnsi="Times New Roman" w:cs="Times New Roman"/>
                <w:i/>
              </w:rPr>
              <w:t>SH</w:t>
            </w:r>
          </w:p>
        </w:tc>
        <w:tc>
          <w:tcPr>
            <w:tcW w:w="1642" w:type="pct"/>
            <w:tcBorders>
              <w:top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rPr>
              <w:t>İller Düzeyinde Sağlık Harcamaları</w:t>
            </w:r>
          </w:p>
        </w:tc>
        <w:tc>
          <w:tcPr>
            <w:tcW w:w="1888" w:type="pct"/>
            <w:tcBorders>
              <w:top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rPr>
              <w:t>Hazine ve Maliye Bakanlığı Strateji ve Bütçe Başkanlığı</w:t>
            </w:r>
          </w:p>
        </w:tc>
        <w:tc>
          <w:tcPr>
            <w:tcW w:w="652" w:type="pct"/>
            <w:tcBorders>
              <w:top w:val="single" w:sz="4" w:space="0" w:color="auto"/>
            </w:tcBorders>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rPr>
              <w:t>Pozitif</w:t>
            </w:r>
          </w:p>
        </w:tc>
      </w:tr>
      <w:tr w:rsidR="00814EC5" w:rsidRPr="00814EC5" w:rsidTr="001F1709">
        <w:trPr>
          <w:trHeight w:val="20"/>
          <w:jc w:val="center"/>
        </w:trPr>
        <w:tc>
          <w:tcPr>
            <w:tcW w:w="818" w:type="pct"/>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i/>
              </w:rPr>
            </w:pPr>
            <w:r w:rsidRPr="0088707A">
              <w:rPr>
                <w:rFonts w:ascii="Times New Roman" w:eastAsia="Arial" w:hAnsi="Times New Roman" w:cs="Times New Roman"/>
                <w:i/>
              </w:rPr>
              <w:t>EH</w:t>
            </w:r>
          </w:p>
        </w:tc>
        <w:tc>
          <w:tcPr>
            <w:tcW w:w="1642" w:type="pct"/>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rPr>
              <w:t>İller Düzeyinde Eğitim Harcamaları</w:t>
            </w:r>
          </w:p>
        </w:tc>
        <w:tc>
          <w:tcPr>
            <w:tcW w:w="1888" w:type="pct"/>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rPr>
              <w:t>Hazine ve Maliye Bakanlığı Strateji ve Bütçe Başkanlığı</w:t>
            </w:r>
          </w:p>
        </w:tc>
        <w:tc>
          <w:tcPr>
            <w:tcW w:w="652" w:type="pct"/>
            <w:vAlign w:val="center"/>
          </w:tcPr>
          <w:p w:rsidR="00814EC5" w:rsidRPr="0088707A" w:rsidRDefault="00814EC5" w:rsidP="0088707A">
            <w:pPr>
              <w:tabs>
                <w:tab w:val="left" w:pos="5370"/>
              </w:tabs>
              <w:spacing w:after="0" w:line="240" w:lineRule="auto"/>
              <w:contextualSpacing/>
              <w:jc w:val="center"/>
              <w:rPr>
                <w:rFonts w:ascii="Times New Roman" w:eastAsia="Arial" w:hAnsi="Times New Roman" w:cs="Times New Roman"/>
              </w:rPr>
            </w:pPr>
            <w:r w:rsidRPr="0088707A">
              <w:rPr>
                <w:rFonts w:ascii="Times New Roman" w:eastAsia="Arial" w:hAnsi="Times New Roman" w:cs="Times New Roman"/>
              </w:rPr>
              <w:t>Pozitif</w:t>
            </w:r>
          </w:p>
        </w:tc>
      </w:tr>
    </w:tbl>
    <w:p w:rsidR="004E67D6" w:rsidRDefault="004E67D6" w:rsidP="00E036A9">
      <w:pPr>
        <w:tabs>
          <w:tab w:val="left" w:pos="5370"/>
        </w:tabs>
        <w:spacing w:after="0" w:line="240" w:lineRule="auto"/>
        <w:contextualSpacing/>
        <w:jc w:val="both"/>
        <w:rPr>
          <w:rFonts w:ascii="Times New Roman" w:eastAsia="Arial" w:hAnsi="Times New Roman" w:cs="Times New Roman"/>
        </w:rPr>
      </w:pPr>
    </w:p>
    <w:p w:rsidR="006434F7" w:rsidRPr="0074003D" w:rsidRDefault="00814EC5" w:rsidP="006434F7">
      <w:pPr>
        <w:tabs>
          <w:tab w:val="left" w:pos="5370"/>
        </w:tabs>
        <w:spacing w:after="120" w:line="240" w:lineRule="auto"/>
        <w:ind w:firstLine="709"/>
        <w:jc w:val="both"/>
        <w:rPr>
          <w:rFonts w:ascii="Times New Roman" w:eastAsia="Arial" w:hAnsi="Times New Roman" w:cs="Times New Roman"/>
          <w:sz w:val="24"/>
          <w:szCs w:val="24"/>
        </w:rPr>
      </w:pPr>
      <w:r w:rsidRPr="00BF6D24">
        <w:rPr>
          <w:rFonts w:ascii="Times New Roman" w:eastAsia="Arial" w:hAnsi="Times New Roman" w:cs="Times New Roman"/>
          <w:sz w:val="24"/>
          <w:szCs w:val="24"/>
        </w:rPr>
        <w:t>Çal</w:t>
      </w:r>
      <w:r w:rsidR="001F1709" w:rsidRPr="00BF6D24">
        <w:rPr>
          <w:rFonts w:ascii="Times New Roman" w:eastAsia="Arial" w:hAnsi="Times New Roman" w:cs="Times New Roman"/>
          <w:sz w:val="24"/>
          <w:szCs w:val="24"/>
        </w:rPr>
        <w:t xml:space="preserve">ışmada kullanılan </w:t>
      </w:r>
      <w:r w:rsidR="001F1709" w:rsidRPr="00BF6D24">
        <w:rPr>
          <w:rFonts w:ascii="Times New Roman" w:eastAsia="Arial" w:hAnsi="Times New Roman" w:cs="Times New Roman"/>
          <w:i/>
          <w:sz w:val="24"/>
          <w:szCs w:val="24"/>
        </w:rPr>
        <w:t>KB</w:t>
      </w:r>
      <w:r w:rsidRPr="00BF6D24">
        <w:rPr>
          <w:rFonts w:ascii="Times New Roman" w:eastAsia="Arial" w:hAnsi="Times New Roman" w:cs="Times New Roman"/>
          <w:i/>
          <w:sz w:val="24"/>
          <w:szCs w:val="24"/>
        </w:rPr>
        <w:t>GSYH,</w:t>
      </w:r>
      <w:r w:rsidRPr="00BF6D24">
        <w:rPr>
          <w:rFonts w:ascii="Times New Roman" w:eastAsia="Arial" w:hAnsi="Times New Roman" w:cs="Times New Roman"/>
          <w:sz w:val="24"/>
          <w:szCs w:val="24"/>
        </w:rPr>
        <w:t xml:space="preserve"> ülke gayri safi yurtiçi hasılanın nüfusa bölümü ile elde edilmektedir. Sabit fiyatlarla ve yerel para birimi cinsinden alınan </w:t>
      </w:r>
      <w:r w:rsidRPr="00BF6D24">
        <w:rPr>
          <w:rFonts w:ascii="Times New Roman" w:eastAsia="Arial" w:hAnsi="Times New Roman" w:cs="Times New Roman"/>
          <w:i/>
          <w:sz w:val="24"/>
          <w:szCs w:val="24"/>
        </w:rPr>
        <w:t xml:space="preserve">KBGSYH </w:t>
      </w:r>
      <w:r w:rsidRPr="00BF6D24">
        <w:rPr>
          <w:rFonts w:ascii="Times New Roman" w:eastAsia="Arial" w:hAnsi="Times New Roman" w:cs="Times New Roman"/>
          <w:sz w:val="24"/>
          <w:szCs w:val="24"/>
        </w:rPr>
        <w:t>serisi, logaritması alınarak analizde kullanılmıştır. İller bazında genel kamu sağlık hizmetleri için yapılan sağlık harcamaları ve genel kamu eğitim hizmetleri için yapılan eğitim harcamaları serilerinde de logaritmik dönüşüm yapılmış ve analize dâhil edilmiştir.</w:t>
      </w:r>
    </w:p>
    <w:p w:rsidR="006434F7" w:rsidRPr="0074003D" w:rsidRDefault="00C341CB" w:rsidP="006859FA">
      <w:pPr>
        <w:tabs>
          <w:tab w:val="left" w:pos="5370"/>
        </w:tabs>
        <w:spacing w:before="120" w:after="0" w:line="360" w:lineRule="auto"/>
        <w:contextualSpacing/>
        <w:jc w:val="both"/>
        <w:rPr>
          <w:rFonts w:ascii="Times New Roman" w:eastAsia="Arial" w:hAnsi="Times New Roman" w:cs="Times New Roman"/>
          <w:b/>
          <w:sz w:val="24"/>
          <w:szCs w:val="24"/>
        </w:rPr>
      </w:pPr>
      <w:r>
        <w:rPr>
          <w:rFonts w:ascii="Times New Roman" w:eastAsia="Arial" w:hAnsi="Times New Roman" w:cs="Times New Roman"/>
          <w:b/>
          <w:sz w:val="24"/>
          <w:szCs w:val="24"/>
        </w:rPr>
        <w:t>4</w:t>
      </w:r>
      <w:r w:rsidR="000A404C" w:rsidRPr="00BF6D24">
        <w:rPr>
          <w:rFonts w:ascii="Times New Roman" w:eastAsia="Arial" w:hAnsi="Times New Roman" w:cs="Times New Roman"/>
          <w:b/>
          <w:sz w:val="24"/>
          <w:szCs w:val="24"/>
        </w:rPr>
        <w:t xml:space="preserve">.2. </w:t>
      </w:r>
      <w:r w:rsidR="00814EC5" w:rsidRPr="00BF6D24">
        <w:rPr>
          <w:rFonts w:ascii="Times New Roman" w:eastAsia="Arial" w:hAnsi="Times New Roman" w:cs="Times New Roman"/>
          <w:b/>
          <w:sz w:val="24"/>
          <w:szCs w:val="24"/>
        </w:rPr>
        <w:t>Model ve Yöntem</w:t>
      </w:r>
    </w:p>
    <w:p w:rsidR="00D65209" w:rsidRPr="00A82D3D" w:rsidRDefault="00814EC5" w:rsidP="00A82D3D">
      <w:pPr>
        <w:tabs>
          <w:tab w:val="left" w:pos="5370"/>
        </w:tabs>
        <w:spacing w:before="120" w:after="0" w:line="240" w:lineRule="auto"/>
        <w:ind w:firstLine="709"/>
        <w:jc w:val="both"/>
        <w:rPr>
          <w:rFonts w:ascii="Times New Roman" w:eastAsia="Arial" w:hAnsi="Times New Roman" w:cs="Times New Roman"/>
          <w:sz w:val="24"/>
          <w:szCs w:val="24"/>
        </w:rPr>
      </w:pPr>
      <w:r w:rsidRPr="00A82D3D">
        <w:rPr>
          <w:rFonts w:ascii="Times New Roman" w:eastAsia="Arial" w:hAnsi="Times New Roman" w:cs="Times New Roman"/>
          <w:sz w:val="24"/>
          <w:szCs w:val="24"/>
        </w:rPr>
        <w:t>Bu çalışma, sağlık harcamalarının beşerî sermayenin gelişim sürecine katkı sağlayacağı ve sağlıklı işgücünün üretim ve verimliliği artırmak suretiyle kişi başı gayri safi yurtiçi hasılayı olumlu etkileyeceği varsayımına dayanmaktadır. Bu temel varsayıma dayanarak sağlık harcamalarının</w:t>
      </w:r>
      <w:r w:rsidR="00923034" w:rsidRPr="00A82D3D">
        <w:rPr>
          <w:rFonts w:ascii="Times New Roman" w:eastAsia="Arial" w:hAnsi="Times New Roman" w:cs="Times New Roman"/>
          <w:sz w:val="24"/>
          <w:szCs w:val="24"/>
        </w:rPr>
        <w:t xml:space="preserve"> kişi başı gayri safi yurtiçi ha</w:t>
      </w:r>
      <w:r w:rsidRPr="00A82D3D">
        <w:rPr>
          <w:rFonts w:ascii="Times New Roman" w:eastAsia="Arial" w:hAnsi="Times New Roman" w:cs="Times New Roman"/>
          <w:sz w:val="24"/>
          <w:szCs w:val="24"/>
        </w:rPr>
        <w:t>sıla üzerindeki etkilerini analiz edebilmek için çalışmada kullanılan ekonometrik model Denklem (1)’de be</w:t>
      </w:r>
      <w:r w:rsidR="001D6EC6" w:rsidRPr="00A82D3D">
        <w:rPr>
          <w:rFonts w:ascii="Times New Roman" w:eastAsia="Arial" w:hAnsi="Times New Roman" w:cs="Times New Roman"/>
          <w:sz w:val="24"/>
          <w:szCs w:val="24"/>
        </w:rPr>
        <w:t>lirtildiği şekilde kurulmuştur:</w:t>
      </w:r>
    </w:p>
    <w:p w:rsidR="00D65209" w:rsidRPr="00A82D3D" w:rsidRDefault="00A82D3D" w:rsidP="00A82D3D">
      <w:pPr>
        <w:tabs>
          <w:tab w:val="left" w:pos="5370"/>
        </w:tabs>
        <w:spacing w:before="120" w:after="0" w:line="240" w:lineRule="auto"/>
        <w:ind w:left="709"/>
        <w:jc w:val="both"/>
        <w:rPr>
          <w:rFonts w:ascii="Times New Roman" w:eastAsia="Arial" w:hAnsi="Times New Roman" w:cs="Times New Roman"/>
          <w:sz w:val="24"/>
          <w:szCs w:val="24"/>
        </w:rPr>
      </w:pPr>
      <m:oMathPara>
        <m:oMath>
          <m:r>
            <w:rPr>
              <w:rFonts w:ascii="Cambria Math" w:eastAsia="Arial" w:hAnsi="Cambria Math" w:cs="Times New Roman"/>
              <w:sz w:val="24"/>
              <w:szCs w:val="24"/>
            </w:rPr>
            <m:t xml:space="preserve"> </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LnKBGSYH</m:t>
              </m:r>
            </m:e>
            <m:sub>
              <m:r>
                <w:rPr>
                  <w:rFonts w:ascii="Cambria Math" w:eastAsia="Arial" w:hAnsi="Cambria Math" w:cs="Times New Roman"/>
                  <w:sz w:val="24"/>
                  <w:szCs w:val="24"/>
                </w:rPr>
                <m:t>it</m:t>
              </m:r>
            </m:sub>
          </m:sSub>
          <m:r>
            <w:rPr>
              <w:rFonts w:ascii="Cambria Math" w:eastAsia="Arial" w:hAnsi="Cambria Math" w:cs="Times New Roman"/>
              <w:sz w:val="24"/>
              <w:szCs w:val="24"/>
            </w:rPr>
            <m:t>=</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β</m:t>
              </m:r>
            </m:e>
            <m:sub>
              <m:r>
                <w:rPr>
                  <w:rFonts w:ascii="Cambria Math" w:eastAsia="Arial" w:hAnsi="Cambria Math" w:cs="Times New Roman"/>
                  <w:sz w:val="24"/>
                  <w:szCs w:val="24"/>
                </w:rPr>
                <m:t>0</m:t>
              </m:r>
            </m:sub>
          </m:sSub>
          <m:r>
            <w:rPr>
              <w:rFonts w:ascii="Cambria Math" w:eastAsia="Arial" w:hAnsi="Cambria Math" w:cs="Times New Roman"/>
              <w:sz w:val="24"/>
              <w:szCs w:val="24"/>
            </w:rPr>
            <m:t>+</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β</m:t>
              </m:r>
            </m:e>
            <m:sub>
              <m:r>
                <w:rPr>
                  <w:rFonts w:ascii="Cambria Math" w:eastAsia="Arial" w:hAnsi="Cambria Math" w:cs="Times New Roman"/>
                  <w:sz w:val="24"/>
                  <w:szCs w:val="24"/>
                </w:rPr>
                <m:t>1</m:t>
              </m:r>
            </m:sub>
          </m:sSub>
          <m:sSub>
            <m:sSubPr>
              <m:ctrlPr>
                <w:rPr>
                  <w:rFonts w:ascii="Cambria Math" w:eastAsia="Arial" w:hAnsi="Cambria Math" w:cs="Times New Roman"/>
                  <w:i/>
                  <w:sz w:val="24"/>
                  <w:szCs w:val="24"/>
                </w:rPr>
              </m:ctrlPr>
            </m:sSubPr>
            <m:e>
              <m:r>
                <w:rPr>
                  <w:rFonts w:ascii="Cambria Math" w:eastAsia="Arial" w:hAnsi="Cambria Math" w:cs="Times New Roman"/>
                  <w:sz w:val="24"/>
                  <w:szCs w:val="24"/>
                </w:rPr>
                <m:t>LnSH</m:t>
              </m:r>
            </m:e>
            <m:sub>
              <m:r>
                <w:rPr>
                  <w:rFonts w:ascii="Cambria Math" w:eastAsia="Arial" w:hAnsi="Cambria Math" w:cs="Times New Roman"/>
                  <w:sz w:val="24"/>
                  <w:szCs w:val="24"/>
                </w:rPr>
                <m:t>it</m:t>
              </m:r>
            </m:sub>
          </m:sSub>
          <m:r>
            <w:rPr>
              <w:rFonts w:ascii="Cambria Math" w:eastAsia="Arial" w:hAnsi="Cambria Math" w:cs="Times New Roman"/>
              <w:sz w:val="24"/>
              <w:szCs w:val="24"/>
            </w:rPr>
            <m:t>+</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β</m:t>
              </m:r>
            </m:e>
            <m:sub>
              <m:r>
                <w:rPr>
                  <w:rFonts w:ascii="Cambria Math" w:eastAsia="Arial" w:hAnsi="Cambria Math" w:cs="Times New Roman"/>
                  <w:sz w:val="24"/>
                  <w:szCs w:val="24"/>
                </w:rPr>
                <m:t>2</m:t>
              </m:r>
            </m:sub>
          </m:sSub>
          <m:sSub>
            <m:sSubPr>
              <m:ctrlPr>
                <w:rPr>
                  <w:rFonts w:ascii="Cambria Math" w:eastAsia="Arial" w:hAnsi="Cambria Math" w:cs="Times New Roman"/>
                  <w:i/>
                  <w:sz w:val="24"/>
                  <w:szCs w:val="24"/>
                </w:rPr>
              </m:ctrlPr>
            </m:sSubPr>
            <m:e>
              <m:r>
                <w:rPr>
                  <w:rFonts w:ascii="Cambria Math" w:eastAsia="Arial" w:hAnsi="Cambria Math" w:cs="Times New Roman"/>
                  <w:sz w:val="24"/>
                  <w:szCs w:val="24"/>
                </w:rPr>
                <m:t>LnEH</m:t>
              </m:r>
            </m:e>
            <m:sub>
              <m:r>
                <w:rPr>
                  <w:rFonts w:ascii="Cambria Math" w:eastAsia="Arial" w:hAnsi="Cambria Math" w:cs="Times New Roman"/>
                  <w:sz w:val="24"/>
                  <w:szCs w:val="24"/>
                </w:rPr>
                <m:t>it</m:t>
              </m:r>
            </m:sub>
          </m:sSub>
          <m:r>
            <w:rPr>
              <w:rFonts w:ascii="Cambria Math" w:eastAsia="Arial" w:hAnsi="Cambria Math" w:cs="Times New Roman"/>
              <w:sz w:val="24"/>
              <w:szCs w:val="24"/>
            </w:rPr>
            <m:t>+</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e</m:t>
              </m:r>
            </m:e>
            <m:sub>
              <m:r>
                <w:rPr>
                  <w:rFonts w:ascii="Cambria Math" w:eastAsia="Arial" w:hAnsi="Cambria Math" w:cs="Times New Roman"/>
                  <w:sz w:val="24"/>
                  <w:szCs w:val="24"/>
                </w:rPr>
                <m:t>it</m:t>
              </m:r>
            </m:sub>
          </m:sSub>
          <m:r>
            <w:rPr>
              <w:rFonts w:ascii="Cambria Math" w:eastAsia="Arial" w:hAnsi="Cambria Math" w:cs="Times New Roman"/>
              <w:sz w:val="24"/>
              <w:szCs w:val="24"/>
            </w:rPr>
            <m:t xml:space="preserve">                                                         (1) </m:t>
          </m:r>
        </m:oMath>
      </m:oMathPara>
    </w:p>
    <w:p w:rsidR="00814EC5" w:rsidRPr="00A82D3D" w:rsidRDefault="00814EC5" w:rsidP="00A82D3D">
      <w:pPr>
        <w:tabs>
          <w:tab w:val="left" w:pos="5370"/>
        </w:tabs>
        <w:spacing w:before="120" w:after="0" w:line="240" w:lineRule="auto"/>
        <w:ind w:firstLine="709"/>
        <w:jc w:val="both"/>
        <w:rPr>
          <w:rFonts w:ascii="Times New Roman" w:eastAsia="Arial" w:hAnsi="Times New Roman" w:cs="Times New Roman"/>
          <w:sz w:val="24"/>
          <w:szCs w:val="24"/>
        </w:rPr>
      </w:pPr>
      <w:r w:rsidRPr="00A82D3D">
        <w:rPr>
          <w:rFonts w:ascii="Times New Roman" w:eastAsia="Arial" w:hAnsi="Times New Roman" w:cs="Times New Roman"/>
          <w:sz w:val="24"/>
          <w:szCs w:val="24"/>
        </w:rPr>
        <w:lastRenderedPageBreak/>
        <w:t xml:space="preserve">Bu modelde yer alan </w:t>
      </w:r>
      <w:r w:rsidRPr="00A82D3D">
        <w:rPr>
          <w:rFonts w:ascii="Cambria Math" w:eastAsia="Arial" w:hAnsi="Cambria Math" w:cs="Cambria Math"/>
          <w:sz w:val="24"/>
          <w:szCs w:val="24"/>
        </w:rPr>
        <w:t>𝑖</w:t>
      </w:r>
      <w:r w:rsidRPr="00A82D3D">
        <w:rPr>
          <w:rFonts w:ascii="Times New Roman" w:eastAsia="Arial" w:hAnsi="Times New Roman" w:cs="Times New Roman"/>
          <w:sz w:val="24"/>
          <w:szCs w:val="24"/>
        </w:rPr>
        <w:t>; analize dahil edilen illeri (</w:t>
      </w:r>
      <w:r w:rsidRPr="00A82D3D">
        <w:rPr>
          <w:rFonts w:ascii="Cambria Math" w:eastAsia="Arial" w:hAnsi="Cambria Math" w:cs="Cambria Math"/>
          <w:sz w:val="24"/>
          <w:szCs w:val="24"/>
        </w:rPr>
        <w:t>𝑖</w:t>
      </w:r>
      <w:r w:rsidRPr="00A82D3D">
        <w:rPr>
          <w:rFonts w:ascii="Times New Roman" w:eastAsia="Arial" w:hAnsi="Times New Roman" w:cs="Times New Roman"/>
          <w:sz w:val="24"/>
          <w:szCs w:val="24"/>
        </w:rPr>
        <w:t xml:space="preserve">=1,…,81), </w:t>
      </w:r>
      <w:r w:rsidRPr="00A82D3D">
        <w:rPr>
          <w:rFonts w:ascii="Cambria Math" w:eastAsia="Arial" w:hAnsi="Cambria Math" w:cs="Cambria Math"/>
          <w:sz w:val="24"/>
          <w:szCs w:val="24"/>
        </w:rPr>
        <w:t>𝑡</w:t>
      </w:r>
      <w:r w:rsidRPr="00A82D3D">
        <w:rPr>
          <w:rFonts w:ascii="Times New Roman" w:eastAsia="Arial" w:hAnsi="Times New Roman" w:cs="Times New Roman"/>
          <w:sz w:val="24"/>
          <w:szCs w:val="24"/>
        </w:rPr>
        <w:t>; zaman boyutunu (</w:t>
      </w:r>
      <w:r w:rsidRPr="00A82D3D">
        <w:rPr>
          <w:rFonts w:ascii="Cambria Math" w:eastAsia="Arial" w:hAnsi="Cambria Math" w:cs="Cambria Math"/>
          <w:sz w:val="24"/>
          <w:szCs w:val="24"/>
        </w:rPr>
        <w:t>𝑡</w:t>
      </w:r>
      <w:r w:rsidRPr="00A82D3D">
        <w:rPr>
          <w:rFonts w:ascii="Times New Roman" w:eastAsia="Arial" w:hAnsi="Times New Roman" w:cs="Times New Roman"/>
          <w:sz w:val="24"/>
          <w:szCs w:val="24"/>
        </w:rPr>
        <w:t xml:space="preserve">=1,..,17) ve </w:t>
      </w:r>
      <w:r w:rsidRPr="00A82D3D">
        <w:rPr>
          <w:rFonts w:ascii="Cambria Math" w:eastAsia="Arial" w:hAnsi="Cambria Math" w:cs="Cambria Math"/>
          <w:sz w:val="24"/>
          <w:szCs w:val="24"/>
        </w:rPr>
        <w:t>𝑖𝑡</w:t>
      </w:r>
      <w:r w:rsidRPr="00A82D3D">
        <w:rPr>
          <w:rFonts w:ascii="Times New Roman" w:eastAsia="Arial" w:hAnsi="Times New Roman" w:cs="Times New Roman"/>
          <w:sz w:val="24"/>
          <w:szCs w:val="24"/>
        </w:rPr>
        <w:t xml:space="preserve"> ile </w:t>
      </w:r>
      <w:r w:rsidRPr="00A82D3D">
        <w:rPr>
          <w:rFonts w:ascii="Cambria Math" w:eastAsia="Arial" w:hAnsi="Cambria Math" w:cs="Cambria Math"/>
          <w:sz w:val="24"/>
          <w:szCs w:val="24"/>
        </w:rPr>
        <w:t>𝑒𝑖𝑡</w:t>
      </w:r>
      <w:r w:rsidRPr="00A82D3D">
        <w:rPr>
          <w:rFonts w:ascii="Times New Roman" w:eastAsia="Arial" w:hAnsi="Times New Roman" w:cs="Times New Roman"/>
          <w:sz w:val="24"/>
          <w:szCs w:val="24"/>
        </w:rPr>
        <w:t xml:space="preserve"> ise ekonometrik sorunlardan arındırılmış hata terimleri serilerini göstermektedir. Sağlık ve eğitim harcamalarının beşerî sermayeyi geliştirerek, kişi başı gayri safi yurtiçi hasılayı art</w:t>
      </w:r>
      <w:r w:rsidR="00014135">
        <w:rPr>
          <w:rFonts w:ascii="Times New Roman" w:eastAsia="Arial" w:hAnsi="Times New Roman" w:cs="Times New Roman"/>
          <w:sz w:val="24"/>
          <w:szCs w:val="24"/>
        </w:rPr>
        <w:t xml:space="preserve">ırması beklendiği için (Kılıç </w:t>
      </w:r>
      <w:r w:rsidR="00014135" w:rsidRPr="00EF0E1F">
        <w:rPr>
          <w:rFonts w:ascii="Times New Roman" w:hAnsi="Times New Roman" w:cs="Times New Roman"/>
          <w:sz w:val="24"/>
          <w:szCs w:val="24"/>
        </w:rPr>
        <w:t>&amp;</w:t>
      </w:r>
      <w:r w:rsidR="00014135">
        <w:rPr>
          <w:rFonts w:ascii="Times New Roman" w:eastAsia="Arial" w:hAnsi="Times New Roman" w:cs="Times New Roman"/>
          <w:sz w:val="24"/>
          <w:szCs w:val="24"/>
        </w:rPr>
        <w:t xml:space="preserve"> Özbek 2018</w:t>
      </w:r>
      <w:r w:rsidRPr="00A82D3D">
        <w:rPr>
          <w:rFonts w:ascii="Times New Roman" w:eastAsia="Arial" w:hAnsi="Times New Roman" w:cs="Times New Roman"/>
          <w:sz w:val="24"/>
          <w:szCs w:val="24"/>
        </w:rPr>
        <w:t xml:space="preserve">) </w:t>
      </w:r>
      <m:oMath>
        <m:sSub>
          <m:sSubPr>
            <m:ctrlPr>
              <w:rPr>
                <w:rFonts w:ascii="Cambria Math" w:eastAsia="Arial" w:hAnsi="Cambria Math" w:cs="Times New Roman"/>
                <w:i/>
                <w:sz w:val="24"/>
                <w:szCs w:val="24"/>
              </w:rPr>
            </m:ctrlPr>
          </m:sSubPr>
          <m:e>
            <m:r>
              <w:rPr>
                <w:rFonts w:ascii="Cambria Math" w:eastAsia="Arial" w:hAnsi="Cambria Math" w:cs="Times New Roman"/>
                <w:sz w:val="24"/>
                <w:szCs w:val="24"/>
              </w:rPr>
              <m:t>β</m:t>
            </m:r>
          </m:e>
          <m:sub>
            <m:r>
              <w:rPr>
                <w:rFonts w:ascii="Cambria Math" w:eastAsia="Arial" w:hAnsi="Cambria Math" w:cs="Times New Roman"/>
                <w:sz w:val="24"/>
                <w:szCs w:val="24"/>
              </w:rPr>
              <m:t>1</m:t>
            </m:r>
          </m:sub>
        </m:sSub>
      </m:oMath>
      <w:r w:rsidRPr="00A82D3D">
        <w:rPr>
          <w:rFonts w:ascii="Times New Roman" w:eastAsia="Arial" w:hAnsi="Times New Roman" w:cs="Times New Roman"/>
          <w:sz w:val="24"/>
          <w:szCs w:val="24"/>
        </w:rPr>
        <w:t xml:space="preserve"> ve </w:t>
      </w:r>
      <m:oMath>
        <m:sSub>
          <m:sSubPr>
            <m:ctrlPr>
              <w:rPr>
                <w:rFonts w:ascii="Cambria Math" w:eastAsia="Arial" w:hAnsi="Cambria Math" w:cs="Times New Roman"/>
                <w:i/>
                <w:sz w:val="24"/>
                <w:szCs w:val="24"/>
              </w:rPr>
            </m:ctrlPr>
          </m:sSubPr>
          <m:e>
            <m:r>
              <w:rPr>
                <w:rFonts w:ascii="Cambria Math" w:eastAsia="Arial" w:hAnsi="Cambria Math" w:cs="Times New Roman"/>
                <w:sz w:val="24"/>
                <w:szCs w:val="24"/>
              </w:rPr>
              <m:t>β</m:t>
            </m:r>
          </m:e>
          <m:sub>
            <m:r>
              <w:rPr>
                <w:rFonts w:ascii="Cambria Math" w:eastAsia="Arial" w:hAnsi="Cambria Math" w:cs="Times New Roman"/>
                <w:sz w:val="24"/>
                <w:szCs w:val="24"/>
              </w:rPr>
              <m:t>2</m:t>
            </m:r>
          </m:sub>
        </m:sSub>
      </m:oMath>
      <w:r w:rsidRPr="00A82D3D">
        <w:rPr>
          <w:rFonts w:ascii="Times New Roman" w:eastAsia="Arial" w:hAnsi="Times New Roman" w:cs="Times New Roman"/>
          <w:sz w:val="24"/>
          <w:szCs w:val="24"/>
        </w:rPr>
        <w:t>’nin sıfırdan büyük çıkması beklenmektedir.</w:t>
      </w:r>
      <w:r w:rsidR="001D6EC6" w:rsidRPr="00A82D3D">
        <w:rPr>
          <w:rFonts w:ascii="Times New Roman" w:eastAsia="Arial" w:hAnsi="Times New Roman" w:cs="Times New Roman"/>
          <w:sz w:val="24"/>
          <w:szCs w:val="24"/>
        </w:rPr>
        <w:t xml:space="preserve"> </w:t>
      </w:r>
    </w:p>
    <w:p w:rsidR="00814EC5" w:rsidRPr="00A82D3D" w:rsidRDefault="00814EC5" w:rsidP="00A82D3D">
      <w:pPr>
        <w:tabs>
          <w:tab w:val="left" w:pos="5370"/>
        </w:tabs>
        <w:spacing w:before="120" w:after="0" w:line="240" w:lineRule="auto"/>
        <w:ind w:firstLine="709"/>
        <w:jc w:val="both"/>
        <w:rPr>
          <w:rFonts w:ascii="Times New Roman" w:eastAsia="Arial" w:hAnsi="Times New Roman" w:cs="Times New Roman"/>
          <w:bCs/>
          <w:sz w:val="24"/>
          <w:szCs w:val="24"/>
        </w:rPr>
      </w:pPr>
      <w:r w:rsidRPr="00A82D3D">
        <w:rPr>
          <w:rFonts w:ascii="Times New Roman" w:eastAsia="Arial" w:hAnsi="Times New Roman" w:cs="Times New Roman"/>
          <w:bCs/>
          <w:sz w:val="24"/>
          <w:szCs w:val="24"/>
        </w:rPr>
        <w:t>Analiz yöntemleri kapsamında, öncelikle serilerin durağanlıkları; Levin, Lin &amp; Chu (2002) ve Im, Pesaran &amp; Shin (2003) panel birim kök testleriyle incelenmiştir. Panel birim kök testlerinden sonra eğim katsayıla</w:t>
      </w:r>
      <w:r w:rsidR="001F3135" w:rsidRPr="00A82D3D">
        <w:rPr>
          <w:rFonts w:ascii="Times New Roman" w:eastAsia="Arial" w:hAnsi="Times New Roman" w:cs="Times New Roman"/>
          <w:bCs/>
          <w:sz w:val="24"/>
          <w:szCs w:val="24"/>
        </w:rPr>
        <w:t>rının homojenliğinin sınanmasında,</w:t>
      </w:r>
      <w:r w:rsidRPr="00A82D3D">
        <w:rPr>
          <w:rFonts w:ascii="Times New Roman" w:eastAsia="Arial" w:hAnsi="Times New Roman" w:cs="Times New Roman"/>
          <w:bCs/>
          <w:sz w:val="24"/>
          <w:szCs w:val="24"/>
        </w:rPr>
        <w:t xml:space="preserve"> Swamy (1970) Delta Testi (</w:t>
      </w:r>
      <m:oMath>
        <m:acc>
          <m:accPr>
            <m:ctrlPr>
              <w:rPr>
                <w:rFonts w:ascii="Cambria Math" w:eastAsia="Arial" w:hAnsi="Cambria Math" w:cs="Times New Roman"/>
                <w:bCs/>
                <w:i/>
                <w:sz w:val="24"/>
                <w:szCs w:val="24"/>
              </w:rPr>
            </m:ctrlPr>
          </m:accPr>
          <m:e>
            <m:r>
              <w:rPr>
                <w:rFonts w:ascii="Cambria Math" w:eastAsia="Arial" w:hAnsi="Cambria Math" w:cs="Times New Roman"/>
                <w:sz w:val="24"/>
                <w:szCs w:val="24"/>
              </w:rPr>
              <m:t>∆</m:t>
            </m:r>
          </m:e>
        </m:acc>
      </m:oMath>
      <w:r w:rsidR="00014135">
        <w:rPr>
          <w:rFonts w:ascii="Times New Roman" w:eastAsia="Arial" w:hAnsi="Times New Roman" w:cs="Times New Roman"/>
          <w:bCs/>
          <w:sz w:val="24"/>
          <w:szCs w:val="24"/>
        </w:rPr>
        <w:t xml:space="preserve">) ve Pesaran </w:t>
      </w:r>
      <w:r w:rsidR="00014135" w:rsidRPr="00EF0E1F">
        <w:rPr>
          <w:rFonts w:ascii="Times New Roman" w:hAnsi="Times New Roman" w:cs="Times New Roman"/>
          <w:sz w:val="24"/>
          <w:szCs w:val="24"/>
        </w:rPr>
        <w:t>&amp;</w:t>
      </w:r>
      <w:r w:rsidRPr="00A82D3D">
        <w:rPr>
          <w:rFonts w:ascii="Times New Roman" w:eastAsia="Arial" w:hAnsi="Times New Roman" w:cs="Times New Roman"/>
          <w:bCs/>
          <w:sz w:val="24"/>
          <w:szCs w:val="24"/>
        </w:rPr>
        <w:t xml:space="preserve"> Yamagata (2008) Düzeltilmiş Delta Testi (</w:t>
      </w:r>
      <m:oMath>
        <m:sSub>
          <m:sSubPr>
            <m:ctrlPr>
              <w:rPr>
                <w:rFonts w:ascii="Cambria Math" w:eastAsia="Arial" w:hAnsi="Cambria Math" w:cs="Times New Roman"/>
                <w:bCs/>
                <w:i/>
                <w:sz w:val="24"/>
                <w:szCs w:val="24"/>
              </w:rPr>
            </m:ctrlPr>
          </m:sSubPr>
          <m:e>
            <m:acc>
              <m:accPr>
                <m:ctrlPr>
                  <w:rPr>
                    <w:rFonts w:ascii="Cambria Math" w:eastAsia="Arial" w:hAnsi="Cambria Math" w:cs="Times New Roman"/>
                    <w:bCs/>
                    <w:i/>
                    <w:sz w:val="24"/>
                    <w:szCs w:val="24"/>
                  </w:rPr>
                </m:ctrlPr>
              </m:accPr>
              <m:e>
                <m:r>
                  <w:rPr>
                    <w:rFonts w:ascii="Cambria Math" w:eastAsia="Arial" w:hAnsi="Cambria Math" w:cs="Times New Roman"/>
                    <w:sz w:val="24"/>
                    <w:szCs w:val="24"/>
                  </w:rPr>
                  <m:t>∆</m:t>
                </m:r>
              </m:e>
            </m:acc>
          </m:e>
          <m:sub>
            <m:r>
              <w:rPr>
                <w:rFonts w:ascii="Cambria Math" w:eastAsia="Arial" w:hAnsi="Cambria Math" w:cs="Times New Roman"/>
                <w:sz w:val="24"/>
                <w:szCs w:val="24"/>
              </w:rPr>
              <m:t>Adj</m:t>
            </m:r>
          </m:sub>
        </m:sSub>
      </m:oMath>
      <w:r w:rsidRPr="00A82D3D">
        <w:rPr>
          <w:rFonts w:ascii="Times New Roman" w:eastAsia="Arial" w:hAnsi="Times New Roman" w:cs="Times New Roman"/>
          <w:bCs/>
          <w:sz w:val="24"/>
          <w:szCs w:val="24"/>
        </w:rPr>
        <w:t>) kullanılmıştır. Daha sonra Panel A</w:t>
      </w:r>
      <w:r w:rsidR="001F3135" w:rsidRPr="00A82D3D">
        <w:rPr>
          <w:rFonts w:ascii="Times New Roman" w:eastAsia="Arial" w:hAnsi="Times New Roman" w:cs="Times New Roman"/>
          <w:bCs/>
          <w:sz w:val="24"/>
          <w:szCs w:val="24"/>
        </w:rPr>
        <w:t>RDL analizi</w:t>
      </w:r>
      <w:r w:rsidRPr="00A82D3D">
        <w:rPr>
          <w:rFonts w:ascii="Times New Roman" w:eastAsia="Arial" w:hAnsi="Times New Roman" w:cs="Times New Roman"/>
          <w:bCs/>
          <w:sz w:val="24"/>
          <w:szCs w:val="24"/>
        </w:rPr>
        <w:t xml:space="preserve"> kullanılmıştır. Çalışmada seriler arasındaki nedensellik ilişkilerini tespit etmek amacıyla panel Granger (1969) nedensellik testinden yararlanılmıştır.</w:t>
      </w:r>
      <w:r w:rsidR="00014135">
        <w:rPr>
          <w:rFonts w:ascii="Times New Roman" w:eastAsia="Arial" w:hAnsi="Times New Roman" w:cs="Times New Roman"/>
          <w:bCs/>
          <w:sz w:val="24"/>
          <w:szCs w:val="24"/>
        </w:rPr>
        <w:t xml:space="preserve"> </w:t>
      </w:r>
    </w:p>
    <w:p w:rsidR="00814EC5" w:rsidRPr="00A82D3D" w:rsidRDefault="00C341CB" w:rsidP="00A82D3D">
      <w:pPr>
        <w:tabs>
          <w:tab w:val="left" w:pos="5370"/>
        </w:tabs>
        <w:spacing w:before="120"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4</w:t>
      </w:r>
      <w:r w:rsidR="00987707" w:rsidRPr="00A82D3D">
        <w:rPr>
          <w:rFonts w:ascii="Times New Roman" w:eastAsia="Arial" w:hAnsi="Times New Roman" w:cs="Times New Roman"/>
          <w:b/>
          <w:sz w:val="24"/>
          <w:szCs w:val="24"/>
        </w:rPr>
        <w:t xml:space="preserve">.3. </w:t>
      </w:r>
      <w:r w:rsidR="00814EC5" w:rsidRPr="00A82D3D">
        <w:rPr>
          <w:rFonts w:ascii="Times New Roman" w:eastAsia="Arial" w:hAnsi="Times New Roman" w:cs="Times New Roman"/>
          <w:b/>
          <w:sz w:val="24"/>
          <w:szCs w:val="24"/>
        </w:rPr>
        <w:t>Panel Birim Kök Testi</w:t>
      </w:r>
    </w:p>
    <w:p w:rsidR="00814EC5" w:rsidRPr="00A82D3D" w:rsidRDefault="006247A3" w:rsidP="00A82D3D">
      <w:pPr>
        <w:tabs>
          <w:tab w:val="left" w:pos="5370"/>
        </w:tabs>
        <w:spacing w:before="120" w:after="0" w:line="240" w:lineRule="auto"/>
        <w:ind w:firstLine="709"/>
        <w:jc w:val="both"/>
        <w:rPr>
          <w:rFonts w:ascii="Times New Roman" w:eastAsia="Arial" w:hAnsi="Times New Roman" w:cs="Times New Roman"/>
          <w:bCs/>
          <w:sz w:val="24"/>
          <w:szCs w:val="24"/>
        </w:rPr>
      </w:pPr>
      <w:r w:rsidRPr="00A82D3D">
        <w:rPr>
          <w:rFonts w:ascii="Times New Roman" w:eastAsia="Arial" w:hAnsi="Times New Roman" w:cs="Times New Roman"/>
          <w:bCs/>
          <w:sz w:val="24"/>
          <w:szCs w:val="24"/>
        </w:rPr>
        <w:t xml:space="preserve">Ekonometrik </w:t>
      </w:r>
      <w:r w:rsidR="008B4774" w:rsidRPr="00A82D3D">
        <w:rPr>
          <w:rFonts w:ascii="Times New Roman" w:eastAsia="Arial" w:hAnsi="Times New Roman" w:cs="Times New Roman"/>
          <w:bCs/>
          <w:sz w:val="24"/>
          <w:szCs w:val="24"/>
        </w:rPr>
        <w:t xml:space="preserve">analizlerde </w:t>
      </w:r>
      <w:r w:rsidRPr="00A82D3D">
        <w:rPr>
          <w:rFonts w:ascii="Times New Roman" w:eastAsia="Arial" w:hAnsi="Times New Roman" w:cs="Times New Roman"/>
          <w:bCs/>
          <w:sz w:val="24"/>
          <w:szCs w:val="24"/>
        </w:rPr>
        <w:t xml:space="preserve">durağanlık göstermeyen veya birim kök içeren serilerle yapılan analizlerde sahte regresyon durumu söz konusu olmaktadır </w:t>
      </w:r>
      <w:r w:rsidR="007010BD">
        <w:rPr>
          <w:rFonts w:ascii="Times New Roman" w:eastAsia="Arial" w:hAnsi="Times New Roman" w:cs="Times New Roman"/>
          <w:bCs/>
          <w:sz w:val="24"/>
          <w:szCs w:val="24"/>
        </w:rPr>
        <w:t>(Gujarati, 2016</w:t>
      </w:r>
      <w:r w:rsidR="00814EC5" w:rsidRPr="00A82D3D">
        <w:rPr>
          <w:rFonts w:ascii="Times New Roman" w:eastAsia="Arial" w:hAnsi="Times New Roman" w:cs="Times New Roman"/>
          <w:bCs/>
          <w:sz w:val="24"/>
          <w:szCs w:val="24"/>
        </w:rPr>
        <w:t xml:space="preserve">). </w:t>
      </w:r>
      <w:r w:rsidRPr="00A82D3D">
        <w:rPr>
          <w:rFonts w:ascii="Times New Roman" w:eastAsia="Arial" w:hAnsi="Times New Roman" w:cs="Times New Roman"/>
          <w:bCs/>
          <w:sz w:val="24"/>
          <w:szCs w:val="24"/>
        </w:rPr>
        <w:t xml:space="preserve">Bundan dolayı ekonometrik analizlerde öncelikle serilerin durağan olup olmadığının belirlenmesi gerekmektedir. Buna karşın panel veri analizinde </w:t>
      </w:r>
      <w:r w:rsidR="00814EC5" w:rsidRPr="00A82D3D">
        <w:rPr>
          <w:rFonts w:ascii="Times New Roman" w:eastAsia="Arial" w:hAnsi="Times New Roman" w:cs="Times New Roman"/>
          <w:bCs/>
          <w:sz w:val="24"/>
          <w:szCs w:val="24"/>
        </w:rPr>
        <w:t>zaman boyutunun yeterince uzun olmadığı çalışmalarda ise durağanlık analizlerinin genellikle yapılmadığı</w:t>
      </w:r>
      <w:r w:rsidR="00937B73">
        <w:rPr>
          <w:rFonts w:ascii="Times New Roman" w:eastAsia="Arial" w:hAnsi="Times New Roman" w:cs="Times New Roman"/>
          <w:bCs/>
          <w:sz w:val="24"/>
          <w:szCs w:val="24"/>
        </w:rPr>
        <w:t xml:space="preserve"> görülmektedir (Nargeleçekenler 2011</w:t>
      </w:r>
      <w:r w:rsidR="00814EC5" w:rsidRPr="00A82D3D">
        <w:rPr>
          <w:rFonts w:ascii="Times New Roman" w:eastAsia="Arial" w:hAnsi="Times New Roman" w:cs="Times New Roman"/>
          <w:bCs/>
          <w:sz w:val="24"/>
          <w:szCs w:val="24"/>
        </w:rPr>
        <w:t>). Ancak zaman boyutunun 17 olduğu bu çalışmada bireysel sonuçlara bakılmadığından durağanl</w:t>
      </w:r>
      <w:r w:rsidR="008B4774" w:rsidRPr="00A82D3D">
        <w:rPr>
          <w:rFonts w:ascii="Times New Roman" w:eastAsia="Arial" w:hAnsi="Times New Roman" w:cs="Times New Roman"/>
          <w:bCs/>
          <w:sz w:val="24"/>
          <w:szCs w:val="24"/>
        </w:rPr>
        <w:t>ık analizlerine başvurulmuştur.</w:t>
      </w:r>
      <w:r w:rsidR="001F3135" w:rsidRPr="00A82D3D">
        <w:rPr>
          <w:rFonts w:ascii="Times New Roman" w:eastAsia="Arial" w:hAnsi="Times New Roman" w:cs="Times New Roman"/>
          <w:bCs/>
          <w:sz w:val="24"/>
          <w:szCs w:val="24"/>
        </w:rPr>
        <w:t xml:space="preserve"> </w:t>
      </w:r>
      <w:r w:rsidR="00814EC5" w:rsidRPr="00A82D3D">
        <w:rPr>
          <w:rFonts w:ascii="Times New Roman" w:eastAsia="Arial" w:hAnsi="Times New Roman" w:cs="Times New Roman"/>
          <w:bCs/>
          <w:sz w:val="24"/>
          <w:szCs w:val="24"/>
        </w:rPr>
        <w:t>Literatürde panel birim kök analizleri için yaygın olarak Levin, Lin &amp; Chu, Im, Pesaran &amp; Shin, Fisher tipi ADF ve Fisher tipi PP birim kök testler</w:t>
      </w:r>
      <w:r w:rsidR="00937B73">
        <w:rPr>
          <w:rFonts w:ascii="Times New Roman" w:eastAsia="Arial" w:hAnsi="Times New Roman" w:cs="Times New Roman"/>
          <w:bCs/>
          <w:sz w:val="24"/>
          <w:szCs w:val="24"/>
        </w:rPr>
        <w:t>ine başvurulabilmektedir (Çınar 2011</w:t>
      </w:r>
      <w:r w:rsidR="00814EC5" w:rsidRPr="00A82D3D">
        <w:rPr>
          <w:rFonts w:ascii="Times New Roman" w:eastAsia="Arial" w:hAnsi="Times New Roman" w:cs="Times New Roman"/>
          <w:bCs/>
          <w:sz w:val="24"/>
          <w:szCs w:val="24"/>
        </w:rPr>
        <w:t xml:space="preserve">). </w:t>
      </w:r>
      <w:r w:rsidR="00874BC2" w:rsidRPr="00A82D3D">
        <w:rPr>
          <w:rFonts w:ascii="Times New Roman" w:eastAsia="Arial" w:hAnsi="Times New Roman" w:cs="Times New Roman"/>
          <w:bCs/>
          <w:sz w:val="24"/>
          <w:szCs w:val="24"/>
        </w:rPr>
        <w:t xml:space="preserve">Bu testlerden, </w:t>
      </w:r>
      <w:r w:rsidR="00814EC5" w:rsidRPr="00A82D3D">
        <w:rPr>
          <w:rFonts w:ascii="Times New Roman" w:eastAsia="Arial" w:hAnsi="Times New Roman" w:cs="Times New Roman"/>
          <w:bCs/>
          <w:sz w:val="24"/>
          <w:szCs w:val="24"/>
        </w:rPr>
        <w:t xml:space="preserve">Levin, Lin &amp; Chu (2002) ve Im, Pesaran &amp; Shin (2003) panel birim kök testlerinin temel </w:t>
      </w:r>
      <w:r w:rsidR="00814EC5" w:rsidRPr="00A82D3D">
        <w:rPr>
          <w:rFonts w:ascii="Times New Roman" w:eastAsia="Arial" w:hAnsi="Times New Roman" w:cs="Times New Roman"/>
          <w:bCs/>
          <w:i/>
          <w:sz w:val="24"/>
          <w:szCs w:val="24"/>
        </w:rPr>
        <w:t>(H</w:t>
      </w:r>
      <w:r w:rsidR="00814EC5" w:rsidRPr="00A82D3D">
        <w:rPr>
          <w:rFonts w:ascii="Times New Roman" w:eastAsia="Arial" w:hAnsi="Times New Roman" w:cs="Times New Roman"/>
          <w:bCs/>
          <w:i/>
          <w:sz w:val="24"/>
          <w:szCs w:val="24"/>
          <w:vertAlign w:val="subscript"/>
        </w:rPr>
        <w:t>0</w:t>
      </w:r>
      <w:r w:rsidR="00814EC5" w:rsidRPr="00A82D3D">
        <w:rPr>
          <w:rFonts w:ascii="Times New Roman" w:eastAsia="Arial" w:hAnsi="Times New Roman" w:cs="Times New Roman"/>
          <w:bCs/>
          <w:i/>
          <w:sz w:val="24"/>
          <w:szCs w:val="24"/>
        </w:rPr>
        <w:t>)</w:t>
      </w:r>
      <w:r w:rsidR="00814EC5" w:rsidRPr="00A82D3D">
        <w:rPr>
          <w:rFonts w:ascii="Times New Roman" w:eastAsia="Arial" w:hAnsi="Times New Roman" w:cs="Times New Roman"/>
          <w:bCs/>
          <w:sz w:val="24"/>
          <w:szCs w:val="24"/>
        </w:rPr>
        <w:t xml:space="preserve"> ve alternatif </w:t>
      </w:r>
      <w:r w:rsidR="00814EC5" w:rsidRPr="00A82D3D">
        <w:rPr>
          <w:rFonts w:ascii="Times New Roman" w:eastAsia="Arial" w:hAnsi="Times New Roman" w:cs="Times New Roman"/>
          <w:bCs/>
          <w:i/>
          <w:sz w:val="24"/>
          <w:szCs w:val="24"/>
        </w:rPr>
        <w:t>(H</w:t>
      </w:r>
      <w:r w:rsidR="00814EC5" w:rsidRPr="00A82D3D">
        <w:rPr>
          <w:rFonts w:ascii="Times New Roman" w:eastAsia="Arial" w:hAnsi="Times New Roman" w:cs="Times New Roman"/>
          <w:bCs/>
          <w:i/>
          <w:sz w:val="24"/>
          <w:szCs w:val="24"/>
          <w:vertAlign w:val="subscript"/>
        </w:rPr>
        <w:t>1</w:t>
      </w:r>
      <w:r w:rsidR="00814EC5" w:rsidRPr="00A82D3D">
        <w:rPr>
          <w:rFonts w:ascii="Times New Roman" w:eastAsia="Arial" w:hAnsi="Times New Roman" w:cs="Times New Roman"/>
          <w:bCs/>
          <w:i/>
          <w:sz w:val="24"/>
          <w:szCs w:val="24"/>
        </w:rPr>
        <w:t>)</w:t>
      </w:r>
      <w:r w:rsidR="00814EC5" w:rsidRPr="00A82D3D">
        <w:rPr>
          <w:rFonts w:ascii="Times New Roman" w:eastAsia="Arial" w:hAnsi="Times New Roman" w:cs="Times New Roman"/>
          <w:bCs/>
          <w:sz w:val="24"/>
          <w:szCs w:val="24"/>
        </w:rPr>
        <w:t xml:space="preserve"> hipotezleri aşağıda belirtildiği şekilde kurulmaktadır. </w:t>
      </w:r>
    </w:p>
    <w:p w:rsidR="00814EC5" w:rsidRPr="00A82D3D" w:rsidRDefault="00814EC5" w:rsidP="00A82D3D">
      <w:pPr>
        <w:tabs>
          <w:tab w:val="left" w:pos="5370"/>
        </w:tabs>
        <w:spacing w:before="120" w:after="0" w:line="240" w:lineRule="auto"/>
        <w:ind w:firstLine="709"/>
        <w:jc w:val="both"/>
        <w:rPr>
          <w:rFonts w:ascii="Times New Roman" w:eastAsia="Arial" w:hAnsi="Times New Roman" w:cs="Times New Roman"/>
          <w:bCs/>
          <w:i/>
          <w:sz w:val="24"/>
          <w:szCs w:val="24"/>
        </w:rPr>
      </w:pPr>
      <w:r w:rsidRPr="00A82D3D">
        <w:rPr>
          <w:rFonts w:ascii="Times New Roman" w:eastAsia="Arial" w:hAnsi="Times New Roman" w:cs="Times New Roman"/>
          <w:bCs/>
          <w:i/>
          <w:sz w:val="24"/>
          <w:szCs w:val="24"/>
        </w:rPr>
        <w:t>H</w:t>
      </w:r>
      <w:r w:rsidRPr="00A82D3D">
        <w:rPr>
          <w:rFonts w:ascii="Times New Roman" w:eastAsia="Arial" w:hAnsi="Times New Roman" w:cs="Times New Roman"/>
          <w:bCs/>
          <w:i/>
          <w:sz w:val="24"/>
          <w:szCs w:val="24"/>
          <w:vertAlign w:val="subscript"/>
        </w:rPr>
        <w:t>0</w:t>
      </w:r>
      <w:r w:rsidRPr="00A82D3D">
        <w:rPr>
          <w:rFonts w:ascii="Times New Roman" w:eastAsia="Arial" w:hAnsi="Times New Roman" w:cs="Times New Roman"/>
          <w:bCs/>
          <w:i/>
          <w:sz w:val="24"/>
          <w:szCs w:val="24"/>
        </w:rPr>
        <w:t>: Seri durağan değildir. Yani seri birim köklüdür.</w:t>
      </w:r>
    </w:p>
    <w:p w:rsidR="00814EC5" w:rsidRPr="00A82D3D" w:rsidRDefault="00814EC5" w:rsidP="00A82D3D">
      <w:pPr>
        <w:tabs>
          <w:tab w:val="left" w:pos="5370"/>
        </w:tabs>
        <w:spacing w:before="120" w:after="0" w:line="240" w:lineRule="auto"/>
        <w:ind w:firstLine="709"/>
        <w:jc w:val="both"/>
        <w:rPr>
          <w:rFonts w:ascii="Times New Roman" w:eastAsia="Arial" w:hAnsi="Times New Roman" w:cs="Times New Roman"/>
          <w:bCs/>
          <w:i/>
          <w:sz w:val="24"/>
          <w:szCs w:val="24"/>
        </w:rPr>
      </w:pPr>
      <w:r w:rsidRPr="00A82D3D">
        <w:rPr>
          <w:rFonts w:ascii="Times New Roman" w:eastAsia="Arial" w:hAnsi="Times New Roman" w:cs="Times New Roman"/>
          <w:bCs/>
          <w:i/>
          <w:sz w:val="24"/>
          <w:szCs w:val="24"/>
        </w:rPr>
        <w:t>H</w:t>
      </w:r>
      <w:r w:rsidRPr="00A82D3D">
        <w:rPr>
          <w:rFonts w:ascii="Times New Roman" w:eastAsia="Arial" w:hAnsi="Times New Roman" w:cs="Times New Roman"/>
          <w:bCs/>
          <w:i/>
          <w:sz w:val="24"/>
          <w:szCs w:val="24"/>
          <w:vertAlign w:val="subscript"/>
        </w:rPr>
        <w:t>1</w:t>
      </w:r>
      <w:r w:rsidRPr="00A82D3D">
        <w:rPr>
          <w:rFonts w:ascii="Times New Roman" w:eastAsia="Arial" w:hAnsi="Times New Roman" w:cs="Times New Roman"/>
          <w:bCs/>
          <w:i/>
          <w:sz w:val="24"/>
          <w:szCs w:val="24"/>
        </w:rPr>
        <w:t>: Seri durağandır. Yani seri birim köklü değildir.</w:t>
      </w:r>
    </w:p>
    <w:p w:rsidR="00814EC5" w:rsidRPr="00A82D3D" w:rsidRDefault="00814EC5" w:rsidP="00A82D3D">
      <w:pPr>
        <w:tabs>
          <w:tab w:val="left" w:pos="5370"/>
        </w:tabs>
        <w:spacing w:before="120" w:after="120" w:line="240" w:lineRule="auto"/>
        <w:ind w:firstLine="709"/>
        <w:jc w:val="both"/>
        <w:rPr>
          <w:rFonts w:ascii="Times New Roman" w:eastAsia="Arial" w:hAnsi="Times New Roman" w:cs="Times New Roman"/>
          <w:bCs/>
          <w:sz w:val="24"/>
          <w:szCs w:val="24"/>
        </w:rPr>
      </w:pPr>
      <w:r w:rsidRPr="00A82D3D">
        <w:rPr>
          <w:rFonts w:ascii="Times New Roman" w:eastAsia="Arial" w:hAnsi="Times New Roman" w:cs="Times New Roman"/>
          <w:bCs/>
          <w:sz w:val="24"/>
          <w:szCs w:val="24"/>
        </w:rPr>
        <w:t xml:space="preserve">Levin, Lin &amp; Chu (2002) ve Im, Pesaran &amp; Shin (2003) testlerinde seriye ait olasılık değeri 0.05’ten büyük olduğunda, serinin birim köklü olduğu anlaşılmaktadır. Bu durumda serinin durağan olduğunu ileri süren </w:t>
      </w:r>
      <w:r w:rsidRPr="00A82D3D">
        <w:rPr>
          <w:rFonts w:ascii="Times New Roman" w:eastAsia="Arial" w:hAnsi="Times New Roman" w:cs="Times New Roman"/>
          <w:bCs/>
          <w:i/>
          <w:sz w:val="24"/>
          <w:szCs w:val="24"/>
        </w:rPr>
        <w:t>H</w:t>
      </w:r>
      <w:r w:rsidRPr="00A82D3D">
        <w:rPr>
          <w:rFonts w:ascii="Times New Roman" w:eastAsia="Arial" w:hAnsi="Times New Roman" w:cs="Times New Roman"/>
          <w:bCs/>
          <w:i/>
          <w:sz w:val="24"/>
          <w:szCs w:val="24"/>
          <w:vertAlign w:val="subscript"/>
        </w:rPr>
        <w:t>1</w:t>
      </w:r>
      <w:r w:rsidRPr="00A82D3D">
        <w:rPr>
          <w:rFonts w:ascii="Times New Roman" w:eastAsia="Arial" w:hAnsi="Times New Roman" w:cs="Times New Roman"/>
          <w:bCs/>
          <w:sz w:val="24"/>
          <w:szCs w:val="24"/>
        </w:rPr>
        <w:t xml:space="preserve"> hipotezi reddedilmekte ve serinin durağan olmadığını ifade eden </w:t>
      </w:r>
      <w:r w:rsidRPr="00A82D3D">
        <w:rPr>
          <w:rFonts w:ascii="Times New Roman" w:eastAsia="Arial" w:hAnsi="Times New Roman" w:cs="Times New Roman"/>
          <w:bCs/>
          <w:i/>
          <w:sz w:val="24"/>
          <w:szCs w:val="24"/>
        </w:rPr>
        <w:t>H</w:t>
      </w:r>
      <w:r w:rsidRPr="00A82D3D">
        <w:rPr>
          <w:rFonts w:ascii="Times New Roman" w:eastAsia="Arial" w:hAnsi="Times New Roman" w:cs="Times New Roman"/>
          <w:bCs/>
          <w:i/>
          <w:sz w:val="24"/>
          <w:szCs w:val="24"/>
          <w:vertAlign w:val="subscript"/>
        </w:rPr>
        <w:t>0</w:t>
      </w:r>
      <w:r w:rsidRPr="00A82D3D">
        <w:rPr>
          <w:rFonts w:ascii="Times New Roman" w:eastAsia="Arial" w:hAnsi="Times New Roman" w:cs="Times New Roman"/>
          <w:bCs/>
          <w:sz w:val="24"/>
          <w:szCs w:val="24"/>
        </w:rPr>
        <w:t xml:space="preserve"> hipotezi kabul edilmektedir. </w:t>
      </w:r>
    </w:p>
    <w:p w:rsidR="00814EC5" w:rsidRPr="00A82D3D" w:rsidRDefault="006247A3" w:rsidP="00A82D3D">
      <w:pPr>
        <w:spacing w:before="240" w:after="0" w:line="240" w:lineRule="auto"/>
        <w:contextualSpacing/>
        <w:jc w:val="center"/>
        <w:rPr>
          <w:rFonts w:ascii="Times New Roman" w:eastAsia="Calibri" w:hAnsi="Times New Roman" w:cs="Times New Roman"/>
          <w:b/>
          <w:sz w:val="24"/>
          <w:szCs w:val="24"/>
        </w:rPr>
      </w:pPr>
      <w:bookmarkStart w:id="5" w:name="_Toc109756270"/>
      <w:r w:rsidRPr="00A82D3D">
        <w:rPr>
          <w:rFonts w:ascii="Times New Roman" w:eastAsia="Arial" w:hAnsi="Times New Roman" w:cs="Times New Roman"/>
          <w:b/>
          <w:sz w:val="24"/>
          <w:szCs w:val="24"/>
        </w:rPr>
        <w:t>Tablo 2</w:t>
      </w:r>
      <w:r w:rsidR="00814EC5" w:rsidRPr="00A82D3D">
        <w:rPr>
          <w:rFonts w:ascii="Times New Roman" w:eastAsia="Arial" w:hAnsi="Times New Roman" w:cs="Times New Roman"/>
          <w:b/>
          <w:sz w:val="24"/>
          <w:szCs w:val="24"/>
        </w:rPr>
        <w:t>.</w:t>
      </w:r>
      <w:bookmarkEnd w:id="5"/>
      <w:r w:rsidR="00814EC5" w:rsidRPr="00A82D3D">
        <w:rPr>
          <w:rFonts w:ascii="Times New Roman" w:eastAsia="Calibri" w:hAnsi="Times New Roman" w:cs="Times New Roman"/>
          <w:b/>
          <w:sz w:val="24"/>
          <w:szCs w:val="24"/>
        </w:rPr>
        <w:t xml:space="preserve"> Panel Birim Kök Testleri</w:t>
      </w:r>
    </w:p>
    <w:tbl>
      <w:tblPr>
        <w:tblW w:w="5000" w:type="pct"/>
        <w:jc w:val="center"/>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109"/>
        <w:gridCol w:w="826"/>
        <w:gridCol w:w="1175"/>
        <w:gridCol w:w="825"/>
        <w:gridCol w:w="1175"/>
        <w:gridCol w:w="785"/>
        <w:gridCol w:w="1175"/>
        <w:gridCol w:w="825"/>
        <w:gridCol w:w="1175"/>
      </w:tblGrid>
      <w:tr w:rsidR="00814EC5" w:rsidRPr="00D65209" w:rsidTr="00814EC5">
        <w:trPr>
          <w:jc w:val="center"/>
        </w:trPr>
        <w:tc>
          <w:tcPr>
            <w:tcW w:w="611"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p>
        </w:tc>
        <w:tc>
          <w:tcPr>
            <w:tcW w:w="2205" w:type="pct"/>
            <w:gridSpan w:val="4"/>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Levin, Lin ve Chu (2002)</w:t>
            </w:r>
          </w:p>
        </w:tc>
        <w:tc>
          <w:tcPr>
            <w:tcW w:w="2184" w:type="pct"/>
            <w:gridSpan w:val="4"/>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Im, Pesaran ve Shin (2003)</w:t>
            </w:r>
          </w:p>
        </w:tc>
      </w:tr>
      <w:tr w:rsidR="00814EC5" w:rsidRPr="00D65209" w:rsidTr="00814EC5">
        <w:trPr>
          <w:jc w:val="center"/>
        </w:trPr>
        <w:tc>
          <w:tcPr>
            <w:tcW w:w="611"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p>
        </w:tc>
        <w:tc>
          <w:tcPr>
            <w:tcW w:w="1102" w:type="pct"/>
            <w:gridSpan w:val="2"/>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Düzey</w:t>
            </w:r>
          </w:p>
        </w:tc>
        <w:tc>
          <w:tcPr>
            <w:tcW w:w="1103" w:type="pct"/>
            <w:gridSpan w:val="2"/>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Birinci Fark</w:t>
            </w:r>
          </w:p>
        </w:tc>
        <w:tc>
          <w:tcPr>
            <w:tcW w:w="1081" w:type="pct"/>
            <w:gridSpan w:val="2"/>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Düzey</w:t>
            </w:r>
          </w:p>
        </w:tc>
        <w:tc>
          <w:tcPr>
            <w:tcW w:w="1103" w:type="pct"/>
            <w:gridSpan w:val="2"/>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Birinci Fark</w:t>
            </w:r>
          </w:p>
        </w:tc>
      </w:tr>
      <w:tr w:rsidR="00814EC5" w:rsidRPr="00D65209" w:rsidTr="00814EC5">
        <w:trPr>
          <w:jc w:val="center"/>
        </w:trPr>
        <w:tc>
          <w:tcPr>
            <w:tcW w:w="611"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p>
        </w:tc>
        <w:tc>
          <w:tcPr>
            <w:tcW w:w="455"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Sabitli Model</w:t>
            </w:r>
          </w:p>
        </w:tc>
        <w:tc>
          <w:tcPr>
            <w:tcW w:w="647"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Sabitli ve Trendli Model</w:t>
            </w:r>
          </w:p>
        </w:tc>
        <w:tc>
          <w:tcPr>
            <w:tcW w:w="455"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Sabitli Model</w:t>
            </w:r>
          </w:p>
        </w:tc>
        <w:tc>
          <w:tcPr>
            <w:tcW w:w="648"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Sabitli ve Trendli Model</w:t>
            </w:r>
          </w:p>
        </w:tc>
        <w:tc>
          <w:tcPr>
            <w:tcW w:w="433"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Sabitli Model</w:t>
            </w:r>
          </w:p>
        </w:tc>
        <w:tc>
          <w:tcPr>
            <w:tcW w:w="648"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Sabitli ve Trendli Model</w:t>
            </w:r>
          </w:p>
        </w:tc>
        <w:tc>
          <w:tcPr>
            <w:tcW w:w="455"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Sabitli Model</w:t>
            </w:r>
          </w:p>
        </w:tc>
        <w:tc>
          <w:tcPr>
            <w:tcW w:w="648" w:type="pct"/>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b/>
              </w:rPr>
            </w:pPr>
            <w:r w:rsidRPr="005D0826">
              <w:rPr>
                <w:rFonts w:ascii="Times New Roman" w:eastAsia="Calibri" w:hAnsi="Times New Roman" w:cs="Times New Roman"/>
                <w:b/>
              </w:rPr>
              <w:t>Sabitli ve Trendli Model</w:t>
            </w:r>
          </w:p>
        </w:tc>
      </w:tr>
      <w:tr w:rsidR="00814EC5" w:rsidRPr="00D65209" w:rsidTr="00235274">
        <w:trPr>
          <w:jc w:val="center"/>
        </w:trPr>
        <w:tc>
          <w:tcPr>
            <w:tcW w:w="611" w:type="pct"/>
            <w:tcBorders>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i/>
              </w:rPr>
            </w:pPr>
            <w:r w:rsidRPr="005D0826">
              <w:rPr>
                <w:rFonts w:ascii="Times New Roman" w:eastAsia="Calibri" w:hAnsi="Times New Roman" w:cs="Times New Roman"/>
                <w:i/>
              </w:rPr>
              <w:t>LnKBGSYH</w:t>
            </w:r>
          </w:p>
        </w:tc>
        <w:tc>
          <w:tcPr>
            <w:tcW w:w="455" w:type="pct"/>
            <w:tcBorders>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12.75 (1.00)</w:t>
            </w:r>
          </w:p>
        </w:tc>
        <w:tc>
          <w:tcPr>
            <w:tcW w:w="647" w:type="pct"/>
            <w:tcBorders>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-0.41</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(0.34)</w:t>
            </w:r>
          </w:p>
        </w:tc>
        <w:tc>
          <w:tcPr>
            <w:tcW w:w="455" w:type="pct"/>
            <w:tcBorders>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-25.57* (0.00)</w:t>
            </w:r>
          </w:p>
        </w:tc>
        <w:tc>
          <w:tcPr>
            <w:tcW w:w="648" w:type="pct"/>
            <w:tcBorders>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-25.42*</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(0.00)</w:t>
            </w:r>
          </w:p>
        </w:tc>
        <w:tc>
          <w:tcPr>
            <w:tcW w:w="433" w:type="pct"/>
            <w:tcBorders>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23.35 (1.00)</w:t>
            </w:r>
          </w:p>
        </w:tc>
        <w:tc>
          <w:tcPr>
            <w:tcW w:w="648" w:type="pct"/>
            <w:tcBorders>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3.08</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(0.99)</w:t>
            </w:r>
          </w:p>
        </w:tc>
        <w:tc>
          <w:tcPr>
            <w:tcW w:w="455" w:type="pct"/>
            <w:tcBorders>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-20.92* (0.00)</w:t>
            </w:r>
          </w:p>
        </w:tc>
        <w:tc>
          <w:tcPr>
            <w:tcW w:w="648" w:type="pct"/>
            <w:tcBorders>
              <w:bottom w:val="single" w:sz="4" w:space="0" w:color="FFFFFF" w:themeColor="background1"/>
            </w:tcBorders>
            <w:shd w:val="clear" w:color="auto" w:fill="auto"/>
            <w:vAlign w:val="center"/>
          </w:tcPr>
          <w:p w:rsidR="00D65209"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-17.65*</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(0.00)</w:t>
            </w:r>
          </w:p>
        </w:tc>
        <w:bookmarkStart w:id="6" w:name="_GoBack"/>
        <w:bookmarkEnd w:id="6"/>
      </w:tr>
      <w:tr w:rsidR="00814EC5" w:rsidRPr="00D65209" w:rsidTr="00235274">
        <w:trPr>
          <w:jc w:val="center"/>
        </w:trPr>
        <w:tc>
          <w:tcPr>
            <w:tcW w:w="611" w:type="pct"/>
            <w:tcBorders>
              <w:top w:val="single" w:sz="4" w:space="0" w:color="FFFFFF" w:themeColor="background1"/>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i/>
              </w:rPr>
            </w:pPr>
            <w:r w:rsidRPr="005D0826">
              <w:rPr>
                <w:rFonts w:ascii="Times New Roman" w:eastAsia="Calibri" w:hAnsi="Times New Roman" w:cs="Times New Roman"/>
                <w:i/>
              </w:rPr>
              <w:t>LnSH</w:t>
            </w:r>
          </w:p>
        </w:tc>
        <w:tc>
          <w:tcPr>
            <w:tcW w:w="455" w:type="pct"/>
            <w:tcBorders>
              <w:top w:val="single" w:sz="4" w:space="0" w:color="FFFFFF" w:themeColor="background1"/>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0.36 (0.64)</w:t>
            </w:r>
          </w:p>
        </w:tc>
        <w:tc>
          <w:tcPr>
            <w:tcW w:w="647" w:type="pct"/>
            <w:tcBorders>
              <w:top w:val="single" w:sz="4" w:space="0" w:color="FFFFFF" w:themeColor="background1"/>
              <w:bottom w:val="single" w:sz="4" w:space="0" w:color="FFFFFF" w:themeColor="background1"/>
            </w:tcBorders>
            <w:shd w:val="clear" w:color="auto" w:fill="auto"/>
            <w:vAlign w:val="center"/>
          </w:tcPr>
          <w:p w:rsidR="00D65209"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-1.96</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(0.15)</w:t>
            </w:r>
          </w:p>
        </w:tc>
        <w:tc>
          <w:tcPr>
            <w:tcW w:w="455" w:type="pct"/>
            <w:tcBorders>
              <w:top w:val="single" w:sz="4" w:space="0" w:color="FFFFFF" w:themeColor="background1"/>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-28.89* (0.00)</w:t>
            </w:r>
          </w:p>
        </w:tc>
        <w:tc>
          <w:tcPr>
            <w:tcW w:w="648" w:type="pct"/>
            <w:tcBorders>
              <w:top w:val="single" w:sz="4" w:space="0" w:color="FFFFFF" w:themeColor="background1"/>
              <w:bottom w:val="single" w:sz="4" w:space="0" w:color="FFFFFF" w:themeColor="background1"/>
            </w:tcBorders>
            <w:shd w:val="clear" w:color="auto" w:fill="auto"/>
            <w:vAlign w:val="center"/>
          </w:tcPr>
          <w:p w:rsidR="00D65209"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-25.32*</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(0.00)</w:t>
            </w:r>
          </w:p>
        </w:tc>
        <w:tc>
          <w:tcPr>
            <w:tcW w:w="433" w:type="pct"/>
            <w:tcBorders>
              <w:top w:val="single" w:sz="4" w:space="0" w:color="FFFFFF" w:themeColor="background1"/>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8.24 (1.00)</w:t>
            </w:r>
          </w:p>
        </w:tc>
        <w:tc>
          <w:tcPr>
            <w:tcW w:w="648" w:type="pct"/>
            <w:tcBorders>
              <w:top w:val="single" w:sz="4" w:space="0" w:color="FFFFFF" w:themeColor="background1"/>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-2.03</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(0.12)</w:t>
            </w:r>
          </w:p>
        </w:tc>
        <w:tc>
          <w:tcPr>
            <w:tcW w:w="455" w:type="pct"/>
            <w:tcBorders>
              <w:top w:val="single" w:sz="4" w:space="0" w:color="FFFFFF" w:themeColor="background1"/>
              <w:bottom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-26.10* (0.00)</w:t>
            </w:r>
          </w:p>
        </w:tc>
        <w:tc>
          <w:tcPr>
            <w:tcW w:w="648" w:type="pct"/>
            <w:tcBorders>
              <w:top w:val="single" w:sz="4" w:space="0" w:color="FFFFFF" w:themeColor="background1"/>
              <w:bottom w:val="single" w:sz="4" w:space="0" w:color="FFFFFF" w:themeColor="background1"/>
            </w:tcBorders>
            <w:shd w:val="clear" w:color="auto" w:fill="auto"/>
            <w:vAlign w:val="center"/>
          </w:tcPr>
          <w:p w:rsidR="00D65209"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-18.02*</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(0.00)</w:t>
            </w:r>
          </w:p>
        </w:tc>
      </w:tr>
      <w:tr w:rsidR="00814EC5" w:rsidRPr="00D65209" w:rsidTr="00235274">
        <w:trPr>
          <w:jc w:val="center"/>
        </w:trPr>
        <w:tc>
          <w:tcPr>
            <w:tcW w:w="611" w:type="pct"/>
            <w:tcBorders>
              <w:top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i/>
              </w:rPr>
            </w:pPr>
            <w:r w:rsidRPr="005D0826">
              <w:rPr>
                <w:rFonts w:ascii="Times New Roman" w:eastAsia="Calibri" w:hAnsi="Times New Roman" w:cs="Times New Roman"/>
                <w:i/>
              </w:rPr>
              <w:t>LnEH</w:t>
            </w:r>
          </w:p>
        </w:tc>
        <w:tc>
          <w:tcPr>
            <w:tcW w:w="455" w:type="pct"/>
            <w:tcBorders>
              <w:top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-18.97* (0.00)</w:t>
            </w:r>
          </w:p>
        </w:tc>
        <w:tc>
          <w:tcPr>
            <w:tcW w:w="647" w:type="pct"/>
            <w:tcBorders>
              <w:top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-9.93*</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(0.00)</w:t>
            </w:r>
          </w:p>
        </w:tc>
        <w:tc>
          <w:tcPr>
            <w:tcW w:w="455" w:type="pct"/>
            <w:tcBorders>
              <w:top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-20.07* (0.00)</w:t>
            </w:r>
          </w:p>
        </w:tc>
        <w:tc>
          <w:tcPr>
            <w:tcW w:w="648" w:type="pct"/>
            <w:tcBorders>
              <w:top w:val="single" w:sz="4" w:space="0" w:color="FFFFFF" w:themeColor="background1"/>
            </w:tcBorders>
            <w:shd w:val="clear" w:color="auto" w:fill="auto"/>
            <w:vAlign w:val="center"/>
          </w:tcPr>
          <w:p w:rsidR="00D65209"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-25.91*</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(0.00)</w:t>
            </w:r>
          </w:p>
        </w:tc>
        <w:tc>
          <w:tcPr>
            <w:tcW w:w="433" w:type="pct"/>
            <w:tcBorders>
              <w:top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-5.86* (0.00)</w:t>
            </w:r>
          </w:p>
        </w:tc>
        <w:tc>
          <w:tcPr>
            <w:tcW w:w="648" w:type="pct"/>
            <w:tcBorders>
              <w:top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-13.01*</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(0.00)</w:t>
            </w:r>
          </w:p>
        </w:tc>
        <w:tc>
          <w:tcPr>
            <w:tcW w:w="455" w:type="pct"/>
            <w:tcBorders>
              <w:top w:val="single" w:sz="4" w:space="0" w:color="FFFFFF" w:themeColor="background1"/>
            </w:tcBorders>
            <w:shd w:val="clear" w:color="auto" w:fill="auto"/>
            <w:vAlign w:val="center"/>
          </w:tcPr>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-16.45* (0.00)</w:t>
            </w:r>
          </w:p>
        </w:tc>
        <w:tc>
          <w:tcPr>
            <w:tcW w:w="648" w:type="pct"/>
            <w:tcBorders>
              <w:top w:val="single" w:sz="4" w:space="0" w:color="FFFFFF" w:themeColor="background1"/>
            </w:tcBorders>
            <w:shd w:val="clear" w:color="auto" w:fill="auto"/>
            <w:vAlign w:val="center"/>
          </w:tcPr>
          <w:p w:rsidR="00D65209"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-20.93*</w:t>
            </w:r>
          </w:p>
          <w:p w:rsidR="00814EC5" w:rsidRPr="005D0826" w:rsidRDefault="00814EC5" w:rsidP="00A82D3D">
            <w:pPr>
              <w:spacing w:after="0" w:line="240" w:lineRule="auto"/>
              <w:jc w:val="center"/>
              <w:rPr>
                <w:rFonts w:ascii="Times New Roman" w:eastAsia="Calibri" w:hAnsi="Times New Roman" w:cs="Times New Roman"/>
              </w:rPr>
            </w:pPr>
            <w:r w:rsidRPr="005D0826">
              <w:rPr>
                <w:rFonts w:ascii="Times New Roman" w:eastAsia="Calibri" w:hAnsi="Times New Roman" w:cs="Times New Roman"/>
              </w:rPr>
              <w:t>(0.00)</w:t>
            </w:r>
          </w:p>
        </w:tc>
      </w:tr>
    </w:tbl>
    <w:p w:rsidR="00814EC5" w:rsidRPr="00A82D3D" w:rsidRDefault="00814EC5" w:rsidP="00E036A9">
      <w:pPr>
        <w:spacing w:after="0" w:line="240" w:lineRule="auto"/>
        <w:jc w:val="both"/>
        <w:rPr>
          <w:rFonts w:ascii="Times New Roman" w:eastAsia="Calibri" w:hAnsi="Times New Roman" w:cs="Times New Roman"/>
        </w:rPr>
      </w:pPr>
      <w:r w:rsidRPr="00A82D3D">
        <w:rPr>
          <w:rFonts w:ascii="Times New Roman" w:eastAsia="Calibri" w:hAnsi="Times New Roman" w:cs="Times New Roman"/>
        </w:rPr>
        <w:t>Not: *; İlgili serinin istatistiksel olarak %1 önem düzeyinde anlamlı olduğunu göstermektedir.</w:t>
      </w:r>
    </w:p>
    <w:p w:rsidR="00814EC5" w:rsidRPr="00A82D3D" w:rsidRDefault="00814EC5" w:rsidP="00A82D3D">
      <w:pPr>
        <w:tabs>
          <w:tab w:val="left" w:pos="5370"/>
        </w:tabs>
        <w:spacing w:before="120" w:after="0" w:line="240" w:lineRule="auto"/>
        <w:ind w:firstLine="709"/>
        <w:jc w:val="both"/>
        <w:rPr>
          <w:rFonts w:ascii="Times New Roman" w:eastAsia="Arial" w:hAnsi="Times New Roman" w:cs="Times New Roman"/>
          <w:sz w:val="24"/>
          <w:szCs w:val="24"/>
        </w:rPr>
      </w:pPr>
      <w:r w:rsidRPr="00A82D3D">
        <w:rPr>
          <w:rFonts w:ascii="Times New Roman" w:eastAsia="Arial" w:hAnsi="Times New Roman" w:cs="Times New Roman"/>
          <w:i/>
          <w:sz w:val="24"/>
          <w:szCs w:val="24"/>
        </w:rPr>
        <w:t>LnKBGSYH</w:t>
      </w:r>
      <w:r w:rsidRPr="00A82D3D">
        <w:rPr>
          <w:rFonts w:ascii="Times New Roman" w:eastAsia="Arial" w:hAnsi="Times New Roman" w:cs="Times New Roman"/>
          <w:sz w:val="24"/>
          <w:szCs w:val="24"/>
        </w:rPr>
        <w:t xml:space="preserve"> ve </w:t>
      </w:r>
      <w:r w:rsidRPr="00A82D3D">
        <w:rPr>
          <w:rFonts w:ascii="Times New Roman" w:eastAsia="Arial" w:hAnsi="Times New Roman" w:cs="Times New Roman"/>
          <w:i/>
          <w:sz w:val="24"/>
          <w:szCs w:val="24"/>
        </w:rPr>
        <w:t xml:space="preserve">LnSH </w:t>
      </w:r>
      <w:r w:rsidRPr="00A82D3D">
        <w:rPr>
          <w:rFonts w:ascii="Times New Roman" w:eastAsia="Arial" w:hAnsi="Times New Roman" w:cs="Times New Roman"/>
          <w:sz w:val="24"/>
          <w:szCs w:val="24"/>
        </w:rPr>
        <w:t xml:space="preserve">serilerinin düzey değerleri için yapılan panel birim kök testlerinden elde edilen olasılık değerleri 0.05’ten büyük olduğu için birim kökün varlığını ifade eden </w:t>
      </w:r>
      <w:r w:rsidRPr="00A82D3D">
        <w:rPr>
          <w:rFonts w:ascii="Times New Roman" w:eastAsia="Arial" w:hAnsi="Times New Roman" w:cs="Times New Roman"/>
          <w:i/>
          <w:sz w:val="24"/>
          <w:szCs w:val="24"/>
        </w:rPr>
        <w:t>H</w:t>
      </w:r>
      <w:r w:rsidRPr="00A82D3D">
        <w:rPr>
          <w:rFonts w:ascii="Times New Roman" w:eastAsia="Arial" w:hAnsi="Times New Roman" w:cs="Times New Roman"/>
          <w:i/>
          <w:sz w:val="24"/>
          <w:szCs w:val="24"/>
          <w:vertAlign w:val="subscript"/>
        </w:rPr>
        <w:t>0</w:t>
      </w:r>
      <w:r w:rsidRPr="00A82D3D">
        <w:rPr>
          <w:rFonts w:ascii="Times New Roman" w:eastAsia="Arial" w:hAnsi="Times New Roman" w:cs="Times New Roman"/>
          <w:i/>
          <w:sz w:val="24"/>
          <w:szCs w:val="24"/>
        </w:rPr>
        <w:t xml:space="preserve"> </w:t>
      </w:r>
      <w:r w:rsidR="00923034" w:rsidRPr="00A82D3D">
        <w:rPr>
          <w:rFonts w:ascii="Times New Roman" w:eastAsia="Arial" w:hAnsi="Times New Roman" w:cs="Times New Roman"/>
          <w:sz w:val="24"/>
          <w:szCs w:val="24"/>
        </w:rPr>
        <w:t>hipotez</w:t>
      </w:r>
      <w:r w:rsidRPr="00A82D3D">
        <w:rPr>
          <w:rFonts w:ascii="Times New Roman" w:eastAsia="Arial" w:hAnsi="Times New Roman" w:cs="Times New Roman"/>
          <w:sz w:val="24"/>
          <w:szCs w:val="24"/>
        </w:rPr>
        <w:t xml:space="preserve">i reddedilememiştir. Ancak bu serilerin birinci farkları alınarak yapılan sınamada elde edilen olasılık değerleri 0.05’ten küçük olduğundan, bu serilerin I(1) olduğuna karar verilmiştir.  </w:t>
      </w:r>
      <w:r w:rsidRPr="00A82D3D">
        <w:rPr>
          <w:rFonts w:ascii="Times New Roman" w:eastAsia="Arial" w:hAnsi="Times New Roman" w:cs="Times New Roman"/>
          <w:i/>
          <w:sz w:val="24"/>
          <w:szCs w:val="24"/>
        </w:rPr>
        <w:t>LnEH</w:t>
      </w:r>
      <w:r w:rsidRPr="00A82D3D">
        <w:rPr>
          <w:rFonts w:ascii="Times New Roman" w:eastAsia="Arial" w:hAnsi="Times New Roman" w:cs="Times New Roman"/>
          <w:sz w:val="24"/>
          <w:szCs w:val="24"/>
        </w:rPr>
        <w:t xml:space="preserve"> serisinin düzey değeri için yapılan birim kök sınamasından elde edilen </w:t>
      </w:r>
      <w:r w:rsidRPr="00A82D3D">
        <w:rPr>
          <w:rFonts w:ascii="Times New Roman" w:eastAsia="Arial" w:hAnsi="Times New Roman" w:cs="Times New Roman"/>
          <w:sz w:val="24"/>
          <w:szCs w:val="24"/>
        </w:rPr>
        <w:lastRenderedPageBreak/>
        <w:t xml:space="preserve">olasılık değerleri 0.05’ten küçük olduğundan </w:t>
      </w:r>
      <w:r w:rsidRPr="00A82D3D">
        <w:rPr>
          <w:rFonts w:ascii="Times New Roman" w:eastAsia="Arial" w:hAnsi="Times New Roman" w:cs="Times New Roman"/>
          <w:i/>
          <w:sz w:val="24"/>
          <w:szCs w:val="24"/>
        </w:rPr>
        <w:t>H</w:t>
      </w:r>
      <w:r w:rsidRPr="00A82D3D">
        <w:rPr>
          <w:rFonts w:ascii="Times New Roman" w:eastAsia="Arial" w:hAnsi="Times New Roman" w:cs="Times New Roman"/>
          <w:i/>
          <w:sz w:val="24"/>
          <w:szCs w:val="24"/>
          <w:vertAlign w:val="subscript"/>
        </w:rPr>
        <w:t>0</w:t>
      </w:r>
      <w:r w:rsidRPr="00A82D3D">
        <w:rPr>
          <w:rFonts w:ascii="Times New Roman" w:eastAsia="Arial" w:hAnsi="Times New Roman" w:cs="Times New Roman"/>
          <w:sz w:val="24"/>
          <w:szCs w:val="24"/>
        </w:rPr>
        <w:t xml:space="preserve"> hipotezleri reddedilmiş ve bu serinin I(0) olduğuna karar verilmiştir.</w:t>
      </w:r>
    </w:p>
    <w:p w:rsidR="008D3E5B" w:rsidRPr="00A82D3D" w:rsidRDefault="00C341CB" w:rsidP="00A82D3D">
      <w:pPr>
        <w:tabs>
          <w:tab w:val="left" w:pos="5370"/>
        </w:tabs>
        <w:spacing w:before="120" w:after="0" w:line="240" w:lineRule="auto"/>
        <w:jc w:val="both"/>
        <w:rPr>
          <w:rFonts w:ascii="Times New Roman" w:eastAsia="Arial" w:hAnsi="Times New Roman" w:cs="Times New Roman"/>
          <w:sz w:val="24"/>
          <w:szCs w:val="24"/>
        </w:rPr>
      </w:pPr>
      <w:r>
        <w:rPr>
          <w:rFonts w:ascii="Times New Roman" w:eastAsia="Arial" w:hAnsi="Times New Roman" w:cs="Times New Roman"/>
          <w:b/>
          <w:sz w:val="24"/>
          <w:szCs w:val="24"/>
        </w:rPr>
        <w:t>4</w:t>
      </w:r>
      <w:r w:rsidR="008D3E5B" w:rsidRPr="00A82D3D">
        <w:rPr>
          <w:rFonts w:ascii="Times New Roman" w:eastAsia="Arial" w:hAnsi="Times New Roman" w:cs="Times New Roman"/>
          <w:b/>
          <w:sz w:val="24"/>
          <w:szCs w:val="24"/>
        </w:rPr>
        <w:t>.4. Homojenlik Testi</w:t>
      </w:r>
    </w:p>
    <w:p w:rsidR="008D3E5B" w:rsidRPr="00A82D3D" w:rsidRDefault="008D3E5B" w:rsidP="00A82D3D">
      <w:pPr>
        <w:tabs>
          <w:tab w:val="left" w:pos="5370"/>
        </w:tabs>
        <w:spacing w:before="120" w:after="0" w:line="240" w:lineRule="auto"/>
        <w:ind w:firstLine="709"/>
        <w:jc w:val="both"/>
        <w:rPr>
          <w:rFonts w:ascii="Times New Roman" w:eastAsia="Arial" w:hAnsi="Times New Roman" w:cs="Times New Roman"/>
          <w:sz w:val="24"/>
          <w:szCs w:val="24"/>
        </w:rPr>
      </w:pPr>
      <w:bookmarkStart w:id="7" w:name="_Hlk102490687"/>
      <w:r w:rsidRPr="00A82D3D">
        <w:rPr>
          <w:rFonts w:ascii="Times New Roman" w:eastAsia="Arial" w:hAnsi="Times New Roman" w:cs="Times New Roman"/>
          <w:sz w:val="24"/>
          <w:szCs w:val="24"/>
        </w:rPr>
        <w:t>Ekonometrik modellerde yer alan bağımsız değişkenlerin katsayılarının homojenliğini test etmek amacıyla geliştirilen ilk test, Swamy (1970) Delta Testidir (</w:t>
      </w:r>
      <m:oMath>
        <m:acc>
          <m:accPr>
            <m:ctrlPr>
              <w:rPr>
                <w:rFonts w:ascii="Cambria Math" w:eastAsia="Arial" w:hAnsi="Cambria Math" w:cs="Times New Roman"/>
                <w:i/>
                <w:sz w:val="24"/>
                <w:szCs w:val="24"/>
              </w:rPr>
            </m:ctrlPr>
          </m:accPr>
          <m:e>
            <m:r>
              <w:rPr>
                <w:rFonts w:ascii="Cambria Math" w:eastAsia="Arial" w:hAnsi="Cambria Math" w:cs="Times New Roman"/>
                <w:sz w:val="24"/>
                <w:szCs w:val="24"/>
              </w:rPr>
              <m:t>∆</m:t>
            </m:r>
          </m:e>
        </m:acc>
      </m:oMath>
      <w:r w:rsidRPr="00A82D3D">
        <w:rPr>
          <w:rFonts w:ascii="Times New Roman" w:eastAsia="Arial" w:hAnsi="Times New Roman" w:cs="Times New Roman"/>
          <w:sz w:val="24"/>
          <w:szCs w:val="24"/>
        </w:rPr>
        <w:t>). Pesaran ve Yamagata (2008), Swamy Delta Testinin büyük örneklemlerde güçlü olduğunu, buna karşın küçük örneklemlerde sapmaların düzeltilmesi gerektiği koşulu altında Düzeltilmiş Delta Testini (</w:t>
      </w:r>
      <m:oMath>
        <m:sSub>
          <m:sSubPr>
            <m:ctrlPr>
              <w:rPr>
                <w:rFonts w:ascii="Cambria Math" w:eastAsia="Arial" w:hAnsi="Cambria Math" w:cs="Times New Roman"/>
                <w:i/>
                <w:sz w:val="24"/>
                <w:szCs w:val="24"/>
              </w:rPr>
            </m:ctrlPr>
          </m:sSubPr>
          <m:e>
            <m:acc>
              <m:accPr>
                <m:ctrlPr>
                  <w:rPr>
                    <w:rFonts w:ascii="Cambria Math" w:eastAsia="Arial" w:hAnsi="Cambria Math" w:cs="Times New Roman"/>
                    <w:i/>
                    <w:sz w:val="24"/>
                    <w:szCs w:val="24"/>
                  </w:rPr>
                </m:ctrlPr>
              </m:accPr>
              <m:e>
                <m:r>
                  <w:rPr>
                    <w:rFonts w:ascii="Cambria Math" w:eastAsia="Arial" w:hAnsi="Cambria Math" w:cs="Times New Roman"/>
                    <w:sz w:val="24"/>
                    <w:szCs w:val="24"/>
                  </w:rPr>
                  <m:t>∆</m:t>
                </m:r>
              </m:e>
            </m:acc>
          </m:e>
          <m:sub>
            <m:r>
              <w:rPr>
                <w:rFonts w:ascii="Cambria Math" w:eastAsia="Arial" w:hAnsi="Cambria Math" w:cs="Times New Roman"/>
                <w:sz w:val="24"/>
                <w:szCs w:val="24"/>
              </w:rPr>
              <m:t>ADJ</m:t>
            </m:r>
          </m:sub>
        </m:sSub>
      </m:oMath>
      <w:r w:rsidRPr="00A82D3D">
        <w:rPr>
          <w:rFonts w:ascii="Times New Roman" w:eastAsia="Arial" w:hAnsi="Times New Roman" w:cs="Times New Roman"/>
          <w:sz w:val="24"/>
          <w:szCs w:val="24"/>
        </w:rPr>
        <w:t xml:space="preserve">) geliştirmişlerdir.  </w:t>
      </w:r>
      <w:bookmarkEnd w:id="7"/>
      <w:r w:rsidRPr="00A82D3D">
        <w:rPr>
          <w:rFonts w:ascii="Times New Roman" w:eastAsia="Arial" w:hAnsi="Times New Roman" w:cs="Times New Roman"/>
          <w:sz w:val="24"/>
          <w:szCs w:val="24"/>
        </w:rPr>
        <w:t xml:space="preserve">Bu test, Denklem </w:t>
      </w:r>
      <w:r w:rsidR="00D7056A" w:rsidRPr="00A82D3D">
        <w:rPr>
          <w:rFonts w:ascii="Times New Roman" w:eastAsia="Arial" w:hAnsi="Times New Roman" w:cs="Times New Roman"/>
          <w:sz w:val="24"/>
          <w:szCs w:val="24"/>
        </w:rPr>
        <w:t>(</w:t>
      </w:r>
      <w:r w:rsidRPr="00A82D3D">
        <w:rPr>
          <w:rFonts w:ascii="Times New Roman" w:eastAsia="Arial" w:hAnsi="Times New Roman" w:cs="Times New Roman"/>
          <w:sz w:val="24"/>
          <w:szCs w:val="24"/>
        </w:rPr>
        <w:t>2</w:t>
      </w:r>
      <w:r w:rsidR="00D7056A" w:rsidRPr="00A82D3D">
        <w:rPr>
          <w:rFonts w:ascii="Times New Roman" w:eastAsia="Arial" w:hAnsi="Times New Roman" w:cs="Times New Roman"/>
          <w:sz w:val="24"/>
          <w:szCs w:val="24"/>
        </w:rPr>
        <w:t>)</w:t>
      </w:r>
      <w:r w:rsidRPr="00A82D3D">
        <w:rPr>
          <w:rFonts w:ascii="Times New Roman" w:eastAsia="Arial" w:hAnsi="Times New Roman" w:cs="Times New Roman"/>
          <w:sz w:val="24"/>
          <w:szCs w:val="24"/>
        </w:rPr>
        <w:t>’deki gibi bir panel veri modelini temel almaktadır:</w:t>
      </w:r>
    </w:p>
    <w:p w:rsidR="008D3E5B" w:rsidRPr="00A82D3D" w:rsidRDefault="004116D6" w:rsidP="00A82D3D">
      <w:pPr>
        <w:tabs>
          <w:tab w:val="left" w:pos="5370"/>
        </w:tabs>
        <w:spacing w:before="120" w:after="0" w:line="240" w:lineRule="auto"/>
        <w:ind w:left="709"/>
        <w:jc w:val="both"/>
        <w:rPr>
          <w:rFonts w:ascii="Times New Roman" w:eastAsia="Arial" w:hAnsi="Times New Roman" w:cs="Times New Roman"/>
          <w:sz w:val="24"/>
          <w:szCs w:val="24"/>
        </w:rPr>
      </w:pPr>
      <m:oMathPara>
        <m:oMathParaPr>
          <m:jc m:val="left"/>
        </m:oMathParaPr>
        <m:oMath>
          <m:sSub>
            <m:sSubPr>
              <m:ctrlPr>
                <w:rPr>
                  <w:rFonts w:ascii="Cambria Math" w:eastAsia="Arial" w:hAnsi="Cambria Math" w:cs="Times New Roman"/>
                  <w:sz w:val="24"/>
                  <w:szCs w:val="24"/>
                </w:rPr>
              </m:ctrlPr>
            </m:sSubPr>
            <m:e>
              <m:r>
                <w:rPr>
                  <w:rFonts w:ascii="Cambria Math" w:eastAsia="Arial" w:hAnsi="Cambria Math" w:cs="Times New Roman"/>
                  <w:sz w:val="24"/>
                  <w:szCs w:val="24"/>
                </w:rPr>
                <m:t>y</m:t>
              </m:r>
            </m:e>
            <m:sub>
              <m:r>
                <w:rPr>
                  <w:rFonts w:ascii="Cambria Math" w:eastAsia="Arial" w:hAnsi="Cambria Math" w:cs="Times New Roman"/>
                  <w:sz w:val="24"/>
                  <w:szCs w:val="24"/>
                </w:rPr>
                <m:t>it</m:t>
              </m:r>
            </m:sub>
          </m:sSub>
          <m:r>
            <m:rPr>
              <m:sty m:val="p"/>
            </m:rPr>
            <w:rPr>
              <w:rFonts w:ascii="Cambria Math" w:eastAsia="Arial" w:hAnsi="Cambria Math" w:cs="Times New Roman"/>
              <w:sz w:val="24"/>
              <w:szCs w:val="24"/>
            </w:rPr>
            <m:t>=</m:t>
          </m:r>
          <m:sSub>
            <m:sSubPr>
              <m:ctrlPr>
                <w:rPr>
                  <w:rFonts w:ascii="Cambria Math" w:eastAsia="Arial" w:hAnsi="Cambria Math" w:cs="Times New Roman"/>
                  <w:sz w:val="24"/>
                  <w:szCs w:val="24"/>
                </w:rPr>
              </m:ctrlPr>
            </m:sSubPr>
            <m:e>
              <m:r>
                <w:rPr>
                  <w:rFonts w:ascii="Cambria Math" w:eastAsia="Arial" w:hAnsi="Cambria Math" w:cs="Times New Roman"/>
                  <w:sz w:val="24"/>
                  <w:szCs w:val="24"/>
                </w:rPr>
                <m:t>α</m:t>
              </m:r>
            </m:e>
            <m:sub>
              <m:r>
                <w:rPr>
                  <w:rFonts w:ascii="Cambria Math" w:eastAsia="Arial" w:hAnsi="Cambria Math" w:cs="Times New Roman"/>
                  <w:sz w:val="24"/>
                  <w:szCs w:val="24"/>
                </w:rPr>
                <m:t>i</m:t>
              </m:r>
            </m:sub>
          </m:sSub>
          <m:r>
            <m:rPr>
              <m:sty m:val="p"/>
            </m:rPr>
            <w:rPr>
              <w:rFonts w:ascii="Cambria Math" w:eastAsia="Arial" w:hAnsi="Cambria Math" w:cs="Times New Roman"/>
              <w:sz w:val="24"/>
              <w:szCs w:val="24"/>
            </w:rPr>
            <m:t>+</m:t>
          </m:r>
          <m:sSub>
            <m:sSubPr>
              <m:ctrlPr>
                <w:rPr>
                  <w:rFonts w:ascii="Cambria Math" w:eastAsia="Arial" w:hAnsi="Cambria Math" w:cs="Times New Roman"/>
                  <w:sz w:val="24"/>
                  <w:szCs w:val="24"/>
                </w:rPr>
              </m:ctrlPr>
            </m:sSubPr>
            <m:e>
              <m:r>
                <w:rPr>
                  <w:rFonts w:ascii="Cambria Math" w:eastAsia="Arial" w:hAnsi="Cambria Math" w:cs="Times New Roman"/>
                  <w:sz w:val="24"/>
                  <w:szCs w:val="24"/>
                </w:rPr>
                <m:t>β</m:t>
              </m:r>
            </m:e>
            <m:sub>
              <m:r>
                <w:rPr>
                  <w:rFonts w:ascii="Cambria Math" w:eastAsia="Arial" w:hAnsi="Cambria Math" w:cs="Times New Roman"/>
                  <w:sz w:val="24"/>
                  <w:szCs w:val="24"/>
                </w:rPr>
                <m:t>i</m:t>
              </m:r>
            </m:sub>
          </m:sSub>
          <m:sSub>
            <m:sSubPr>
              <m:ctrlPr>
                <w:rPr>
                  <w:rFonts w:ascii="Cambria Math" w:eastAsia="Arial" w:hAnsi="Cambria Math" w:cs="Times New Roman"/>
                  <w:sz w:val="24"/>
                  <w:szCs w:val="24"/>
                </w:rPr>
              </m:ctrlPr>
            </m:sSubPr>
            <m:e>
              <m:r>
                <w:rPr>
                  <w:rFonts w:ascii="Cambria Math" w:eastAsia="Arial" w:hAnsi="Cambria Math" w:cs="Times New Roman"/>
                  <w:sz w:val="24"/>
                  <w:szCs w:val="24"/>
                </w:rPr>
                <m:t>x</m:t>
              </m:r>
            </m:e>
            <m:sub>
              <m:r>
                <w:rPr>
                  <w:rFonts w:ascii="Cambria Math" w:eastAsia="Arial" w:hAnsi="Cambria Math" w:cs="Times New Roman"/>
                  <w:sz w:val="24"/>
                  <w:szCs w:val="24"/>
                </w:rPr>
                <m:t>it</m:t>
              </m:r>
            </m:sub>
          </m:sSub>
          <m:r>
            <m:rPr>
              <m:sty m:val="p"/>
            </m:rPr>
            <w:rPr>
              <w:rFonts w:ascii="Cambria Math" w:eastAsia="Arial" w:hAnsi="Cambria Math" w:cs="Times New Roman"/>
              <w:sz w:val="24"/>
              <w:szCs w:val="24"/>
            </w:rPr>
            <m:t>+</m:t>
          </m:r>
          <m:sSub>
            <m:sSubPr>
              <m:ctrlPr>
                <w:rPr>
                  <w:rFonts w:ascii="Cambria Math" w:eastAsia="Arial" w:hAnsi="Cambria Math" w:cs="Times New Roman"/>
                  <w:sz w:val="24"/>
                  <w:szCs w:val="24"/>
                </w:rPr>
              </m:ctrlPr>
            </m:sSubPr>
            <m:e>
              <m:r>
                <w:rPr>
                  <w:rFonts w:ascii="Cambria Math" w:eastAsia="Arial" w:hAnsi="Cambria Math" w:cs="Times New Roman"/>
                  <w:sz w:val="24"/>
                  <w:szCs w:val="24"/>
                </w:rPr>
                <m:t>ε</m:t>
              </m:r>
            </m:e>
            <m:sub>
              <m:r>
                <w:rPr>
                  <w:rFonts w:ascii="Cambria Math" w:eastAsia="Arial" w:hAnsi="Cambria Math" w:cs="Times New Roman"/>
                  <w:sz w:val="24"/>
                  <w:szCs w:val="24"/>
                </w:rPr>
                <m:t>it</m:t>
              </m:r>
            </m:sub>
          </m:sSub>
          <m:r>
            <w:rPr>
              <w:rFonts w:ascii="Cambria Math" w:eastAsia="Arial" w:hAnsi="Cambria Math" w:cs="Times New Roman"/>
              <w:sz w:val="24"/>
              <w:szCs w:val="24"/>
            </w:rPr>
            <m:t>i</m:t>
          </m:r>
          <m:r>
            <m:rPr>
              <m:sty m:val="p"/>
            </m:rPr>
            <w:rPr>
              <w:rFonts w:ascii="Cambria Math" w:eastAsia="Arial" w:hAnsi="Cambria Math" w:cs="Times New Roman"/>
              <w:sz w:val="24"/>
              <w:szCs w:val="24"/>
            </w:rPr>
            <m:t>=1,…,</m:t>
          </m:r>
          <m:r>
            <w:rPr>
              <w:rFonts w:ascii="Cambria Math" w:eastAsia="Arial" w:hAnsi="Cambria Math" w:cs="Times New Roman"/>
              <w:sz w:val="24"/>
              <w:szCs w:val="24"/>
            </w:rPr>
            <m:t>N</m:t>
          </m:r>
          <m:r>
            <m:rPr>
              <m:sty m:val="p"/>
            </m:rPr>
            <w:rPr>
              <w:rFonts w:ascii="Cambria Math" w:eastAsia="Arial" w:hAnsi="Cambria Math" w:cs="Times New Roman"/>
              <w:sz w:val="24"/>
              <w:szCs w:val="24"/>
            </w:rPr>
            <m:t xml:space="preserve">;   </m:t>
          </m:r>
          <m:r>
            <w:rPr>
              <w:rFonts w:ascii="Cambria Math" w:eastAsia="Arial" w:hAnsi="Cambria Math" w:cs="Times New Roman"/>
              <w:sz w:val="24"/>
              <w:szCs w:val="24"/>
            </w:rPr>
            <m:t>t</m:t>
          </m:r>
          <m:r>
            <m:rPr>
              <m:sty m:val="p"/>
            </m:rPr>
            <w:rPr>
              <w:rFonts w:ascii="Cambria Math" w:eastAsia="Arial" w:hAnsi="Cambria Math" w:cs="Times New Roman"/>
              <w:sz w:val="24"/>
              <w:szCs w:val="24"/>
            </w:rPr>
            <m:t>=1,…,</m:t>
          </m:r>
          <m:r>
            <w:rPr>
              <w:rFonts w:ascii="Cambria Math" w:eastAsia="Arial" w:hAnsi="Cambria Math" w:cs="Times New Roman"/>
              <w:sz w:val="24"/>
              <w:szCs w:val="24"/>
            </w:rPr>
            <m:t>T</m:t>
          </m:r>
          <m:r>
            <m:rPr>
              <m:sty m:val="p"/>
            </m:rPr>
            <w:rPr>
              <w:rFonts w:ascii="Cambria Math" w:eastAsia="Arial" w:hAnsi="Cambria Math" w:cs="Times New Roman"/>
              <w:sz w:val="24"/>
              <w:szCs w:val="24"/>
            </w:rPr>
            <m:t xml:space="preserve">                                                                 (2)</m:t>
          </m:r>
        </m:oMath>
      </m:oMathPara>
    </w:p>
    <w:p w:rsidR="008D3E5B" w:rsidRPr="00A82D3D" w:rsidRDefault="008D3E5B" w:rsidP="00A82D3D">
      <w:pPr>
        <w:tabs>
          <w:tab w:val="left" w:pos="5370"/>
        </w:tabs>
        <w:spacing w:before="120" w:after="0" w:line="240" w:lineRule="auto"/>
        <w:ind w:firstLine="709"/>
        <w:jc w:val="both"/>
        <w:rPr>
          <w:rFonts w:ascii="Times New Roman" w:eastAsia="Arial" w:hAnsi="Times New Roman" w:cs="Times New Roman"/>
          <w:sz w:val="24"/>
          <w:szCs w:val="24"/>
        </w:rPr>
      </w:pPr>
      <w:r w:rsidRPr="00A82D3D">
        <w:rPr>
          <w:rFonts w:ascii="Times New Roman" w:eastAsia="Arial" w:hAnsi="Times New Roman" w:cs="Times New Roman"/>
          <w:sz w:val="24"/>
          <w:szCs w:val="24"/>
        </w:rPr>
        <w:t>Bu testin hipotezleri ise aşağıda belirtildiği gibi kurulmaktadır.</w:t>
      </w:r>
    </w:p>
    <w:p w:rsidR="008D3E5B" w:rsidRPr="00A82D3D" w:rsidRDefault="004116D6" w:rsidP="00A82D3D">
      <w:pPr>
        <w:tabs>
          <w:tab w:val="left" w:pos="5370"/>
        </w:tabs>
        <w:spacing w:before="120" w:after="0" w:line="240" w:lineRule="auto"/>
        <w:ind w:firstLine="709"/>
        <w:jc w:val="both"/>
        <w:rPr>
          <w:rFonts w:ascii="Times New Roman" w:eastAsia="Arial" w:hAnsi="Times New Roman" w:cs="Times New Roman"/>
          <w:i/>
          <w:sz w:val="24"/>
          <w:szCs w:val="24"/>
        </w:rPr>
      </w:pPr>
      <m:oMath>
        <m:sSub>
          <m:sSubPr>
            <m:ctrlPr>
              <w:rPr>
                <w:rFonts w:ascii="Cambria Math" w:eastAsia="Arial" w:hAnsi="Cambria Math" w:cs="Times New Roman"/>
                <w:i/>
                <w:sz w:val="24"/>
                <w:szCs w:val="24"/>
              </w:rPr>
            </m:ctrlPr>
          </m:sSubPr>
          <m:e>
            <m:r>
              <w:rPr>
                <w:rFonts w:ascii="Cambria Math" w:eastAsia="Arial" w:hAnsi="Cambria Math" w:cs="Times New Roman"/>
                <w:sz w:val="24"/>
                <w:szCs w:val="24"/>
              </w:rPr>
              <m:t>H</m:t>
            </m:r>
          </m:e>
          <m:sub>
            <m:r>
              <w:rPr>
                <w:rFonts w:ascii="Cambria Math" w:eastAsia="Arial" w:hAnsi="Cambria Math" w:cs="Times New Roman"/>
                <w:sz w:val="24"/>
                <w:szCs w:val="24"/>
              </w:rPr>
              <m:t>0</m:t>
            </m:r>
          </m:sub>
        </m:sSub>
        <m:r>
          <w:rPr>
            <w:rFonts w:ascii="Cambria Math" w:eastAsia="Arial" w:hAnsi="Cambria Math" w:cs="Times New Roman"/>
            <w:sz w:val="24"/>
            <w:szCs w:val="24"/>
          </w:rPr>
          <m:t xml:space="preserve">: </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β</m:t>
            </m:r>
          </m:e>
          <m:sub>
            <m:r>
              <w:rPr>
                <w:rFonts w:ascii="Cambria Math" w:eastAsia="Arial" w:hAnsi="Cambria Math" w:cs="Times New Roman"/>
                <w:sz w:val="24"/>
                <w:szCs w:val="24"/>
              </w:rPr>
              <m:t>i</m:t>
            </m:r>
          </m:sub>
        </m:sSub>
        <m:r>
          <w:rPr>
            <w:rFonts w:ascii="Cambria Math" w:eastAsia="Arial" w:hAnsi="Cambria Math" w:cs="Times New Roman"/>
            <w:sz w:val="24"/>
            <w:szCs w:val="24"/>
          </w:rPr>
          <m:t xml:space="preserve">=β, </m:t>
        </m:r>
      </m:oMath>
      <w:r w:rsidR="008D3E5B" w:rsidRPr="00A82D3D">
        <w:rPr>
          <w:rFonts w:ascii="Times New Roman" w:eastAsia="Arial" w:hAnsi="Times New Roman" w:cs="Times New Roman"/>
          <w:i/>
          <w:sz w:val="24"/>
          <w:szCs w:val="24"/>
        </w:rPr>
        <w:t xml:space="preserve"> Tüm yatay kesitlerde eğim katsayıları homojendir.</w:t>
      </w:r>
    </w:p>
    <w:p w:rsidR="008D3E5B" w:rsidRPr="00A82D3D" w:rsidRDefault="004116D6" w:rsidP="00A82D3D">
      <w:pPr>
        <w:tabs>
          <w:tab w:val="left" w:pos="5370"/>
        </w:tabs>
        <w:spacing w:before="120" w:after="0" w:line="240" w:lineRule="auto"/>
        <w:ind w:firstLine="709"/>
        <w:jc w:val="both"/>
        <w:rPr>
          <w:rFonts w:ascii="Times New Roman" w:eastAsia="Arial" w:hAnsi="Times New Roman" w:cs="Times New Roman"/>
          <w:i/>
          <w:sz w:val="24"/>
          <w:szCs w:val="24"/>
        </w:rPr>
      </w:pPr>
      <m:oMath>
        <m:sSub>
          <m:sSubPr>
            <m:ctrlPr>
              <w:rPr>
                <w:rFonts w:ascii="Cambria Math" w:eastAsia="Arial" w:hAnsi="Cambria Math" w:cs="Times New Roman"/>
                <w:i/>
                <w:sz w:val="24"/>
                <w:szCs w:val="24"/>
              </w:rPr>
            </m:ctrlPr>
          </m:sSubPr>
          <m:e>
            <m:r>
              <w:rPr>
                <w:rFonts w:ascii="Cambria Math" w:eastAsia="Arial" w:hAnsi="Cambria Math" w:cs="Times New Roman"/>
                <w:sz w:val="24"/>
                <w:szCs w:val="24"/>
              </w:rPr>
              <m:t>H</m:t>
            </m:r>
          </m:e>
          <m:sub>
            <m:r>
              <w:rPr>
                <w:rFonts w:ascii="Cambria Math" w:eastAsia="Arial" w:hAnsi="Cambria Math" w:cs="Times New Roman"/>
                <w:sz w:val="24"/>
                <w:szCs w:val="24"/>
              </w:rPr>
              <m:t>1</m:t>
            </m:r>
          </m:sub>
        </m:sSub>
        <m:r>
          <w:rPr>
            <w:rFonts w:ascii="Cambria Math" w:eastAsia="Arial" w:hAnsi="Cambria Math" w:cs="Times New Roman"/>
            <w:sz w:val="24"/>
            <w:szCs w:val="24"/>
          </w:rPr>
          <m:t xml:space="preserve">: </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β</m:t>
            </m:r>
          </m:e>
          <m:sub>
            <m:r>
              <w:rPr>
                <w:rFonts w:ascii="Cambria Math" w:eastAsia="Arial" w:hAnsi="Cambria Math" w:cs="Times New Roman"/>
                <w:sz w:val="24"/>
                <w:szCs w:val="24"/>
              </w:rPr>
              <m:t>i</m:t>
            </m:r>
          </m:sub>
        </m:sSub>
        <m:r>
          <w:rPr>
            <w:rFonts w:ascii="Cambria Math" w:eastAsia="Arial" w:hAnsi="Cambria Math" w:cs="Times New Roman"/>
            <w:sz w:val="24"/>
            <w:szCs w:val="24"/>
          </w:rPr>
          <m:t>≠β</m:t>
        </m:r>
      </m:oMath>
      <w:r w:rsidR="008D3E5B" w:rsidRPr="00A82D3D">
        <w:rPr>
          <w:rFonts w:ascii="Times New Roman" w:eastAsia="Arial" w:hAnsi="Times New Roman" w:cs="Times New Roman"/>
          <w:i/>
          <w:sz w:val="24"/>
          <w:szCs w:val="24"/>
        </w:rPr>
        <w:t>,   En az bir yatay kesitte eğim katsayıları homojen değildir.</w:t>
      </w:r>
    </w:p>
    <w:p w:rsidR="008D3E5B" w:rsidRPr="00A82D3D" w:rsidRDefault="008D3E5B" w:rsidP="00A82D3D">
      <w:pPr>
        <w:tabs>
          <w:tab w:val="left" w:pos="5370"/>
        </w:tabs>
        <w:spacing w:before="120" w:after="0" w:line="240" w:lineRule="auto"/>
        <w:ind w:firstLine="709"/>
        <w:jc w:val="both"/>
        <w:rPr>
          <w:rFonts w:ascii="Times New Roman" w:eastAsia="Arial" w:hAnsi="Times New Roman" w:cs="Times New Roman"/>
          <w:sz w:val="24"/>
          <w:szCs w:val="24"/>
        </w:rPr>
      </w:pPr>
      <w:r w:rsidRPr="00A82D3D">
        <w:rPr>
          <w:rFonts w:ascii="Times New Roman" w:eastAsia="Arial" w:hAnsi="Times New Roman" w:cs="Times New Roman"/>
          <w:sz w:val="24"/>
          <w:szCs w:val="24"/>
        </w:rPr>
        <w:t xml:space="preserve">Bu hipotezlerin sınanabilmesi için büyük örneklemlerde gerekli olan test istatistikleri Denklem </w:t>
      </w:r>
      <w:r w:rsidR="00D7056A" w:rsidRPr="00A82D3D">
        <w:rPr>
          <w:rFonts w:ascii="Times New Roman" w:eastAsia="Arial" w:hAnsi="Times New Roman" w:cs="Times New Roman"/>
          <w:sz w:val="24"/>
          <w:szCs w:val="24"/>
        </w:rPr>
        <w:t>(</w:t>
      </w:r>
      <w:r w:rsidRPr="00A82D3D">
        <w:rPr>
          <w:rFonts w:ascii="Times New Roman" w:eastAsia="Arial" w:hAnsi="Times New Roman" w:cs="Times New Roman"/>
          <w:sz w:val="24"/>
          <w:szCs w:val="24"/>
        </w:rPr>
        <w:t>3</w:t>
      </w:r>
      <w:r w:rsidR="00D7056A" w:rsidRPr="00A82D3D">
        <w:rPr>
          <w:rFonts w:ascii="Times New Roman" w:eastAsia="Arial" w:hAnsi="Times New Roman" w:cs="Times New Roman"/>
          <w:sz w:val="24"/>
          <w:szCs w:val="24"/>
        </w:rPr>
        <w:t>)</w:t>
      </w:r>
      <w:r w:rsidRPr="00A82D3D">
        <w:rPr>
          <w:rFonts w:ascii="Times New Roman" w:eastAsia="Arial" w:hAnsi="Times New Roman" w:cs="Times New Roman"/>
          <w:sz w:val="24"/>
          <w:szCs w:val="24"/>
        </w:rPr>
        <w:t xml:space="preserve"> aracılığıyla e</w:t>
      </w:r>
      <w:r w:rsidR="008F3BEC">
        <w:rPr>
          <w:rFonts w:ascii="Times New Roman" w:eastAsia="Arial" w:hAnsi="Times New Roman" w:cs="Times New Roman"/>
          <w:sz w:val="24"/>
          <w:szCs w:val="24"/>
        </w:rPr>
        <w:t xml:space="preserve">lde edilmektedir (Pesaran </w:t>
      </w:r>
      <w:r w:rsidR="008F3BEC" w:rsidRPr="00EF0E1F">
        <w:rPr>
          <w:rFonts w:ascii="Times New Roman" w:hAnsi="Times New Roman" w:cs="Times New Roman"/>
          <w:sz w:val="24"/>
          <w:szCs w:val="24"/>
        </w:rPr>
        <w:t>&amp;</w:t>
      </w:r>
      <w:r w:rsidR="008F3BEC">
        <w:rPr>
          <w:rFonts w:ascii="Times New Roman" w:eastAsia="Arial" w:hAnsi="Times New Roman" w:cs="Times New Roman"/>
          <w:sz w:val="24"/>
          <w:szCs w:val="24"/>
        </w:rPr>
        <w:t xml:space="preserve"> Y</w:t>
      </w:r>
      <w:r w:rsidRPr="00A82D3D">
        <w:rPr>
          <w:rFonts w:ascii="Times New Roman" w:eastAsia="Arial" w:hAnsi="Times New Roman" w:cs="Times New Roman"/>
          <w:sz w:val="24"/>
          <w:szCs w:val="24"/>
        </w:rPr>
        <w:t>ama</w:t>
      </w:r>
      <w:r w:rsidR="008F3BEC">
        <w:rPr>
          <w:rFonts w:ascii="Times New Roman" w:eastAsia="Arial" w:hAnsi="Times New Roman" w:cs="Times New Roman"/>
          <w:sz w:val="24"/>
          <w:szCs w:val="24"/>
        </w:rPr>
        <w:t>gata 2008</w:t>
      </w:r>
      <w:r w:rsidRPr="00A82D3D">
        <w:rPr>
          <w:rFonts w:ascii="Times New Roman" w:eastAsia="Arial" w:hAnsi="Times New Roman" w:cs="Times New Roman"/>
          <w:sz w:val="24"/>
          <w:szCs w:val="24"/>
        </w:rPr>
        <w:t>):</w:t>
      </w:r>
    </w:p>
    <w:p w:rsidR="008D3E5B" w:rsidRPr="00A82D3D" w:rsidRDefault="00A82D3D" w:rsidP="00A82D3D">
      <w:pPr>
        <w:tabs>
          <w:tab w:val="left" w:pos="5370"/>
        </w:tabs>
        <w:spacing w:before="120" w:after="0" w:line="240" w:lineRule="auto"/>
        <w:ind w:left="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m:oMath>
        <m:acc>
          <m:accPr>
            <m:ctrlPr>
              <w:rPr>
                <w:rFonts w:ascii="Cambria Math" w:eastAsia="Arial" w:hAnsi="Cambria Math" w:cs="Times New Roman"/>
                <w:sz w:val="24"/>
                <w:szCs w:val="24"/>
              </w:rPr>
            </m:ctrlPr>
          </m:accPr>
          <m:e>
            <m:r>
              <m:rPr>
                <m:sty m:val="p"/>
              </m:rPr>
              <w:rPr>
                <w:rFonts w:ascii="Cambria Math" w:eastAsia="Arial" w:hAnsi="Cambria Math" w:cs="Times New Roman"/>
                <w:sz w:val="24"/>
                <w:szCs w:val="24"/>
              </w:rPr>
              <m:t>∆</m:t>
            </m:r>
          </m:e>
        </m:acc>
        <m:r>
          <m:rPr>
            <m:sty m:val="p"/>
          </m:rPr>
          <w:rPr>
            <w:rFonts w:ascii="Cambria Math" w:eastAsia="Arial" w:hAnsi="Cambria Math" w:cs="Times New Roman"/>
            <w:sz w:val="24"/>
            <w:szCs w:val="24"/>
          </w:rPr>
          <m:t>=</m:t>
        </m:r>
        <m:rad>
          <m:radPr>
            <m:degHide m:val="1"/>
            <m:ctrlPr>
              <w:rPr>
                <w:rFonts w:ascii="Cambria Math" w:eastAsia="Arial" w:hAnsi="Cambria Math" w:cs="Times New Roman"/>
                <w:sz w:val="24"/>
                <w:szCs w:val="24"/>
              </w:rPr>
            </m:ctrlPr>
          </m:radPr>
          <m:deg/>
          <m:e>
            <m:r>
              <w:rPr>
                <w:rFonts w:ascii="Cambria Math" w:eastAsia="Arial" w:hAnsi="Cambria Math" w:cs="Times New Roman"/>
                <w:sz w:val="24"/>
                <w:szCs w:val="24"/>
              </w:rPr>
              <m:t>N</m:t>
            </m:r>
          </m:e>
        </m:rad>
        <m:d>
          <m:dPr>
            <m:ctrlPr>
              <w:rPr>
                <w:rFonts w:ascii="Cambria Math" w:eastAsia="Arial" w:hAnsi="Cambria Math" w:cs="Times New Roman"/>
                <w:sz w:val="24"/>
                <w:szCs w:val="24"/>
              </w:rPr>
            </m:ctrlPr>
          </m:dPr>
          <m:e>
            <m:f>
              <m:fPr>
                <m:ctrlPr>
                  <w:rPr>
                    <w:rFonts w:ascii="Cambria Math" w:eastAsia="Arial" w:hAnsi="Cambria Math" w:cs="Times New Roman"/>
                    <w:sz w:val="24"/>
                    <w:szCs w:val="24"/>
                  </w:rPr>
                </m:ctrlPr>
              </m:fPr>
              <m:num>
                <m:sSup>
                  <m:sSupPr>
                    <m:ctrlPr>
                      <w:rPr>
                        <w:rFonts w:ascii="Cambria Math" w:eastAsia="Arial" w:hAnsi="Cambria Math" w:cs="Times New Roman"/>
                        <w:sz w:val="24"/>
                        <w:szCs w:val="24"/>
                      </w:rPr>
                    </m:ctrlPr>
                  </m:sSupPr>
                  <m:e>
                    <m:r>
                      <w:rPr>
                        <w:rFonts w:ascii="Cambria Math" w:eastAsia="Arial" w:hAnsi="Cambria Math" w:cs="Times New Roman"/>
                        <w:sz w:val="24"/>
                        <w:szCs w:val="24"/>
                      </w:rPr>
                      <m:t>N</m:t>
                    </m:r>
                  </m:e>
                  <m:sup>
                    <m:r>
                      <m:rPr>
                        <m:sty m:val="p"/>
                      </m:rPr>
                      <w:rPr>
                        <w:rFonts w:ascii="Cambria Math" w:eastAsia="Arial" w:hAnsi="Cambria Math" w:cs="Times New Roman"/>
                        <w:sz w:val="24"/>
                        <w:szCs w:val="24"/>
                      </w:rPr>
                      <m:t>-1</m:t>
                    </m:r>
                  </m:sup>
                </m:sSup>
                <m:acc>
                  <m:accPr>
                    <m:chr m:val="̃"/>
                    <m:ctrlPr>
                      <w:rPr>
                        <w:rFonts w:ascii="Cambria Math" w:eastAsia="Arial" w:hAnsi="Cambria Math" w:cs="Times New Roman"/>
                        <w:sz w:val="24"/>
                        <w:szCs w:val="24"/>
                      </w:rPr>
                    </m:ctrlPr>
                  </m:accPr>
                  <m:e>
                    <m:r>
                      <w:rPr>
                        <w:rFonts w:ascii="Cambria Math" w:eastAsia="Arial" w:hAnsi="Cambria Math" w:cs="Times New Roman"/>
                        <w:sz w:val="24"/>
                        <w:szCs w:val="24"/>
                      </w:rPr>
                      <m:t>S</m:t>
                    </m:r>
                  </m:e>
                </m:acc>
                <m:r>
                  <m:rPr>
                    <m:sty m:val="p"/>
                  </m:rPr>
                  <w:rPr>
                    <w:rFonts w:ascii="Cambria Math" w:eastAsia="Arial" w:hAnsi="Cambria Math" w:cs="Times New Roman"/>
                    <w:sz w:val="24"/>
                    <w:szCs w:val="24"/>
                  </w:rPr>
                  <m:t>-</m:t>
                </m:r>
                <m:r>
                  <w:rPr>
                    <w:rFonts w:ascii="Cambria Math" w:eastAsia="Arial" w:hAnsi="Cambria Math" w:cs="Times New Roman"/>
                    <w:sz w:val="24"/>
                    <w:szCs w:val="24"/>
                  </w:rPr>
                  <m:t>k</m:t>
                </m:r>
              </m:num>
              <m:den>
                <m:r>
                  <m:rPr>
                    <m:sty m:val="p"/>
                  </m:rPr>
                  <w:rPr>
                    <w:rFonts w:ascii="Cambria Math" w:eastAsia="Arial" w:hAnsi="Cambria Math" w:cs="Times New Roman"/>
                    <w:sz w:val="24"/>
                    <w:szCs w:val="24"/>
                  </w:rPr>
                  <m:t>2</m:t>
                </m:r>
                <m:r>
                  <w:rPr>
                    <w:rFonts w:ascii="Cambria Math" w:eastAsia="Arial" w:hAnsi="Cambria Math" w:cs="Times New Roman"/>
                    <w:sz w:val="24"/>
                    <w:szCs w:val="24"/>
                  </w:rPr>
                  <m:t>k</m:t>
                </m:r>
              </m:den>
            </m:f>
          </m:e>
        </m:d>
        <m:r>
          <m:rPr>
            <m:sty m:val="p"/>
          </m:rPr>
          <w:rPr>
            <w:rFonts w:ascii="Cambria Math" w:eastAsia="Arial" w:hAnsi="Cambria Math" w:cs="Times New Roman"/>
            <w:sz w:val="24"/>
            <w:szCs w:val="24"/>
          </w:rPr>
          <m:t xml:space="preserve">                                                                                                                     (3)</m:t>
        </m:r>
      </m:oMath>
    </w:p>
    <w:p w:rsidR="008D3E5B" w:rsidRPr="00A82D3D" w:rsidRDefault="008D3E5B" w:rsidP="00A82D3D">
      <w:pPr>
        <w:tabs>
          <w:tab w:val="left" w:pos="5370"/>
        </w:tabs>
        <w:spacing w:before="120" w:after="0" w:line="240" w:lineRule="auto"/>
        <w:ind w:firstLine="709"/>
        <w:jc w:val="both"/>
        <w:rPr>
          <w:rFonts w:ascii="Times New Roman" w:eastAsia="Arial" w:hAnsi="Times New Roman" w:cs="Times New Roman"/>
          <w:sz w:val="24"/>
          <w:szCs w:val="24"/>
        </w:rPr>
      </w:pPr>
      <w:r w:rsidRPr="00A82D3D">
        <w:rPr>
          <w:rFonts w:ascii="Times New Roman" w:eastAsia="Arial" w:hAnsi="Times New Roman" w:cs="Times New Roman"/>
          <w:sz w:val="24"/>
          <w:szCs w:val="24"/>
        </w:rPr>
        <w:t>Küçük örneklemlerde gerekli olan test istatistikleri ise Denklem 4 aracılığıyla elde edilmekted</w:t>
      </w:r>
      <w:r w:rsidR="008F3BEC">
        <w:rPr>
          <w:rFonts w:ascii="Times New Roman" w:eastAsia="Arial" w:hAnsi="Times New Roman" w:cs="Times New Roman"/>
          <w:sz w:val="24"/>
          <w:szCs w:val="24"/>
        </w:rPr>
        <w:t>ir (Pesaran ve Yamagata 2008</w:t>
      </w:r>
      <w:r w:rsidRPr="00A82D3D">
        <w:rPr>
          <w:rFonts w:ascii="Times New Roman" w:eastAsia="Arial" w:hAnsi="Times New Roman" w:cs="Times New Roman"/>
          <w:sz w:val="24"/>
          <w:szCs w:val="24"/>
        </w:rPr>
        <w:t>):</w:t>
      </w:r>
    </w:p>
    <w:p w:rsidR="008D3E5B" w:rsidRPr="006D0EBF" w:rsidRDefault="006D0EBF" w:rsidP="006D0EBF">
      <w:pPr>
        <w:tabs>
          <w:tab w:val="left" w:pos="5370"/>
        </w:tabs>
        <w:spacing w:before="120" w:after="0" w:line="240" w:lineRule="auto"/>
        <w:ind w:left="709"/>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m:oMath>
        <m:sSub>
          <m:sSubPr>
            <m:ctrlPr>
              <w:rPr>
                <w:rFonts w:ascii="Cambria Math" w:eastAsia="Arial" w:hAnsi="Cambria Math" w:cs="Times New Roman"/>
                <w:sz w:val="24"/>
                <w:szCs w:val="24"/>
              </w:rPr>
            </m:ctrlPr>
          </m:sSubPr>
          <m:e>
            <m:acc>
              <m:accPr>
                <m:ctrlPr>
                  <w:rPr>
                    <w:rFonts w:ascii="Cambria Math" w:eastAsia="Arial" w:hAnsi="Cambria Math" w:cs="Times New Roman"/>
                    <w:sz w:val="24"/>
                    <w:szCs w:val="24"/>
                  </w:rPr>
                </m:ctrlPr>
              </m:accPr>
              <m:e>
                <m:r>
                  <m:rPr>
                    <m:sty m:val="p"/>
                  </m:rPr>
                  <w:rPr>
                    <w:rFonts w:ascii="Cambria Math" w:eastAsia="Arial" w:hAnsi="Cambria Math" w:cs="Times New Roman"/>
                    <w:sz w:val="24"/>
                    <w:szCs w:val="24"/>
                  </w:rPr>
                  <m:t>∆</m:t>
                </m:r>
              </m:e>
            </m:acc>
          </m:e>
          <m:sub>
            <m:r>
              <w:rPr>
                <w:rFonts w:ascii="Cambria Math" w:eastAsia="Arial" w:hAnsi="Cambria Math" w:cs="Times New Roman"/>
                <w:sz w:val="24"/>
                <w:szCs w:val="24"/>
              </w:rPr>
              <m:t>Adj</m:t>
            </m:r>
          </m:sub>
        </m:sSub>
        <m:r>
          <m:rPr>
            <m:sty m:val="p"/>
          </m:rPr>
          <w:rPr>
            <w:rFonts w:ascii="Cambria Math" w:eastAsia="Arial" w:hAnsi="Cambria Math" w:cs="Times New Roman"/>
            <w:sz w:val="24"/>
            <w:szCs w:val="24"/>
          </w:rPr>
          <m:t>=</m:t>
        </m:r>
        <m:rad>
          <m:radPr>
            <m:degHide m:val="1"/>
            <m:ctrlPr>
              <w:rPr>
                <w:rFonts w:ascii="Cambria Math" w:eastAsia="Arial" w:hAnsi="Cambria Math" w:cs="Times New Roman"/>
                <w:sz w:val="24"/>
                <w:szCs w:val="24"/>
              </w:rPr>
            </m:ctrlPr>
          </m:radPr>
          <m:deg/>
          <m:e>
            <m:r>
              <w:rPr>
                <w:rFonts w:ascii="Cambria Math" w:eastAsia="Arial" w:hAnsi="Cambria Math" w:cs="Times New Roman"/>
                <w:sz w:val="24"/>
                <w:szCs w:val="24"/>
              </w:rPr>
              <m:t>N</m:t>
            </m:r>
          </m:e>
        </m:rad>
        <m:d>
          <m:dPr>
            <m:ctrlPr>
              <w:rPr>
                <w:rFonts w:ascii="Cambria Math" w:eastAsia="Arial" w:hAnsi="Cambria Math" w:cs="Times New Roman"/>
                <w:sz w:val="24"/>
                <w:szCs w:val="24"/>
              </w:rPr>
            </m:ctrlPr>
          </m:dPr>
          <m:e>
            <m:f>
              <m:fPr>
                <m:ctrlPr>
                  <w:rPr>
                    <w:rFonts w:ascii="Cambria Math" w:eastAsia="Arial" w:hAnsi="Cambria Math" w:cs="Times New Roman"/>
                    <w:sz w:val="24"/>
                    <w:szCs w:val="24"/>
                  </w:rPr>
                </m:ctrlPr>
              </m:fPr>
              <m:num>
                <m:sSup>
                  <m:sSupPr>
                    <m:ctrlPr>
                      <w:rPr>
                        <w:rFonts w:ascii="Cambria Math" w:eastAsia="Arial" w:hAnsi="Cambria Math" w:cs="Times New Roman"/>
                        <w:sz w:val="24"/>
                        <w:szCs w:val="24"/>
                      </w:rPr>
                    </m:ctrlPr>
                  </m:sSupPr>
                  <m:e>
                    <m:r>
                      <w:rPr>
                        <w:rFonts w:ascii="Cambria Math" w:eastAsia="Arial" w:hAnsi="Cambria Math" w:cs="Times New Roman"/>
                        <w:sz w:val="24"/>
                        <w:szCs w:val="24"/>
                      </w:rPr>
                      <m:t>N</m:t>
                    </m:r>
                  </m:e>
                  <m:sup>
                    <m:r>
                      <m:rPr>
                        <m:sty m:val="p"/>
                      </m:rPr>
                      <w:rPr>
                        <w:rFonts w:ascii="Cambria Math" w:eastAsia="Arial" w:hAnsi="Cambria Math" w:cs="Times New Roman"/>
                        <w:sz w:val="24"/>
                        <w:szCs w:val="24"/>
                      </w:rPr>
                      <m:t>-1</m:t>
                    </m:r>
                  </m:sup>
                </m:sSup>
                <m:acc>
                  <m:accPr>
                    <m:chr m:val="̃"/>
                    <m:ctrlPr>
                      <w:rPr>
                        <w:rFonts w:ascii="Cambria Math" w:eastAsia="Arial" w:hAnsi="Cambria Math" w:cs="Times New Roman"/>
                        <w:sz w:val="24"/>
                        <w:szCs w:val="24"/>
                      </w:rPr>
                    </m:ctrlPr>
                  </m:accPr>
                  <m:e>
                    <m:r>
                      <w:rPr>
                        <w:rFonts w:ascii="Cambria Math" w:eastAsia="Arial" w:hAnsi="Cambria Math" w:cs="Times New Roman"/>
                        <w:sz w:val="24"/>
                        <w:szCs w:val="24"/>
                      </w:rPr>
                      <m:t>S</m:t>
                    </m:r>
                  </m:e>
                </m:acc>
                <m:r>
                  <m:rPr>
                    <m:sty m:val="p"/>
                  </m:rPr>
                  <w:rPr>
                    <w:rFonts w:ascii="Cambria Math" w:eastAsia="Arial" w:hAnsi="Cambria Math" w:cs="Times New Roman"/>
                    <w:sz w:val="24"/>
                    <w:szCs w:val="24"/>
                  </w:rPr>
                  <m:t>-</m:t>
                </m:r>
                <m:r>
                  <w:rPr>
                    <w:rFonts w:ascii="Cambria Math" w:eastAsia="Arial" w:hAnsi="Cambria Math" w:cs="Times New Roman"/>
                    <w:sz w:val="24"/>
                    <w:szCs w:val="24"/>
                  </w:rPr>
                  <m:t>k</m:t>
                </m:r>
              </m:num>
              <m:den>
                <m:r>
                  <w:rPr>
                    <w:rFonts w:ascii="Cambria Math" w:eastAsia="Arial" w:hAnsi="Cambria Math" w:cs="Times New Roman"/>
                    <w:sz w:val="24"/>
                    <w:szCs w:val="24"/>
                  </w:rPr>
                  <m:t>v</m:t>
                </m:r>
                <m:r>
                  <m:rPr>
                    <m:sty m:val="p"/>
                  </m:rPr>
                  <w:rPr>
                    <w:rFonts w:ascii="Cambria Math" w:eastAsia="Arial" w:hAnsi="Cambria Math" w:cs="Times New Roman"/>
                    <w:sz w:val="24"/>
                    <w:szCs w:val="24"/>
                  </w:rPr>
                  <m:t>(</m:t>
                </m:r>
                <m:r>
                  <w:rPr>
                    <w:rFonts w:ascii="Cambria Math" w:eastAsia="Arial" w:hAnsi="Cambria Math" w:cs="Times New Roman"/>
                    <w:sz w:val="24"/>
                    <w:szCs w:val="24"/>
                  </w:rPr>
                  <m:t>T</m:t>
                </m:r>
                <m:r>
                  <m:rPr>
                    <m:sty m:val="p"/>
                  </m:rPr>
                  <w:rPr>
                    <w:rFonts w:ascii="Cambria Math" w:eastAsia="Arial" w:hAnsi="Cambria Math" w:cs="Times New Roman"/>
                    <w:sz w:val="24"/>
                    <w:szCs w:val="24"/>
                  </w:rPr>
                  <m:t>,</m:t>
                </m:r>
                <m:r>
                  <w:rPr>
                    <w:rFonts w:ascii="Cambria Math" w:eastAsia="Arial" w:hAnsi="Cambria Math" w:cs="Times New Roman"/>
                    <w:sz w:val="24"/>
                    <w:szCs w:val="24"/>
                  </w:rPr>
                  <m:t>k</m:t>
                </m:r>
                <m:r>
                  <m:rPr>
                    <m:sty m:val="p"/>
                  </m:rPr>
                  <w:rPr>
                    <w:rFonts w:ascii="Cambria Math" w:eastAsia="Arial" w:hAnsi="Cambria Math" w:cs="Times New Roman"/>
                    <w:sz w:val="24"/>
                    <w:szCs w:val="24"/>
                  </w:rPr>
                  <m:t>)</m:t>
                </m:r>
              </m:den>
            </m:f>
          </m:e>
        </m:d>
        <m:r>
          <m:rPr>
            <m:sty m:val="p"/>
          </m:rPr>
          <w:rPr>
            <w:rFonts w:ascii="Cambria Math" w:eastAsia="Arial" w:hAnsi="Cambria Math" w:cs="Times New Roman"/>
            <w:sz w:val="24"/>
            <w:szCs w:val="24"/>
          </w:rPr>
          <m:t xml:space="preserve">                                                                                                                (4)</m:t>
        </m:r>
      </m:oMath>
    </w:p>
    <w:p w:rsidR="008D3E5B" w:rsidRPr="00A82D3D" w:rsidRDefault="008D3E5B" w:rsidP="00A82D3D">
      <w:pPr>
        <w:tabs>
          <w:tab w:val="left" w:pos="5370"/>
        </w:tabs>
        <w:spacing w:before="120" w:after="0" w:line="240" w:lineRule="auto"/>
        <w:ind w:firstLine="709"/>
        <w:jc w:val="both"/>
        <w:rPr>
          <w:rFonts w:ascii="Times New Roman" w:eastAsia="Arial" w:hAnsi="Times New Roman" w:cs="Times New Roman"/>
          <w:sz w:val="24"/>
          <w:szCs w:val="24"/>
        </w:rPr>
      </w:pPr>
      <w:r w:rsidRPr="00A82D3D">
        <w:rPr>
          <w:rFonts w:ascii="Times New Roman" w:eastAsia="Arial" w:hAnsi="Times New Roman" w:cs="Times New Roman"/>
          <w:sz w:val="24"/>
          <w:szCs w:val="24"/>
        </w:rPr>
        <w:t xml:space="preserve">Burada </w:t>
      </w:r>
      <m:oMath>
        <m:r>
          <w:rPr>
            <w:rFonts w:ascii="Cambria Math" w:eastAsia="Arial" w:hAnsi="Cambria Math" w:cs="Times New Roman"/>
            <w:sz w:val="24"/>
            <w:szCs w:val="24"/>
          </w:rPr>
          <m:t>N;</m:t>
        </m:r>
      </m:oMath>
      <w:r w:rsidRPr="00A82D3D">
        <w:rPr>
          <w:rFonts w:ascii="Times New Roman" w:eastAsia="Arial" w:hAnsi="Times New Roman" w:cs="Times New Roman"/>
          <w:sz w:val="24"/>
          <w:szCs w:val="24"/>
        </w:rPr>
        <w:t xml:space="preserve"> yatay kesit adedini, </w:t>
      </w:r>
      <m:oMath>
        <m:r>
          <w:rPr>
            <w:rFonts w:ascii="Cambria Math" w:eastAsia="Arial" w:hAnsi="Cambria Math" w:cs="Times New Roman"/>
            <w:sz w:val="24"/>
            <w:szCs w:val="24"/>
          </w:rPr>
          <m:t>S;</m:t>
        </m:r>
      </m:oMath>
      <w:r w:rsidRPr="00A82D3D">
        <w:rPr>
          <w:rFonts w:ascii="Times New Roman" w:eastAsia="Arial" w:hAnsi="Times New Roman" w:cs="Times New Roman"/>
          <w:sz w:val="24"/>
          <w:szCs w:val="24"/>
        </w:rPr>
        <w:t xml:space="preserve"> Swamy test istatistiğini, </w:t>
      </w:r>
      <m:oMath>
        <m:r>
          <w:rPr>
            <w:rFonts w:ascii="Cambria Math" w:eastAsia="Arial" w:hAnsi="Cambria Math" w:cs="Times New Roman"/>
            <w:sz w:val="24"/>
            <w:szCs w:val="24"/>
          </w:rPr>
          <m:t>k;</m:t>
        </m:r>
      </m:oMath>
      <w:r w:rsidRPr="00A82D3D">
        <w:rPr>
          <w:rFonts w:ascii="Times New Roman" w:eastAsia="Arial" w:hAnsi="Times New Roman" w:cs="Times New Roman"/>
          <w:sz w:val="24"/>
          <w:szCs w:val="24"/>
        </w:rPr>
        <w:t xml:space="preserve"> modelde yer alan bağımsız değişken sayısını ve </w:t>
      </w:r>
      <m:oMath>
        <m:r>
          <w:rPr>
            <w:rFonts w:ascii="Cambria Math" w:eastAsia="Arial" w:hAnsi="Cambria Math" w:cs="Times New Roman"/>
            <w:sz w:val="24"/>
            <w:szCs w:val="24"/>
          </w:rPr>
          <m:t>v</m:t>
        </m:r>
        <m:d>
          <m:dPr>
            <m:ctrlPr>
              <w:rPr>
                <w:rFonts w:ascii="Cambria Math" w:eastAsia="Arial" w:hAnsi="Cambria Math" w:cs="Times New Roman"/>
                <w:sz w:val="24"/>
                <w:szCs w:val="24"/>
              </w:rPr>
            </m:ctrlPr>
          </m:dPr>
          <m:e>
            <m:r>
              <w:rPr>
                <w:rFonts w:ascii="Cambria Math" w:eastAsia="Arial" w:hAnsi="Cambria Math" w:cs="Times New Roman"/>
                <w:sz w:val="24"/>
                <w:szCs w:val="24"/>
              </w:rPr>
              <m:t>T</m:t>
            </m:r>
            <m:r>
              <m:rPr>
                <m:sty m:val="p"/>
              </m:rPr>
              <w:rPr>
                <w:rFonts w:ascii="Cambria Math" w:eastAsia="Arial" w:hAnsi="Cambria Math" w:cs="Times New Roman"/>
                <w:sz w:val="24"/>
                <w:szCs w:val="24"/>
              </w:rPr>
              <m:t>,</m:t>
            </m:r>
            <m:r>
              <w:rPr>
                <w:rFonts w:ascii="Cambria Math" w:eastAsia="Arial" w:hAnsi="Cambria Math" w:cs="Times New Roman"/>
                <w:sz w:val="24"/>
                <w:szCs w:val="24"/>
              </w:rPr>
              <m:t>k</m:t>
            </m:r>
          </m:e>
        </m:d>
      </m:oMath>
      <w:r w:rsidRPr="00A82D3D">
        <w:rPr>
          <w:rFonts w:ascii="Times New Roman" w:eastAsia="Arial" w:hAnsi="Times New Roman" w:cs="Times New Roman"/>
          <w:sz w:val="24"/>
          <w:szCs w:val="24"/>
        </w:rPr>
        <w:t xml:space="preserve"> ise standart hatayı göstermektedir. Yapılan analizlerde panelin geneli için elde edilecek katsayıların homojen olup olmadığı Swam</w:t>
      </w:r>
      <w:r w:rsidR="008F3BEC">
        <w:rPr>
          <w:rFonts w:ascii="Times New Roman" w:eastAsia="Arial" w:hAnsi="Times New Roman" w:cs="Times New Roman"/>
          <w:sz w:val="24"/>
          <w:szCs w:val="24"/>
        </w:rPr>
        <w:t xml:space="preserve">y (1970) Delta testi Pesaran </w:t>
      </w:r>
      <w:r w:rsidR="008F3BEC" w:rsidRPr="00EF0E1F">
        <w:rPr>
          <w:rFonts w:ascii="Times New Roman" w:hAnsi="Times New Roman" w:cs="Times New Roman"/>
          <w:sz w:val="24"/>
          <w:szCs w:val="24"/>
        </w:rPr>
        <w:t>&amp;</w:t>
      </w:r>
      <w:r w:rsidR="008F3BEC">
        <w:rPr>
          <w:rFonts w:ascii="Times New Roman" w:hAnsi="Times New Roman" w:cs="Times New Roman"/>
          <w:sz w:val="24"/>
          <w:szCs w:val="24"/>
        </w:rPr>
        <w:t xml:space="preserve"> </w:t>
      </w:r>
      <w:r w:rsidRPr="00A82D3D">
        <w:rPr>
          <w:rFonts w:ascii="Times New Roman" w:eastAsia="Arial" w:hAnsi="Times New Roman" w:cs="Times New Roman"/>
          <w:sz w:val="24"/>
          <w:szCs w:val="24"/>
        </w:rPr>
        <w:t>Yamagata (2008) Düzeltilmiş Delta testi il</w:t>
      </w:r>
      <w:r w:rsidR="00874BC2" w:rsidRPr="00A82D3D">
        <w:rPr>
          <w:rFonts w:ascii="Times New Roman" w:eastAsia="Arial" w:hAnsi="Times New Roman" w:cs="Times New Roman"/>
          <w:sz w:val="24"/>
          <w:szCs w:val="24"/>
        </w:rPr>
        <w:t>e incelenmiş ve sonuçlar Tablo 3</w:t>
      </w:r>
      <w:r w:rsidRPr="00A82D3D">
        <w:rPr>
          <w:rFonts w:ascii="Times New Roman" w:eastAsia="Arial" w:hAnsi="Times New Roman" w:cs="Times New Roman"/>
          <w:sz w:val="24"/>
          <w:szCs w:val="24"/>
        </w:rPr>
        <w:t>’te verilmiştir.</w:t>
      </w:r>
    </w:p>
    <w:p w:rsidR="008D3E5B" w:rsidRPr="006D0EBF" w:rsidRDefault="00874BC2" w:rsidP="006D0EBF">
      <w:pPr>
        <w:tabs>
          <w:tab w:val="left" w:pos="5370"/>
        </w:tabs>
        <w:spacing w:before="120" w:after="0" w:line="240" w:lineRule="auto"/>
        <w:jc w:val="center"/>
        <w:rPr>
          <w:rFonts w:ascii="Times New Roman" w:eastAsia="Arial" w:hAnsi="Times New Roman" w:cs="Times New Roman"/>
          <w:b/>
          <w:sz w:val="24"/>
          <w:szCs w:val="24"/>
        </w:rPr>
      </w:pPr>
      <w:bookmarkStart w:id="8" w:name="_Toc106199901"/>
      <w:bookmarkStart w:id="9" w:name="_Toc106201431"/>
      <w:bookmarkStart w:id="10" w:name="_Toc105838095"/>
      <w:bookmarkStart w:id="11" w:name="_Toc106201238"/>
      <w:r w:rsidRPr="006D0EBF">
        <w:rPr>
          <w:rFonts w:ascii="Times New Roman" w:eastAsia="Arial" w:hAnsi="Times New Roman" w:cs="Times New Roman"/>
          <w:b/>
          <w:sz w:val="24"/>
          <w:szCs w:val="24"/>
        </w:rPr>
        <w:t>Tablo 3</w:t>
      </w:r>
      <w:r w:rsidR="008D3E5B" w:rsidRPr="006D0EBF">
        <w:rPr>
          <w:rFonts w:ascii="Times New Roman" w:eastAsia="Arial" w:hAnsi="Times New Roman" w:cs="Times New Roman"/>
          <w:b/>
          <w:sz w:val="24"/>
          <w:szCs w:val="24"/>
        </w:rPr>
        <w:t>.</w:t>
      </w:r>
      <w:bookmarkEnd w:id="8"/>
      <w:bookmarkEnd w:id="9"/>
      <w:r w:rsidR="008D3E5B" w:rsidRPr="006D0EBF">
        <w:rPr>
          <w:rFonts w:ascii="Times New Roman" w:eastAsia="Arial" w:hAnsi="Times New Roman" w:cs="Times New Roman"/>
          <w:b/>
          <w:sz w:val="24"/>
          <w:szCs w:val="24"/>
        </w:rPr>
        <w:t xml:space="preserve"> Homojenite Test Sonuçları</w:t>
      </w:r>
      <w:bookmarkEnd w:id="10"/>
      <w:bookmarkEnd w:id="11"/>
    </w:p>
    <w:tbl>
      <w:tblPr>
        <w:tblW w:w="0" w:type="auto"/>
        <w:jc w:val="center"/>
        <w:tblLook w:val="04A0" w:firstRow="1" w:lastRow="0" w:firstColumn="1" w:lastColumn="0" w:noHBand="0" w:noVBand="1"/>
      </w:tblPr>
      <w:tblGrid>
        <w:gridCol w:w="3119"/>
        <w:gridCol w:w="1559"/>
        <w:gridCol w:w="2126"/>
        <w:gridCol w:w="2256"/>
      </w:tblGrid>
      <w:tr w:rsidR="008D3E5B" w:rsidRPr="008D3E5B" w:rsidTr="00D7056A">
        <w:trPr>
          <w:trHeight w:val="20"/>
          <w:jc w:val="center"/>
        </w:trPr>
        <w:tc>
          <w:tcPr>
            <w:tcW w:w="3119" w:type="dxa"/>
            <w:tcBorders>
              <w:top w:val="single" w:sz="4" w:space="0" w:color="auto"/>
              <w:bottom w:val="single" w:sz="4" w:space="0" w:color="auto"/>
            </w:tcBorders>
            <w:vAlign w:val="center"/>
          </w:tcPr>
          <w:p w:rsidR="008D3E5B" w:rsidRPr="00923034" w:rsidRDefault="008D3E5B" w:rsidP="006D0EBF">
            <w:pPr>
              <w:tabs>
                <w:tab w:val="left" w:pos="5370"/>
              </w:tabs>
              <w:spacing w:after="0" w:line="240" w:lineRule="auto"/>
              <w:ind w:firstLine="567"/>
              <w:contextualSpacing/>
              <w:jc w:val="center"/>
              <w:rPr>
                <w:rFonts w:ascii="Times New Roman" w:eastAsia="Arial" w:hAnsi="Times New Roman" w:cs="Times New Roman"/>
                <w:b/>
                <w:bCs/>
              </w:rPr>
            </w:pPr>
            <w:r w:rsidRPr="00923034">
              <w:rPr>
                <w:rFonts w:ascii="Times New Roman" w:eastAsia="Arial" w:hAnsi="Times New Roman" w:cs="Times New Roman"/>
                <w:b/>
                <w:bCs/>
              </w:rPr>
              <w:t>Model</w:t>
            </w:r>
          </w:p>
        </w:tc>
        <w:tc>
          <w:tcPr>
            <w:tcW w:w="1559" w:type="dxa"/>
            <w:tcBorders>
              <w:top w:val="single" w:sz="4" w:space="0" w:color="auto"/>
              <w:bottom w:val="single" w:sz="4" w:space="0" w:color="auto"/>
            </w:tcBorders>
            <w:vAlign w:val="center"/>
          </w:tcPr>
          <w:p w:rsidR="008D3E5B" w:rsidRPr="00923034" w:rsidRDefault="008D3E5B" w:rsidP="006D0EBF">
            <w:pPr>
              <w:tabs>
                <w:tab w:val="left" w:pos="5370"/>
              </w:tabs>
              <w:spacing w:after="0" w:line="240" w:lineRule="auto"/>
              <w:ind w:firstLine="567"/>
              <w:contextualSpacing/>
              <w:jc w:val="center"/>
              <w:rPr>
                <w:rFonts w:ascii="Times New Roman" w:eastAsia="Arial" w:hAnsi="Times New Roman" w:cs="Times New Roman"/>
                <w:b/>
                <w:bCs/>
              </w:rPr>
            </w:pPr>
            <w:r w:rsidRPr="00923034">
              <w:rPr>
                <w:rFonts w:ascii="Times New Roman" w:eastAsia="Arial" w:hAnsi="Times New Roman" w:cs="Times New Roman"/>
                <w:b/>
                <w:bCs/>
              </w:rPr>
              <w:t>Testler</w:t>
            </w:r>
          </w:p>
        </w:tc>
        <w:tc>
          <w:tcPr>
            <w:tcW w:w="2126" w:type="dxa"/>
            <w:tcBorders>
              <w:top w:val="single" w:sz="4" w:space="0" w:color="auto"/>
              <w:bottom w:val="single" w:sz="4" w:space="0" w:color="auto"/>
            </w:tcBorders>
            <w:vAlign w:val="center"/>
          </w:tcPr>
          <w:p w:rsidR="008D3E5B" w:rsidRPr="00923034" w:rsidRDefault="008D3E5B" w:rsidP="006D0EBF">
            <w:pPr>
              <w:tabs>
                <w:tab w:val="left" w:pos="5370"/>
              </w:tabs>
              <w:spacing w:after="0" w:line="240" w:lineRule="auto"/>
              <w:ind w:firstLine="567"/>
              <w:contextualSpacing/>
              <w:jc w:val="center"/>
              <w:rPr>
                <w:rFonts w:ascii="Times New Roman" w:eastAsia="Arial" w:hAnsi="Times New Roman" w:cs="Times New Roman"/>
                <w:b/>
                <w:bCs/>
              </w:rPr>
            </w:pPr>
            <w:r w:rsidRPr="00923034">
              <w:rPr>
                <w:rFonts w:ascii="Times New Roman" w:eastAsia="Arial" w:hAnsi="Times New Roman" w:cs="Times New Roman"/>
                <w:b/>
                <w:bCs/>
              </w:rPr>
              <w:t>Test İstatistiği</w:t>
            </w:r>
          </w:p>
        </w:tc>
        <w:tc>
          <w:tcPr>
            <w:tcW w:w="2256" w:type="dxa"/>
            <w:tcBorders>
              <w:top w:val="single" w:sz="4" w:space="0" w:color="auto"/>
              <w:bottom w:val="single" w:sz="4" w:space="0" w:color="auto"/>
            </w:tcBorders>
            <w:vAlign w:val="center"/>
          </w:tcPr>
          <w:p w:rsidR="008D3E5B" w:rsidRPr="00923034" w:rsidRDefault="008D3E5B" w:rsidP="006D0EBF">
            <w:pPr>
              <w:tabs>
                <w:tab w:val="left" w:pos="5370"/>
              </w:tabs>
              <w:spacing w:after="0" w:line="240" w:lineRule="auto"/>
              <w:ind w:firstLine="567"/>
              <w:contextualSpacing/>
              <w:jc w:val="center"/>
              <w:rPr>
                <w:rFonts w:ascii="Times New Roman" w:eastAsia="Arial" w:hAnsi="Times New Roman" w:cs="Times New Roman"/>
                <w:b/>
                <w:bCs/>
              </w:rPr>
            </w:pPr>
            <w:r w:rsidRPr="00923034">
              <w:rPr>
                <w:rFonts w:ascii="Times New Roman" w:eastAsia="Arial" w:hAnsi="Times New Roman" w:cs="Times New Roman"/>
                <w:b/>
                <w:bCs/>
              </w:rPr>
              <w:t>Olasılık Değeri</w:t>
            </w:r>
          </w:p>
        </w:tc>
      </w:tr>
      <w:tr w:rsidR="008D3E5B" w:rsidRPr="008D3E5B" w:rsidTr="00D7056A">
        <w:trPr>
          <w:trHeight w:val="20"/>
          <w:jc w:val="center"/>
        </w:trPr>
        <w:tc>
          <w:tcPr>
            <w:tcW w:w="3119" w:type="dxa"/>
            <w:vMerge w:val="restart"/>
            <w:tcBorders>
              <w:top w:val="single" w:sz="4" w:space="0" w:color="auto"/>
              <w:bottom w:val="double" w:sz="4" w:space="0" w:color="auto"/>
            </w:tcBorders>
            <w:vAlign w:val="center"/>
          </w:tcPr>
          <w:p w:rsidR="008D3E5B" w:rsidRPr="008D3E5B" w:rsidRDefault="008D3E5B" w:rsidP="006D0EBF">
            <w:pPr>
              <w:tabs>
                <w:tab w:val="left" w:pos="5370"/>
              </w:tabs>
              <w:spacing w:after="0" w:line="240" w:lineRule="auto"/>
              <w:contextualSpacing/>
              <w:jc w:val="center"/>
              <w:rPr>
                <w:rFonts w:ascii="Times New Roman" w:eastAsia="Arial" w:hAnsi="Times New Roman" w:cs="Times New Roman"/>
                <w:bCs/>
                <w:i/>
                <w:iCs/>
              </w:rPr>
            </w:pPr>
            <w:r w:rsidRPr="008D3E5B">
              <w:rPr>
                <w:rFonts w:ascii="Times New Roman" w:eastAsia="Arial" w:hAnsi="Times New Roman" w:cs="Times New Roman"/>
                <w:bCs/>
                <w:i/>
                <w:iCs/>
              </w:rPr>
              <w:t>LnKBGSYH=f(LnSH, LnEH)</w:t>
            </w:r>
          </w:p>
        </w:tc>
        <w:tc>
          <w:tcPr>
            <w:tcW w:w="1559" w:type="dxa"/>
            <w:tcBorders>
              <w:top w:val="single" w:sz="4" w:space="0" w:color="auto"/>
              <w:bottom w:val="single" w:sz="4" w:space="0" w:color="auto"/>
            </w:tcBorders>
            <w:vAlign w:val="center"/>
          </w:tcPr>
          <w:p w:rsidR="008D3E5B" w:rsidRPr="008D3E5B" w:rsidRDefault="008D3E5B" w:rsidP="006D0EBF">
            <w:pPr>
              <w:tabs>
                <w:tab w:val="left" w:pos="5370"/>
              </w:tabs>
              <w:spacing w:after="0" w:line="240" w:lineRule="auto"/>
              <w:ind w:firstLine="567"/>
              <w:contextualSpacing/>
              <w:jc w:val="center"/>
              <w:rPr>
                <w:rFonts w:ascii="Times New Roman" w:eastAsia="Arial" w:hAnsi="Times New Roman" w:cs="Times New Roman"/>
                <w:i/>
              </w:rPr>
            </w:pPr>
            <w:r w:rsidRPr="008D3E5B">
              <w:rPr>
                <w:rFonts w:ascii="Times New Roman" w:eastAsia="Arial" w:hAnsi="Times New Roman" w:cs="Times New Roman"/>
                <w:i/>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6" o:title=""/>
                </v:shape>
                <o:OLEObject Type="Embed" ProgID="Equation.DSMT4" ShapeID="_x0000_i1025" DrawAspect="Content" ObjectID="_1728027220" r:id="rId7"/>
              </w:object>
            </w:r>
          </w:p>
        </w:tc>
        <w:tc>
          <w:tcPr>
            <w:tcW w:w="2126" w:type="dxa"/>
            <w:tcBorders>
              <w:top w:val="single" w:sz="4" w:space="0" w:color="auto"/>
              <w:bottom w:val="single" w:sz="4" w:space="0" w:color="auto"/>
            </w:tcBorders>
            <w:vAlign w:val="center"/>
          </w:tcPr>
          <w:p w:rsidR="008D3E5B" w:rsidRPr="008D3E5B" w:rsidRDefault="008D3E5B" w:rsidP="006D0EBF">
            <w:pPr>
              <w:tabs>
                <w:tab w:val="left" w:pos="5370"/>
              </w:tabs>
              <w:spacing w:after="0" w:line="240" w:lineRule="auto"/>
              <w:ind w:firstLine="567"/>
              <w:contextualSpacing/>
              <w:jc w:val="center"/>
              <w:rPr>
                <w:rFonts w:ascii="Times New Roman" w:eastAsia="Arial" w:hAnsi="Times New Roman" w:cs="Times New Roman"/>
              </w:rPr>
            </w:pPr>
            <w:r w:rsidRPr="008D3E5B">
              <w:rPr>
                <w:rFonts w:ascii="Times New Roman" w:eastAsia="Arial" w:hAnsi="Times New Roman" w:cs="Times New Roman"/>
              </w:rPr>
              <w:t>18.799</w:t>
            </w:r>
          </w:p>
        </w:tc>
        <w:tc>
          <w:tcPr>
            <w:tcW w:w="2256" w:type="dxa"/>
            <w:tcBorders>
              <w:top w:val="single" w:sz="4" w:space="0" w:color="auto"/>
              <w:bottom w:val="single" w:sz="4" w:space="0" w:color="auto"/>
            </w:tcBorders>
            <w:vAlign w:val="center"/>
          </w:tcPr>
          <w:p w:rsidR="008D3E5B" w:rsidRPr="008D3E5B" w:rsidRDefault="008D3E5B" w:rsidP="006D0EBF">
            <w:pPr>
              <w:tabs>
                <w:tab w:val="left" w:pos="5370"/>
              </w:tabs>
              <w:spacing w:after="0" w:line="240" w:lineRule="auto"/>
              <w:ind w:firstLine="567"/>
              <w:contextualSpacing/>
              <w:jc w:val="center"/>
              <w:rPr>
                <w:rFonts w:ascii="Times New Roman" w:eastAsia="Arial" w:hAnsi="Times New Roman" w:cs="Times New Roman"/>
              </w:rPr>
            </w:pPr>
            <w:r w:rsidRPr="008D3E5B">
              <w:rPr>
                <w:rFonts w:ascii="Times New Roman" w:eastAsia="Arial" w:hAnsi="Times New Roman" w:cs="Times New Roman"/>
              </w:rPr>
              <w:t>0.159</w:t>
            </w:r>
          </w:p>
        </w:tc>
      </w:tr>
      <w:tr w:rsidR="008D3E5B" w:rsidRPr="008D3E5B" w:rsidTr="00D7056A">
        <w:trPr>
          <w:trHeight w:val="20"/>
          <w:jc w:val="center"/>
        </w:trPr>
        <w:tc>
          <w:tcPr>
            <w:tcW w:w="3119" w:type="dxa"/>
            <w:vMerge/>
            <w:tcBorders>
              <w:bottom w:val="single" w:sz="4" w:space="0" w:color="auto"/>
            </w:tcBorders>
            <w:vAlign w:val="center"/>
          </w:tcPr>
          <w:p w:rsidR="008D3E5B" w:rsidRPr="008D3E5B" w:rsidRDefault="008D3E5B" w:rsidP="006D0EBF">
            <w:pPr>
              <w:tabs>
                <w:tab w:val="left" w:pos="5370"/>
              </w:tabs>
              <w:spacing w:after="0" w:line="240" w:lineRule="auto"/>
              <w:ind w:firstLine="567"/>
              <w:contextualSpacing/>
              <w:jc w:val="center"/>
              <w:rPr>
                <w:rFonts w:ascii="Times New Roman" w:eastAsia="Arial" w:hAnsi="Times New Roman" w:cs="Times New Roman"/>
                <w:i/>
              </w:rPr>
            </w:pPr>
          </w:p>
        </w:tc>
        <w:tc>
          <w:tcPr>
            <w:tcW w:w="1559" w:type="dxa"/>
            <w:tcBorders>
              <w:top w:val="single" w:sz="4" w:space="0" w:color="auto"/>
              <w:bottom w:val="single" w:sz="4" w:space="0" w:color="auto"/>
            </w:tcBorders>
            <w:vAlign w:val="center"/>
          </w:tcPr>
          <w:p w:rsidR="008D3E5B" w:rsidRPr="008D3E5B" w:rsidRDefault="008D3E5B" w:rsidP="006D0EBF">
            <w:pPr>
              <w:tabs>
                <w:tab w:val="left" w:pos="5370"/>
              </w:tabs>
              <w:spacing w:after="0" w:line="240" w:lineRule="auto"/>
              <w:ind w:firstLine="567"/>
              <w:contextualSpacing/>
              <w:jc w:val="center"/>
              <w:rPr>
                <w:rFonts w:ascii="Times New Roman" w:eastAsia="Arial" w:hAnsi="Times New Roman" w:cs="Times New Roman"/>
                <w:i/>
              </w:rPr>
            </w:pPr>
            <w:r w:rsidRPr="008D3E5B">
              <w:rPr>
                <w:rFonts w:ascii="Times New Roman" w:eastAsia="Arial" w:hAnsi="Times New Roman" w:cs="Times New Roman"/>
                <w:i/>
              </w:rPr>
              <w:object w:dxaOrig="420" w:dyaOrig="400">
                <v:shape id="_x0000_i1026" type="#_x0000_t75" style="width:21.75pt;height:21.75pt" o:ole="">
                  <v:imagedata r:id="rId8" o:title=""/>
                </v:shape>
                <o:OLEObject Type="Embed" ProgID="Equation.DSMT4" ShapeID="_x0000_i1026" DrawAspect="Content" ObjectID="_1728027221" r:id="rId9"/>
              </w:object>
            </w:r>
          </w:p>
        </w:tc>
        <w:tc>
          <w:tcPr>
            <w:tcW w:w="2126" w:type="dxa"/>
            <w:tcBorders>
              <w:top w:val="single" w:sz="4" w:space="0" w:color="auto"/>
              <w:bottom w:val="single" w:sz="4" w:space="0" w:color="auto"/>
            </w:tcBorders>
            <w:vAlign w:val="center"/>
          </w:tcPr>
          <w:p w:rsidR="008D3E5B" w:rsidRPr="008D3E5B" w:rsidRDefault="008D3E5B" w:rsidP="006D0EBF">
            <w:pPr>
              <w:tabs>
                <w:tab w:val="left" w:pos="5370"/>
              </w:tabs>
              <w:spacing w:after="0" w:line="240" w:lineRule="auto"/>
              <w:ind w:firstLine="567"/>
              <w:contextualSpacing/>
              <w:jc w:val="center"/>
              <w:rPr>
                <w:rFonts w:ascii="Times New Roman" w:eastAsia="Arial" w:hAnsi="Times New Roman" w:cs="Times New Roman"/>
              </w:rPr>
            </w:pPr>
            <w:r w:rsidRPr="008D3E5B">
              <w:rPr>
                <w:rFonts w:ascii="Times New Roman" w:eastAsia="Arial" w:hAnsi="Times New Roman" w:cs="Times New Roman"/>
              </w:rPr>
              <w:t>20.593</w:t>
            </w:r>
          </w:p>
        </w:tc>
        <w:tc>
          <w:tcPr>
            <w:tcW w:w="2256" w:type="dxa"/>
            <w:tcBorders>
              <w:top w:val="single" w:sz="4" w:space="0" w:color="auto"/>
              <w:bottom w:val="single" w:sz="4" w:space="0" w:color="auto"/>
            </w:tcBorders>
            <w:vAlign w:val="center"/>
          </w:tcPr>
          <w:p w:rsidR="008D3E5B" w:rsidRPr="008D3E5B" w:rsidRDefault="008D3E5B" w:rsidP="006D0EBF">
            <w:pPr>
              <w:tabs>
                <w:tab w:val="left" w:pos="5370"/>
              </w:tabs>
              <w:spacing w:after="0" w:line="240" w:lineRule="auto"/>
              <w:ind w:firstLine="567"/>
              <w:contextualSpacing/>
              <w:jc w:val="center"/>
              <w:rPr>
                <w:rFonts w:ascii="Times New Roman" w:eastAsia="Arial" w:hAnsi="Times New Roman" w:cs="Times New Roman"/>
              </w:rPr>
            </w:pPr>
            <w:r w:rsidRPr="008D3E5B">
              <w:rPr>
                <w:rFonts w:ascii="Times New Roman" w:eastAsia="Arial" w:hAnsi="Times New Roman" w:cs="Times New Roman"/>
              </w:rPr>
              <w:t>0.205</w:t>
            </w:r>
          </w:p>
        </w:tc>
      </w:tr>
    </w:tbl>
    <w:p w:rsidR="008D3E5B" w:rsidRPr="008D3E5B" w:rsidRDefault="008D3E5B" w:rsidP="006D0EBF">
      <w:pPr>
        <w:tabs>
          <w:tab w:val="left" w:pos="5370"/>
        </w:tabs>
        <w:spacing w:after="0" w:line="240" w:lineRule="auto"/>
        <w:ind w:firstLine="567"/>
        <w:contextualSpacing/>
        <w:jc w:val="center"/>
        <w:rPr>
          <w:rFonts w:ascii="Times New Roman" w:eastAsia="Arial" w:hAnsi="Times New Roman" w:cs="Times New Roman"/>
        </w:rPr>
      </w:pPr>
    </w:p>
    <w:p w:rsidR="00874BC2" w:rsidRPr="006D0EBF" w:rsidRDefault="008D3E5B" w:rsidP="006D0EBF">
      <w:pPr>
        <w:tabs>
          <w:tab w:val="left" w:pos="5370"/>
        </w:tabs>
        <w:spacing w:before="120" w:after="0" w:line="240" w:lineRule="auto"/>
        <w:ind w:firstLine="709"/>
        <w:jc w:val="both"/>
        <w:rPr>
          <w:rFonts w:ascii="Times New Roman" w:eastAsia="Arial" w:hAnsi="Times New Roman" w:cs="Times New Roman"/>
          <w:sz w:val="24"/>
          <w:szCs w:val="24"/>
        </w:rPr>
      </w:pPr>
      <w:r w:rsidRPr="006D0EBF">
        <w:rPr>
          <w:rFonts w:ascii="Times New Roman" w:eastAsia="Arial" w:hAnsi="Times New Roman" w:cs="Times New Roman"/>
          <w:sz w:val="24"/>
          <w:szCs w:val="24"/>
        </w:rPr>
        <w:t>Homojenite testi s</w:t>
      </w:r>
      <w:r w:rsidR="00874BC2" w:rsidRPr="006D0EBF">
        <w:rPr>
          <w:rFonts w:ascii="Times New Roman" w:eastAsia="Arial" w:hAnsi="Times New Roman" w:cs="Times New Roman"/>
          <w:sz w:val="24"/>
          <w:szCs w:val="24"/>
        </w:rPr>
        <w:t>onuçlarının raporlandığı Tablo 3</w:t>
      </w:r>
      <w:r w:rsidRPr="006D0EBF">
        <w:rPr>
          <w:rFonts w:ascii="Times New Roman" w:eastAsia="Arial" w:hAnsi="Times New Roman" w:cs="Times New Roman"/>
          <w:sz w:val="24"/>
          <w:szCs w:val="24"/>
        </w:rPr>
        <w:t xml:space="preserve"> incelendiğinde, elde edilen olasılık değerlerinin 0.05’ten büyük olduğu görülmüştür. Bu sonuçlara göre H</w:t>
      </w:r>
      <w:r w:rsidRPr="006D0EBF">
        <w:rPr>
          <w:rFonts w:ascii="Times New Roman" w:eastAsia="Arial" w:hAnsi="Times New Roman" w:cs="Times New Roman"/>
          <w:sz w:val="24"/>
          <w:szCs w:val="24"/>
          <w:vertAlign w:val="subscript"/>
        </w:rPr>
        <w:t xml:space="preserve">0 </w:t>
      </w:r>
      <w:r w:rsidRPr="006D0EBF">
        <w:rPr>
          <w:rFonts w:ascii="Times New Roman" w:eastAsia="Arial" w:hAnsi="Times New Roman" w:cs="Times New Roman"/>
          <w:sz w:val="24"/>
          <w:szCs w:val="24"/>
        </w:rPr>
        <w:t>reddedilmemiş ve modelde yer alan bağımsız değişkenlerin katsayılarının homojen olduğuna karar verilmiştir. Bu durumda panel için elde edilecek regresyon katsayıları ve nedensellik testi bulguları tüm illeri temsil edecektir.</w:t>
      </w:r>
    </w:p>
    <w:p w:rsidR="00814EC5" w:rsidRPr="006D0EBF" w:rsidRDefault="00C341CB" w:rsidP="006D0EBF">
      <w:pPr>
        <w:tabs>
          <w:tab w:val="left" w:pos="5370"/>
        </w:tabs>
        <w:spacing w:before="120" w:after="0" w:line="240" w:lineRule="auto"/>
        <w:jc w:val="both"/>
        <w:rPr>
          <w:rFonts w:ascii="Times New Roman" w:eastAsia="SimSun" w:hAnsi="Times New Roman" w:cs="Times New Roman"/>
          <w:b/>
          <w:sz w:val="24"/>
          <w:szCs w:val="24"/>
          <w:lang w:eastAsia="zh-CN"/>
        </w:rPr>
      </w:pPr>
      <w:r>
        <w:rPr>
          <w:rFonts w:ascii="Times New Roman" w:eastAsia="SimSun" w:hAnsi="Times New Roman" w:cs="Times New Roman"/>
          <w:b/>
          <w:sz w:val="24"/>
          <w:szCs w:val="24"/>
          <w:lang w:eastAsia="zh-CN"/>
        </w:rPr>
        <w:t>4</w:t>
      </w:r>
      <w:r w:rsidR="00874BC2" w:rsidRPr="006D0EBF">
        <w:rPr>
          <w:rFonts w:ascii="Times New Roman" w:eastAsia="SimSun" w:hAnsi="Times New Roman" w:cs="Times New Roman"/>
          <w:b/>
          <w:sz w:val="24"/>
          <w:szCs w:val="24"/>
          <w:lang w:eastAsia="zh-CN"/>
        </w:rPr>
        <w:t>.5</w:t>
      </w:r>
      <w:r w:rsidR="00D65209" w:rsidRPr="006D0EBF">
        <w:rPr>
          <w:rFonts w:ascii="Times New Roman" w:eastAsia="SimSun" w:hAnsi="Times New Roman" w:cs="Times New Roman"/>
          <w:b/>
          <w:sz w:val="24"/>
          <w:szCs w:val="24"/>
          <w:lang w:eastAsia="zh-CN"/>
        </w:rPr>
        <w:t xml:space="preserve">. </w:t>
      </w:r>
      <w:r w:rsidR="00814EC5" w:rsidRPr="006D0EBF">
        <w:rPr>
          <w:rFonts w:ascii="Times New Roman" w:eastAsia="SimSun" w:hAnsi="Times New Roman" w:cs="Times New Roman"/>
          <w:b/>
          <w:sz w:val="24"/>
          <w:szCs w:val="24"/>
          <w:lang w:eastAsia="zh-CN"/>
        </w:rPr>
        <w:t>Panel ARDL Analizi</w:t>
      </w:r>
    </w:p>
    <w:p w:rsidR="00814EC5" w:rsidRPr="006D0EBF" w:rsidRDefault="00814EC5" w:rsidP="006D0EBF">
      <w:pPr>
        <w:tabs>
          <w:tab w:val="left" w:pos="5370"/>
        </w:tabs>
        <w:spacing w:before="120" w:after="0" w:line="240" w:lineRule="auto"/>
        <w:ind w:firstLine="709"/>
        <w:jc w:val="both"/>
        <w:rPr>
          <w:rFonts w:ascii="Times New Roman" w:eastAsia="Arial" w:hAnsi="Times New Roman" w:cs="Times New Roman"/>
          <w:bCs/>
          <w:sz w:val="24"/>
          <w:szCs w:val="24"/>
        </w:rPr>
      </w:pPr>
      <w:r w:rsidRPr="006D0EBF">
        <w:rPr>
          <w:rFonts w:ascii="Times New Roman" w:eastAsia="Arial" w:hAnsi="Times New Roman" w:cs="Times New Roman"/>
          <w:bCs/>
          <w:sz w:val="24"/>
          <w:szCs w:val="24"/>
        </w:rPr>
        <w:t>Panel ARDL</w:t>
      </w:r>
      <w:r w:rsidR="008B4774" w:rsidRPr="006D0EBF">
        <w:rPr>
          <w:rFonts w:ascii="Times New Roman" w:eastAsia="Arial" w:hAnsi="Times New Roman" w:cs="Times New Roman"/>
          <w:bCs/>
          <w:sz w:val="24"/>
          <w:szCs w:val="24"/>
        </w:rPr>
        <w:t xml:space="preserve"> analizi</w:t>
      </w:r>
      <w:r w:rsidR="008F3BEC">
        <w:rPr>
          <w:rFonts w:ascii="Times New Roman" w:eastAsia="Arial" w:hAnsi="Times New Roman" w:cs="Times New Roman"/>
          <w:bCs/>
          <w:sz w:val="24"/>
          <w:szCs w:val="24"/>
        </w:rPr>
        <w:t xml:space="preserve"> Pesaran </w:t>
      </w:r>
      <w:r w:rsidR="008F3BEC" w:rsidRPr="00EF0E1F">
        <w:rPr>
          <w:rFonts w:ascii="Times New Roman" w:hAnsi="Times New Roman" w:cs="Times New Roman"/>
          <w:sz w:val="24"/>
          <w:szCs w:val="24"/>
        </w:rPr>
        <w:t>&amp;</w:t>
      </w:r>
      <w:r w:rsidRPr="006D0EBF">
        <w:rPr>
          <w:rFonts w:ascii="Times New Roman" w:eastAsia="Arial" w:hAnsi="Times New Roman" w:cs="Times New Roman"/>
          <w:bCs/>
          <w:sz w:val="24"/>
          <w:szCs w:val="24"/>
        </w:rPr>
        <w:t xml:space="preserve"> Shin </w:t>
      </w:r>
      <w:r w:rsidR="008F3BEC">
        <w:rPr>
          <w:rFonts w:ascii="Times New Roman" w:eastAsia="Arial" w:hAnsi="Times New Roman" w:cs="Times New Roman"/>
          <w:bCs/>
          <w:sz w:val="24"/>
          <w:szCs w:val="24"/>
        </w:rPr>
        <w:t xml:space="preserve">(1995,1999), Pesaran </w:t>
      </w:r>
      <w:r w:rsidR="008F3BEC" w:rsidRPr="00EF0E1F">
        <w:rPr>
          <w:rFonts w:ascii="Times New Roman" w:hAnsi="Times New Roman" w:cs="Times New Roman"/>
          <w:sz w:val="24"/>
          <w:szCs w:val="24"/>
        </w:rPr>
        <w:t>&amp;</w:t>
      </w:r>
      <w:r w:rsidR="008F3BEC">
        <w:rPr>
          <w:rFonts w:ascii="Times New Roman" w:eastAsia="Arial" w:hAnsi="Times New Roman" w:cs="Times New Roman"/>
          <w:bCs/>
          <w:sz w:val="24"/>
          <w:szCs w:val="24"/>
        </w:rPr>
        <w:t xml:space="preserve"> Smith (1998) ve </w:t>
      </w:r>
      <w:r w:rsidR="008F3BEC" w:rsidRPr="00EF0E1F">
        <w:rPr>
          <w:rFonts w:ascii="Times New Roman" w:hAnsi="Times New Roman" w:cs="Times New Roman"/>
          <w:sz w:val="24"/>
          <w:szCs w:val="24"/>
        </w:rPr>
        <w:t>Pe</w:t>
      </w:r>
      <w:r w:rsidR="008F3BEC">
        <w:rPr>
          <w:rFonts w:ascii="Times New Roman" w:hAnsi="Times New Roman" w:cs="Times New Roman"/>
          <w:sz w:val="24"/>
          <w:szCs w:val="24"/>
        </w:rPr>
        <w:t xml:space="preserve">saran, Shin </w:t>
      </w:r>
      <w:r w:rsidR="008F3BEC" w:rsidRPr="00EF0E1F">
        <w:rPr>
          <w:rFonts w:ascii="Times New Roman" w:hAnsi="Times New Roman" w:cs="Times New Roman"/>
          <w:sz w:val="24"/>
          <w:szCs w:val="24"/>
        </w:rPr>
        <w:t>&amp;</w:t>
      </w:r>
      <w:r w:rsidR="008F3BEC">
        <w:rPr>
          <w:rFonts w:ascii="Times New Roman" w:hAnsi="Times New Roman" w:cs="Times New Roman"/>
          <w:sz w:val="24"/>
          <w:szCs w:val="24"/>
        </w:rPr>
        <w:t xml:space="preserve"> Smith</w:t>
      </w:r>
      <w:r w:rsidRPr="006D0EBF">
        <w:rPr>
          <w:rFonts w:ascii="Times New Roman" w:eastAsia="Arial" w:hAnsi="Times New Roman" w:cs="Times New Roman"/>
          <w:bCs/>
          <w:sz w:val="24"/>
          <w:szCs w:val="24"/>
        </w:rPr>
        <w:t xml:space="preserve"> (2001) tarafından geliştirilmiştir. Değişkenlerin farklı derecelerde durağanlık göstermeleri halinde Pan</w:t>
      </w:r>
      <w:r w:rsidR="008B4774" w:rsidRPr="006D0EBF">
        <w:rPr>
          <w:rFonts w:ascii="Times New Roman" w:eastAsia="Arial" w:hAnsi="Times New Roman" w:cs="Times New Roman"/>
          <w:bCs/>
          <w:sz w:val="24"/>
          <w:szCs w:val="24"/>
        </w:rPr>
        <w:t>el AR</w:t>
      </w:r>
      <w:r w:rsidR="00AF1CA1">
        <w:rPr>
          <w:rFonts w:ascii="Times New Roman" w:eastAsia="Arial" w:hAnsi="Times New Roman" w:cs="Times New Roman"/>
          <w:bCs/>
          <w:sz w:val="24"/>
          <w:szCs w:val="24"/>
        </w:rPr>
        <w:t xml:space="preserve">DL testine başvurulmakta </w:t>
      </w:r>
      <w:r w:rsidR="008B4774" w:rsidRPr="006D0EBF">
        <w:rPr>
          <w:rFonts w:ascii="Times New Roman" w:eastAsia="Arial" w:hAnsi="Times New Roman" w:cs="Times New Roman"/>
          <w:bCs/>
          <w:sz w:val="24"/>
          <w:szCs w:val="24"/>
        </w:rPr>
        <w:t>ve b</w:t>
      </w:r>
      <w:r w:rsidRPr="006D0EBF">
        <w:rPr>
          <w:rFonts w:ascii="Times New Roman" w:eastAsia="Arial" w:hAnsi="Times New Roman" w:cs="Times New Roman"/>
          <w:bCs/>
          <w:sz w:val="24"/>
          <w:szCs w:val="24"/>
        </w:rPr>
        <w:t>u durumda değişkenlerin eşbütünleşme ilişkilerinin i</w:t>
      </w:r>
      <w:r w:rsidR="008B4774" w:rsidRPr="006D0EBF">
        <w:rPr>
          <w:rFonts w:ascii="Times New Roman" w:eastAsia="Arial" w:hAnsi="Times New Roman" w:cs="Times New Roman"/>
          <w:bCs/>
          <w:sz w:val="24"/>
          <w:szCs w:val="24"/>
        </w:rPr>
        <w:t>ncelenmesi</w:t>
      </w:r>
      <w:r w:rsidR="008F3BEC">
        <w:rPr>
          <w:rFonts w:ascii="Times New Roman" w:eastAsia="Arial" w:hAnsi="Times New Roman" w:cs="Times New Roman"/>
          <w:bCs/>
          <w:sz w:val="24"/>
          <w:szCs w:val="24"/>
        </w:rPr>
        <w:t>ne imkân tanınmaktadır (Özdamar 2015</w:t>
      </w:r>
      <w:r w:rsidR="008B4774" w:rsidRPr="006D0EBF">
        <w:rPr>
          <w:rFonts w:ascii="Times New Roman" w:eastAsia="Arial" w:hAnsi="Times New Roman" w:cs="Times New Roman"/>
          <w:bCs/>
          <w:sz w:val="24"/>
          <w:szCs w:val="24"/>
        </w:rPr>
        <w:t xml:space="preserve">). Çalışmamızda </w:t>
      </w:r>
      <w:r w:rsidR="008B4774" w:rsidRPr="006D0EBF">
        <w:rPr>
          <w:rFonts w:ascii="Times New Roman" w:eastAsia="Arial" w:hAnsi="Times New Roman" w:cs="Times New Roman"/>
          <w:sz w:val="24"/>
          <w:szCs w:val="24"/>
          <w:lang w:eastAsia="zh-CN"/>
        </w:rPr>
        <w:t>k</w:t>
      </w:r>
      <w:r w:rsidRPr="006D0EBF">
        <w:rPr>
          <w:rFonts w:ascii="Times New Roman" w:eastAsia="Arial" w:hAnsi="Times New Roman" w:cs="Times New Roman"/>
          <w:sz w:val="24"/>
          <w:szCs w:val="24"/>
          <w:lang w:eastAsia="zh-CN"/>
        </w:rPr>
        <w:t>ullandığımız serilerin de farklı derecelerde durağan oldukları görülmüş ve çalışmaya Panel ARDL analizi ile devam edilebileceğine karar verilmiştir.</w:t>
      </w:r>
      <w:r w:rsidR="006D0EBF" w:rsidRPr="006D0EBF">
        <w:t xml:space="preserve"> </w:t>
      </w:r>
      <w:r w:rsidR="006D0EBF" w:rsidRPr="006D0EBF">
        <w:rPr>
          <w:rFonts w:ascii="Times New Roman" w:eastAsia="Arial" w:hAnsi="Times New Roman" w:cs="Times New Roman"/>
          <w:sz w:val="24"/>
          <w:szCs w:val="24"/>
          <w:lang w:eastAsia="zh-CN"/>
        </w:rPr>
        <w:t xml:space="preserve">Asteriou, Pilbeam </w:t>
      </w:r>
      <w:r w:rsidR="008F3BEC" w:rsidRPr="00EF0E1F">
        <w:rPr>
          <w:rFonts w:ascii="Times New Roman" w:hAnsi="Times New Roman" w:cs="Times New Roman"/>
          <w:sz w:val="24"/>
          <w:szCs w:val="24"/>
        </w:rPr>
        <w:t>&amp;</w:t>
      </w:r>
      <w:r w:rsidR="006D0EBF" w:rsidRPr="006D0EBF">
        <w:rPr>
          <w:rFonts w:ascii="Times New Roman" w:eastAsia="Arial" w:hAnsi="Times New Roman" w:cs="Times New Roman"/>
          <w:sz w:val="24"/>
          <w:szCs w:val="24"/>
          <w:lang w:eastAsia="zh-CN"/>
        </w:rPr>
        <w:t xml:space="preserve"> Pratiwi (2021: </w:t>
      </w:r>
      <w:r w:rsidR="006D0EBF" w:rsidRPr="006D0EBF">
        <w:rPr>
          <w:rFonts w:ascii="Times New Roman" w:eastAsia="Arial" w:hAnsi="Times New Roman" w:cs="Times New Roman"/>
          <w:sz w:val="24"/>
          <w:szCs w:val="24"/>
          <w:lang w:eastAsia="zh-CN"/>
        </w:rPr>
        <w:lastRenderedPageBreak/>
        <w:t xml:space="preserve">276) </w:t>
      </w:r>
      <w:r w:rsidR="00E531F7">
        <w:rPr>
          <w:rFonts w:ascii="Times New Roman" w:eastAsia="Arial" w:hAnsi="Times New Roman" w:cs="Times New Roman"/>
          <w:sz w:val="24"/>
          <w:szCs w:val="24"/>
          <w:lang w:eastAsia="zh-CN"/>
        </w:rPr>
        <w:t>çalışması temel alınarak model yazılmıştır.</w:t>
      </w:r>
      <w:r w:rsidRPr="006D0EBF">
        <w:rPr>
          <w:rFonts w:ascii="Times New Roman" w:eastAsia="Arial" w:hAnsi="Times New Roman" w:cs="Times New Roman"/>
          <w:sz w:val="24"/>
          <w:szCs w:val="24"/>
          <w:lang w:eastAsia="zh-CN"/>
        </w:rPr>
        <w:t xml:space="preserve"> Bu çalışmada kullanılan u</w:t>
      </w:r>
      <w:r w:rsidR="006247A3" w:rsidRPr="006D0EBF">
        <w:rPr>
          <w:rFonts w:ascii="Times New Roman" w:eastAsia="Arial" w:hAnsi="Times New Roman" w:cs="Times New Roman"/>
          <w:sz w:val="24"/>
          <w:szCs w:val="24"/>
          <w:lang w:eastAsia="zh-CN"/>
        </w:rPr>
        <w:t>zun dönem ARDL model</w:t>
      </w:r>
      <w:r w:rsidR="004127D5" w:rsidRPr="006D0EBF">
        <w:rPr>
          <w:rFonts w:ascii="Times New Roman" w:eastAsia="Arial" w:hAnsi="Times New Roman" w:cs="Times New Roman"/>
          <w:sz w:val="24"/>
          <w:szCs w:val="24"/>
          <w:lang w:eastAsia="zh-CN"/>
        </w:rPr>
        <w:t>i Denklem (5</w:t>
      </w:r>
      <w:r w:rsidRPr="006D0EBF">
        <w:rPr>
          <w:rFonts w:ascii="Times New Roman" w:eastAsia="Arial" w:hAnsi="Times New Roman" w:cs="Times New Roman"/>
          <w:sz w:val="24"/>
          <w:szCs w:val="24"/>
          <w:lang w:eastAsia="zh-CN"/>
        </w:rPr>
        <w:t>)’te gösterilmiştir:</w:t>
      </w:r>
    </w:p>
    <w:p w:rsidR="00814EC5" w:rsidRPr="006D0EBF" w:rsidRDefault="004116D6" w:rsidP="006D0EBF">
      <w:pPr>
        <w:tabs>
          <w:tab w:val="left" w:pos="5370"/>
        </w:tabs>
        <w:spacing w:before="120" w:after="0" w:line="240" w:lineRule="auto"/>
        <w:ind w:left="709"/>
        <w:jc w:val="both"/>
        <w:rPr>
          <w:rFonts w:ascii="Times New Roman" w:eastAsia="Arial" w:hAnsi="Times New Roman" w:cs="Times New Roman"/>
          <w:sz w:val="24"/>
          <w:szCs w:val="24"/>
          <w:lang w:eastAsia="zh-CN"/>
        </w:rPr>
      </w:pPr>
      <m:oMathPara>
        <m:oMath>
          <m:sSub>
            <m:sSubPr>
              <m:ctrlPr>
                <w:rPr>
                  <w:rFonts w:ascii="Cambria Math" w:eastAsia="Arial" w:hAnsi="Cambria Math" w:cs="Times New Roman"/>
                  <w:i/>
                  <w:sz w:val="24"/>
                  <w:szCs w:val="24"/>
                </w:rPr>
              </m:ctrlPr>
            </m:sSubPr>
            <m:e>
              <m:r>
                <w:rPr>
                  <w:rFonts w:ascii="Cambria Math" w:eastAsia="Arial" w:hAnsi="Cambria Math" w:cs="Times New Roman"/>
                  <w:sz w:val="24"/>
                  <w:szCs w:val="24"/>
                </w:rPr>
                <m:t>LnKBGSYH</m:t>
              </m:r>
            </m:e>
            <m:sub>
              <m:r>
                <w:rPr>
                  <w:rFonts w:ascii="Cambria Math" w:eastAsia="Arial" w:hAnsi="Cambria Math" w:cs="Times New Roman"/>
                  <w:sz w:val="24"/>
                  <w:szCs w:val="24"/>
                </w:rPr>
                <m:t>it</m:t>
              </m:r>
            </m:sub>
          </m:sSub>
          <m:r>
            <w:rPr>
              <w:rFonts w:ascii="Cambria Math" w:eastAsia="Arial" w:hAnsi="Cambria Math" w:cs="Times New Roman"/>
              <w:sz w:val="24"/>
              <w:szCs w:val="24"/>
            </w:rPr>
            <m:t>=</m:t>
          </m:r>
          <m:nary>
            <m:naryPr>
              <m:chr m:val="∑"/>
              <m:limLoc m:val="undOvr"/>
              <m:ctrlPr>
                <w:rPr>
                  <w:rFonts w:ascii="Cambria Math" w:eastAsia="Arial" w:hAnsi="Cambria Math" w:cs="Times New Roman"/>
                  <w:i/>
                  <w:sz w:val="24"/>
                  <w:szCs w:val="24"/>
                </w:rPr>
              </m:ctrlPr>
            </m:naryPr>
            <m:sub>
              <m:r>
                <w:rPr>
                  <w:rFonts w:ascii="Cambria Math" w:eastAsia="Arial" w:hAnsi="Cambria Math" w:cs="Times New Roman"/>
                  <w:sz w:val="24"/>
                  <w:szCs w:val="24"/>
                </w:rPr>
                <m:t>j=1</m:t>
              </m:r>
            </m:sub>
            <m:sup>
              <m:r>
                <w:rPr>
                  <w:rFonts w:ascii="Cambria Math" w:eastAsia="Arial" w:hAnsi="Cambria Math" w:cs="Times New Roman"/>
                  <w:sz w:val="24"/>
                  <w:szCs w:val="24"/>
                </w:rPr>
                <m:t>p</m:t>
              </m:r>
            </m:sup>
            <m:e>
              <m:sSub>
                <m:sSubPr>
                  <m:ctrlPr>
                    <w:rPr>
                      <w:rFonts w:ascii="Cambria Math" w:eastAsia="Arial" w:hAnsi="Cambria Math" w:cs="Times New Roman"/>
                      <w:i/>
                      <w:sz w:val="24"/>
                      <w:szCs w:val="24"/>
                    </w:rPr>
                  </m:ctrlPr>
                </m:sSubPr>
                <m:e>
                  <m:r>
                    <w:rPr>
                      <w:rFonts w:ascii="Cambria Math" w:eastAsia="Arial" w:hAnsi="Cambria Math" w:cs="Times New Roman"/>
                      <w:sz w:val="24"/>
                      <w:szCs w:val="24"/>
                    </w:rPr>
                    <m:t>γ</m:t>
                  </m:r>
                </m:e>
                <m:sub>
                  <m:r>
                    <w:rPr>
                      <w:rFonts w:ascii="Cambria Math" w:eastAsia="Arial" w:hAnsi="Cambria Math" w:cs="Times New Roman"/>
                      <w:sz w:val="24"/>
                      <w:szCs w:val="24"/>
                    </w:rPr>
                    <m:t>j</m:t>
                  </m:r>
                </m:sub>
              </m:sSub>
              <m:sSub>
                <m:sSubPr>
                  <m:ctrlPr>
                    <w:rPr>
                      <w:rFonts w:ascii="Cambria Math" w:eastAsia="Arial" w:hAnsi="Cambria Math" w:cs="Times New Roman"/>
                      <w:i/>
                      <w:sz w:val="24"/>
                      <w:szCs w:val="24"/>
                    </w:rPr>
                  </m:ctrlPr>
                </m:sSubPr>
                <m:e>
                  <m:r>
                    <w:rPr>
                      <w:rFonts w:ascii="Cambria Math" w:eastAsia="Arial" w:hAnsi="Cambria Math" w:cs="Times New Roman"/>
                      <w:sz w:val="24"/>
                      <w:szCs w:val="24"/>
                    </w:rPr>
                    <m:t>LnKBGSYH</m:t>
                  </m:r>
                </m:e>
                <m:sub>
                  <m:r>
                    <w:rPr>
                      <w:rFonts w:ascii="Cambria Math" w:eastAsia="Arial" w:hAnsi="Cambria Math" w:cs="Times New Roman"/>
                      <w:sz w:val="24"/>
                      <w:szCs w:val="24"/>
                    </w:rPr>
                    <m:t>i,t-j</m:t>
                  </m:r>
                </m:sub>
              </m:sSub>
            </m:e>
          </m:nary>
          <m:r>
            <w:rPr>
              <w:rFonts w:ascii="Cambria Math" w:eastAsia="Arial" w:hAnsi="Cambria Math" w:cs="Times New Roman"/>
              <w:sz w:val="24"/>
              <w:szCs w:val="24"/>
            </w:rPr>
            <m:t>+</m:t>
          </m:r>
          <m:nary>
            <m:naryPr>
              <m:chr m:val="∑"/>
              <m:limLoc m:val="undOvr"/>
              <m:ctrlPr>
                <w:rPr>
                  <w:rFonts w:ascii="Cambria Math" w:eastAsia="Arial" w:hAnsi="Cambria Math" w:cs="Times New Roman"/>
                  <w:i/>
                  <w:sz w:val="24"/>
                  <w:szCs w:val="24"/>
                </w:rPr>
              </m:ctrlPr>
            </m:naryPr>
            <m:sub>
              <m:r>
                <w:rPr>
                  <w:rFonts w:ascii="Cambria Math" w:eastAsia="Arial" w:hAnsi="Cambria Math" w:cs="Times New Roman"/>
                  <w:sz w:val="24"/>
                  <w:szCs w:val="24"/>
                </w:rPr>
                <m:t>j=0</m:t>
              </m:r>
            </m:sub>
            <m:sup>
              <m:r>
                <w:rPr>
                  <w:rFonts w:ascii="Cambria Math" w:eastAsia="Arial" w:hAnsi="Cambria Math" w:cs="Times New Roman"/>
                  <w:sz w:val="24"/>
                  <w:szCs w:val="24"/>
                </w:rPr>
                <m:t>q</m:t>
              </m:r>
            </m:sup>
            <m:e>
              <m:sSub>
                <m:sSubPr>
                  <m:ctrlPr>
                    <w:rPr>
                      <w:rFonts w:ascii="Cambria Math" w:eastAsia="Arial" w:hAnsi="Cambria Math" w:cs="Times New Roman"/>
                      <w:i/>
                      <w:sz w:val="24"/>
                      <w:szCs w:val="24"/>
                    </w:rPr>
                  </m:ctrlPr>
                </m:sSubPr>
                <m:e>
                  <m:r>
                    <w:rPr>
                      <w:rFonts w:ascii="Cambria Math" w:eastAsia="Arial" w:hAnsi="Cambria Math" w:cs="Times New Roman"/>
                      <w:sz w:val="24"/>
                      <w:szCs w:val="24"/>
                    </w:rPr>
                    <m:t>δ</m:t>
                  </m:r>
                </m:e>
                <m:sub>
                  <m:r>
                    <w:rPr>
                      <w:rFonts w:ascii="Cambria Math" w:eastAsia="Arial" w:hAnsi="Cambria Math" w:cs="Times New Roman"/>
                      <w:sz w:val="24"/>
                      <w:szCs w:val="24"/>
                    </w:rPr>
                    <m:t>j</m:t>
                  </m:r>
                </m:sub>
              </m:sSub>
              <m:sSub>
                <m:sSubPr>
                  <m:ctrlPr>
                    <w:rPr>
                      <w:rFonts w:ascii="Cambria Math" w:eastAsia="Arial" w:hAnsi="Cambria Math" w:cs="Times New Roman"/>
                      <w:i/>
                      <w:sz w:val="24"/>
                      <w:szCs w:val="24"/>
                    </w:rPr>
                  </m:ctrlPr>
                </m:sSubPr>
                <m:e>
                  <m:r>
                    <w:rPr>
                      <w:rFonts w:ascii="Cambria Math" w:eastAsia="Arial" w:hAnsi="Cambria Math" w:cs="Times New Roman"/>
                      <w:sz w:val="24"/>
                      <w:szCs w:val="24"/>
                    </w:rPr>
                    <m:t>LnSH</m:t>
                  </m:r>
                </m:e>
                <m:sub>
                  <m:r>
                    <w:rPr>
                      <w:rFonts w:ascii="Cambria Math" w:eastAsia="Arial" w:hAnsi="Cambria Math" w:cs="Times New Roman"/>
                      <w:sz w:val="24"/>
                      <w:szCs w:val="24"/>
                    </w:rPr>
                    <m:t>i,t-j</m:t>
                  </m:r>
                </m:sub>
              </m:sSub>
            </m:e>
          </m:nary>
          <m:r>
            <w:rPr>
              <w:rFonts w:ascii="Cambria Math" w:eastAsia="Arial" w:hAnsi="Cambria Math" w:cs="Times New Roman"/>
              <w:sz w:val="24"/>
              <w:szCs w:val="24"/>
            </w:rPr>
            <m:t>+</m:t>
          </m:r>
          <m:nary>
            <m:naryPr>
              <m:chr m:val="∑"/>
              <m:limLoc m:val="undOvr"/>
              <m:ctrlPr>
                <w:rPr>
                  <w:rFonts w:ascii="Cambria Math" w:eastAsia="Arial" w:hAnsi="Cambria Math" w:cs="Times New Roman"/>
                  <w:i/>
                  <w:sz w:val="24"/>
                  <w:szCs w:val="24"/>
                </w:rPr>
              </m:ctrlPr>
            </m:naryPr>
            <m:sub>
              <m:r>
                <w:rPr>
                  <w:rFonts w:ascii="Cambria Math" w:eastAsia="Arial" w:hAnsi="Cambria Math" w:cs="Times New Roman"/>
                  <w:sz w:val="24"/>
                  <w:szCs w:val="24"/>
                </w:rPr>
                <m:t>j=0</m:t>
              </m:r>
            </m:sub>
            <m:sup>
              <m:r>
                <w:rPr>
                  <w:rFonts w:ascii="Cambria Math" w:eastAsia="Arial" w:hAnsi="Cambria Math" w:cs="Times New Roman"/>
                  <w:sz w:val="24"/>
                  <w:szCs w:val="24"/>
                </w:rPr>
                <m:t>q</m:t>
              </m:r>
            </m:sup>
            <m:e>
              <m:sSub>
                <m:sSubPr>
                  <m:ctrlPr>
                    <w:rPr>
                      <w:rFonts w:ascii="Cambria Math" w:eastAsia="Arial" w:hAnsi="Cambria Math" w:cs="Times New Roman"/>
                      <w:i/>
                      <w:sz w:val="24"/>
                      <w:szCs w:val="24"/>
                    </w:rPr>
                  </m:ctrlPr>
                </m:sSubPr>
                <m:e>
                  <m:r>
                    <w:rPr>
                      <w:rFonts w:ascii="Cambria Math" w:eastAsia="Arial" w:hAnsi="Cambria Math" w:cs="Times New Roman"/>
                      <w:sz w:val="24"/>
                      <w:szCs w:val="24"/>
                    </w:rPr>
                    <m:t>θ</m:t>
                  </m:r>
                </m:e>
                <m:sub>
                  <m:r>
                    <w:rPr>
                      <w:rFonts w:ascii="Cambria Math" w:eastAsia="Arial" w:hAnsi="Cambria Math" w:cs="Times New Roman"/>
                      <w:sz w:val="24"/>
                      <w:szCs w:val="24"/>
                    </w:rPr>
                    <m:t>j</m:t>
                  </m:r>
                </m:sub>
              </m:sSub>
              <m:sSub>
                <m:sSubPr>
                  <m:ctrlPr>
                    <w:rPr>
                      <w:rFonts w:ascii="Cambria Math" w:eastAsia="Arial" w:hAnsi="Cambria Math" w:cs="Times New Roman"/>
                      <w:i/>
                      <w:sz w:val="24"/>
                      <w:szCs w:val="24"/>
                    </w:rPr>
                  </m:ctrlPr>
                </m:sSubPr>
                <m:e>
                  <m:r>
                    <w:rPr>
                      <w:rFonts w:ascii="Cambria Math" w:eastAsia="Arial" w:hAnsi="Cambria Math" w:cs="Times New Roman"/>
                      <w:sz w:val="24"/>
                      <w:szCs w:val="24"/>
                    </w:rPr>
                    <m:t>LnEH</m:t>
                  </m:r>
                </m:e>
                <m:sub>
                  <m:r>
                    <w:rPr>
                      <w:rFonts w:ascii="Cambria Math" w:eastAsia="Arial" w:hAnsi="Cambria Math" w:cs="Times New Roman"/>
                      <w:sz w:val="24"/>
                      <w:szCs w:val="24"/>
                    </w:rPr>
                    <m:t>i,t-j</m:t>
                  </m:r>
                </m:sub>
              </m:sSub>
            </m:e>
          </m:nary>
          <m:r>
            <w:rPr>
              <w:rFonts w:ascii="Cambria Math" w:eastAsia="Arial" w:hAnsi="Cambria Math" w:cs="Times New Roman"/>
              <w:sz w:val="24"/>
              <w:szCs w:val="24"/>
            </w:rPr>
            <m:t>+</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e</m:t>
              </m:r>
            </m:e>
            <m:sub>
              <m:r>
                <w:rPr>
                  <w:rFonts w:ascii="Cambria Math" w:eastAsia="Arial" w:hAnsi="Cambria Math" w:cs="Times New Roman"/>
                  <w:sz w:val="24"/>
                  <w:szCs w:val="24"/>
                </w:rPr>
                <m:t>it</m:t>
              </m:r>
            </m:sub>
          </m:sSub>
          <m:r>
            <w:rPr>
              <w:rFonts w:ascii="Cambria Math" w:eastAsia="Arial" w:hAnsi="Cambria Math" w:cs="Times New Roman"/>
              <w:sz w:val="24"/>
              <w:szCs w:val="24"/>
            </w:rPr>
            <m:t xml:space="preserve"> (5)</m:t>
          </m:r>
        </m:oMath>
      </m:oMathPara>
    </w:p>
    <w:p w:rsidR="00814EC5" w:rsidRPr="006D0EBF" w:rsidRDefault="00814EC5" w:rsidP="006D0EBF">
      <w:pPr>
        <w:tabs>
          <w:tab w:val="left" w:pos="5370"/>
        </w:tabs>
        <w:spacing w:before="120" w:after="0" w:line="240" w:lineRule="auto"/>
        <w:ind w:firstLine="709"/>
        <w:jc w:val="both"/>
        <w:rPr>
          <w:rFonts w:ascii="Times New Roman" w:eastAsia="Arial" w:hAnsi="Times New Roman" w:cs="Times New Roman"/>
          <w:sz w:val="24"/>
          <w:szCs w:val="24"/>
          <w:lang w:eastAsia="zh-CN"/>
        </w:rPr>
      </w:pPr>
      <w:r w:rsidRPr="006D0EBF">
        <w:rPr>
          <w:rFonts w:ascii="Times New Roman" w:eastAsia="Arial" w:hAnsi="Times New Roman" w:cs="Times New Roman"/>
          <w:sz w:val="24"/>
          <w:szCs w:val="24"/>
          <w:lang w:eastAsia="zh-CN"/>
        </w:rPr>
        <w:t>Buradan kısa</w:t>
      </w:r>
      <w:r w:rsidR="004127D5" w:rsidRPr="006D0EBF">
        <w:rPr>
          <w:rFonts w:ascii="Times New Roman" w:eastAsia="Arial" w:hAnsi="Times New Roman" w:cs="Times New Roman"/>
          <w:sz w:val="24"/>
          <w:szCs w:val="24"/>
          <w:lang w:eastAsia="zh-CN"/>
        </w:rPr>
        <w:t xml:space="preserve"> dönem ARDL modeli de Denklem (6)’daki</w:t>
      </w:r>
      <w:r w:rsidR="006D0EBF">
        <w:rPr>
          <w:rFonts w:ascii="Times New Roman" w:eastAsia="Arial" w:hAnsi="Times New Roman" w:cs="Times New Roman"/>
          <w:sz w:val="24"/>
          <w:szCs w:val="24"/>
          <w:lang w:eastAsia="zh-CN"/>
        </w:rPr>
        <w:t xml:space="preserve"> gibi kurulur:</w:t>
      </w:r>
    </w:p>
    <w:p w:rsidR="00814EC5" w:rsidRPr="006D0EBF" w:rsidRDefault="004116D6" w:rsidP="006D0EBF">
      <w:pPr>
        <w:tabs>
          <w:tab w:val="left" w:pos="5370"/>
        </w:tabs>
        <w:spacing w:before="120" w:after="0" w:line="240" w:lineRule="auto"/>
        <w:ind w:left="709"/>
        <w:jc w:val="both"/>
        <w:rPr>
          <w:rFonts w:ascii="Times New Roman" w:eastAsia="Arial" w:hAnsi="Times New Roman" w:cs="Times New Roman"/>
          <w:sz w:val="24"/>
          <w:szCs w:val="24"/>
          <w:lang w:eastAsia="zh-CN"/>
        </w:rPr>
      </w:pPr>
      <m:oMathPara>
        <m:oMath>
          <m:sSub>
            <m:sSubPr>
              <m:ctrlPr>
                <w:rPr>
                  <w:rFonts w:ascii="Cambria Math" w:eastAsia="Arial" w:hAnsi="Cambria Math" w:cs="Times New Roman"/>
                  <w:i/>
                </w:rPr>
              </m:ctrlPr>
            </m:sSubPr>
            <m:e>
              <m:r>
                <w:rPr>
                  <w:rFonts w:ascii="Cambria Math" w:eastAsia="Arial" w:hAnsi="Cambria Math" w:cs="Times New Roman"/>
                </w:rPr>
                <m:t>∆LnKBGSYH</m:t>
              </m:r>
            </m:e>
            <m:sub>
              <m:r>
                <w:rPr>
                  <w:rFonts w:ascii="Cambria Math" w:eastAsia="Arial" w:hAnsi="Cambria Math" w:cs="Times New Roman"/>
                </w:rPr>
                <m:t>it</m:t>
              </m:r>
            </m:sub>
          </m:sSub>
          <m:r>
            <w:rPr>
              <w:rFonts w:ascii="Cambria Math" w:eastAsia="Arial" w:hAnsi="Cambria Math" w:cs="Times New Roman"/>
            </w:rPr>
            <m:t>=</m:t>
          </m:r>
          <m:sSub>
            <m:sSubPr>
              <m:ctrlPr>
                <w:rPr>
                  <w:rFonts w:ascii="Cambria Math" w:eastAsia="Arial" w:hAnsi="Cambria Math" w:cs="Times New Roman"/>
                  <w:i/>
                </w:rPr>
              </m:ctrlPr>
            </m:sSubPr>
            <m:e>
              <m:r>
                <w:rPr>
                  <w:rFonts w:ascii="Cambria Math" w:eastAsia="Arial" w:hAnsi="Cambria Math" w:cs="Times New Roman"/>
                </w:rPr>
                <m:t>α</m:t>
              </m:r>
            </m:e>
            <m:sub>
              <m:r>
                <w:rPr>
                  <w:rFonts w:ascii="Cambria Math" w:eastAsia="Arial" w:hAnsi="Cambria Math" w:cs="Times New Roman"/>
                </w:rPr>
                <m:t>i</m:t>
              </m:r>
            </m:sub>
          </m:sSub>
          <m:r>
            <w:rPr>
              <w:rFonts w:ascii="Cambria Math" w:eastAsia="Arial" w:hAnsi="Cambria Math" w:cs="Times New Roman"/>
            </w:rPr>
            <m:t>+</m:t>
          </m:r>
          <m:sSub>
            <m:sSubPr>
              <m:ctrlPr>
                <w:rPr>
                  <w:rFonts w:ascii="Cambria Math" w:eastAsia="Arial" w:hAnsi="Cambria Math" w:cs="Times New Roman"/>
                  <w:i/>
                </w:rPr>
              </m:ctrlPr>
            </m:sSubPr>
            <m:e>
              <m:r>
                <w:rPr>
                  <w:rFonts w:ascii="Cambria Math" w:eastAsia="Arial" w:hAnsi="Cambria Math" w:cs="Times New Roman"/>
                </w:rPr>
                <m:t>Φ</m:t>
              </m:r>
            </m:e>
            <m:sub>
              <m:r>
                <w:rPr>
                  <w:rFonts w:ascii="Cambria Math" w:eastAsia="Arial" w:hAnsi="Cambria Math" w:cs="Times New Roman"/>
                </w:rPr>
                <m:t>i</m:t>
              </m:r>
            </m:sub>
          </m:sSub>
          <m:d>
            <m:dPr>
              <m:ctrlPr>
                <w:rPr>
                  <w:rFonts w:ascii="Cambria Math" w:eastAsia="Arial" w:hAnsi="Cambria Math" w:cs="Times New Roman"/>
                  <w:i/>
                </w:rPr>
              </m:ctrlPr>
            </m:dPr>
            <m:e>
              <m:sSub>
                <m:sSubPr>
                  <m:ctrlPr>
                    <w:rPr>
                      <w:rFonts w:ascii="Cambria Math" w:eastAsia="Arial" w:hAnsi="Cambria Math" w:cs="Times New Roman"/>
                      <w:i/>
                    </w:rPr>
                  </m:ctrlPr>
                </m:sSubPr>
                <m:e>
                  <m:r>
                    <w:rPr>
                      <w:rFonts w:ascii="Cambria Math" w:eastAsia="Arial" w:hAnsi="Cambria Math" w:cs="Times New Roman"/>
                    </w:rPr>
                    <m:t>LnKBGSYH</m:t>
                  </m:r>
                </m:e>
                <m:sub>
                  <m:r>
                    <w:rPr>
                      <w:rFonts w:ascii="Cambria Math" w:eastAsia="Arial" w:hAnsi="Cambria Math" w:cs="Times New Roman"/>
                    </w:rPr>
                    <m:t>it-1</m:t>
                  </m:r>
                </m:sub>
              </m:sSub>
              <m:r>
                <w:rPr>
                  <w:rFonts w:ascii="Cambria Math" w:eastAsia="Arial" w:hAnsi="Cambria Math" w:cs="Times New Roman"/>
                </w:rPr>
                <m:t>-</m:t>
              </m:r>
              <m:sSub>
                <m:sSubPr>
                  <m:ctrlPr>
                    <w:rPr>
                      <w:rFonts w:ascii="Cambria Math" w:eastAsia="Arial" w:hAnsi="Cambria Math" w:cs="Times New Roman"/>
                      <w:i/>
                    </w:rPr>
                  </m:ctrlPr>
                </m:sSubPr>
                <m:e>
                  <m:r>
                    <w:rPr>
                      <w:rFonts w:ascii="Cambria Math" w:eastAsia="Arial" w:hAnsi="Cambria Math" w:cs="Times New Roman"/>
                    </w:rPr>
                    <m:t>ξ</m:t>
                  </m:r>
                </m:e>
                <m:sub>
                  <m:r>
                    <w:rPr>
                      <w:rFonts w:ascii="Cambria Math" w:eastAsia="Arial" w:hAnsi="Cambria Math" w:cs="Times New Roman"/>
                    </w:rPr>
                    <m:t>1</m:t>
                  </m:r>
                </m:sub>
              </m:sSub>
              <m:sSub>
                <m:sSubPr>
                  <m:ctrlPr>
                    <w:rPr>
                      <w:rFonts w:ascii="Cambria Math" w:eastAsia="Arial" w:hAnsi="Cambria Math" w:cs="Times New Roman"/>
                      <w:i/>
                    </w:rPr>
                  </m:ctrlPr>
                </m:sSubPr>
                <m:e>
                  <m:r>
                    <w:rPr>
                      <w:rFonts w:ascii="Cambria Math" w:eastAsia="Arial" w:hAnsi="Cambria Math" w:cs="Times New Roman"/>
                    </w:rPr>
                    <m:t>LnSH</m:t>
                  </m:r>
                </m:e>
                <m:sub>
                  <m:r>
                    <w:rPr>
                      <w:rFonts w:ascii="Cambria Math" w:eastAsia="Arial" w:hAnsi="Cambria Math" w:cs="Times New Roman"/>
                    </w:rPr>
                    <m:t>i,t-1</m:t>
                  </m:r>
                </m:sub>
              </m:sSub>
              <m:r>
                <w:rPr>
                  <w:rFonts w:ascii="Cambria Math" w:eastAsia="Arial" w:hAnsi="Cambria Math" w:cs="Times New Roman"/>
                </w:rPr>
                <m:t>-</m:t>
              </m:r>
              <m:sSub>
                <m:sSubPr>
                  <m:ctrlPr>
                    <w:rPr>
                      <w:rFonts w:ascii="Cambria Math" w:eastAsia="Arial" w:hAnsi="Cambria Math" w:cs="Times New Roman"/>
                      <w:i/>
                    </w:rPr>
                  </m:ctrlPr>
                </m:sSubPr>
                <m:e>
                  <m:r>
                    <w:rPr>
                      <w:rFonts w:ascii="Cambria Math" w:eastAsia="Arial" w:hAnsi="Cambria Math" w:cs="Times New Roman"/>
                    </w:rPr>
                    <m:t>ξ</m:t>
                  </m:r>
                </m:e>
                <m:sub>
                  <m:r>
                    <w:rPr>
                      <w:rFonts w:ascii="Cambria Math" w:eastAsia="Arial" w:hAnsi="Cambria Math" w:cs="Times New Roman"/>
                    </w:rPr>
                    <m:t>2</m:t>
                  </m:r>
                </m:sub>
              </m:sSub>
              <m:sSub>
                <m:sSubPr>
                  <m:ctrlPr>
                    <w:rPr>
                      <w:rFonts w:ascii="Cambria Math" w:eastAsia="Arial" w:hAnsi="Cambria Math" w:cs="Times New Roman"/>
                      <w:i/>
                    </w:rPr>
                  </m:ctrlPr>
                </m:sSubPr>
                <m:e>
                  <m:r>
                    <w:rPr>
                      <w:rFonts w:ascii="Cambria Math" w:eastAsia="Arial" w:hAnsi="Cambria Math" w:cs="Times New Roman"/>
                    </w:rPr>
                    <m:t>LnEH</m:t>
                  </m:r>
                </m:e>
                <m:sub>
                  <m:r>
                    <w:rPr>
                      <w:rFonts w:ascii="Cambria Math" w:eastAsia="Arial" w:hAnsi="Cambria Math" w:cs="Times New Roman"/>
                    </w:rPr>
                    <m:t>i,t-1</m:t>
                  </m:r>
                </m:sub>
              </m:sSub>
            </m:e>
          </m:d>
          <m:r>
            <w:rPr>
              <w:rFonts w:ascii="Cambria Math" w:eastAsia="Arial" w:hAnsi="Cambria Math" w:cs="Times New Roman"/>
            </w:rPr>
            <m:t>+</m:t>
          </m:r>
          <m:nary>
            <m:naryPr>
              <m:chr m:val="∑"/>
              <m:limLoc m:val="undOvr"/>
              <m:ctrlPr>
                <w:rPr>
                  <w:rFonts w:ascii="Cambria Math" w:eastAsia="Arial" w:hAnsi="Cambria Math" w:cs="Times New Roman"/>
                  <w:i/>
                </w:rPr>
              </m:ctrlPr>
            </m:naryPr>
            <m:sub>
              <m:r>
                <w:rPr>
                  <w:rFonts w:ascii="Cambria Math" w:eastAsia="Arial" w:hAnsi="Cambria Math" w:cs="Times New Roman"/>
                </w:rPr>
                <m:t>j=1</m:t>
              </m:r>
            </m:sub>
            <m:sup>
              <m:r>
                <w:rPr>
                  <w:rFonts w:ascii="Cambria Math" w:eastAsia="Arial" w:hAnsi="Cambria Math" w:cs="Times New Roman"/>
                </w:rPr>
                <m:t>p-1</m:t>
              </m:r>
            </m:sup>
            <m:e>
              <m:sSub>
                <m:sSubPr>
                  <m:ctrlPr>
                    <w:rPr>
                      <w:rFonts w:ascii="Cambria Math" w:eastAsia="Arial" w:hAnsi="Cambria Math" w:cs="Times New Roman"/>
                      <w:i/>
                    </w:rPr>
                  </m:ctrlPr>
                </m:sSubPr>
                <m:e>
                  <m:r>
                    <w:rPr>
                      <w:rFonts w:ascii="Cambria Math" w:eastAsia="Arial" w:hAnsi="Cambria Math" w:cs="Times New Roman"/>
                    </w:rPr>
                    <m:t>ψ</m:t>
                  </m:r>
                </m:e>
                <m:sub>
                  <m:r>
                    <w:rPr>
                      <w:rFonts w:ascii="Cambria Math" w:eastAsia="Arial" w:hAnsi="Cambria Math" w:cs="Times New Roman"/>
                    </w:rPr>
                    <m:t>j</m:t>
                  </m:r>
                </m:sub>
              </m:sSub>
              <m:r>
                <m:rPr>
                  <m:sty m:val="p"/>
                </m:rPr>
                <w:rPr>
                  <w:rFonts w:ascii="Cambria Math" w:eastAsia="Arial" w:hAnsi="Cambria Math" w:cs="Times New Roman"/>
                </w:rPr>
                <m:t>Δ</m:t>
              </m:r>
              <m:sSub>
                <m:sSubPr>
                  <m:ctrlPr>
                    <w:rPr>
                      <w:rFonts w:ascii="Cambria Math" w:eastAsia="Arial" w:hAnsi="Cambria Math" w:cs="Times New Roman"/>
                      <w:i/>
                    </w:rPr>
                  </m:ctrlPr>
                </m:sSubPr>
                <m:e>
                  <m:r>
                    <w:rPr>
                      <w:rFonts w:ascii="Cambria Math" w:eastAsia="Arial" w:hAnsi="Cambria Math" w:cs="Times New Roman"/>
                    </w:rPr>
                    <m:t>LnKBGSYH</m:t>
                  </m:r>
                </m:e>
                <m:sub>
                  <m:r>
                    <w:rPr>
                      <w:rFonts w:ascii="Cambria Math" w:eastAsia="Arial" w:hAnsi="Cambria Math" w:cs="Times New Roman"/>
                    </w:rPr>
                    <m:t>i,t-j</m:t>
                  </m:r>
                </m:sub>
              </m:sSub>
            </m:e>
          </m:nary>
          <m:r>
            <w:rPr>
              <w:rFonts w:ascii="Cambria Math" w:eastAsia="Arial" w:hAnsi="Cambria Math" w:cs="Times New Roman"/>
            </w:rPr>
            <m:t>+</m:t>
          </m:r>
          <m:nary>
            <m:naryPr>
              <m:chr m:val="∑"/>
              <m:limLoc m:val="undOvr"/>
              <m:ctrlPr>
                <w:rPr>
                  <w:rFonts w:ascii="Cambria Math" w:eastAsia="Arial" w:hAnsi="Cambria Math" w:cs="Times New Roman"/>
                  <w:i/>
                </w:rPr>
              </m:ctrlPr>
            </m:naryPr>
            <m:sub>
              <m:r>
                <w:rPr>
                  <w:rFonts w:ascii="Cambria Math" w:eastAsia="Arial" w:hAnsi="Cambria Math" w:cs="Times New Roman"/>
                </w:rPr>
                <m:t>j=0</m:t>
              </m:r>
            </m:sub>
            <m:sup>
              <m:r>
                <w:rPr>
                  <w:rFonts w:ascii="Cambria Math" w:eastAsia="Arial" w:hAnsi="Cambria Math" w:cs="Times New Roman"/>
                </w:rPr>
                <m:t>q-1</m:t>
              </m:r>
            </m:sup>
            <m:e>
              <m:sSub>
                <m:sSubPr>
                  <m:ctrlPr>
                    <w:rPr>
                      <w:rFonts w:ascii="Cambria Math" w:eastAsia="Arial" w:hAnsi="Cambria Math" w:cs="Times New Roman"/>
                      <w:i/>
                    </w:rPr>
                  </m:ctrlPr>
                </m:sSubPr>
                <m:e>
                  <m:r>
                    <w:rPr>
                      <w:rFonts w:ascii="Cambria Math" w:eastAsia="Arial" w:hAnsi="Cambria Math" w:cs="Times New Roman"/>
                    </w:rPr>
                    <m:t>φ</m:t>
                  </m:r>
                </m:e>
                <m:sub>
                  <m:r>
                    <w:rPr>
                      <w:rFonts w:ascii="Cambria Math" w:eastAsia="Arial" w:hAnsi="Cambria Math" w:cs="Times New Roman"/>
                    </w:rPr>
                    <m:t>j</m:t>
                  </m:r>
                </m:sub>
              </m:sSub>
              <m:r>
                <m:rPr>
                  <m:sty m:val="p"/>
                </m:rPr>
                <w:rPr>
                  <w:rFonts w:ascii="Cambria Math" w:eastAsia="Arial" w:hAnsi="Cambria Math" w:cs="Times New Roman"/>
                </w:rPr>
                <m:t>Δ</m:t>
              </m:r>
              <m:sSub>
                <m:sSubPr>
                  <m:ctrlPr>
                    <w:rPr>
                      <w:rFonts w:ascii="Cambria Math" w:eastAsia="Arial" w:hAnsi="Cambria Math" w:cs="Times New Roman"/>
                      <w:i/>
                    </w:rPr>
                  </m:ctrlPr>
                </m:sSubPr>
                <m:e>
                  <m:r>
                    <w:rPr>
                      <w:rFonts w:ascii="Cambria Math" w:eastAsia="Arial" w:hAnsi="Cambria Math" w:cs="Times New Roman"/>
                    </w:rPr>
                    <m:t>LnSH</m:t>
                  </m:r>
                </m:e>
                <m:sub>
                  <m:r>
                    <w:rPr>
                      <w:rFonts w:ascii="Cambria Math" w:eastAsia="Arial" w:hAnsi="Cambria Math" w:cs="Times New Roman"/>
                    </w:rPr>
                    <m:t>i,t-j</m:t>
                  </m:r>
                </m:sub>
              </m:sSub>
            </m:e>
          </m:nary>
          <m:r>
            <w:rPr>
              <w:rFonts w:ascii="Cambria Math" w:eastAsia="Arial" w:hAnsi="Cambria Math" w:cs="Times New Roman"/>
            </w:rPr>
            <m:t>+</m:t>
          </m:r>
          <m:nary>
            <m:naryPr>
              <m:chr m:val="∑"/>
              <m:limLoc m:val="undOvr"/>
              <m:ctrlPr>
                <w:rPr>
                  <w:rFonts w:ascii="Cambria Math" w:eastAsia="Arial" w:hAnsi="Cambria Math" w:cs="Times New Roman"/>
                  <w:i/>
                </w:rPr>
              </m:ctrlPr>
            </m:naryPr>
            <m:sub>
              <m:r>
                <w:rPr>
                  <w:rFonts w:ascii="Cambria Math" w:eastAsia="Arial" w:hAnsi="Cambria Math" w:cs="Times New Roman"/>
                </w:rPr>
                <m:t>j=0</m:t>
              </m:r>
            </m:sub>
            <m:sup>
              <m:r>
                <w:rPr>
                  <w:rFonts w:ascii="Cambria Math" w:eastAsia="Arial" w:hAnsi="Cambria Math" w:cs="Times New Roman"/>
                </w:rPr>
                <m:t>q-1</m:t>
              </m:r>
            </m:sup>
            <m:e>
              <m:sSub>
                <m:sSubPr>
                  <m:ctrlPr>
                    <w:rPr>
                      <w:rFonts w:ascii="Cambria Math" w:eastAsia="Arial" w:hAnsi="Cambria Math" w:cs="Times New Roman"/>
                      <w:i/>
                    </w:rPr>
                  </m:ctrlPr>
                </m:sSubPr>
                <m:e>
                  <m:r>
                    <w:rPr>
                      <w:rFonts w:ascii="Cambria Math" w:eastAsia="Arial" w:hAnsi="Cambria Math" w:cs="Times New Roman"/>
                    </w:rPr>
                    <m:t>ϕ</m:t>
                  </m:r>
                </m:e>
                <m:sub>
                  <m:r>
                    <w:rPr>
                      <w:rFonts w:ascii="Cambria Math" w:eastAsia="Arial" w:hAnsi="Cambria Math" w:cs="Times New Roman"/>
                    </w:rPr>
                    <m:t>j</m:t>
                  </m:r>
                </m:sub>
              </m:sSub>
              <m:r>
                <m:rPr>
                  <m:sty m:val="p"/>
                </m:rPr>
                <w:rPr>
                  <w:rFonts w:ascii="Cambria Math" w:eastAsia="Arial" w:hAnsi="Cambria Math" w:cs="Times New Roman"/>
                </w:rPr>
                <m:t>Δ</m:t>
              </m:r>
              <m:sSub>
                <m:sSubPr>
                  <m:ctrlPr>
                    <w:rPr>
                      <w:rFonts w:ascii="Cambria Math" w:eastAsia="Arial" w:hAnsi="Cambria Math" w:cs="Times New Roman"/>
                      <w:i/>
                    </w:rPr>
                  </m:ctrlPr>
                </m:sSubPr>
                <m:e>
                  <m:r>
                    <w:rPr>
                      <w:rFonts w:ascii="Cambria Math" w:eastAsia="Arial" w:hAnsi="Cambria Math" w:cs="Times New Roman"/>
                    </w:rPr>
                    <m:t>LnEH</m:t>
                  </m:r>
                </m:e>
                <m:sub>
                  <m:r>
                    <w:rPr>
                      <w:rFonts w:ascii="Cambria Math" w:eastAsia="Arial" w:hAnsi="Cambria Math" w:cs="Times New Roman"/>
                    </w:rPr>
                    <m:t>i,t-j</m:t>
                  </m:r>
                </m:sub>
              </m:sSub>
            </m:e>
          </m:nary>
          <m:r>
            <w:rPr>
              <w:rFonts w:ascii="Cambria Math" w:eastAsia="Arial" w:hAnsi="Cambria Math" w:cs="Times New Roman"/>
            </w:rPr>
            <m:t>+</m:t>
          </m:r>
          <m:sSub>
            <m:sSubPr>
              <m:ctrlPr>
                <w:rPr>
                  <w:rFonts w:ascii="Cambria Math" w:eastAsia="Arial" w:hAnsi="Cambria Math" w:cs="Times New Roman"/>
                  <w:i/>
                </w:rPr>
              </m:ctrlPr>
            </m:sSubPr>
            <m:e>
              <m:r>
                <w:rPr>
                  <w:rFonts w:ascii="Cambria Math" w:eastAsia="Arial" w:hAnsi="Cambria Math" w:cs="Times New Roman"/>
                </w:rPr>
                <m:t>e</m:t>
              </m:r>
            </m:e>
            <m:sub>
              <m:r>
                <w:rPr>
                  <w:rFonts w:ascii="Cambria Math" w:eastAsia="Arial" w:hAnsi="Cambria Math" w:cs="Times New Roman"/>
                </w:rPr>
                <m:t>it</m:t>
              </m:r>
            </m:sub>
          </m:sSub>
          <m:r>
            <w:rPr>
              <w:rFonts w:ascii="Cambria Math" w:eastAsia="Arial" w:hAnsi="Cambria Math" w:cs="Times New Roman"/>
            </w:rPr>
            <m:t>(6)</m:t>
          </m:r>
        </m:oMath>
      </m:oMathPara>
    </w:p>
    <w:p w:rsidR="00814EC5" w:rsidRPr="006D0EBF" w:rsidRDefault="00814EC5" w:rsidP="006D0EBF">
      <w:pPr>
        <w:tabs>
          <w:tab w:val="left" w:pos="5370"/>
        </w:tabs>
        <w:spacing w:before="120" w:after="0" w:line="240" w:lineRule="auto"/>
        <w:ind w:firstLine="709"/>
        <w:jc w:val="both"/>
        <w:rPr>
          <w:rFonts w:ascii="Times New Roman" w:eastAsia="Arial" w:hAnsi="Times New Roman" w:cs="Times New Roman"/>
          <w:sz w:val="24"/>
          <w:szCs w:val="24"/>
          <w:lang w:eastAsia="zh-CN"/>
        </w:rPr>
      </w:pPr>
      <w:r w:rsidRPr="006D0EBF">
        <w:rPr>
          <w:rFonts w:ascii="Times New Roman" w:eastAsia="Arial" w:hAnsi="Times New Roman" w:cs="Times New Roman"/>
          <w:sz w:val="24"/>
          <w:szCs w:val="24"/>
          <w:lang w:eastAsia="zh-CN"/>
        </w:rPr>
        <w:t xml:space="preserve">Bu </w:t>
      </w:r>
      <m:oMath>
        <m:d>
          <m:dPr>
            <m:ctrlPr>
              <w:rPr>
                <w:rFonts w:ascii="Cambria Math" w:eastAsia="Arial" w:hAnsi="Cambria Math" w:cs="Times New Roman"/>
                <w:i/>
                <w:sz w:val="24"/>
                <w:szCs w:val="24"/>
              </w:rPr>
            </m:ctrlPr>
          </m:dPr>
          <m:e>
            <m:sSub>
              <m:sSubPr>
                <m:ctrlPr>
                  <w:rPr>
                    <w:rFonts w:ascii="Cambria Math" w:eastAsia="Arial" w:hAnsi="Cambria Math" w:cs="Times New Roman"/>
                    <w:i/>
                    <w:sz w:val="24"/>
                    <w:szCs w:val="24"/>
                  </w:rPr>
                </m:ctrlPr>
              </m:sSubPr>
              <m:e>
                <m:r>
                  <w:rPr>
                    <w:rFonts w:ascii="Cambria Math" w:eastAsia="Arial" w:hAnsi="Cambria Math" w:cs="Times New Roman"/>
                    <w:sz w:val="24"/>
                    <w:szCs w:val="24"/>
                  </w:rPr>
                  <m:t>LnKBGSYH</m:t>
                </m:r>
              </m:e>
              <m:sub>
                <m:r>
                  <w:rPr>
                    <w:rFonts w:ascii="Cambria Math" w:eastAsia="Arial" w:hAnsi="Cambria Math" w:cs="Times New Roman"/>
                    <w:sz w:val="24"/>
                    <w:szCs w:val="24"/>
                  </w:rPr>
                  <m:t>it-1</m:t>
                </m:r>
              </m:sub>
            </m:sSub>
            <m:r>
              <w:rPr>
                <w:rFonts w:ascii="Cambria Math" w:eastAsia="Arial" w:hAnsi="Cambria Math" w:cs="Times New Roman"/>
                <w:sz w:val="24"/>
                <w:szCs w:val="24"/>
              </w:rPr>
              <m:t>-</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ξ</m:t>
                </m:r>
              </m:e>
              <m:sub>
                <m:r>
                  <w:rPr>
                    <w:rFonts w:ascii="Cambria Math" w:eastAsia="Arial" w:hAnsi="Cambria Math" w:cs="Times New Roman"/>
                    <w:sz w:val="24"/>
                    <w:szCs w:val="24"/>
                  </w:rPr>
                  <m:t>1</m:t>
                </m:r>
              </m:sub>
            </m:sSub>
            <m:sSub>
              <m:sSubPr>
                <m:ctrlPr>
                  <w:rPr>
                    <w:rFonts w:ascii="Cambria Math" w:eastAsia="Arial" w:hAnsi="Cambria Math" w:cs="Times New Roman"/>
                    <w:i/>
                    <w:sz w:val="24"/>
                    <w:szCs w:val="24"/>
                  </w:rPr>
                </m:ctrlPr>
              </m:sSubPr>
              <m:e>
                <m:r>
                  <w:rPr>
                    <w:rFonts w:ascii="Cambria Math" w:eastAsia="Arial" w:hAnsi="Cambria Math" w:cs="Times New Roman"/>
                    <w:sz w:val="24"/>
                    <w:szCs w:val="24"/>
                  </w:rPr>
                  <m:t>LnSH</m:t>
                </m:r>
              </m:e>
              <m:sub>
                <m:r>
                  <w:rPr>
                    <w:rFonts w:ascii="Cambria Math" w:eastAsia="Arial" w:hAnsi="Cambria Math" w:cs="Times New Roman"/>
                    <w:sz w:val="24"/>
                    <w:szCs w:val="24"/>
                  </w:rPr>
                  <m:t>i,t-1</m:t>
                </m:r>
              </m:sub>
            </m:sSub>
            <m:r>
              <w:rPr>
                <w:rFonts w:ascii="Cambria Math" w:eastAsia="Arial" w:hAnsi="Cambria Math" w:cs="Times New Roman"/>
                <w:sz w:val="24"/>
                <w:szCs w:val="24"/>
              </w:rPr>
              <m:t>-</m:t>
            </m:r>
            <m:sSub>
              <m:sSubPr>
                <m:ctrlPr>
                  <w:rPr>
                    <w:rFonts w:ascii="Cambria Math" w:eastAsia="Arial" w:hAnsi="Cambria Math" w:cs="Times New Roman"/>
                    <w:i/>
                    <w:sz w:val="24"/>
                    <w:szCs w:val="24"/>
                  </w:rPr>
                </m:ctrlPr>
              </m:sSubPr>
              <m:e>
                <m:r>
                  <w:rPr>
                    <w:rFonts w:ascii="Cambria Math" w:eastAsia="Arial" w:hAnsi="Cambria Math" w:cs="Times New Roman"/>
                    <w:sz w:val="24"/>
                    <w:szCs w:val="24"/>
                  </w:rPr>
                  <m:t>ξ</m:t>
                </m:r>
              </m:e>
              <m:sub>
                <m:r>
                  <w:rPr>
                    <w:rFonts w:ascii="Cambria Math" w:eastAsia="Arial" w:hAnsi="Cambria Math" w:cs="Times New Roman"/>
                    <w:sz w:val="24"/>
                    <w:szCs w:val="24"/>
                  </w:rPr>
                  <m:t>2</m:t>
                </m:r>
              </m:sub>
            </m:sSub>
            <m:sSub>
              <m:sSubPr>
                <m:ctrlPr>
                  <w:rPr>
                    <w:rFonts w:ascii="Cambria Math" w:eastAsia="Arial" w:hAnsi="Cambria Math" w:cs="Times New Roman"/>
                    <w:i/>
                    <w:sz w:val="24"/>
                    <w:szCs w:val="24"/>
                  </w:rPr>
                </m:ctrlPr>
              </m:sSubPr>
              <m:e>
                <m:r>
                  <w:rPr>
                    <w:rFonts w:ascii="Cambria Math" w:eastAsia="Arial" w:hAnsi="Cambria Math" w:cs="Times New Roman"/>
                    <w:sz w:val="24"/>
                    <w:szCs w:val="24"/>
                  </w:rPr>
                  <m:t>LnEH</m:t>
                </m:r>
              </m:e>
              <m:sub>
                <m:r>
                  <w:rPr>
                    <w:rFonts w:ascii="Cambria Math" w:eastAsia="Arial" w:hAnsi="Cambria Math" w:cs="Times New Roman"/>
                    <w:sz w:val="24"/>
                    <w:szCs w:val="24"/>
                  </w:rPr>
                  <m:t>i,t-1</m:t>
                </m:r>
              </m:sub>
            </m:sSub>
          </m:e>
        </m:d>
      </m:oMath>
      <w:r w:rsidRPr="006D0EBF">
        <w:rPr>
          <w:rFonts w:ascii="Times New Roman" w:eastAsia="Arial" w:hAnsi="Times New Roman" w:cs="Times New Roman"/>
          <w:sz w:val="24"/>
          <w:szCs w:val="24"/>
          <w:lang w:eastAsia="zh-CN"/>
        </w:rPr>
        <w:t xml:space="preserve"> ifade, hata düzeltme terimini göstermektedir. Bu terimin katsayısı olan </w:t>
      </w:r>
      <m:oMath>
        <m:sSub>
          <m:sSubPr>
            <m:ctrlPr>
              <w:rPr>
                <w:rFonts w:ascii="Cambria Math" w:eastAsia="Arial" w:hAnsi="Cambria Math" w:cs="Times New Roman"/>
                <w:i/>
                <w:sz w:val="24"/>
                <w:szCs w:val="24"/>
              </w:rPr>
            </m:ctrlPr>
          </m:sSubPr>
          <m:e>
            <m:r>
              <w:rPr>
                <w:rFonts w:ascii="Cambria Math" w:eastAsia="Arial" w:hAnsi="Cambria Math" w:cs="Times New Roman"/>
                <w:sz w:val="24"/>
                <w:szCs w:val="24"/>
              </w:rPr>
              <m:t>Φ</m:t>
            </m:r>
          </m:e>
          <m:sub>
            <m:r>
              <w:rPr>
                <w:rFonts w:ascii="Cambria Math" w:eastAsia="Arial" w:hAnsi="Cambria Math" w:cs="Times New Roman"/>
                <w:sz w:val="24"/>
                <w:szCs w:val="24"/>
              </w:rPr>
              <m:t>i</m:t>
            </m:r>
          </m:sub>
        </m:sSub>
      </m:oMath>
      <w:r w:rsidRPr="006D0EBF">
        <w:rPr>
          <w:rFonts w:ascii="Times New Roman" w:eastAsia="Arial" w:hAnsi="Times New Roman" w:cs="Times New Roman"/>
          <w:i/>
          <w:sz w:val="24"/>
          <w:szCs w:val="24"/>
          <w:lang w:eastAsia="zh-CN"/>
        </w:rPr>
        <w:t>;</w:t>
      </w:r>
      <w:r w:rsidRPr="006D0EBF">
        <w:rPr>
          <w:rFonts w:ascii="Times New Roman" w:eastAsia="Arial" w:hAnsi="Times New Roman" w:cs="Times New Roman"/>
          <w:sz w:val="24"/>
          <w:szCs w:val="24"/>
          <w:lang w:eastAsia="zh-CN"/>
        </w:rPr>
        <w:t xml:space="preserve"> sıfırdan küçük ve istatistiki yönden anlamlı bulunursa, modelde yer alan </w:t>
      </w:r>
      <w:r w:rsidRPr="006D0EBF">
        <w:rPr>
          <w:rFonts w:ascii="Times New Roman" w:eastAsia="Arial" w:hAnsi="Times New Roman" w:cs="Times New Roman"/>
          <w:i/>
          <w:sz w:val="24"/>
          <w:szCs w:val="24"/>
          <w:lang w:eastAsia="zh-CN"/>
        </w:rPr>
        <w:t>LnKBGSYH</w:t>
      </w:r>
      <w:r w:rsidRPr="006D0EBF">
        <w:rPr>
          <w:rFonts w:ascii="Times New Roman" w:eastAsia="Arial" w:hAnsi="Times New Roman" w:cs="Times New Roman"/>
          <w:sz w:val="24"/>
          <w:szCs w:val="24"/>
          <w:lang w:eastAsia="zh-CN"/>
        </w:rPr>
        <w:t xml:space="preserve"> </w:t>
      </w:r>
      <w:r w:rsidRPr="006D0EBF">
        <w:rPr>
          <w:rFonts w:ascii="Times New Roman" w:eastAsia="Arial" w:hAnsi="Times New Roman" w:cs="Times New Roman"/>
          <w:i/>
          <w:sz w:val="24"/>
          <w:szCs w:val="24"/>
          <w:lang w:eastAsia="zh-CN"/>
        </w:rPr>
        <w:t xml:space="preserve">ile LnSH </w:t>
      </w:r>
      <w:r w:rsidRPr="006D0EBF">
        <w:rPr>
          <w:rFonts w:ascii="Times New Roman" w:eastAsia="Arial" w:hAnsi="Times New Roman" w:cs="Times New Roman"/>
          <w:sz w:val="24"/>
          <w:szCs w:val="24"/>
          <w:lang w:eastAsia="zh-CN"/>
        </w:rPr>
        <w:t>ve</w:t>
      </w:r>
      <w:r w:rsidRPr="006D0EBF">
        <w:rPr>
          <w:rFonts w:ascii="Times New Roman" w:eastAsia="Arial" w:hAnsi="Times New Roman" w:cs="Times New Roman"/>
          <w:i/>
          <w:sz w:val="24"/>
          <w:szCs w:val="24"/>
          <w:lang w:eastAsia="zh-CN"/>
        </w:rPr>
        <w:t xml:space="preserve"> LnEH</w:t>
      </w:r>
      <w:r w:rsidRPr="006D0EBF">
        <w:rPr>
          <w:rFonts w:ascii="Times New Roman" w:eastAsia="Arial" w:hAnsi="Times New Roman" w:cs="Times New Roman"/>
          <w:sz w:val="24"/>
          <w:szCs w:val="24"/>
          <w:lang w:eastAsia="zh-CN"/>
        </w:rPr>
        <w:t xml:space="preserve"> serileri arasında eşbütünleşme ilişkisinin var olduğuna k</w:t>
      </w:r>
      <w:r w:rsidR="008F3BEC">
        <w:rPr>
          <w:rFonts w:ascii="Times New Roman" w:eastAsia="Arial" w:hAnsi="Times New Roman" w:cs="Times New Roman"/>
          <w:sz w:val="24"/>
          <w:szCs w:val="24"/>
          <w:lang w:eastAsia="zh-CN"/>
        </w:rPr>
        <w:t xml:space="preserve">arar verilebilmektedir (Güler </w:t>
      </w:r>
      <w:r w:rsidR="008F3BEC" w:rsidRPr="00EF0E1F">
        <w:rPr>
          <w:rFonts w:ascii="Times New Roman" w:hAnsi="Times New Roman" w:cs="Times New Roman"/>
          <w:sz w:val="24"/>
          <w:szCs w:val="24"/>
        </w:rPr>
        <w:t>&amp;</w:t>
      </w:r>
      <w:r w:rsidR="008F3BEC">
        <w:rPr>
          <w:rFonts w:ascii="Times New Roman" w:eastAsia="Arial" w:hAnsi="Times New Roman" w:cs="Times New Roman"/>
          <w:sz w:val="24"/>
          <w:szCs w:val="24"/>
          <w:lang w:eastAsia="zh-CN"/>
        </w:rPr>
        <w:t xml:space="preserve"> Özyurt 2011</w:t>
      </w:r>
      <w:r w:rsidRPr="006D0EBF">
        <w:rPr>
          <w:rFonts w:ascii="Times New Roman" w:eastAsia="Arial" w:hAnsi="Times New Roman" w:cs="Times New Roman"/>
          <w:sz w:val="24"/>
          <w:szCs w:val="24"/>
          <w:lang w:eastAsia="zh-CN"/>
        </w:rPr>
        <w:t>).  Bu çalışmada ARDL modeli kullanılarak yapı</w:t>
      </w:r>
      <w:r w:rsidR="006247A3" w:rsidRPr="006D0EBF">
        <w:rPr>
          <w:rFonts w:ascii="Times New Roman" w:eastAsia="Arial" w:hAnsi="Times New Roman" w:cs="Times New Roman"/>
          <w:sz w:val="24"/>
          <w:szCs w:val="24"/>
          <w:lang w:eastAsia="zh-CN"/>
        </w:rPr>
        <w:t>lan analiz so</w:t>
      </w:r>
      <w:r w:rsidR="00D65209" w:rsidRPr="006D0EBF">
        <w:rPr>
          <w:rFonts w:ascii="Times New Roman" w:eastAsia="Arial" w:hAnsi="Times New Roman" w:cs="Times New Roman"/>
          <w:sz w:val="24"/>
          <w:szCs w:val="24"/>
          <w:lang w:eastAsia="zh-CN"/>
        </w:rPr>
        <w:t xml:space="preserve">nuçları aşağıdaki tabloda gösterilmiştir. </w:t>
      </w:r>
    </w:p>
    <w:p w:rsidR="00814EC5" w:rsidRPr="006D0EBF" w:rsidRDefault="006247A3" w:rsidP="006D0EBF">
      <w:pPr>
        <w:spacing w:before="120" w:after="0" w:line="240" w:lineRule="auto"/>
        <w:ind w:right="936"/>
        <w:jc w:val="center"/>
        <w:rPr>
          <w:rFonts w:ascii="Times New Roman" w:eastAsia="Times New Roman" w:hAnsi="Times New Roman" w:cs="Times New Roman"/>
          <w:b/>
          <w:bCs/>
          <w:iCs/>
          <w:sz w:val="24"/>
          <w:szCs w:val="24"/>
          <w:lang w:val="x-none" w:eastAsia="x-none"/>
        </w:rPr>
      </w:pPr>
      <w:bookmarkStart w:id="12" w:name="_Toc105838096"/>
      <w:bookmarkStart w:id="13" w:name="_Toc106201239"/>
      <w:r w:rsidRPr="006D0EBF">
        <w:rPr>
          <w:rFonts w:ascii="Times New Roman" w:eastAsia="Times New Roman" w:hAnsi="Times New Roman" w:cs="Times New Roman"/>
          <w:b/>
          <w:bCs/>
          <w:iCs/>
          <w:sz w:val="24"/>
          <w:szCs w:val="24"/>
          <w:lang w:val="x-none" w:eastAsia="x-none"/>
        </w:rPr>
        <w:t>Tablo 4</w:t>
      </w:r>
      <w:r w:rsidR="00814EC5" w:rsidRPr="006D0EBF">
        <w:rPr>
          <w:rFonts w:ascii="Times New Roman" w:eastAsia="Times New Roman" w:hAnsi="Times New Roman" w:cs="Times New Roman"/>
          <w:b/>
          <w:bCs/>
          <w:iCs/>
          <w:sz w:val="24"/>
          <w:szCs w:val="24"/>
          <w:lang w:val="x-none" w:eastAsia="x-none"/>
        </w:rPr>
        <w:t>. Panel ARDL Analizi Sonuçları</w:t>
      </w:r>
      <w:bookmarkEnd w:id="12"/>
      <w:bookmarkEnd w:id="13"/>
    </w:p>
    <w:tbl>
      <w:tblPr>
        <w:tblW w:w="5000" w:type="pct"/>
        <w:tblCellMar>
          <w:left w:w="70" w:type="dxa"/>
          <w:right w:w="70" w:type="dxa"/>
        </w:tblCellMar>
        <w:tblLook w:val="04A0" w:firstRow="1" w:lastRow="0" w:firstColumn="1" w:lastColumn="0" w:noHBand="0" w:noVBand="1"/>
      </w:tblPr>
      <w:tblGrid>
        <w:gridCol w:w="2730"/>
        <w:gridCol w:w="1411"/>
        <w:gridCol w:w="2019"/>
        <w:gridCol w:w="1586"/>
        <w:gridCol w:w="1314"/>
      </w:tblGrid>
      <w:tr w:rsidR="00814EC5" w:rsidRPr="00814EC5" w:rsidTr="00D65209">
        <w:trPr>
          <w:trHeight w:val="20"/>
        </w:trPr>
        <w:tc>
          <w:tcPr>
            <w:tcW w:w="1507"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b/>
                <w:bCs/>
                <w:lang w:eastAsia="tr-TR"/>
              </w:rPr>
            </w:pPr>
            <w:r w:rsidRPr="006D0EBF">
              <w:rPr>
                <w:rFonts w:ascii="Times New Roman" w:eastAsia="Times New Roman" w:hAnsi="Times New Roman" w:cs="Times New Roman"/>
                <w:b/>
                <w:bCs/>
                <w:lang w:eastAsia="tr-TR"/>
              </w:rPr>
              <w:t>Değişken</w:t>
            </w:r>
          </w:p>
        </w:tc>
        <w:tc>
          <w:tcPr>
            <w:tcW w:w="779"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b/>
                <w:bCs/>
                <w:lang w:eastAsia="tr-TR"/>
              </w:rPr>
            </w:pPr>
            <w:r w:rsidRPr="006D0EBF">
              <w:rPr>
                <w:rFonts w:ascii="Times New Roman" w:eastAsia="Times New Roman" w:hAnsi="Times New Roman" w:cs="Times New Roman"/>
                <w:b/>
                <w:bCs/>
                <w:lang w:eastAsia="tr-TR"/>
              </w:rPr>
              <w:t>Katsayı</w:t>
            </w:r>
          </w:p>
        </w:tc>
        <w:tc>
          <w:tcPr>
            <w:tcW w:w="1114"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b/>
                <w:bCs/>
                <w:lang w:eastAsia="tr-TR"/>
              </w:rPr>
            </w:pPr>
            <w:r w:rsidRPr="006D0EBF">
              <w:rPr>
                <w:rFonts w:ascii="Times New Roman" w:eastAsia="Times New Roman" w:hAnsi="Times New Roman" w:cs="Times New Roman"/>
                <w:b/>
                <w:bCs/>
                <w:lang w:eastAsia="tr-TR"/>
              </w:rPr>
              <w:t>Standart Hata</w:t>
            </w:r>
          </w:p>
        </w:tc>
        <w:tc>
          <w:tcPr>
            <w:tcW w:w="87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b/>
                <w:bCs/>
                <w:lang w:eastAsia="tr-TR"/>
              </w:rPr>
            </w:pPr>
            <w:r w:rsidRPr="006D0EBF">
              <w:rPr>
                <w:rFonts w:ascii="Times New Roman" w:eastAsia="Times New Roman" w:hAnsi="Times New Roman" w:cs="Times New Roman"/>
                <w:b/>
                <w:bCs/>
                <w:lang w:eastAsia="tr-TR"/>
              </w:rPr>
              <w:t>t-İstatistiği</w:t>
            </w:r>
          </w:p>
        </w:tc>
        <w:tc>
          <w:tcPr>
            <w:tcW w:w="725" w:type="pct"/>
            <w:tcBorders>
              <w:top w:val="single" w:sz="4" w:space="0" w:color="auto"/>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b/>
                <w:bCs/>
                <w:lang w:eastAsia="tr-TR"/>
              </w:rPr>
            </w:pPr>
            <w:r w:rsidRPr="006D0EBF">
              <w:rPr>
                <w:rFonts w:ascii="Times New Roman" w:eastAsia="Times New Roman" w:hAnsi="Times New Roman" w:cs="Times New Roman"/>
                <w:b/>
                <w:bCs/>
                <w:lang w:eastAsia="tr-TR"/>
              </w:rPr>
              <w:t>Olasılık</w:t>
            </w:r>
          </w:p>
        </w:tc>
      </w:tr>
      <w:tr w:rsidR="00814EC5" w:rsidRPr="00814EC5" w:rsidTr="00D65209">
        <w:trPr>
          <w:trHeight w:val="20"/>
        </w:trPr>
        <w:tc>
          <w:tcPr>
            <w:tcW w:w="5000" w:type="pct"/>
            <w:gridSpan w:val="5"/>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b/>
                <w:bCs/>
                <w:lang w:eastAsia="tr-TR"/>
              </w:rPr>
            </w:pPr>
            <w:r w:rsidRPr="006D0EBF">
              <w:rPr>
                <w:rFonts w:ascii="Times New Roman" w:eastAsia="Times New Roman" w:hAnsi="Times New Roman" w:cs="Times New Roman"/>
                <w:b/>
                <w:bCs/>
                <w:lang w:eastAsia="tr-TR"/>
              </w:rPr>
              <w:t>Uzun Dönem Analizi</w:t>
            </w:r>
          </w:p>
        </w:tc>
      </w:tr>
      <w:tr w:rsidR="00814EC5" w:rsidRPr="00814EC5" w:rsidTr="00D65209">
        <w:trPr>
          <w:trHeight w:val="20"/>
        </w:trPr>
        <w:tc>
          <w:tcPr>
            <w:tcW w:w="1507"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LNSH</w:t>
            </w:r>
          </w:p>
        </w:tc>
        <w:tc>
          <w:tcPr>
            <w:tcW w:w="779"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-0.353*</w:t>
            </w:r>
          </w:p>
        </w:tc>
        <w:tc>
          <w:tcPr>
            <w:tcW w:w="1114"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0.001</w:t>
            </w:r>
          </w:p>
        </w:tc>
        <w:tc>
          <w:tcPr>
            <w:tcW w:w="875"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-447.655</w:t>
            </w:r>
          </w:p>
        </w:tc>
        <w:tc>
          <w:tcPr>
            <w:tcW w:w="725"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0.000</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LNEH</w:t>
            </w:r>
          </w:p>
        </w:tc>
        <w:tc>
          <w:tcPr>
            <w:tcW w:w="77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1.058*</w:t>
            </w:r>
          </w:p>
        </w:tc>
        <w:tc>
          <w:tcPr>
            <w:tcW w:w="11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0.000</w:t>
            </w:r>
          </w:p>
        </w:tc>
        <w:tc>
          <w:tcPr>
            <w:tcW w:w="87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3043.504</w:t>
            </w:r>
          </w:p>
        </w:tc>
        <w:tc>
          <w:tcPr>
            <w:tcW w:w="72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0.000</w:t>
            </w:r>
          </w:p>
        </w:tc>
      </w:tr>
      <w:tr w:rsidR="00814EC5" w:rsidRPr="00814EC5" w:rsidTr="00D65209">
        <w:trPr>
          <w:trHeight w:val="20"/>
        </w:trPr>
        <w:tc>
          <w:tcPr>
            <w:tcW w:w="5000" w:type="pct"/>
            <w:gridSpan w:val="5"/>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b/>
                <w:bCs/>
                <w:lang w:eastAsia="tr-TR"/>
              </w:rPr>
            </w:pPr>
            <w:r w:rsidRPr="006D0EBF">
              <w:rPr>
                <w:rFonts w:ascii="Times New Roman" w:eastAsia="Times New Roman" w:hAnsi="Times New Roman" w:cs="Times New Roman"/>
                <w:b/>
                <w:bCs/>
                <w:lang w:eastAsia="tr-TR"/>
              </w:rPr>
              <w:t>Kısa Dönem Analizi</w:t>
            </w:r>
          </w:p>
        </w:tc>
      </w:tr>
      <w:tr w:rsidR="00814EC5" w:rsidRPr="00814EC5" w:rsidTr="00D65209">
        <w:trPr>
          <w:trHeight w:val="20"/>
        </w:trPr>
        <w:tc>
          <w:tcPr>
            <w:tcW w:w="1507"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COINTEQ01</w:t>
            </w:r>
          </w:p>
        </w:tc>
        <w:tc>
          <w:tcPr>
            <w:tcW w:w="779"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-0.217***</w:t>
            </w:r>
          </w:p>
        </w:tc>
        <w:tc>
          <w:tcPr>
            <w:tcW w:w="1114"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0.125</w:t>
            </w:r>
          </w:p>
        </w:tc>
        <w:tc>
          <w:tcPr>
            <w:tcW w:w="875"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-1.736</w:t>
            </w:r>
          </w:p>
        </w:tc>
        <w:tc>
          <w:tcPr>
            <w:tcW w:w="725" w:type="pct"/>
            <w:tcBorders>
              <w:top w:val="nil"/>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0.083</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D(LNKBGSYH(-1))</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0.021</w:t>
            </w:r>
          </w:p>
        </w:tc>
        <w:tc>
          <w:tcPr>
            <w:tcW w:w="11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0.151</w:t>
            </w:r>
          </w:p>
        </w:tc>
        <w:tc>
          <w:tcPr>
            <w:tcW w:w="8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0.136</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0.892</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D(LNKBGSYH(-2))</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-0.067</w:t>
            </w:r>
          </w:p>
        </w:tc>
        <w:tc>
          <w:tcPr>
            <w:tcW w:w="11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0.205</w:t>
            </w:r>
          </w:p>
        </w:tc>
        <w:tc>
          <w:tcPr>
            <w:tcW w:w="8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-0.325</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0.745</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D(LNKBGSYH(-3))</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0.549</w:t>
            </w:r>
          </w:p>
        </w:tc>
        <w:tc>
          <w:tcPr>
            <w:tcW w:w="11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0.399</w:t>
            </w:r>
          </w:p>
        </w:tc>
        <w:tc>
          <w:tcPr>
            <w:tcW w:w="8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1.374</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0.170</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D(LNSH)</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-0.197</w:t>
            </w:r>
          </w:p>
        </w:tc>
        <w:tc>
          <w:tcPr>
            <w:tcW w:w="11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0.307</w:t>
            </w:r>
          </w:p>
        </w:tc>
        <w:tc>
          <w:tcPr>
            <w:tcW w:w="8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-0.642</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0.521</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D(LNSH(-1))</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0.045</w:t>
            </w:r>
          </w:p>
        </w:tc>
        <w:tc>
          <w:tcPr>
            <w:tcW w:w="11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0.179</w:t>
            </w:r>
          </w:p>
        </w:tc>
        <w:tc>
          <w:tcPr>
            <w:tcW w:w="8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0.249</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0.803</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D(LNSH(-2))</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0.129**</w:t>
            </w:r>
          </w:p>
        </w:tc>
        <w:tc>
          <w:tcPr>
            <w:tcW w:w="11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0.061</w:t>
            </w:r>
          </w:p>
        </w:tc>
        <w:tc>
          <w:tcPr>
            <w:tcW w:w="8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2.124</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0.034</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D(LNSH(-3))</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0.073</w:t>
            </w:r>
          </w:p>
        </w:tc>
        <w:tc>
          <w:tcPr>
            <w:tcW w:w="11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0.065</w:t>
            </w:r>
          </w:p>
        </w:tc>
        <w:tc>
          <w:tcPr>
            <w:tcW w:w="8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1.124</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0.262</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D(LNEH)</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-0.476*</w:t>
            </w:r>
          </w:p>
        </w:tc>
        <w:tc>
          <w:tcPr>
            <w:tcW w:w="11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0.153</w:t>
            </w:r>
          </w:p>
        </w:tc>
        <w:tc>
          <w:tcPr>
            <w:tcW w:w="8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-3.106</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0.002</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D(LNEH(-1))</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-0.374*</w:t>
            </w:r>
          </w:p>
        </w:tc>
        <w:tc>
          <w:tcPr>
            <w:tcW w:w="11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0.133</w:t>
            </w:r>
          </w:p>
        </w:tc>
        <w:tc>
          <w:tcPr>
            <w:tcW w:w="8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-2.810</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0.005</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D(LNEH(-2))</w:t>
            </w:r>
          </w:p>
        </w:tc>
        <w:tc>
          <w:tcPr>
            <w:tcW w:w="77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-0.068</w:t>
            </w:r>
          </w:p>
        </w:tc>
        <w:tc>
          <w:tcPr>
            <w:tcW w:w="111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0.152</w:t>
            </w:r>
          </w:p>
        </w:tc>
        <w:tc>
          <w:tcPr>
            <w:tcW w:w="87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-0.447</w:t>
            </w:r>
          </w:p>
        </w:tc>
        <w:tc>
          <w:tcPr>
            <w:tcW w:w="7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0.655</w:t>
            </w:r>
          </w:p>
        </w:tc>
      </w:tr>
      <w:tr w:rsidR="00814EC5" w:rsidRPr="00814EC5" w:rsidTr="00D65209">
        <w:trPr>
          <w:trHeight w:val="20"/>
        </w:trPr>
        <w:tc>
          <w:tcPr>
            <w:tcW w:w="1507"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D(LNEH(-3))</w:t>
            </w:r>
          </w:p>
        </w:tc>
        <w:tc>
          <w:tcPr>
            <w:tcW w:w="779"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E531F7">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0.063</w:t>
            </w:r>
          </w:p>
        </w:tc>
        <w:tc>
          <w:tcPr>
            <w:tcW w:w="1114"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0.209</w:t>
            </w:r>
          </w:p>
        </w:tc>
        <w:tc>
          <w:tcPr>
            <w:tcW w:w="87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0.301</w:t>
            </w:r>
          </w:p>
        </w:tc>
        <w:tc>
          <w:tcPr>
            <w:tcW w:w="725"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0.763</w:t>
            </w:r>
          </w:p>
        </w:tc>
      </w:tr>
      <w:tr w:rsidR="00814EC5" w:rsidRPr="00814EC5" w:rsidTr="00D65209">
        <w:trPr>
          <w:trHeight w:val="20"/>
        </w:trPr>
        <w:tc>
          <w:tcPr>
            <w:tcW w:w="5000" w:type="pct"/>
            <w:gridSpan w:val="5"/>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b/>
                <w:bCs/>
                <w:lang w:eastAsia="tr-TR"/>
              </w:rPr>
            </w:pPr>
            <w:r w:rsidRPr="006D0EBF">
              <w:rPr>
                <w:rFonts w:ascii="Times New Roman" w:eastAsia="Times New Roman" w:hAnsi="Times New Roman" w:cs="Times New Roman"/>
                <w:b/>
                <w:bCs/>
                <w:lang w:eastAsia="tr-TR"/>
              </w:rPr>
              <w:t>Bilgi Kriterleri</w:t>
            </w:r>
          </w:p>
        </w:tc>
      </w:tr>
      <w:tr w:rsidR="00814EC5" w:rsidRPr="00814EC5" w:rsidTr="00D65209">
        <w:trPr>
          <w:trHeight w:val="20"/>
        </w:trPr>
        <w:tc>
          <w:tcPr>
            <w:tcW w:w="1507" w:type="pct"/>
            <w:tcBorders>
              <w:top w:val="nil"/>
              <w:left w:val="single" w:sz="4" w:space="0" w:color="FFFFFF" w:themeColor="background1"/>
              <w:bottom w:val="single" w:sz="4" w:space="0" w:color="auto"/>
              <w:right w:val="single" w:sz="4" w:space="0" w:color="FFFFFF" w:themeColor="background1"/>
            </w:tcBorders>
            <w:shd w:val="clear" w:color="auto" w:fill="auto"/>
            <w:noWrap/>
            <w:vAlign w:val="bottom"/>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Akaike Bilgi Kriteri</w:t>
            </w:r>
          </w:p>
        </w:tc>
        <w:tc>
          <w:tcPr>
            <w:tcW w:w="3493" w:type="pct"/>
            <w:gridSpan w:val="4"/>
            <w:tcBorders>
              <w:top w:val="nil"/>
              <w:left w:val="single" w:sz="4" w:space="0" w:color="FFFFFF" w:themeColor="background1"/>
              <w:bottom w:val="single" w:sz="4" w:space="0" w:color="auto"/>
              <w:right w:val="single" w:sz="4" w:space="0" w:color="FFFFFF" w:themeColor="background1"/>
            </w:tcBorders>
            <w:shd w:val="clear" w:color="auto" w:fill="auto"/>
            <w:noWrap/>
            <w:vAlign w:val="center"/>
            <w:hideMark/>
          </w:tcPr>
          <w:p w:rsidR="00814EC5" w:rsidRPr="006D0EBF" w:rsidRDefault="00814EC5" w:rsidP="006D0EBF">
            <w:pPr>
              <w:spacing w:after="0" w:line="240" w:lineRule="auto"/>
              <w:jc w:val="center"/>
              <w:rPr>
                <w:rFonts w:ascii="Times New Roman" w:eastAsia="Times New Roman" w:hAnsi="Times New Roman" w:cs="Times New Roman"/>
                <w:lang w:eastAsia="tr-TR"/>
              </w:rPr>
            </w:pPr>
            <w:r w:rsidRPr="006D0EBF">
              <w:rPr>
                <w:rFonts w:ascii="Times New Roman" w:eastAsia="Times New Roman" w:hAnsi="Times New Roman" w:cs="Times New Roman"/>
                <w:lang w:eastAsia="tr-TR"/>
              </w:rPr>
              <w:t>-3.482</w:t>
            </w:r>
          </w:p>
        </w:tc>
      </w:tr>
    </w:tbl>
    <w:p w:rsidR="00814EC5" w:rsidRPr="006D0EBF" w:rsidRDefault="00814EC5" w:rsidP="00E036A9">
      <w:pPr>
        <w:tabs>
          <w:tab w:val="left" w:pos="5370"/>
        </w:tabs>
        <w:spacing w:after="0" w:line="240" w:lineRule="auto"/>
        <w:contextualSpacing/>
        <w:jc w:val="both"/>
        <w:rPr>
          <w:rFonts w:ascii="Times New Roman" w:eastAsia="SimSun" w:hAnsi="Times New Roman" w:cs="Times New Roman"/>
          <w:lang w:eastAsia="zh-CN"/>
        </w:rPr>
      </w:pPr>
      <w:r w:rsidRPr="006D0EBF">
        <w:rPr>
          <w:rFonts w:ascii="Times New Roman" w:eastAsia="Calibri" w:hAnsi="Times New Roman" w:cs="Times New Roman"/>
          <w:lang w:eastAsia="zh-CN"/>
        </w:rPr>
        <w:t>Not: *, **, ***; sırasıyla %1, %5 ve %10 önem düzeyinde istatistiksel anlamlılığı göstermektedir.</w:t>
      </w:r>
    </w:p>
    <w:p w:rsidR="000D0CED" w:rsidRPr="00E531F7" w:rsidRDefault="00814EC5" w:rsidP="00E531F7">
      <w:pPr>
        <w:tabs>
          <w:tab w:val="left" w:pos="5370"/>
        </w:tabs>
        <w:spacing w:before="120" w:after="0" w:line="240" w:lineRule="auto"/>
        <w:ind w:firstLine="709"/>
        <w:jc w:val="both"/>
        <w:rPr>
          <w:rFonts w:ascii="Times New Roman" w:eastAsia="Arial" w:hAnsi="Times New Roman" w:cs="Times New Roman"/>
          <w:sz w:val="24"/>
          <w:szCs w:val="24"/>
        </w:rPr>
      </w:pPr>
      <w:r w:rsidRPr="006D0EBF">
        <w:rPr>
          <w:rFonts w:ascii="Times New Roman" w:eastAsia="Arial" w:hAnsi="Times New Roman" w:cs="Times New Roman"/>
          <w:sz w:val="24"/>
          <w:szCs w:val="24"/>
        </w:rPr>
        <w:t>Bu sonuçlara göre uzun dönemde</w:t>
      </w:r>
      <w:r w:rsidR="00172794" w:rsidRPr="006D0EBF">
        <w:rPr>
          <w:rFonts w:ascii="Times New Roman" w:eastAsia="Arial" w:hAnsi="Times New Roman" w:cs="Times New Roman"/>
          <w:sz w:val="24"/>
          <w:szCs w:val="24"/>
        </w:rPr>
        <w:t xml:space="preserve"> illerdeki sağlık harcamalarında meydana gelen %1’lik bir atış, kişi başına düşen gayri safi yurtiçi hasılayı</w:t>
      </w:r>
      <w:r w:rsidRPr="006D0EBF">
        <w:rPr>
          <w:rFonts w:ascii="Times New Roman" w:eastAsia="Arial" w:hAnsi="Times New Roman" w:cs="Times New Roman"/>
          <w:sz w:val="24"/>
          <w:szCs w:val="24"/>
        </w:rPr>
        <w:t xml:space="preserve"> % 0.353 oranında azaltmıştır. Elde edilen bulgular, literatürdeki diğer çalışmalarla kıyaslandığında, sağlık</w:t>
      </w:r>
      <w:r w:rsidR="00172794" w:rsidRPr="006D0EBF">
        <w:rPr>
          <w:rFonts w:ascii="Times New Roman" w:eastAsia="Arial" w:hAnsi="Times New Roman" w:cs="Times New Roman"/>
          <w:sz w:val="24"/>
          <w:szCs w:val="24"/>
        </w:rPr>
        <w:t xml:space="preserve"> harcamalarının kişi başı gayri safi yurtiçi hasılayı</w:t>
      </w:r>
      <w:r w:rsidRPr="006D0EBF">
        <w:rPr>
          <w:rFonts w:ascii="Times New Roman" w:eastAsia="Arial" w:hAnsi="Times New Roman" w:cs="Times New Roman"/>
          <w:sz w:val="24"/>
          <w:szCs w:val="24"/>
        </w:rPr>
        <w:t xml:space="preserve"> azaltt</w:t>
      </w:r>
      <w:r w:rsidR="00CD259F">
        <w:rPr>
          <w:rFonts w:ascii="Times New Roman" w:eastAsia="Arial" w:hAnsi="Times New Roman" w:cs="Times New Roman"/>
          <w:sz w:val="24"/>
          <w:szCs w:val="24"/>
        </w:rPr>
        <w:t xml:space="preserve">ığına ilişkin sonuçların,  Kar </w:t>
      </w:r>
      <w:r w:rsidR="00CD259F" w:rsidRPr="00EF0E1F">
        <w:rPr>
          <w:rFonts w:ascii="Times New Roman" w:hAnsi="Times New Roman" w:cs="Times New Roman"/>
          <w:sz w:val="24"/>
          <w:szCs w:val="24"/>
        </w:rPr>
        <w:t>&amp;</w:t>
      </w:r>
      <w:r w:rsidR="00CD259F">
        <w:rPr>
          <w:rFonts w:ascii="Times New Roman" w:eastAsia="Arial" w:hAnsi="Times New Roman" w:cs="Times New Roman"/>
          <w:sz w:val="24"/>
          <w:szCs w:val="24"/>
        </w:rPr>
        <w:t xml:space="preserve"> Taban (2003) </w:t>
      </w:r>
      <w:r w:rsidRPr="006D0EBF">
        <w:rPr>
          <w:rFonts w:ascii="Times New Roman" w:eastAsia="Arial" w:hAnsi="Times New Roman" w:cs="Times New Roman"/>
          <w:sz w:val="24"/>
          <w:szCs w:val="24"/>
        </w:rPr>
        <w:t>tarafından yapılan çalışma sonuçları ile örtüştüğü görülmüştür.</w:t>
      </w:r>
      <w:r w:rsidR="006247A3" w:rsidRPr="006D0EBF">
        <w:rPr>
          <w:rFonts w:ascii="Times New Roman" w:eastAsia="Arial" w:hAnsi="Times New Roman" w:cs="Times New Roman"/>
          <w:sz w:val="24"/>
          <w:szCs w:val="24"/>
        </w:rPr>
        <w:t xml:space="preserve"> Sağlık harcamalarının, beşeri sermayeyi geliştirmesi </w:t>
      </w:r>
      <w:r w:rsidR="00172794" w:rsidRPr="006D0EBF">
        <w:rPr>
          <w:rFonts w:ascii="Times New Roman" w:eastAsia="Arial" w:hAnsi="Times New Roman" w:cs="Times New Roman"/>
          <w:sz w:val="24"/>
          <w:szCs w:val="24"/>
        </w:rPr>
        <w:t xml:space="preserve">ve bu durumunda kişi başına düzen gelir </w:t>
      </w:r>
      <w:r w:rsidR="006247A3" w:rsidRPr="006D0EBF">
        <w:rPr>
          <w:rFonts w:ascii="Times New Roman" w:eastAsia="Arial" w:hAnsi="Times New Roman" w:cs="Times New Roman"/>
          <w:sz w:val="24"/>
          <w:szCs w:val="24"/>
        </w:rPr>
        <w:t xml:space="preserve">üzerinde olumlu bir etki yaratması, bu harcamalarının </w:t>
      </w:r>
      <w:r w:rsidR="000D0CED" w:rsidRPr="006D0EBF">
        <w:rPr>
          <w:rFonts w:ascii="Times New Roman" w:eastAsia="Arial" w:hAnsi="Times New Roman" w:cs="Times New Roman"/>
          <w:sz w:val="24"/>
          <w:szCs w:val="24"/>
        </w:rPr>
        <w:t>yöneldiği nüfustan önemli ölçüde etkilendiğini göst</w:t>
      </w:r>
      <w:r w:rsidR="00765D68" w:rsidRPr="006D0EBF">
        <w:rPr>
          <w:rFonts w:ascii="Times New Roman" w:eastAsia="Arial" w:hAnsi="Times New Roman" w:cs="Times New Roman"/>
          <w:sz w:val="24"/>
          <w:szCs w:val="24"/>
        </w:rPr>
        <w:t>ermektedir. Bu sonuç itibariyle</w:t>
      </w:r>
      <w:r w:rsidR="000D0CED" w:rsidRPr="006D0EBF">
        <w:rPr>
          <w:rFonts w:ascii="Times New Roman" w:eastAsia="Arial" w:hAnsi="Times New Roman" w:cs="Times New Roman"/>
          <w:sz w:val="24"/>
          <w:szCs w:val="24"/>
        </w:rPr>
        <w:t xml:space="preserve"> Türkiye’deki sağlık harcamalarının, üretken durumdaki beşerî sermayenin geliştirilmesi ve korunmasında herhangi bir etkisinin bulunmadığı sonucuna ulaşılmaktadır. Ulaşıl</w:t>
      </w:r>
      <w:r w:rsidR="00235274" w:rsidRPr="006D0EBF">
        <w:rPr>
          <w:rFonts w:ascii="Times New Roman" w:eastAsia="Arial" w:hAnsi="Times New Roman" w:cs="Times New Roman"/>
          <w:sz w:val="24"/>
          <w:szCs w:val="24"/>
        </w:rPr>
        <w:t>an bu sonucun nedeni olarak ise</w:t>
      </w:r>
      <w:r w:rsidR="000D0CED" w:rsidRPr="006D0EBF">
        <w:rPr>
          <w:rFonts w:ascii="Times New Roman" w:eastAsia="Arial" w:hAnsi="Times New Roman" w:cs="Times New Roman"/>
          <w:sz w:val="24"/>
          <w:szCs w:val="24"/>
        </w:rPr>
        <w:t xml:space="preserve"> Türkiye’deki nüfusun giderek yaşlanması ve yapılan sağlık harcamalarının daha çok bu nüfus üzerinde yoğunlaşmasından kaynaklandığı düşünülmektedir. Diğer yandan özellikle son dönemlerde </w:t>
      </w:r>
      <w:r w:rsidR="00765D68" w:rsidRPr="006D0EBF">
        <w:rPr>
          <w:rFonts w:ascii="Times New Roman" w:eastAsia="Arial" w:hAnsi="Times New Roman" w:cs="Times New Roman"/>
          <w:sz w:val="24"/>
          <w:szCs w:val="24"/>
        </w:rPr>
        <w:t>Türkiye’ye</w:t>
      </w:r>
      <w:r w:rsidR="000D0CED" w:rsidRPr="006D0EBF">
        <w:rPr>
          <w:rFonts w:ascii="Times New Roman" w:eastAsia="Arial" w:hAnsi="Times New Roman" w:cs="Times New Roman"/>
          <w:sz w:val="24"/>
          <w:szCs w:val="24"/>
        </w:rPr>
        <w:t xml:space="preserve"> gelen 5 milyonun </w:t>
      </w:r>
      <w:r w:rsidR="00172794" w:rsidRPr="00E531F7">
        <w:rPr>
          <w:rFonts w:ascii="Times New Roman" w:eastAsia="Arial" w:hAnsi="Times New Roman" w:cs="Times New Roman"/>
          <w:sz w:val="24"/>
          <w:szCs w:val="24"/>
        </w:rPr>
        <w:lastRenderedPageBreak/>
        <w:t xml:space="preserve">üzerindeki göçmen nüfusunun </w:t>
      </w:r>
      <w:r w:rsidR="000D0CED" w:rsidRPr="00E531F7">
        <w:rPr>
          <w:rFonts w:ascii="Times New Roman" w:eastAsia="Arial" w:hAnsi="Times New Roman" w:cs="Times New Roman"/>
          <w:sz w:val="24"/>
          <w:szCs w:val="24"/>
        </w:rPr>
        <w:t>sağlık giderlerinin devlet tarafından ücretsiz</w:t>
      </w:r>
      <w:r w:rsidR="00E44872" w:rsidRPr="00E531F7">
        <w:rPr>
          <w:rFonts w:ascii="Times New Roman" w:eastAsia="Arial" w:hAnsi="Times New Roman" w:cs="Times New Roman"/>
          <w:sz w:val="24"/>
          <w:szCs w:val="24"/>
        </w:rPr>
        <w:t xml:space="preserve"> bir şekilde karşılanıyor </w:t>
      </w:r>
      <w:r w:rsidR="000D0CED" w:rsidRPr="00E531F7">
        <w:rPr>
          <w:rFonts w:ascii="Times New Roman" w:eastAsia="Arial" w:hAnsi="Times New Roman" w:cs="Times New Roman"/>
          <w:sz w:val="24"/>
          <w:szCs w:val="24"/>
        </w:rPr>
        <w:t>ve ülkeye giriş yapan bu bireylerin ekonomik anla</w:t>
      </w:r>
      <w:r w:rsidR="00235274" w:rsidRPr="00E531F7">
        <w:rPr>
          <w:rFonts w:ascii="Times New Roman" w:eastAsia="Arial" w:hAnsi="Times New Roman" w:cs="Times New Roman"/>
          <w:sz w:val="24"/>
          <w:szCs w:val="24"/>
        </w:rPr>
        <w:t>mda katma değerlerinin</w:t>
      </w:r>
      <w:r w:rsidR="000D0CED" w:rsidRPr="00E531F7">
        <w:rPr>
          <w:rFonts w:ascii="Times New Roman" w:eastAsia="Arial" w:hAnsi="Times New Roman" w:cs="Times New Roman"/>
          <w:sz w:val="24"/>
          <w:szCs w:val="24"/>
        </w:rPr>
        <w:t xml:space="preserve"> düşük olması</w:t>
      </w:r>
      <w:r w:rsidR="00E44872" w:rsidRPr="00E531F7">
        <w:rPr>
          <w:rFonts w:ascii="Times New Roman" w:eastAsia="Arial" w:hAnsi="Times New Roman" w:cs="Times New Roman"/>
          <w:sz w:val="24"/>
          <w:szCs w:val="24"/>
        </w:rPr>
        <w:t>nın</w:t>
      </w:r>
      <w:r w:rsidR="000D0CED" w:rsidRPr="00E531F7">
        <w:rPr>
          <w:rFonts w:ascii="Times New Roman" w:eastAsia="Arial" w:hAnsi="Times New Roman" w:cs="Times New Roman"/>
          <w:sz w:val="24"/>
          <w:szCs w:val="24"/>
        </w:rPr>
        <w:t xml:space="preserve"> </w:t>
      </w:r>
      <w:r w:rsidR="00235274" w:rsidRPr="00E531F7">
        <w:rPr>
          <w:rFonts w:ascii="Times New Roman" w:eastAsia="Arial" w:hAnsi="Times New Roman" w:cs="Times New Roman"/>
          <w:sz w:val="24"/>
          <w:szCs w:val="24"/>
        </w:rPr>
        <w:t xml:space="preserve">da </w:t>
      </w:r>
      <w:r w:rsidR="000D0CED" w:rsidRPr="00E531F7">
        <w:rPr>
          <w:rFonts w:ascii="Times New Roman" w:eastAsia="Arial" w:hAnsi="Times New Roman" w:cs="Times New Roman"/>
          <w:sz w:val="24"/>
          <w:szCs w:val="24"/>
        </w:rPr>
        <w:t>bu</w:t>
      </w:r>
      <w:r w:rsidR="00172794" w:rsidRPr="00E531F7">
        <w:rPr>
          <w:rFonts w:ascii="Times New Roman" w:eastAsia="Arial" w:hAnsi="Times New Roman" w:cs="Times New Roman"/>
          <w:sz w:val="24"/>
          <w:szCs w:val="24"/>
        </w:rPr>
        <w:t xml:space="preserve"> sonuç üzerinde etkili olduğu düşünülmüştür. </w:t>
      </w:r>
      <w:r w:rsidR="000D0CED" w:rsidRPr="00E531F7">
        <w:rPr>
          <w:rFonts w:ascii="Times New Roman" w:eastAsia="Arial" w:hAnsi="Times New Roman" w:cs="Times New Roman"/>
          <w:sz w:val="24"/>
          <w:szCs w:val="24"/>
        </w:rPr>
        <w:t xml:space="preserve"> </w:t>
      </w:r>
    </w:p>
    <w:p w:rsidR="00814EC5" w:rsidRPr="00E531F7" w:rsidRDefault="00814EC5" w:rsidP="00E531F7">
      <w:pPr>
        <w:tabs>
          <w:tab w:val="left" w:pos="5370"/>
        </w:tabs>
        <w:spacing w:before="120" w:after="0" w:line="240" w:lineRule="auto"/>
        <w:ind w:firstLine="709"/>
        <w:jc w:val="both"/>
        <w:rPr>
          <w:rFonts w:ascii="Times New Roman" w:eastAsia="Arial" w:hAnsi="Times New Roman" w:cs="Times New Roman"/>
          <w:sz w:val="24"/>
          <w:szCs w:val="24"/>
        </w:rPr>
      </w:pPr>
      <w:r w:rsidRPr="00E531F7">
        <w:rPr>
          <w:rFonts w:ascii="Times New Roman" w:eastAsia="Arial" w:hAnsi="Times New Roman" w:cs="Times New Roman"/>
          <w:sz w:val="24"/>
          <w:szCs w:val="24"/>
        </w:rPr>
        <w:t>Eğiti</w:t>
      </w:r>
      <w:r w:rsidR="00D7056A" w:rsidRPr="00E531F7">
        <w:rPr>
          <w:rFonts w:ascii="Times New Roman" w:eastAsia="Arial" w:hAnsi="Times New Roman" w:cs="Times New Roman"/>
          <w:sz w:val="24"/>
          <w:szCs w:val="24"/>
        </w:rPr>
        <w:t>m harcamalarındaki %1’lik</w:t>
      </w:r>
      <w:r w:rsidRPr="00E531F7">
        <w:rPr>
          <w:rFonts w:ascii="Times New Roman" w:eastAsia="Arial" w:hAnsi="Times New Roman" w:cs="Times New Roman"/>
          <w:sz w:val="24"/>
          <w:szCs w:val="24"/>
        </w:rPr>
        <w:t xml:space="preserve"> artışın is</w:t>
      </w:r>
      <w:r w:rsidR="00E44872" w:rsidRPr="00E531F7">
        <w:rPr>
          <w:rFonts w:ascii="Times New Roman" w:eastAsia="Arial" w:hAnsi="Times New Roman" w:cs="Times New Roman"/>
          <w:sz w:val="24"/>
          <w:szCs w:val="24"/>
        </w:rPr>
        <w:t>e kişi başına düşen gayri safi yurtiçi hasılayı</w:t>
      </w:r>
      <w:r w:rsidRPr="00E531F7">
        <w:rPr>
          <w:rFonts w:ascii="Times New Roman" w:eastAsia="Arial" w:hAnsi="Times New Roman" w:cs="Times New Roman"/>
          <w:sz w:val="24"/>
          <w:szCs w:val="24"/>
        </w:rPr>
        <w:t xml:space="preserve"> %1.058 oranında artırdığı görülmektedir ki bu d</w:t>
      </w:r>
      <w:r w:rsidR="000D0CED" w:rsidRPr="00E531F7">
        <w:rPr>
          <w:rFonts w:ascii="Times New Roman" w:eastAsia="Arial" w:hAnsi="Times New Roman" w:cs="Times New Roman"/>
          <w:sz w:val="24"/>
          <w:szCs w:val="24"/>
        </w:rPr>
        <w:t>urum,  ekonomik büyüme için</w:t>
      </w:r>
      <w:r w:rsidRPr="00E531F7">
        <w:rPr>
          <w:rFonts w:ascii="Times New Roman" w:eastAsia="Arial" w:hAnsi="Times New Roman" w:cs="Times New Roman"/>
          <w:sz w:val="24"/>
          <w:szCs w:val="24"/>
        </w:rPr>
        <w:t xml:space="preserve"> asıl önemli olan yatırım ve harcamaların, genç nüfusa yönelik eğitim harcamaları/yatırımla</w:t>
      </w:r>
      <w:r w:rsidR="000D0CED" w:rsidRPr="00E531F7">
        <w:rPr>
          <w:rFonts w:ascii="Times New Roman" w:eastAsia="Arial" w:hAnsi="Times New Roman" w:cs="Times New Roman"/>
          <w:sz w:val="24"/>
          <w:szCs w:val="24"/>
        </w:rPr>
        <w:t>rı olduğunu ortaya koymaktadır. Ayrıca k</w:t>
      </w:r>
      <w:r w:rsidRPr="00E531F7">
        <w:rPr>
          <w:rFonts w:ascii="Times New Roman" w:eastAsia="Arial" w:hAnsi="Times New Roman" w:cs="Times New Roman"/>
          <w:sz w:val="24"/>
          <w:szCs w:val="24"/>
        </w:rPr>
        <w:t>ısa dönem a</w:t>
      </w:r>
      <w:r w:rsidR="00E44872" w:rsidRPr="00E531F7">
        <w:rPr>
          <w:rFonts w:ascii="Times New Roman" w:eastAsia="Arial" w:hAnsi="Times New Roman" w:cs="Times New Roman"/>
          <w:sz w:val="24"/>
          <w:szCs w:val="24"/>
        </w:rPr>
        <w:t>nalizi sonuçlarına bakıldığında,</w:t>
      </w:r>
      <w:r w:rsidRPr="00E531F7">
        <w:rPr>
          <w:rFonts w:ascii="Times New Roman" w:eastAsia="Arial" w:hAnsi="Times New Roman" w:cs="Times New Roman"/>
          <w:sz w:val="24"/>
          <w:szCs w:val="24"/>
        </w:rPr>
        <w:t xml:space="preserve"> sağlık harcamalarının </w:t>
      </w:r>
      <w:r w:rsidR="00E44872" w:rsidRPr="00E531F7">
        <w:rPr>
          <w:rFonts w:ascii="Times New Roman" w:eastAsia="Arial" w:hAnsi="Times New Roman" w:cs="Times New Roman"/>
          <w:sz w:val="24"/>
          <w:szCs w:val="24"/>
        </w:rPr>
        <w:t xml:space="preserve">kişi başına düşen </w:t>
      </w:r>
      <w:r w:rsidRPr="00E531F7">
        <w:rPr>
          <w:rFonts w:ascii="Times New Roman" w:eastAsia="Arial" w:hAnsi="Times New Roman" w:cs="Times New Roman"/>
          <w:sz w:val="24"/>
          <w:szCs w:val="24"/>
        </w:rPr>
        <w:t>geliri, iki dönem gecikmeli olarak pozitif etkilediği görülmektedir. Eğitim harcamalar</w:t>
      </w:r>
      <w:r w:rsidR="00E44872" w:rsidRPr="00E531F7">
        <w:rPr>
          <w:rFonts w:ascii="Times New Roman" w:eastAsia="Arial" w:hAnsi="Times New Roman" w:cs="Times New Roman"/>
          <w:sz w:val="24"/>
          <w:szCs w:val="24"/>
        </w:rPr>
        <w:t xml:space="preserve">ı ise ilk iki dönemde </w:t>
      </w:r>
      <w:r w:rsidRPr="00E531F7">
        <w:rPr>
          <w:rFonts w:ascii="Times New Roman" w:eastAsia="Arial" w:hAnsi="Times New Roman" w:cs="Times New Roman"/>
          <w:sz w:val="24"/>
          <w:szCs w:val="24"/>
        </w:rPr>
        <w:t>kişi başına düşen mili geliri</w:t>
      </w:r>
      <w:r w:rsidR="00E44872" w:rsidRPr="00E531F7">
        <w:rPr>
          <w:rFonts w:ascii="Times New Roman" w:eastAsia="Arial" w:hAnsi="Times New Roman" w:cs="Times New Roman"/>
          <w:sz w:val="24"/>
          <w:szCs w:val="24"/>
        </w:rPr>
        <w:t xml:space="preserve"> negatif etkilemiştir. Bu sonuç,</w:t>
      </w:r>
      <w:r w:rsidRPr="00E531F7">
        <w:rPr>
          <w:rFonts w:ascii="Times New Roman" w:eastAsia="Arial" w:hAnsi="Times New Roman" w:cs="Times New Roman"/>
          <w:sz w:val="24"/>
          <w:szCs w:val="24"/>
        </w:rPr>
        <w:t xml:space="preserve"> Türkiye’de eğitim ve sağlık harcamalarının, etkinlik ve üretkenlik </w:t>
      </w:r>
      <w:r w:rsidR="00E44872" w:rsidRPr="00E531F7">
        <w:rPr>
          <w:rFonts w:ascii="Times New Roman" w:eastAsia="Arial" w:hAnsi="Times New Roman" w:cs="Times New Roman"/>
          <w:sz w:val="24"/>
          <w:szCs w:val="24"/>
        </w:rPr>
        <w:t>temelinde yeniden planlanması</w:t>
      </w:r>
      <w:r w:rsidRPr="00E531F7">
        <w:rPr>
          <w:rFonts w:ascii="Times New Roman" w:eastAsia="Arial" w:hAnsi="Times New Roman" w:cs="Times New Roman"/>
          <w:sz w:val="24"/>
          <w:szCs w:val="24"/>
        </w:rPr>
        <w:t xml:space="preserve"> gerektiğini ortaya koymaktadır. </w:t>
      </w:r>
    </w:p>
    <w:p w:rsidR="000D0CED" w:rsidRPr="00E531F7" w:rsidRDefault="00C341CB" w:rsidP="00E531F7">
      <w:pPr>
        <w:tabs>
          <w:tab w:val="left" w:pos="5370"/>
        </w:tabs>
        <w:spacing w:before="120"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4</w:t>
      </w:r>
      <w:r w:rsidR="00E44872" w:rsidRPr="00E531F7">
        <w:rPr>
          <w:rFonts w:ascii="Times New Roman" w:eastAsia="Arial" w:hAnsi="Times New Roman" w:cs="Times New Roman"/>
          <w:b/>
          <w:sz w:val="24"/>
          <w:szCs w:val="24"/>
        </w:rPr>
        <w:t xml:space="preserve">.6. </w:t>
      </w:r>
      <w:r w:rsidR="00814EC5" w:rsidRPr="00E531F7">
        <w:rPr>
          <w:rFonts w:ascii="Times New Roman" w:eastAsia="Arial" w:hAnsi="Times New Roman" w:cs="Times New Roman"/>
          <w:b/>
          <w:sz w:val="24"/>
          <w:szCs w:val="24"/>
        </w:rPr>
        <w:t>Panel Nedensellik Testi</w:t>
      </w:r>
    </w:p>
    <w:p w:rsidR="00814EC5" w:rsidRPr="00E531F7" w:rsidRDefault="00091EA3" w:rsidP="00E531F7">
      <w:pPr>
        <w:tabs>
          <w:tab w:val="left" w:pos="5370"/>
        </w:tabs>
        <w:spacing w:before="120" w:after="0" w:line="240" w:lineRule="auto"/>
        <w:ind w:firstLine="567"/>
        <w:jc w:val="both"/>
        <w:rPr>
          <w:rFonts w:ascii="Times New Roman" w:eastAsia="Arial" w:hAnsi="Times New Roman" w:cs="Times New Roman"/>
          <w:sz w:val="24"/>
          <w:szCs w:val="24"/>
        </w:rPr>
      </w:pPr>
      <w:r w:rsidRPr="00E531F7">
        <w:rPr>
          <w:rFonts w:ascii="Times New Roman" w:eastAsia="Arial" w:hAnsi="Times New Roman" w:cs="Times New Roman"/>
          <w:sz w:val="24"/>
          <w:szCs w:val="24"/>
        </w:rPr>
        <w:t>Değişkenler arasındaki nedensellik ilişkisinin hangi yönde olduğunu belirlemek amacıyla çeşitli nedensellik t</w:t>
      </w:r>
      <w:r w:rsidR="00E44872" w:rsidRPr="00E531F7">
        <w:rPr>
          <w:rFonts w:ascii="Times New Roman" w:eastAsia="Arial" w:hAnsi="Times New Roman" w:cs="Times New Roman"/>
          <w:sz w:val="24"/>
          <w:szCs w:val="24"/>
        </w:rPr>
        <w:t xml:space="preserve">estlerine başvurulabilmektedir. </w:t>
      </w:r>
      <w:r w:rsidRPr="00E531F7">
        <w:rPr>
          <w:rFonts w:ascii="Times New Roman" w:eastAsia="Arial" w:hAnsi="Times New Roman" w:cs="Times New Roman"/>
          <w:sz w:val="24"/>
          <w:szCs w:val="24"/>
        </w:rPr>
        <w:t xml:space="preserve">Çalışmada kullanılan </w:t>
      </w:r>
      <w:r w:rsidR="00E44872" w:rsidRPr="00E531F7">
        <w:rPr>
          <w:rFonts w:ascii="Times New Roman" w:eastAsia="Arial" w:hAnsi="Times New Roman" w:cs="Times New Roman"/>
          <w:sz w:val="24"/>
          <w:szCs w:val="24"/>
        </w:rPr>
        <w:t xml:space="preserve">panel </w:t>
      </w:r>
      <w:r w:rsidRPr="00E531F7">
        <w:rPr>
          <w:rFonts w:ascii="Times New Roman" w:eastAsia="Arial" w:hAnsi="Times New Roman" w:cs="Times New Roman"/>
          <w:sz w:val="24"/>
          <w:szCs w:val="24"/>
        </w:rPr>
        <w:t xml:space="preserve">Granger (1969) nedensellik testi, bir değişkenin önceki değerleri hakkında elde edilen bilginin, diğer bir değişken üzerindeki tahminleri oluşturmaya yardımcı olduğunu göstermektedir </w:t>
      </w:r>
      <w:r w:rsidR="007A010C">
        <w:rPr>
          <w:rFonts w:ascii="Times New Roman" w:eastAsia="Arial" w:hAnsi="Times New Roman" w:cs="Times New Roman"/>
          <w:sz w:val="24"/>
          <w:szCs w:val="24"/>
        </w:rPr>
        <w:t>(</w:t>
      </w:r>
      <w:r w:rsidR="007A010C">
        <w:rPr>
          <w:rFonts w:ascii="Times New Roman" w:hAnsi="Times New Roman" w:cs="Times New Roman"/>
          <w:sz w:val="24"/>
          <w:szCs w:val="24"/>
        </w:rPr>
        <w:t>Kar, Nazlıoğlu &amp; Ağır</w:t>
      </w:r>
      <w:r w:rsidR="007A010C">
        <w:rPr>
          <w:rFonts w:ascii="Times New Roman" w:eastAsia="Arial" w:hAnsi="Times New Roman" w:cs="Times New Roman"/>
          <w:sz w:val="24"/>
          <w:szCs w:val="24"/>
        </w:rPr>
        <w:t xml:space="preserve"> 2011</w:t>
      </w:r>
      <w:r w:rsidRPr="00E531F7">
        <w:rPr>
          <w:rFonts w:ascii="Times New Roman" w:eastAsia="Arial" w:hAnsi="Times New Roman" w:cs="Times New Roman"/>
          <w:sz w:val="24"/>
          <w:szCs w:val="24"/>
        </w:rPr>
        <w:t>).</w:t>
      </w:r>
      <w:r w:rsidR="00E44872" w:rsidRPr="00E531F7">
        <w:rPr>
          <w:rFonts w:ascii="Times New Roman" w:eastAsia="Arial" w:hAnsi="Times New Roman" w:cs="Times New Roman"/>
          <w:sz w:val="24"/>
          <w:szCs w:val="24"/>
        </w:rPr>
        <w:t xml:space="preserve"> </w:t>
      </w:r>
      <w:r w:rsidR="00814EC5" w:rsidRPr="00E531F7">
        <w:rPr>
          <w:rFonts w:ascii="Times New Roman" w:eastAsia="Arial" w:hAnsi="Times New Roman" w:cs="Times New Roman"/>
          <w:sz w:val="24"/>
          <w:szCs w:val="24"/>
        </w:rPr>
        <w:t>Bu çalışmada panel Granger nedensellik testi için yararlanılan VAR modelinin uygun gecikme uzunluğunun belirlenmesine ilişkin test sonuçları a</w:t>
      </w:r>
      <w:r w:rsidRPr="00E531F7">
        <w:rPr>
          <w:rFonts w:ascii="Times New Roman" w:eastAsia="Arial" w:hAnsi="Times New Roman" w:cs="Times New Roman"/>
          <w:sz w:val="24"/>
          <w:szCs w:val="24"/>
        </w:rPr>
        <w:t>şağıdaki tabloda gösterilmiştir.</w:t>
      </w:r>
      <w:r w:rsidR="00814EC5" w:rsidRPr="00E531F7">
        <w:rPr>
          <w:rFonts w:ascii="Times New Roman" w:eastAsia="Arial" w:hAnsi="Times New Roman" w:cs="Times New Roman"/>
          <w:sz w:val="24"/>
          <w:szCs w:val="24"/>
        </w:rPr>
        <w:t xml:space="preserve">  </w:t>
      </w:r>
    </w:p>
    <w:p w:rsidR="00814EC5" w:rsidRPr="00E531F7" w:rsidRDefault="00091EA3" w:rsidP="00E531F7">
      <w:pPr>
        <w:tabs>
          <w:tab w:val="left" w:pos="5370"/>
        </w:tabs>
        <w:spacing w:before="120" w:after="0" w:line="240" w:lineRule="auto"/>
        <w:jc w:val="center"/>
        <w:rPr>
          <w:rFonts w:ascii="Times New Roman" w:eastAsia="Arial" w:hAnsi="Times New Roman" w:cs="Times New Roman"/>
          <w:b/>
          <w:sz w:val="24"/>
          <w:szCs w:val="24"/>
        </w:rPr>
      </w:pPr>
      <w:bookmarkStart w:id="14" w:name="_Toc106201240"/>
      <w:r w:rsidRPr="00E531F7">
        <w:rPr>
          <w:rFonts w:ascii="Times New Roman" w:eastAsia="Arial" w:hAnsi="Times New Roman" w:cs="Times New Roman"/>
          <w:b/>
          <w:sz w:val="24"/>
          <w:szCs w:val="24"/>
        </w:rPr>
        <w:t>Tablo 5</w:t>
      </w:r>
      <w:r w:rsidR="00814EC5" w:rsidRPr="00E531F7">
        <w:rPr>
          <w:rFonts w:ascii="Times New Roman" w:eastAsia="Arial" w:hAnsi="Times New Roman" w:cs="Times New Roman"/>
          <w:b/>
          <w:sz w:val="24"/>
          <w:szCs w:val="24"/>
        </w:rPr>
        <w:t>. VAR Modeline Ait Optimum Gecikme Uzunluğu Testi</w:t>
      </w:r>
      <w:bookmarkEnd w:id="14"/>
      <w:r w:rsidR="00814EC5" w:rsidRPr="00E531F7">
        <w:rPr>
          <w:rFonts w:ascii="Times New Roman" w:eastAsia="Arial" w:hAnsi="Times New Roman" w:cs="Times New Roman"/>
          <w:b/>
          <w:sz w:val="24"/>
          <w:szCs w:val="24"/>
        </w:rPr>
        <w:t xml:space="preserve"> Sonuçları</w:t>
      </w:r>
    </w:p>
    <w:tbl>
      <w:tblPr>
        <w:tblStyle w:val="TabloKlavuzu"/>
        <w:tblW w:w="0" w:type="auto"/>
        <w:tblLook w:val="04A0" w:firstRow="1" w:lastRow="0" w:firstColumn="1" w:lastColumn="0" w:noHBand="0" w:noVBand="1"/>
      </w:tblPr>
      <w:tblGrid>
        <w:gridCol w:w="1294"/>
        <w:gridCol w:w="1294"/>
        <w:gridCol w:w="1294"/>
        <w:gridCol w:w="1295"/>
        <w:gridCol w:w="1294"/>
        <w:gridCol w:w="1294"/>
        <w:gridCol w:w="1295"/>
      </w:tblGrid>
      <w:tr w:rsidR="00CC088F" w:rsidRPr="00FE46E0" w:rsidTr="00C341CB">
        <w:tc>
          <w:tcPr>
            <w:tcW w:w="1294" w:type="dxa"/>
            <w:tcBorders>
              <w:left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b/>
              </w:rPr>
            </w:pPr>
            <w:r w:rsidRPr="00FE46E0">
              <w:rPr>
                <w:rFonts w:ascii="Times New Roman" w:hAnsi="Times New Roman" w:cs="Times New Roman"/>
                <w:b/>
              </w:rPr>
              <w:t>Lag</w:t>
            </w:r>
          </w:p>
        </w:tc>
        <w:tc>
          <w:tcPr>
            <w:tcW w:w="1294" w:type="dxa"/>
            <w:tcBorders>
              <w:left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b/>
              </w:rPr>
            </w:pPr>
            <w:r w:rsidRPr="00FE46E0">
              <w:rPr>
                <w:rFonts w:ascii="Times New Roman" w:hAnsi="Times New Roman" w:cs="Times New Roman"/>
                <w:b/>
              </w:rPr>
              <w:t>LogL</w:t>
            </w:r>
          </w:p>
        </w:tc>
        <w:tc>
          <w:tcPr>
            <w:tcW w:w="1294" w:type="dxa"/>
            <w:tcBorders>
              <w:left w:val="single" w:sz="4" w:space="0" w:color="FFFFFF" w:themeColor="background1"/>
              <w:right w:val="single" w:sz="4" w:space="0" w:color="FFFFFF" w:themeColor="background1"/>
            </w:tcBorders>
            <w:vAlign w:val="center"/>
          </w:tcPr>
          <w:p w:rsidR="00CC088F" w:rsidRPr="00FE46E0" w:rsidRDefault="00CC088F" w:rsidP="00CC088F">
            <w:pPr>
              <w:tabs>
                <w:tab w:val="left" w:pos="5370"/>
              </w:tabs>
              <w:ind w:firstLine="567"/>
              <w:contextualSpacing/>
              <w:jc w:val="center"/>
              <w:rPr>
                <w:rFonts w:ascii="Times New Roman" w:eastAsia="Arial" w:hAnsi="Times New Roman" w:cs="Times New Roman"/>
                <w:b/>
              </w:rPr>
            </w:pPr>
            <w:r w:rsidRPr="00FE46E0">
              <w:rPr>
                <w:rFonts w:ascii="Times New Roman" w:eastAsia="Arial" w:hAnsi="Times New Roman" w:cs="Times New Roman"/>
                <w:b/>
              </w:rPr>
              <w:t>LR</w:t>
            </w:r>
          </w:p>
        </w:tc>
        <w:tc>
          <w:tcPr>
            <w:tcW w:w="1295" w:type="dxa"/>
            <w:tcBorders>
              <w:left w:val="single" w:sz="4" w:space="0" w:color="FFFFFF" w:themeColor="background1"/>
              <w:right w:val="single" w:sz="4" w:space="0" w:color="FFFFFF" w:themeColor="background1"/>
            </w:tcBorders>
            <w:vAlign w:val="center"/>
          </w:tcPr>
          <w:p w:rsidR="00CC088F" w:rsidRPr="00FE46E0" w:rsidRDefault="00CC088F" w:rsidP="00CC088F">
            <w:pPr>
              <w:tabs>
                <w:tab w:val="left" w:pos="5370"/>
              </w:tabs>
              <w:ind w:firstLine="567"/>
              <w:contextualSpacing/>
              <w:jc w:val="center"/>
              <w:rPr>
                <w:rFonts w:ascii="Times New Roman" w:eastAsia="Arial" w:hAnsi="Times New Roman" w:cs="Times New Roman"/>
                <w:b/>
              </w:rPr>
            </w:pPr>
            <w:r w:rsidRPr="00FE46E0">
              <w:rPr>
                <w:rFonts w:ascii="Times New Roman" w:eastAsia="Arial" w:hAnsi="Times New Roman" w:cs="Times New Roman"/>
                <w:b/>
              </w:rPr>
              <w:t>FPE</w:t>
            </w:r>
          </w:p>
        </w:tc>
        <w:tc>
          <w:tcPr>
            <w:tcW w:w="1294" w:type="dxa"/>
            <w:tcBorders>
              <w:left w:val="single" w:sz="4" w:space="0" w:color="FFFFFF" w:themeColor="background1"/>
              <w:right w:val="single" w:sz="4" w:space="0" w:color="FFFFFF" w:themeColor="background1"/>
            </w:tcBorders>
            <w:vAlign w:val="center"/>
          </w:tcPr>
          <w:p w:rsidR="00CC088F" w:rsidRPr="00FE46E0" w:rsidRDefault="00CC088F" w:rsidP="00CC088F">
            <w:pPr>
              <w:tabs>
                <w:tab w:val="left" w:pos="5370"/>
              </w:tabs>
              <w:ind w:firstLine="567"/>
              <w:contextualSpacing/>
              <w:jc w:val="center"/>
              <w:rPr>
                <w:rFonts w:ascii="Times New Roman" w:eastAsia="Arial" w:hAnsi="Times New Roman" w:cs="Times New Roman"/>
                <w:b/>
              </w:rPr>
            </w:pPr>
            <w:r w:rsidRPr="00FE46E0">
              <w:rPr>
                <w:rFonts w:ascii="Times New Roman" w:eastAsia="Arial" w:hAnsi="Times New Roman" w:cs="Times New Roman"/>
                <w:b/>
              </w:rPr>
              <w:t>AIC</w:t>
            </w:r>
          </w:p>
        </w:tc>
        <w:tc>
          <w:tcPr>
            <w:tcW w:w="1294" w:type="dxa"/>
            <w:tcBorders>
              <w:left w:val="single" w:sz="4" w:space="0" w:color="FFFFFF" w:themeColor="background1"/>
              <w:right w:val="single" w:sz="4" w:space="0" w:color="FFFFFF" w:themeColor="background1"/>
            </w:tcBorders>
            <w:vAlign w:val="center"/>
          </w:tcPr>
          <w:p w:rsidR="00CC088F" w:rsidRPr="00FE46E0" w:rsidRDefault="00CC088F" w:rsidP="00CC088F">
            <w:pPr>
              <w:tabs>
                <w:tab w:val="left" w:pos="5370"/>
              </w:tabs>
              <w:ind w:firstLine="567"/>
              <w:contextualSpacing/>
              <w:jc w:val="center"/>
              <w:rPr>
                <w:rFonts w:ascii="Times New Roman" w:eastAsia="Arial" w:hAnsi="Times New Roman" w:cs="Times New Roman"/>
                <w:b/>
              </w:rPr>
            </w:pPr>
            <w:r w:rsidRPr="00FE46E0">
              <w:rPr>
                <w:rFonts w:ascii="Times New Roman" w:eastAsia="Arial" w:hAnsi="Times New Roman" w:cs="Times New Roman"/>
                <w:b/>
              </w:rPr>
              <w:t>SC</w:t>
            </w:r>
          </w:p>
        </w:tc>
        <w:tc>
          <w:tcPr>
            <w:tcW w:w="1295" w:type="dxa"/>
            <w:tcBorders>
              <w:left w:val="single" w:sz="4" w:space="0" w:color="FFFFFF" w:themeColor="background1"/>
              <w:right w:val="single" w:sz="4" w:space="0" w:color="FFFFFF" w:themeColor="background1"/>
            </w:tcBorders>
            <w:vAlign w:val="center"/>
          </w:tcPr>
          <w:p w:rsidR="00CC088F" w:rsidRPr="00FE46E0" w:rsidRDefault="00CC088F" w:rsidP="00CC088F">
            <w:pPr>
              <w:tabs>
                <w:tab w:val="left" w:pos="5370"/>
              </w:tabs>
              <w:ind w:firstLine="567"/>
              <w:contextualSpacing/>
              <w:jc w:val="center"/>
              <w:rPr>
                <w:rFonts w:ascii="Times New Roman" w:eastAsia="Arial" w:hAnsi="Times New Roman" w:cs="Times New Roman"/>
                <w:b/>
              </w:rPr>
            </w:pPr>
            <w:r w:rsidRPr="00FE46E0">
              <w:rPr>
                <w:rFonts w:ascii="Times New Roman" w:eastAsia="Arial" w:hAnsi="Times New Roman" w:cs="Times New Roman"/>
                <w:b/>
              </w:rPr>
              <w:t>HQ</w:t>
            </w:r>
          </w:p>
        </w:tc>
      </w:tr>
      <w:tr w:rsidR="00CC088F" w:rsidRPr="00FE46E0" w:rsidTr="00CC088F">
        <w:tc>
          <w:tcPr>
            <w:tcW w:w="1294" w:type="dxa"/>
            <w:tcBorders>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0</w:t>
            </w:r>
          </w:p>
        </w:tc>
        <w:tc>
          <w:tcPr>
            <w:tcW w:w="1294" w:type="dxa"/>
            <w:tcBorders>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-2329.141</w:t>
            </w:r>
          </w:p>
        </w:tc>
        <w:tc>
          <w:tcPr>
            <w:tcW w:w="1294" w:type="dxa"/>
            <w:tcBorders>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NA</w:t>
            </w:r>
          </w:p>
        </w:tc>
        <w:tc>
          <w:tcPr>
            <w:tcW w:w="1295" w:type="dxa"/>
            <w:tcBorders>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0.016838</w:t>
            </w:r>
          </w:p>
        </w:tc>
        <w:tc>
          <w:tcPr>
            <w:tcW w:w="1294" w:type="dxa"/>
            <w:tcBorders>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4.429517</w:t>
            </w:r>
          </w:p>
        </w:tc>
        <w:tc>
          <w:tcPr>
            <w:tcW w:w="1294" w:type="dxa"/>
            <w:tcBorders>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4.443646</w:t>
            </w:r>
          </w:p>
        </w:tc>
        <w:tc>
          <w:tcPr>
            <w:tcW w:w="1295" w:type="dxa"/>
            <w:tcBorders>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4.434873</w:t>
            </w:r>
          </w:p>
        </w:tc>
      </w:tr>
      <w:tr w:rsidR="00CC088F" w:rsidRPr="00FE46E0" w:rsidTr="00CC088F">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1</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3337.898</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11291.02</w:t>
            </w:r>
          </w:p>
        </w:tc>
        <w:tc>
          <w:tcPr>
            <w:tcW w:w="1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3.62e-07</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-6.316995</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-6.460477*</w:t>
            </w:r>
          </w:p>
        </w:tc>
        <w:tc>
          <w:tcPr>
            <w:tcW w:w="1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-6.295568</w:t>
            </w:r>
          </w:p>
        </w:tc>
      </w:tr>
      <w:tr w:rsidR="00CC088F" w:rsidRPr="00FE46E0" w:rsidTr="00CC088F">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b/>
              </w:rPr>
            </w:pPr>
            <w:r w:rsidRPr="00FE46E0">
              <w:rPr>
                <w:rFonts w:ascii="Times New Roman" w:hAnsi="Times New Roman" w:cs="Times New Roman"/>
                <w:b/>
              </w:rPr>
              <w:t>2</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b/>
              </w:rPr>
            </w:pPr>
            <w:r w:rsidRPr="00FE46E0">
              <w:rPr>
                <w:rFonts w:ascii="Times New Roman" w:hAnsi="Times New Roman" w:cs="Times New Roman"/>
                <w:b/>
                <w:bCs/>
              </w:rPr>
              <w:t>3390.956</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b/>
              </w:rPr>
            </w:pPr>
            <w:r w:rsidRPr="00FE46E0">
              <w:rPr>
                <w:rFonts w:ascii="Times New Roman" w:hAnsi="Times New Roman" w:cs="Times New Roman"/>
                <w:b/>
              </w:rPr>
              <w:t>145.4111*</w:t>
            </w:r>
          </w:p>
        </w:tc>
        <w:tc>
          <w:tcPr>
            <w:tcW w:w="1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b/>
              </w:rPr>
            </w:pPr>
            <w:r w:rsidRPr="00FE46E0">
              <w:rPr>
                <w:rFonts w:ascii="Times New Roman" w:hAnsi="Times New Roman" w:cs="Times New Roman"/>
                <w:b/>
                <w:bCs/>
              </w:rPr>
              <w:t>2.33e-07*</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b/>
              </w:rPr>
            </w:pPr>
            <w:r w:rsidRPr="00FE46E0">
              <w:rPr>
                <w:rFonts w:ascii="Times New Roman" w:hAnsi="Times New Roman" w:cs="Times New Roman"/>
                <w:b/>
              </w:rPr>
              <w:t>-6.700676*</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b/>
              </w:rPr>
            </w:pPr>
            <w:r w:rsidRPr="00FE46E0">
              <w:rPr>
                <w:rFonts w:ascii="Times New Roman" w:hAnsi="Times New Roman" w:cs="Times New Roman"/>
                <w:b/>
              </w:rPr>
              <w:t>-6.301771</w:t>
            </w:r>
          </w:p>
        </w:tc>
        <w:tc>
          <w:tcPr>
            <w:tcW w:w="1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b/>
              </w:rPr>
            </w:pPr>
            <w:r w:rsidRPr="00FE46E0">
              <w:rPr>
                <w:rFonts w:ascii="Times New Roman" w:hAnsi="Times New Roman" w:cs="Times New Roman"/>
                <w:b/>
              </w:rPr>
              <w:t>-6.563179*</w:t>
            </w:r>
          </w:p>
        </w:tc>
      </w:tr>
      <w:tr w:rsidR="00CC088F" w:rsidRPr="00FE46E0" w:rsidTr="00CC088F">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3</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3448.220</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113.4402</w:t>
            </w:r>
          </w:p>
        </w:tc>
        <w:tc>
          <w:tcPr>
            <w:tcW w:w="1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2.54e-07</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-6.492345</w:t>
            </w:r>
          </w:p>
        </w:tc>
        <w:tc>
          <w:tcPr>
            <w:tcW w:w="12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-6.351052</w:t>
            </w:r>
          </w:p>
        </w:tc>
        <w:tc>
          <w:tcPr>
            <w:tcW w:w="12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-6.438779</w:t>
            </w:r>
          </w:p>
        </w:tc>
      </w:tr>
      <w:tr w:rsidR="00CC088F" w:rsidRPr="00FE46E0" w:rsidTr="00CC088F">
        <w:tc>
          <w:tcPr>
            <w:tcW w:w="1294" w:type="dxa"/>
            <w:tcBorders>
              <w:top w:val="single" w:sz="4" w:space="0" w:color="FFFFFF" w:themeColor="background1"/>
              <w:left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4</w:t>
            </w:r>
          </w:p>
        </w:tc>
        <w:tc>
          <w:tcPr>
            <w:tcW w:w="1294" w:type="dxa"/>
            <w:tcBorders>
              <w:top w:val="single" w:sz="4" w:space="0" w:color="FFFFFF" w:themeColor="background1"/>
              <w:left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3514.885</w:t>
            </w:r>
          </w:p>
        </w:tc>
        <w:tc>
          <w:tcPr>
            <w:tcW w:w="1294" w:type="dxa"/>
            <w:tcBorders>
              <w:top w:val="single" w:sz="4" w:space="0" w:color="FFFFFF" w:themeColor="background1"/>
              <w:left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131.6837</w:t>
            </w:r>
          </w:p>
        </w:tc>
        <w:tc>
          <w:tcPr>
            <w:tcW w:w="1295" w:type="dxa"/>
            <w:tcBorders>
              <w:top w:val="single" w:sz="4" w:space="0" w:color="FFFFFF" w:themeColor="background1"/>
              <w:left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2.73e-07</w:t>
            </w:r>
          </w:p>
        </w:tc>
        <w:tc>
          <w:tcPr>
            <w:tcW w:w="1294" w:type="dxa"/>
            <w:tcBorders>
              <w:top w:val="single" w:sz="4" w:space="0" w:color="FFFFFF" w:themeColor="background1"/>
              <w:left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-6.601870</w:t>
            </w:r>
          </w:p>
        </w:tc>
        <w:tc>
          <w:tcPr>
            <w:tcW w:w="1294" w:type="dxa"/>
            <w:tcBorders>
              <w:top w:val="single" w:sz="4" w:space="0" w:color="FFFFFF" w:themeColor="background1"/>
              <w:left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-6.418189</w:t>
            </w:r>
          </w:p>
        </w:tc>
        <w:tc>
          <w:tcPr>
            <w:tcW w:w="1295" w:type="dxa"/>
            <w:tcBorders>
              <w:top w:val="single" w:sz="4" w:space="0" w:color="FFFFFF" w:themeColor="background1"/>
              <w:left w:val="single" w:sz="4" w:space="0" w:color="FFFFFF" w:themeColor="background1"/>
              <w:right w:val="single" w:sz="4" w:space="0" w:color="FFFFFF" w:themeColor="background1"/>
            </w:tcBorders>
          </w:tcPr>
          <w:p w:rsidR="00CC088F" w:rsidRPr="00FE46E0" w:rsidRDefault="00CC088F" w:rsidP="00CC088F">
            <w:pPr>
              <w:jc w:val="center"/>
              <w:rPr>
                <w:rFonts w:ascii="Times New Roman" w:hAnsi="Times New Roman" w:cs="Times New Roman"/>
              </w:rPr>
            </w:pPr>
            <w:r w:rsidRPr="00FE46E0">
              <w:rPr>
                <w:rFonts w:ascii="Times New Roman" w:hAnsi="Times New Roman" w:cs="Times New Roman"/>
              </w:rPr>
              <w:t>-6.532234</w:t>
            </w:r>
          </w:p>
        </w:tc>
      </w:tr>
    </w:tbl>
    <w:p w:rsidR="00814EC5" w:rsidRPr="00E531F7" w:rsidRDefault="00E531F7" w:rsidP="00E531F7">
      <w:pPr>
        <w:tabs>
          <w:tab w:val="left" w:pos="5370"/>
        </w:tabs>
        <w:spacing w:after="0" w:line="240" w:lineRule="auto"/>
        <w:contextualSpacing/>
        <w:jc w:val="both"/>
        <w:rPr>
          <w:rFonts w:ascii="Times New Roman" w:eastAsia="Arial" w:hAnsi="Times New Roman" w:cs="Times New Roman"/>
        </w:rPr>
      </w:pPr>
      <w:r w:rsidRPr="00E531F7">
        <w:rPr>
          <w:rFonts w:ascii="Times New Roman" w:eastAsia="Arial" w:hAnsi="Times New Roman" w:cs="Times New Roman"/>
        </w:rPr>
        <w:t xml:space="preserve">Not: </w:t>
      </w:r>
      <w:r w:rsidR="00814EC5" w:rsidRPr="00E531F7">
        <w:rPr>
          <w:rFonts w:ascii="Times New Roman" w:eastAsia="Arial" w:hAnsi="Times New Roman" w:cs="Times New Roman"/>
        </w:rPr>
        <w:t>*Kriter tarafından seçilen gec</w:t>
      </w:r>
      <w:r w:rsidR="00D7056A" w:rsidRPr="00E531F7">
        <w:rPr>
          <w:rFonts w:ascii="Times New Roman" w:eastAsia="Arial" w:hAnsi="Times New Roman" w:cs="Times New Roman"/>
        </w:rPr>
        <w:t>ikme uzunluğunu göstermektedir.</w:t>
      </w:r>
    </w:p>
    <w:p w:rsidR="00814EC5" w:rsidRPr="00E531F7" w:rsidRDefault="00814EC5" w:rsidP="00E531F7">
      <w:pPr>
        <w:tabs>
          <w:tab w:val="left" w:pos="5370"/>
        </w:tabs>
        <w:spacing w:before="120" w:after="0" w:line="240" w:lineRule="auto"/>
        <w:ind w:firstLine="709"/>
        <w:jc w:val="both"/>
        <w:rPr>
          <w:rFonts w:ascii="Times New Roman" w:eastAsia="Arial" w:hAnsi="Times New Roman" w:cs="Times New Roman"/>
          <w:sz w:val="24"/>
          <w:szCs w:val="24"/>
        </w:rPr>
      </w:pPr>
      <w:r w:rsidRPr="00E531F7">
        <w:rPr>
          <w:rFonts w:ascii="Times New Roman" w:eastAsia="Arial" w:hAnsi="Times New Roman" w:cs="Times New Roman"/>
          <w:sz w:val="24"/>
          <w:szCs w:val="24"/>
        </w:rPr>
        <w:t>Yıllık verilerin kısa dönemli olarak kullanılmasına bağlı olarak maksimum gecikme uzunluğu 4 üzerinden Likelihood Ratio (LR), Final Prediction Error (FPE), Akaike (AIC), Schwarz (SC) ve Hannan Quinn (HQ) kritik değerlerini minimum yapan gecikme uzunluğu saptanmaya</w:t>
      </w:r>
      <w:r w:rsidR="00AB13CC" w:rsidRPr="00E531F7">
        <w:rPr>
          <w:rFonts w:ascii="Times New Roman" w:eastAsia="Arial" w:hAnsi="Times New Roman" w:cs="Times New Roman"/>
          <w:sz w:val="24"/>
          <w:szCs w:val="24"/>
        </w:rPr>
        <w:t xml:space="preserve"> çalışılmıştır. Bu tabloya göre,</w:t>
      </w:r>
      <w:r w:rsidRPr="00E531F7">
        <w:rPr>
          <w:rFonts w:ascii="Times New Roman" w:eastAsia="Arial" w:hAnsi="Times New Roman" w:cs="Times New Roman"/>
          <w:sz w:val="24"/>
          <w:szCs w:val="24"/>
        </w:rPr>
        <w:t xml:space="preserve"> VAR modelinin uygun gecikme uzunluğunun 2 olduğuna karar verilmiştir. </w:t>
      </w:r>
    </w:p>
    <w:p w:rsidR="00AB13CC" w:rsidRPr="00C341CB" w:rsidRDefault="00D7056A" w:rsidP="00C341CB">
      <w:pPr>
        <w:tabs>
          <w:tab w:val="left" w:pos="5370"/>
        </w:tabs>
        <w:spacing w:before="120" w:after="0" w:line="240" w:lineRule="auto"/>
        <w:ind w:firstLine="709"/>
        <w:jc w:val="both"/>
        <w:rPr>
          <w:rFonts w:ascii="Times New Roman" w:eastAsia="Arial" w:hAnsi="Times New Roman" w:cs="Times New Roman"/>
          <w:sz w:val="24"/>
          <w:szCs w:val="24"/>
        </w:rPr>
      </w:pPr>
      <w:r w:rsidRPr="00E531F7">
        <w:rPr>
          <w:rFonts w:ascii="Times New Roman" w:eastAsia="Arial" w:hAnsi="Times New Roman" w:cs="Times New Roman"/>
          <w:sz w:val="24"/>
          <w:szCs w:val="24"/>
        </w:rPr>
        <w:t>Çalışmamızdaki</w:t>
      </w:r>
      <w:r w:rsidR="00814EC5" w:rsidRPr="00E531F7">
        <w:rPr>
          <w:rFonts w:ascii="Times New Roman" w:eastAsia="Arial" w:hAnsi="Times New Roman" w:cs="Times New Roman"/>
          <w:sz w:val="24"/>
          <w:szCs w:val="24"/>
        </w:rPr>
        <w:t xml:space="preserve"> modelde, değişken sayısının azlığı ve değişkenler arası karşılıklı ilişkinin varlığından dolayı, VAR modeli en uygun analiz yöntemi olarak karşımıza çıkmaktadır. Böylelikle bağımlı değişkenlerin gecikmeli değerler alıyor olması, geleceğe yönelik tahminlerin daha tutarlı yapılamasın</w:t>
      </w:r>
      <w:r w:rsidR="007A010C">
        <w:rPr>
          <w:rFonts w:ascii="Times New Roman" w:eastAsia="Arial" w:hAnsi="Times New Roman" w:cs="Times New Roman"/>
          <w:sz w:val="24"/>
          <w:szCs w:val="24"/>
        </w:rPr>
        <w:t>ı da mümkün kılacaktır (Bozkurt 2002</w:t>
      </w:r>
      <w:r w:rsidR="00814EC5" w:rsidRPr="00E531F7">
        <w:rPr>
          <w:rFonts w:ascii="Times New Roman" w:eastAsia="Arial" w:hAnsi="Times New Roman" w:cs="Times New Roman"/>
          <w:sz w:val="24"/>
          <w:szCs w:val="24"/>
        </w:rPr>
        <w:t>). VAR modeli tanı testleri olarak literatürde yer edinen otokorelasyon ve değişen varyans testleri varsayımları altında, verilerin tes</w:t>
      </w:r>
      <w:r w:rsidR="00091EA3" w:rsidRPr="00E531F7">
        <w:rPr>
          <w:rFonts w:ascii="Times New Roman" w:eastAsia="Arial" w:hAnsi="Times New Roman" w:cs="Times New Roman"/>
          <w:sz w:val="24"/>
          <w:szCs w:val="24"/>
        </w:rPr>
        <w:t>t sonuçları aşağıda verilmiştir.</w:t>
      </w:r>
      <w:bookmarkStart w:id="15" w:name="_Toc105838097"/>
      <w:r w:rsidR="00814EC5" w:rsidRPr="00814EC5">
        <w:rPr>
          <w:rFonts w:ascii="Times New Roman" w:eastAsia="Calibri" w:hAnsi="Times New Roman" w:cs="Times New Roman"/>
          <w:b/>
          <w:sz w:val="20"/>
          <w:szCs w:val="20"/>
        </w:rPr>
        <w:tab/>
      </w:r>
      <w:bookmarkStart w:id="16" w:name="_Toc106201241"/>
    </w:p>
    <w:p w:rsidR="00814EC5" w:rsidRPr="00C341CB" w:rsidRDefault="00091EA3" w:rsidP="00C341CB">
      <w:pPr>
        <w:tabs>
          <w:tab w:val="left" w:pos="1008"/>
          <w:tab w:val="center" w:pos="4322"/>
        </w:tabs>
        <w:spacing w:before="120" w:after="0" w:line="240" w:lineRule="auto"/>
        <w:jc w:val="center"/>
        <w:rPr>
          <w:rFonts w:ascii="Times New Roman" w:eastAsia="Calibri" w:hAnsi="Times New Roman" w:cs="Times New Roman"/>
          <w:b/>
          <w:sz w:val="24"/>
          <w:szCs w:val="24"/>
        </w:rPr>
      </w:pPr>
      <w:r w:rsidRPr="00C341CB">
        <w:rPr>
          <w:rFonts w:ascii="Times New Roman" w:eastAsia="Calibri" w:hAnsi="Times New Roman" w:cs="Times New Roman"/>
          <w:b/>
          <w:sz w:val="24"/>
          <w:szCs w:val="24"/>
        </w:rPr>
        <w:t>Tablo 6</w:t>
      </w:r>
      <w:r w:rsidR="00814EC5" w:rsidRPr="00C341CB">
        <w:rPr>
          <w:rFonts w:ascii="Times New Roman" w:eastAsia="Calibri" w:hAnsi="Times New Roman" w:cs="Times New Roman"/>
          <w:b/>
          <w:sz w:val="24"/>
          <w:szCs w:val="24"/>
        </w:rPr>
        <w:t>. VAR(2) Modeline Ait Otokorelasyon Testi</w:t>
      </w:r>
      <w:bookmarkEnd w:id="15"/>
      <w:bookmarkEnd w:id="16"/>
    </w:p>
    <w:tbl>
      <w:tblPr>
        <w:tblW w:w="5000" w:type="pct"/>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3"/>
        <w:gridCol w:w="1617"/>
        <w:gridCol w:w="952"/>
        <w:gridCol w:w="1065"/>
        <w:gridCol w:w="1664"/>
        <w:gridCol w:w="1785"/>
        <w:gridCol w:w="1064"/>
      </w:tblGrid>
      <w:tr w:rsidR="00814EC5" w:rsidRPr="00814EC5" w:rsidTr="00814EC5">
        <w:trPr>
          <w:trHeight w:val="225"/>
        </w:trPr>
        <w:tc>
          <w:tcPr>
            <w:tcW w:w="5000" w:type="pct"/>
            <w:gridSpan w:val="7"/>
            <w:vAlign w:val="center"/>
          </w:tcPr>
          <w:p w:rsidR="00814EC5" w:rsidRPr="00C341CB" w:rsidRDefault="00AB13CC"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Temel Hipotez</w:t>
            </w:r>
            <w:r w:rsidR="00814EC5" w:rsidRPr="00C341CB">
              <w:rPr>
                <w:rFonts w:ascii="Times New Roman" w:eastAsia="Calibri" w:hAnsi="Times New Roman" w:cs="Times New Roman"/>
                <w:b/>
              </w:rPr>
              <w:t>: Serisel Korelasyon Yoktur</w:t>
            </w:r>
          </w:p>
        </w:tc>
      </w:tr>
      <w:tr w:rsidR="00814EC5" w:rsidRPr="00814EC5" w:rsidTr="00AB13CC">
        <w:trPr>
          <w:trHeight w:val="225"/>
        </w:trPr>
        <w:tc>
          <w:tcPr>
            <w:tcW w:w="381" w:type="pct"/>
            <w:tcBorders>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Gecikme Uzunluğu</w:t>
            </w:r>
          </w:p>
        </w:tc>
        <w:tc>
          <w:tcPr>
            <w:tcW w:w="969" w:type="pct"/>
            <w:tcBorders>
              <w:left w:val="single" w:sz="4" w:space="0" w:color="FFFFFF" w:themeColor="background1"/>
              <w:right w:val="single" w:sz="4" w:space="0" w:color="FFFFFF" w:themeColor="background1"/>
            </w:tcBorders>
            <w:vAlign w:val="center"/>
          </w:tcPr>
          <w:p w:rsidR="00814EC5" w:rsidRPr="00C341CB" w:rsidRDefault="00154A4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LRE</w:t>
            </w:r>
            <w:r w:rsidR="00814EC5" w:rsidRPr="00C341CB">
              <w:rPr>
                <w:rFonts w:ascii="Times New Roman" w:eastAsia="Calibri" w:hAnsi="Times New Roman" w:cs="Times New Roman"/>
                <w:b/>
              </w:rPr>
              <w:t xml:space="preserve"> İstatistiği</w:t>
            </w:r>
          </w:p>
        </w:tc>
        <w:tc>
          <w:tcPr>
            <w:tcW w:w="264" w:type="pct"/>
            <w:tcBorders>
              <w:left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Serbestlik Derecesi</w:t>
            </w:r>
          </w:p>
        </w:tc>
        <w:tc>
          <w:tcPr>
            <w:tcW w:w="665" w:type="pct"/>
            <w:tcBorders>
              <w:left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Olasılık</w:t>
            </w:r>
          </w:p>
        </w:tc>
        <w:tc>
          <w:tcPr>
            <w:tcW w:w="995" w:type="pct"/>
            <w:tcBorders>
              <w:left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Rao F İstatsitiği</w:t>
            </w:r>
          </w:p>
        </w:tc>
        <w:tc>
          <w:tcPr>
            <w:tcW w:w="1062" w:type="pct"/>
            <w:tcBorders>
              <w:left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Serbestlik Derecesi</w:t>
            </w:r>
          </w:p>
        </w:tc>
        <w:tc>
          <w:tcPr>
            <w:tcW w:w="665" w:type="pct"/>
            <w:tcBorders>
              <w:lef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Olasılık Değeri</w:t>
            </w:r>
          </w:p>
        </w:tc>
      </w:tr>
      <w:tr w:rsidR="00814EC5" w:rsidRPr="00814EC5" w:rsidTr="00AB13CC">
        <w:trPr>
          <w:trHeight w:val="225"/>
        </w:trPr>
        <w:tc>
          <w:tcPr>
            <w:tcW w:w="381" w:type="pct"/>
            <w:tcBorders>
              <w:bottom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1</w:t>
            </w:r>
          </w:p>
        </w:tc>
        <w:tc>
          <w:tcPr>
            <w:tcW w:w="969" w:type="pct"/>
            <w:tcBorders>
              <w:left w:val="single" w:sz="4" w:space="0" w:color="FFFFFF" w:themeColor="background1"/>
              <w:bottom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130.6380</w:t>
            </w:r>
          </w:p>
        </w:tc>
        <w:tc>
          <w:tcPr>
            <w:tcW w:w="264" w:type="pct"/>
            <w:tcBorders>
              <w:left w:val="single" w:sz="4" w:space="0" w:color="FFFFFF" w:themeColor="background1"/>
              <w:bottom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9</w:t>
            </w:r>
          </w:p>
        </w:tc>
        <w:tc>
          <w:tcPr>
            <w:tcW w:w="665" w:type="pct"/>
            <w:tcBorders>
              <w:left w:val="single" w:sz="4" w:space="0" w:color="FFFFFF" w:themeColor="background1"/>
              <w:bottom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Cs/>
              </w:rPr>
            </w:pPr>
            <w:r w:rsidRPr="00C341CB">
              <w:rPr>
                <w:rFonts w:ascii="Times New Roman" w:eastAsia="Calibri" w:hAnsi="Times New Roman" w:cs="Times New Roman"/>
                <w:bCs/>
              </w:rPr>
              <w:t>0.2514</w:t>
            </w:r>
          </w:p>
        </w:tc>
        <w:tc>
          <w:tcPr>
            <w:tcW w:w="995" w:type="pct"/>
            <w:tcBorders>
              <w:left w:val="single" w:sz="4" w:space="0" w:color="FFFFFF" w:themeColor="background1"/>
              <w:bottom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14.82590</w:t>
            </w:r>
          </w:p>
        </w:tc>
        <w:tc>
          <w:tcPr>
            <w:tcW w:w="1062" w:type="pct"/>
            <w:tcBorders>
              <w:left w:val="single" w:sz="4" w:space="0" w:color="FFFFFF" w:themeColor="background1"/>
              <w:bottom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(9, 2927,9)</w:t>
            </w:r>
          </w:p>
        </w:tc>
        <w:tc>
          <w:tcPr>
            <w:tcW w:w="665" w:type="pct"/>
            <w:tcBorders>
              <w:left w:val="single" w:sz="4" w:space="0" w:color="FFFFFF" w:themeColor="background1"/>
              <w:bottom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Cs/>
              </w:rPr>
            </w:pPr>
            <w:r w:rsidRPr="00C341CB">
              <w:rPr>
                <w:rFonts w:ascii="Times New Roman" w:eastAsia="Calibri" w:hAnsi="Times New Roman" w:cs="Times New Roman"/>
                <w:bCs/>
              </w:rPr>
              <w:t>0.5890</w:t>
            </w:r>
          </w:p>
        </w:tc>
      </w:tr>
      <w:tr w:rsidR="00814EC5" w:rsidRPr="00814EC5" w:rsidTr="00AB13CC">
        <w:trPr>
          <w:trHeight w:val="225"/>
        </w:trPr>
        <w:tc>
          <w:tcPr>
            <w:tcW w:w="381" w:type="pct"/>
            <w:tcBorders>
              <w:top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2</w:t>
            </w:r>
          </w:p>
        </w:tc>
        <w:tc>
          <w:tcPr>
            <w:tcW w:w="969" w:type="pct"/>
            <w:tcBorders>
              <w:top w:val="single" w:sz="4" w:space="0" w:color="FFFFFF" w:themeColor="background1"/>
              <w:left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95.74448</w:t>
            </w:r>
          </w:p>
        </w:tc>
        <w:tc>
          <w:tcPr>
            <w:tcW w:w="264" w:type="pct"/>
            <w:tcBorders>
              <w:top w:val="single" w:sz="4" w:space="0" w:color="FFFFFF" w:themeColor="background1"/>
              <w:left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9</w:t>
            </w:r>
          </w:p>
        </w:tc>
        <w:tc>
          <w:tcPr>
            <w:tcW w:w="665" w:type="pct"/>
            <w:tcBorders>
              <w:top w:val="single" w:sz="4" w:space="0" w:color="FFFFFF" w:themeColor="background1"/>
              <w:left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Cs/>
              </w:rPr>
            </w:pPr>
            <w:r w:rsidRPr="00C341CB">
              <w:rPr>
                <w:rFonts w:ascii="Times New Roman" w:eastAsia="Calibri" w:hAnsi="Times New Roman" w:cs="Times New Roman"/>
                <w:bCs/>
              </w:rPr>
              <w:t>0.2258</w:t>
            </w:r>
          </w:p>
        </w:tc>
        <w:tc>
          <w:tcPr>
            <w:tcW w:w="995" w:type="pct"/>
            <w:tcBorders>
              <w:top w:val="single" w:sz="4" w:space="0" w:color="FFFFFF" w:themeColor="background1"/>
              <w:left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10.80100</w:t>
            </w:r>
          </w:p>
        </w:tc>
        <w:tc>
          <w:tcPr>
            <w:tcW w:w="1062" w:type="pct"/>
            <w:tcBorders>
              <w:top w:val="single" w:sz="4" w:space="0" w:color="FFFFFF" w:themeColor="background1"/>
              <w:left w:val="single" w:sz="4" w:space="0" w:color="FFFFFF" w:themeColor="background1"/>
              <w:righ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(9, 2927,9)</w:t>
            </w:r>
          </w:p>
        </w:tc>
        <w:tc>
          <w:tcPr>
            <w:tcW w:w="665" w:type="pct"/>
            <w:tcBorders>
              <w:top w:val="single" w:sz="4" w:space="0" w:color="FFFFFF" w:themeColor="background1"/>
              <w:left w:val="single" w:sz="4" w:space="0" w:color="FFFFFF" w:themeColor="background1"/>
            </w:tcBorders>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Cs/>
              </w:rPr>
            </w:pPr>
            <w:r w:rsidRPr="00C341CB">
              <w:rPr>
                <w:rFonts w:ascii="Times New Roman" w:eastAsia="Calibri" w:hAnsi="Times New Roman" w:cs="Times New Roman"/>
                <w:bCs/>
              </w:rPr>
              <w:t>0.3178</w:t>
            </w:r>
          </w:p>
        </w:tc>
      </w:tr>
    </w:tbl>
    <w:p w:rsidR="00814EC5" w:rsidRPr="00C341CB" w:rsidRDefault="00814EC5" w:rsidP="00C341CB">
      <w:pPr>
        <w:tabs>
          <w:tab w:val="left" w:pos="5370"/>
        </w:tabs>
        <w:spacing w:before="120" w:after="0" w:line="240" w:lineRule="auto"/>
        <w:ind w:firstLine="709"/>
        <w:jc w:val="both"/>
        <w:rPr>
          <w:rFonts w:ascii="Times New Roman" w:eastAsia="Arial" w:hAnsi="Times New Roman" w:cs="Times New Roman"/>
          <w:sz w:val="24"/>
          <w:szCs w:val="24"/>
        </w:rPr>
      </w:pPr>
      <w:r w:rsidRPr="00C341CB">
        <w:rPr>
          <w:rFonts w:ascii="Times New Roman" w:eastAsia="Arial" w:hAnsi="Times New Roman" w:cs="Times New Roman"/>
          <w:sz w:val="24"/>
          <w:szCs w:val="24"/>
        </w:rPr>
        <w:t xml:space="preserve">Katsayıların stabilitiesi ve hata terimlerinin serisel korelasyon (otokorelasyon) gösterip göstermediğinin değerlendirilmesine bakıldığında, olasılık değerleri 0.05’ten büyük olduğu için </w:t>
      </w:r>
      <w:r w:rsidRPr="00C341CB">
        <w:rPr>
          <w:rFonts w:ascii="Times New Roman" w:eastAsia="Arial" w:hAnsi="Times New Roman" w:cs="Times New Roman"/>
          <w:sz w:val="24"/>
          <w:szCs w:val="24"/>
        </w:rPr>
        <w:lastRenderedPageBreak/>
        <w:t xml:space="preserve">VAR(2) modelinde otokorelasyon yoktur sonucuna varılmıştır. VAR(2) modeline ait değişen varyans testi sonuçları aşağıdaki tabloda gösterilmiştir. </w:t>
      </w:r>
    </w:p>
    <w:p w:rsidR="00814EC5" w:rsidRPr="00C341CB" w:rsidRDefault="00091EA3" w:rsidP="00C341CB">
      <w:pPr>
        <w:spacing w:before="240" w:after="0" w:line="240" w:lineRule="auto"/>
        <w:jc w:val="center"/>
        <w:rPr>
          <w:rFonts w:ascii="Times New Roman" w:eastAsia="Calibri" w:hAnsi="Times New Roman" w:cs="Times New Roman"/>
          <w:b/>
          <w:sz w:val="24"/>
          <w:szCs w:val="24"/>
        </w:rPr>
      </w:pPr>
      <w:bookmarkStart w:id="17" w:name="_Toc105838098"/>
      <w:bookmarkStart w:id="18" w:name="_Toc106201242"/>
      <w:r w:rsidRPr="00C341CB">
        <w:rPr>
          <w:rFonts w:ascii="Times New Roman" w:eastAsia="Calibri" w:hAnsi="Times New Roman" w:cs="Times New Roman"/>
          <w:b/>
          <w:sz w:val="24"/>
          <w:szCs w:val="24"/>
        </w:rPr>
        <w:t>Tablo 7</w:t>
      </w:r>
      <w:r w:rsidR="00814EC5" w:rsidRPr="00C341CB">
        <w:rPr>
          <w:rFonts w:ascii="Times New Roman" w:eastAsia="Calibri" w:hAnsi="Times New Roman" w:cs="Times New Roman"/>
          <w:b/>
          <w:sz w:val="24"/>
          <w:szCs w:val="24"/>
        </w:rPr>
        <w:t>. VAR(2) Modeline Ait Değişen Varyans Testi</w:t>
      </w:r>
      <w:bookmarkEnd w:id="17"/>
      <w:bookmarkEnd w:id="18"/>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3828"/>
        <w:gridCol w:w="2026"/>
        <w:gridCol w:w="3216"/>
      </w:tblGrid>
      <w:tr w:rsidR="00AB13CC" w:rsidRPr="00814EC5" w:rsidTr="00AB13CC">
        <w:trPr>
          <w:trHeight w:val="113"/>
        </w:trPr>
        <w:tc>
          <w:tcPr>
            <w:tcW w:w="5000" w:type="pct"/>
            <w:gridSpan w:val="3"/>
            <w:shd w:val="clear" w:color="auto" w:fill="auto"/>
            <w:vAlign w:val="center"/>
          </w:tcPr>
          <w:p w:rsidR="00AB13CC" w:rsidRPr="00C341CB" w:rsidRDefault="00AB13CC"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Temel Hipotez: Değişen Varyans Yoktur</w:t>
            </w:r>
          </w:p>
        </w:tc>
      </w:tr>
      <w:tr w:rsidR="00814EC5" w:rsidRPr="00814EC5" w:rsidTr="00154A45">
        <w:trPr>
          <w:trHeight w:val="113"/>
        </w:trPr>
        <w:tc>
          <w:tcPr>
            <w:tcW w:w="2110" w:type="pct"/>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Ki</w:t>
            </w:r>
            <w:r w:rsidRPr="00C341CB">
              <w:rPr>
                <w:rFonts w:ascii="Times New Roman" w:eastAsia="Calibri" w:hAnsi="Times New Roman" w:cs="Times New Roman"/>
                <w:b/>
                <w:vertAlign w:val="superscript"/>
              </w:rPr>
              <w:t>2</w:t>
            </w:r>
            <w:r w:rsidRPr="00C341CB">
              <w:rPr>
                <w:rFonts w:ascii="Times New Roman" w:eastAsia="Calibri" w:hAnsi="Times New Roman" w:cs="Times New Roman"/>
                <w:b/>
              </w:rPr>
              <w:t xml:space="preserve"> İstatistiği</w:t>
            </w:r>
          </w:p>
        </w:tc>
        <w:tc>
          <w:tcPr>
            <w:tcW w:w="1117" w:type="pct"/>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Serbestlik Derecesi</w:t>
            </w:r>
          </w:p>
        </w:tc>
        <w:tc>
          <w:tcPr>
            <w:tcW w:w="1773" w:type="pct"/>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Olasılık</w:t>
            </w:r>
          </w:p>
        </w:tc>
      </w:tr>
      <w:tr w:rsidR="00814EC5" w:rsidRPr="00814EC5" w:rsidTr="00154A45">
        <w:trPr>
          <w:trHeight w:val="113"/>
        </w:trPr>
        <w:tc>
          <w:tcPr>
            <w:tcW w:w="2110" w:type="pct"/>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329.8194</w:t>
            </w:r>
          </w:p>
        </w:tc>
        <w:tc>
          <w:tcPr>
            <w:tcW w:w="1117" w:type="pct"/>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72</w:t>
            </w:r>
          </w:p>
        </w:tc>
        <w:tc>
          <w:tcPr>
            <w:tcW w:w="1773" w:type="pct"/>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Cs/>
              </w:rPr>
            </w:pPr>
            <w:r w:rsidRPr="00C341CB">
              <w:rPr>
                <w:rFonts w:ascii="Times New Roman" w:eastAsia="Calibri" w:hAnsi="Times New Roman" w:cs="Times New Roman"/>
                <w:bCs/>
              </w:rPr>
              <w:t>0.2804</w:t>
            </w:r>
          </w:p>
        </w:tc>
      </w:tr>
    </w:tbl>
    <w:p w:rsidR="00814EC5" w:rsidRPr="00814EC5" w:rsidRDefault="00814EC5" w:rsidP="00E036A9">
      <w:pPr>
        <w:tabs>
          <w:tab w:val="left" w:pos="5370"/>
        </w:tabs>
        <w:spacing w:after="0" w:line="240" w:lineRule="auto"/>
        <w:ind w:firstLine="567"/>
        <w:contextualSpacing/>
        <w:jc w:val="both"/>
        <w:rPr>
          <w:rFonts w:ascii="Times New Roman" w:eastAsia="Arial" w:hAnsi="Times New Roman" w:cs="Times New Roman"/>
        </w:rPr>
      </w:pPr>
    </w:p>
    <w:p w:rsidR="00814EC5" w:rsidRPr="00C341CB" w:rsidRDefault="00814EC5" w:rsidP="00C341CB">
      <w:pPr>
        <w:tabs>
          <w:tab w:val="left" w:pos="5370"/>
        </w:tabs>
        <w:spacing w:before="120" w:after="0" w:line="240" w:lineRule="auto"/>
        <w:ind w:firstLine="567"/>
        <w:contextualSpacing/>
        <w:jc w:val="both"/>
        <w:rPr>
          <w:rFonts w:ascii="Times New Roman" w:eastAsia="Arial" w:hAnsi="Times New Roman" w:cs="Times New Roman"/>
          <w:sz w:val="24"/>
          <w:szCs w:val="24"/>
        </w:rPr>
      </w:pPr>
      <w:r w:rsidRPr="00C341CB">
        <w:rPr>
          <w:rFonts w:ascii="Times New Roman" w:eastAsia="Arial" w:hAnsi="Times New Roman" w:cs="Times New Roman"/>
          <w:sz w:val="24"/>
          <w:szCs w:val="24"/>
        </w:rPr>
        <w:t>Değişen varyans testi sonuçları değerlendirildiğinde, tablodaki Ki</w:t>
      </w:r>
      <w:r w:rsidRPr="00C341CB">
        <w:rPr>
          <w:rFonts w:ascii="Times New Roman" w:eastAsia="Arial" w:hAnsi="Times New Roman" w:cs="Times New Roman"/>
          <w:sz w:val="24"/>
          <w:szCs w:val="24"/>
          <w:vertAlign w:val="superscript"/>
        </w:rPr>
        <w:t>2</w:t>
      </w:r>
      <w:r w:rsidRPr="00C341CB">
        <w:rPr>
          <w:rFonts w:ascii="Times New Roman" w:eastAsia="Arial" w:hAnsi="Times New Roman" w:cs="Times New Roman"/>
          <w:sz w:val="24"/>
          <w:szCs w:val="24"/>
        </w:rPr>
        <w:t xml:space="preserve"> olasılık değerleri 0.05’ten büyük olduğu için VAR(2) modelinde değişen varyans yoktur sonucuna varılmıştır. Kısacası değişen varyans sorunu bulunmamıştır. Bu doğrultuda yapılan panel Granger nedensellik testi sonuçları, aşağıdaki tabloda gösterilmiştir. </w:t>
      </w:r>
    </w:p>
    <w:p w:rsidR="00814EC5" w:rsidRPr="00C341CB" w:rsidRDefault="00091EA3" w:rsidP="00C341CB">
      <w:pPr>
        <w:spacing w:before="240" w:after="0" w:line="240" w:lineRule="auto"/>
        <w:jc w:val="center"/>
        <w:rPr>
          <w:rFonts w:ascii="Times New Roman" w:eastAsia="Calibri" w:hAnsi="Times New Roman" w:cs="Times New Roman"/>
          <w:b/>
          <w:sz w:val="24"/>
          <w:szCs w:val="24"/>
        </w:rPr>
      </w:pPr>
      <w:bookmarkStart w:id="19" w:name="_Toc105838099"/>
      <w:bookmarkStart w:id="20" w:name="_Toc106201243"/>
      <w:r w:rsidRPr="00C341CB">
        <w:rPr>
          <w:rFonts w:ascii="Times New Roman" w:eastAsia="Calibri" w:hAnsi="Times New Roman" w:cs="Times New Roman"/>
          <w:b/>
          <w:sz w:val="24"/>
          <w:szCs w:val="24"/>
        </w:rPr>
        <w:t>Tablo 8</w:t>
      </w:r>
      <w:r w:rsidR="00814EC5" w:rsidRPr="00C341CB">
        <w:rPr>
          <w:rFonts w:ascii="Times New Roman" w:eastAsia="Calibri" w:hAnsi="Times New Roman" w:cs="Times New Roman"/>
          <w:b/>
          <w:sz w:val="24"/>
          <w:szCs w:val="24"/>
        </w:rPr>
        <w:t xml:space="preserve">. </w:t>
      </w:r>
      <w:r w:rsidR="00154A45" w:rsidRPr="00C341CB">
        <w:rPr>
          <w:rFonts w:ascii="Times New Roman" w:eastAsia="Calibri" w:hAnsi="Times New Roman" w:cs="Times New Roman"/>
          <w:b/>
          <w:sz w:val="24"/>
          <w:szCs w:val="24"/>
        </w:rPr>
        <w:t xml:space="preserve">Panel </w:t>
      </w:r>
      <w:r w:rsidR="00814EC5" w:rsidRPr="00C341CB">
        <w:rPr>
          <w:rFonts w:ascii="Times New Roman" w:eastAsia="Calibri" w:hAnsi="Times New Roman" w:cs="Times New Roman"/>
          <w:b/>
          <w:sz w:val="24"/>
          <w:szCs w:val="24"/>
        </w:rPr>
        <w:t xml:space="preserve">Granger (1969) Nedensellik </w:t>
      </w:r>
      <w:bookmarkEnd w:id="19"/>
      <w:bookmarkEnd w:id="20"/>
      <w:r w:rsidR="00814EC5" w:rsidRPr="00C341CB">
        <w:rPr>
          <w:rFonts w:ascii="Times New Roman" w:eastAsia="Calibri" w:hAnsi="Times New Roman" w:cs="Times New Roman"/>
          <w:b/>
          <w:sz w:val="24"/>
          <w:szCs w:val="24"/>
        </w:rPr>
        <w:t>Testi Sonuçları</w:t>
      </w:r>
    </w:p>
    <w:tbl>
      <w:tblPr>
        <w:tblW w:w="5000" w:type="pct"/>
        <w:tblBorders>
          <w:top w:val="single" w:sz="4" w:space="0" w:color="auto"/>
          <w:bottom w:val="single" w:sz="4" w:space="0" w:color="auto"/>
          <w:insideH w:val="single" w:sz="4" w:space="0" w:color="auto"/>
        </w:tblBorders>
        <w:tblLook w:val="0000" w:firstRow="0" w:lastRow="0" w:firstColumn="0" w:lastColumn="0" w:noHBand="0" w:noVBand="0"/>
      </w:tblPr>
      <w:tblGrid>
        <w:gridCol w:w="5634"/>
        <w:gridCol w:w="937"/>
        <w:gridCol w:w="1511"/>
        <w:gridCol w:w="978"/>
      </w:tblGrid>
      <w:tr w:rsidR="00814EC5" w:rsidRPr="00814EC5" w:rsidTr="00940C52">
        <w:trPr>
          <w:trHeight w:val="225"/>
        </w:trPr>
        <w:tc>
          <w:tcPr>
            <w:tcW w:w="3116" w:type="pct"/>
            <w:tcBorders>
              <w:left w:val="single" w:sz="4" w:space="0" w:color="FFFFFF"/>
              <w:right w:val="single" w:sz="4" w:space="0" w:color="FFFFFF"/>
            </w:tcBorders>
            <w:shd w:val="clear" w:color="auto" w:fill="auto"/>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Temel Hipotezler:</w:t>
            </w:r>
          </w:p>
        </w:tc>
        <w:tc>
          <w:tcPr>
            <w:tcW w:w="498" w:type="pct"/>
            <w:tcBorders>
              <w:left w:val="single" w:sz="4" w:space="0" w:color="FFFFFF"/>
              <w:right w:val="single" w:sz="4" w:space="0" w:color="FFFFFF"/>
            </w:tcBorders>
            <w:shd w:val="clear" w:color="auto" w:fill="auto"/>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Gözlem</w:t>
            </w:r>
          </w:p>
        </w:tc>
        <w:tc>
          <w:tcPr>
            <w:tcW w:w="840" w:type="pct"/>
            <w:tcBorders>
              <w:left w:val="single" w:sz="4" w:space="0" w:color="FFFFFF"/>
              <w:right w:val="single" w:sz="4" w:space="0" w:color="FFFFFF"/>
            </w:tcBorders>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b/>
              </w:rPr>
            </w:pPr>
            <w:r w:rsidRPr="00C341CB">
              <w:rPr>
                <w:rFonts w:ascii="Times New Roman" w:eastAsia="Calibri" w:hAnsi="Times New Roman" w:cs="Times New Roman"/>
                <w:b/>
              </w:rPr>
              <w:t>F-Statistic</w:t>
            </w:r>
          </w:p>
        </w:tc>
        <w:tc>
          <w:tcPr>
            <w:tcW w:w="546" w:type="pct"/>
            <w:tcBorders>
              <w:left w:val="single" w:sz="4" w:space="0" w:color="FFFFFF"/>
              <w:right w:val="single" w:sz="4" w:space="0" w:color="FFFFFF"/>
            </w:tcBorders>
            <w:shd w:val="clear" w:color="auto" w:fill="auto"/>
            <w:vAlign w:val="center"/>
          </w:tcPr>
          <w:p w:rsidR="00814EC5" w:rsidRPr="00C341CB" w:rsidRDefault="00814EC5" w:rsidP="00C341CB">
            <w:pPr>
              <w:autoSpaceDE w:val="0"/>
              <w:autoSpaceDN w:val="0"/>
              <w:adjustRightInd w:val="0"/>
              <w:spacing w:after="0" w:line="240" w:lineRule="auto"/>
              <w:ind w:right="10"/>
              <w:jc w:val="center"/>
              <w:rPr>
                <w:rFonts w:ascii="Times New Roman" w:eastAsia="Calibri" w:hAnsi="Times New Roman" w:cs="Times New Roman"/>
                <w:b/>
              </w:rPr>
            </w:pPr>
            <w:r w:rsidRPr="00C341CB">
              <w:rPr>
                <w:rFonts w:ascii="Times New Roman" w:eastAsia="Calibri" w:hAnsi="Times New Roman" w:cs="Times New Roman"/>
                <w:b/>
              </w:rPr>
              <w:t>Olasılık</w:t>
            </w:r>
          </w:p>
        </w:tc>
      </w:tr>
      <w:tr w:rsidR="00814EC5" w:rsidRPr="00814EC5" w:rsidTr="00940C52">
        <w:trPr>
          <w:trHeight w:val="225"/>
        </w:trPr>
        <w:tc>
          <w:tcPr>
            <w:tcW w:w="3116" w:type="pct"/>
            <w:tcBorders>
              <w:left w:val="single" w:sz="4" w:space="0" w:color="FFFFFF"/>
              <w:bottom w:val="single" w:sz="4" w:space="0" w:color="FFFFFF" w:themeColor="background1"/>
              <w:right w:val="single" w:sz="4" w:space="0" w:color="FFFFFF"/>
            </w:tcBorders>
            <w:shd w:val="clear" w:color="auto" w:fill="auto"/>
          </w:tcPr>
          <w:p w:rsidR="00814EC5" w:rsidRPr="00C341CB" w:rsidRDefault="00814EC5" w:rsidP="00C341CB">
            <w:pPr>
              <w:autoSpaceDE w:val="0"/>
              <w:autoSpaceDN w:val="0"/>
              <w:adjustRightInd w:val="0"/>
              <w:spacing w:after="0" w:line="240" w:lineRule="auto"/>
              <w:rPr>
                <w:rFonts w:ascii="Times New Roman" w:eastAsia="Calibri" w:hAnsi="Times New Roman" w:cs="Times New Roman"/>
              </w:rPr>
            </w:pPr>
            <w:r w:rsidRPr="00C341CB">
              <w:rPr>
                <w:rFonts w:ascii="Times New Roman" w:eastAsia="Calibri" w:hAnsi="Times New Roman" w:cs="Times New Roman"/>
              </w:rPr>
              <w:t>LNSH ≠</w:t>
            </w:r>
            <w:r w:rsidRPr="00C341CB">
              <w:rPr>
                <w:rFonts w:ascii="Cambria Math" w:eastAsia="Calibri" w:hAnsi="Cambria Math" w:cs="Cambria Math"/>
              </w:rPr>
              <w:t>〉</w:t>
            </w:r>
            <w:r w:rsidRPr="00C341CB">
              <w:rPr>
                <w:rFonts w:ascii="Times New Roman" w:eastAsia="Calibri" w:hAnsi="Times New Roman" w:cs="Times New Roman"/>
              </w:rPr>
              <w:t xml:space="preserve"> LNKBGSYH</w:t>
            </w:r>
          </w:p>
        </w:tc>
        <w:tc>
          <w:tcPr>
            <w:tcW w:w="498" w:type="pct"/>
            <w:tcBorders>
              <w:left w:val="single" w:sz="4" w:space="0" w:color="FFFFFF"/>
              <w:bottom w:val="single" w:sz="4" w:space="0" w:color="FFFFFF" w:themeColor="background1"/>
              <w:right w:val="single" w:sz="4" w:space="0" w:color="FFFFFF"/>
            </w:tcBorders>
            <w:shd w:val="clear" w:color="auto" w:fill="auto"/>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1215</w:t>
            </w:r>
          </w:p>
        </w:tc>
        <w:tc>
          <w:tcPr>
            <w:tcW w:w="840" w:type="pct"/>
            <w:tcBorders>
              <w:left w:val="single" w:sz="4" w:space="0" w:color="FFFFFF"/>
              <w:bottom w:val="single" w:sz="4" w:space="0" w:color="FFFFFF" w:themeColor="background1"/>
              <w:right w:val="single" w:sz="4" w:space="0" w:color="FFFFFF"/>
            </w:tcBorders>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16.0681</w:t>
            </w:r>
          </w:p>
        </w:tc>
        <w:tc>
          <w:tcPr>
            <w:tcW w:w="546" w:type="pct"/>
            <w:tcBorders>
              <w:left w:val="single" w:sz="4" w:space="0" w:color="FFFFFF"/>
              <w:bottom w:val="single" w:sz="4" w:space="0" w:color="FFFFFF" w:themeColor="background1"/>
              <w:right w:val="single" w:sz="4" w:space="0" w:color="FFFFFF"/>
            </w:tcBorders>
            <w:shd w:val="clear" w:color="auto" w:fill="auto"/>
            <w:vAlign w:val="center"/>
          </w:tcPr>
          <w:p w:rsidR="00814EC5" w:rsidRPr="00C341CB" w:rsidRDefault="00814EC5" w:rsidP="00C341CB">
            <w:pPr>
              <w:autoSpaceDE w:val="0"/>
              <w:autoSpaceDN w:val="0"/>
              <w:adjustRightInd w:val="0"/>
              <w:spacing w:after="0" w:line="240" w:lineRule="auto"/>
              <w:ind w:right="10"/>
              <w:jc w:val="center"/>
              <w:rPr>
                <w:rFonts w:ascii="Times New Roman" w:eastAsia="Calibri" w:hAnsi="Times New Roman" w:cs="Times New Roman"/>
              </w:rPr>
            </w:pPr>
            <w:r w:rsidRPr="00C341CB">
              <w:rPr>
                <w:rFonts w:ascii="Times New Roman" w:eastAsia="Calibri" w:hAnsi="Times New Roman" w:cs="Times New Roman"/>
              </w:rPr>
              <w:t>0.000</w:t>
            </w:r>
          </w:p>
        </w:tc>
      </w:tr>
      <w:tr w:rsidR="00814EC5" w:rsidRPr="00814EC5" w:rsidTr="00940C52">
        <w:trPr>
          <w:trHeight w:val="225"/>
        </w:trPr>
        <w:tc>
          <w:tcPr>
            <w:tcW w:w="3614" w:type="pct"/>
            <w:gridSpan w:val="2"/>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tcPr>
          <w:p w:rsidR="00814EC5" w:rsidRPr="00C341CB" w:rsidRDefault="00814EC5" w:rsidP="00C341CB">
            <w:pPr>
              <w:autoSpaceDE w:val="0"/>
              <w:autoSpaceDN w:val="0"/>
              <w:adjustRightInd w:val="0"/>
              <w:spacing w:after="0" w:line="240" w:lineRule="auto"/>
              <w:rPr>
                <w:rFonts w:ascii="Times New Roman" w:eastAsia="Calibri" w:hAnsi="Times New Roman" w:cs="Times New Roman"/>
              </w:rPr>
            </w:pPr>
            <w:r w:rsidRPr="00C341CB">
              <w:rPr>
                <w:rFonts w:ascii="Times New Roman" w:eastAsia="Calibri" w:hAnsi="Times New Roman" w:cs="Times New Roman"/>
              </w:rPr>
              <w:t>LNKBGSYH  ≠</w:t>
            </w:r>
            <w:r w:rsidRPr="00C341CB">
              <w:rPr>
                <w:rFonts w:ascii="Cambria Math" w:eastAsia="Calibri" w:hAnsi="Cambria Math" w:cs="Cambria Math"/>
              </w:rPr>
              <w:t>〉</w:t>
            </w:r>
            <w:r w:rsidRPr="00C341CB">
              <w:rPr>
                <w:rFonts w:ascii="Times New Roman" w:eastAsia="Calibri" w:hAnsi="Times New Roman" w:cs="Times New Roman"/>
              </w:rPr>
              <w:t xml:space="preserve"> LNSH</w:t>
            </w:r>
          </w:p>
        </w:tc>
        <w:tc>
          <w:tcPr>
            <w:tcW w:w="840" w:type="pct"/>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11.4484</w:t>
            </w:r>
          </w:p>
        </w:tc>
        <w:tc>
          <w:tcPr>
            <w:tcW w:w="546" w:type="pct"/>
            <w:tcBorders>
              <w:top w:val="single" w:sz="4" w:space="0" w:color="FFFFFF" w:themeColor="background1"/>
              <w:left w:val="single" w:sz="4" w:space="0" w:color="FFFFFF"/>
              <w:bottom w:val="single" w:sz="4" w:space="0" w:color="FFFFFF"/>
              <w:right w:val="single" w:sz="4" w:space="0" w:color="FFFFFF"/>
            </w:tcBorders>
            <w:shd w:val="clear" w:color="auto" w:fill="auto"/>
            <w:vAlign w:val="center"/>
          </w:tcPr>
          <w:p w:rsidR="00814EC5" w:rsidRPr="00C341CB" w:rsidRDefault="00814EC5" w:rsidP="00C341CB">
            <w:pPr>
              <w:autoSpaceDE w:val="0"/>
              <w:autoSpaceDN w:val="0"/>
              <w:adjustRightInd w:val="0"/>
              <w:spacing w:after="0" w:line="240" w:lineRule="auto"/>
              <w:ind w:right="10"/>
              <w:jc w:val="center"/>
              <w:rPr>
                <w:rFonts w:ascii="Times New Roman" w:eastAsia="Calibri" w:hAnsi="Times New Roman" w:cs="Times New Roman"/>
              </w:rPr>
            </w:pPr>
            <w:r w:rsidRPr="00C341CB">
              <w:rPr>
                <w:rFonts w:ascii="Times New Roman" w:eastAsia="Calibri" w:hAnsi="Times New Roman" w:cs="Times New Roman"/>
              </w:rPr>
              <w:t>0.000</w:t>
            </w:r>
          </w:p>
        </w:tc>
      </w:tr>
      <w:tr w:rsidR="00814EC5" w:rsidRPr="00814EC5" w:rsidTr="00940C52">
        <w:trPr>
          <w:trHeight w:val="225"/>
        </w:trPr>
        <w:tc>
          <w:tcPr>
            <w:tcW w:w="3116" w:type="pct"/>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tcPr>
          <w:p w:rsidR="00814EC5" w:rsidRPr="00C341CB" w:rsidRDefault="00814EC5" w:rsidP="00C341CB">
            <w:pPr>
              <w:autoSpaceDE w:val="0"/>
              <w:autoSpaceDN w:val="0"/>
              <w:adjustRightInd w:val="0"/>
              <w:spacing w:after="0" w:line="240" w:lineRule="auto"/>
              <w:rPr>
                <w:rFonts w:ascii="Times New Roman" w:eastAsia="Calibri" w:hAnsi="Times New Roman" w:cs="Times New Roman"/>
              </w:rPr>
            </w:pPr>
            <w:r w:rsidRPr="00C341CB">
              <w:rPr>
                <w:rFonts w:ascii="Times New Roman" w:eastAsia="Calibri" w:hAnsi="Times New Roman" w:cs="Times New Roman"/>
              </w:rPr>
              <w:t>LNEH ≠</w:t>
            </w:r>
            <w:r w:rsidRPr="00C341CB">
              <w:rPr>
                <w:rFonts w:ascii="Cambria Math" w:eastAsia="Calibri" w:hAnsi="Cambria Math" w:cs="Cambria Math"/>
              </w:rPr>
              <w:t>〉</w:t>
            </w:r>
            <w:r w:rsidRPr="00C341CB">
              <w:rPr>
                <w:rFonts w:ascii="Times New Roman" w:eastAsia="Calibri" w:hAnsi="Times New Roman" w:cs="Times New Roman"/>
              </w:rPr>
              <w:t xml:space="preserve"> LNKBGSYH</w:t>
            </w:r>
          </w:p>
        </w:tc>
        <w:tc>
          <w:tcPr>
            <w:tcW w:w="498" w:type="pct"/>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1215</w:t>
            </w:r>
          </w:p>
        </w:tc>
        <w:tc>
          <w:tcPr>
            <w:tcW w:w="840" w:type="pct"/>
            <w:tcBorders>
              <w:top w:val="single" w:sz="4" w:space="0" w:color="FFFFFF" w:themeColor="background1"/>
              <w:left w:val="single" w:sz="4" w:space="0" w:color="FFFFFF"/>
              <w:bottom w:val="single" w:sz="4" w:space="0" w:color="FFFFFF" w:themeColor="background1"/>
              <w:right w:val="single" w:sz="4" w:space="0" w:color="FFFFFF"/>
            </w:tcBorders>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9.51655</w:t>
            </w:r>
          </w:p>
        </w:tc>
        <w:tc>
          <w:tcPr>
            <w:tcW w:w="546" w:type="pct"/>
            <w:tcBorders>
              <w:top w:val="single" w:sz="4" w:space="0" w:color="FFFFFF"/>
              <w:left w:val="single" w:sz="4" w:space="0" w:color="FFFFFF"/>
              <w:bottom w:val="single" w:sz="4" w:space="0" w:color="FFFFFF"/>
              <w:right w:val="single" w:sz="4" w:space="0" w:color="FFFFFF"/>
            </w:tcBorders>
            <w:shd w:val="clear" w:color="auto" w:fill="auto"/>
            <w:vAlign w:val="center"/>
          </w:tcPr>
          <w:p w:rsidR="00814EC5" w:rsidRPr="00C341CB" w:rsidRDefault="00814EC5" w:rsidP="00C341CB">
            <w:pPr>
              <w:autoSpaceDE w:val="0"/>
              <w:autoSpaceDN w:val="0"/>
              <w:adjustRightInd w:val="0"/>
              <w:spacing w:after="0" w:line="240" w:lineRule="auto"/>
              <w:ind w:right="10"/>
              <w:jc w:val="center"/>
              <w:rPr>
                <w:rFonts w:ascii="Times New Roman" w:eastAsia="Calibri" w:hAnsi="Times New Roman" w:cs="Times New Roman"/>
              </w:rPr>
            </w:pPr>
            <w:r w:rsidRPr="00C341CB">
              <w:rPr>
                <w:rFonts w:ascii="Times New Roman" w:eastAsia="Calibri" w:hAnsi="Times New Roman" w:cs="Times New Roman"/>
              </w:rPr>
              <w:t>0.000</w:t>
            </w:r>
          </w:p>
        </w:tc>
      </w:tr>
      <w:tr w:rsidR="00814EC5" w:rsidRPr="00814EC5" w:rsidTr="00940C52">
        <w:trPr>
          <w:trHeight w:val="225"/>
        </w:trPr>
        <w:tc>
          <w:tcPr>
            <w:tcW w:w="3614" w:type="pct"/>
            <w:gridSpan w:val="2"/>
            <w:tcBorders>
              <w:top w:val="single" w:sz="4" w:space="0" w:color="FFFFFF" w:themeColor="background1"/>
              <w:left w:val="single" w:sz="4" w:space="0" w:color="FFFFFF"/>
              <w:right w:val="single" w:sz="4" w:space="0" w:color="FFFFFF"/>
            </w:tcBorders>
            <w:shd w:val="clear" w:color="auto" w:fill="auto"/>
          </w:tcPr>
          <w:p w:rsidR="00814EC5" w:rsidRPr="00C341CB" w:rsidRDefault="00814EC5" w:rsidP="00C341CB">
            <w:pPr>
              <w:autoSpaceDE w:val="0"/>
              <w:autoSpaceDN w:val="0"/>
              <w:adjustRightInd w:val="0"/>
              <w:spacing w:after="0" w:line="240" w:lineRule="auto"/>
              <w:rPr>
                <w:rFonts w:ascii="Times New Roman" w:eastAsia="Calibri" w:hAnsi="Times New Roman" w:cs="Times New Roman"/>
              </w:rPr>
            </w:pPr>
            <w:r w:rsidRPr="00C341CB">
              <w:rPr>
                <w:rFonts w:ascii="Times New Roman" w:eastAsia="Calibri" w:hAnsi="Times New Roman" w:cs="Times New Roman"/>
              </w:rPr>
              <w:t>LNKBGSYH ≠</w:t>
            </w:r>
            <w:r w:rsidRPr="00C341CB">
              <w:rPr>
                <w:rFonts w:ascii="Cambria Math" w:eastAsia="Calibri" w:hAnsi="Cambria Math" w:cs="Cambria Math"/>
              </w:rPr>
              <w:t>〉</w:t>
            </w:r>
            <w:r w:rsidRPr="00C341CB">
              <w:rPr>
                <w:rFonts w:ascii="Times New Roman" w:eastAsia="Calibri" w:hAnsi="Times New Roman" w:cs="Times New Roman"/>
              </w:rPr>
              <w:t xml:space="preserve"> LNEH</w:t>
            </w:r>
          </w:p>
        </w:tc>
        <w:tc>
          <w:tcPr>
            <w:tcW w:w="840" w:type="pct"/>
            <w:tcBorders>
              <w:top w:val="single" w:sz="4" w:space="0" w:color="FFFFFF" w:themeColor="background1"/>
              <w:left w:val="single" w:sz="4" w:space="0" w:color="FFFFFF"/>
              <w:right w:val="single" w:sz="4" w:space="0" w:color="FFFFFF"/>
            </w:tcBorders>
            <w:shd w:val="clear" w:color="auto" w:fill="auto"/>
            <w:vAlign w:val="center"/>
          </w:tcPr>
          <w:p w:rsidR="00814EC5" w:rsidRPr="00C341CB" w:rsidRDefault="00814EC5" w:rsidP="00C341CB">
            <w:pPr>
              <w:autoSpaceDE w:val="0"/>
              <w:autoSpaceDN w:val="0"/>
              <w:adjustRightInd w:val="0"/>
              <w:spacing w:after="0" w:line="240" w:lineRule="auto"/>
              <w:jc w:val="center"/>
              <w:rPr>
                <w:rFonts w:ascii="Times New Roman" w:eastAsia="Calibri" w:hAnsi="Times New Roman" w:cs="Times New Roman"/>
              </w:rPr>
            </w:pPr>
            <w:r w:rsidRPr="00C341CB">
              <w:rPr>
                <w:rFonts w:ascii="Times New Roman" w:eastAsia="Calibri" w:hAnsi="Times New Roman" w:cs="Times New Roman"/>
              </w:rPr>
              <w:t>45.5705</w:t>
            </w:r>
          </w:p>
        </w:tc>
        <w:tc>
          <w:tcPr>
            <w:tcW w:w="546" w:type="pct"/>
            <w:tcBorders>
              <w:top w:val="single" w:sz="4" w:space="0" w:color="FFFFFF"/>
              <w:left w:val="single" w:sz="4" w:space="0" w:color="FFFFFF"/>
              <w:right w:val="single" w:sz="4" w:space="0" w:color="FFFFFF"/>
            </w:tcBorders>
            <w:shd w:val="clear" w:color="auto" w:fill="auto"/>
            <w:vAlign w:val="center"/>
          </w:tcPr>
          <w:p w:rsidR="00814EC5" w:rsidRPr="00C341CB" w:rsidRDefault="00814EC5" w:rsidP="00C341CB">
            <w:pPr>
              <w:autoSpaceDE w:val="0"/>
              <w:autoSpaceDN w:val="0"/>
              <w:adjustRightInd w:val="0"/>
              <w:spacing w:after="0" w:line="240" w:lineRule="auto"/>
              <w:ind w:right="10"/>
              <w:jc w:val="center"/>
              <w:rPr>
                <w:rFonts w:ascii="Times New Roman" w:eastAsia="Calibri" w:hAnsi="Times New Roman" w:cs="Times New Roman"/>
              </w:rPr>
            </w:pPr>
            <w:r w:rsidRPr="00C341CB">
              <w:rPr>
                <w:rFonts w:ascii="Times New Roman" w:eastAsia="Calibri" w:hAnsi="Times New Roman" w:cs="Times New Roman"/>
              </w:rPr>
              <w:t>0.000</w:t>
            </w:r>
          </w:p>
        </w:tc>
      </w:tr>
    </w:tbl>
    <w:p w:rsidR="00814EC5" w:rsidRPr="00814EC5" w:rsidRDefault="00814EC5" w:rsidP="00E036A9">
      <w:pPr>
        <w:tabs>
          <w:tab w:val="left" w:pos="5370"/>
        </w:tabs>
        <w:spacing w:after="0" w:line="240" w:lineRule="auto"/>
        <w:ind w:firstLine="567"/>
        <w:contextualSpacing/>
        <w:jc w:val="both"/>
        <w:rPr>
          <w:rFonts w:ascii="Times New Roman" w:eastAsia="Arial" w:hAnsi="Times New Roman" w:cs="Times New Roman"/>
        </w:rPr>
      </w:pPr>
    </w:p>
    <w:p w:rsidR="00091EA3" w:rsidRPr="00C341CB" w:rsidRDefault="00154A45" w:rsidP="00C341CB">
      <w:pPr>
        <w:tabs>
          <w:tab w:val="left" w:pos="5370"/>
        </w:tabs>
        <w:spacing w:after="0" w:line="240" w:lineRule="auto"/>
        <w:ind w:firstLine="709"/>
        <w:contextualSpacing/>
        <w:jc w:val="both"/>
        <w:rPr>
          <w:rFonts w:ascii="Times New Roman" w:eastAsia="Arial" w:hAnsi="Times New Roman" w:cs="Times New Roman"/>
          <w:sz w:val="24"/>
          <w:szCs w:val="24"/>
        </w:rPr>
      </w:pPr>
      <w:r w:rsidRPr="00C341CB">
        <w:rPr>
          <w:rFonts w:ascii="Times New Roman" w:eastAsia="Arial" w:hAnsi="Times New Roman" w:cs="Times New Roman"/>
          <w:sz w:val="24"/>
          <w:szCs w:val="24"/>
        </w:rPr>
        <w:t>Tablo 8’e</w:t>
      </w:r>
      <w:r w:rsidR="00091EA3" w:rsidRPr="00C341CB">
        <w:rPr>
          <w:rFonts w:ascii="Times New Roman" w:eastAsia="Arial" w:hAnsi="Times New Roman" w:cs="Times New Roman"/>
          <w:sz w:val="24"/>
          <w:szCs w:val="24"/>
        </w:rPr>
        <w:t xml:space="preserve"> bakıldığında, Türkiye’deki 81 ilde sağlık harcamaları, eğitim harcama</w:t>
      </w:r>
      <w:r w:rsidRPr="00C341CB">
        <w:rPr>
          <w:rFonts w:ascii="Times New Roman" w:eastAsia="Arial" w:hAnsi="Times New Roman" w:cs="Times New Roman"/>
          <w:sz w:val="24"/>
          <w:szCs w:val="24"/>
        </w:rPr>
        <w:t xml:space="preserve">ları ile kişi başına düşen gayri safi yurtiçi hasıla </w:t>
      </w:r>
      <w:r w:rsidR="00091EA3" w:rsidRPr="00C341CB">
        <w:rPr>
          <w:rFonts w:ascii="Times New Roman" w:eastAsia="Arial" w:hAnsi="Times New Roman" w:cs="Times New Roman"/>
          <w:sz w:val="24"/>
          <w:szCs w:val="24"/>
        </w:rPr>
        <w:t>arasında karşılıklı nedensellik ilişkiler</w:t>
      </w:r>
      <w:r w:rsidR="00940C52" w:rsidRPr="00C341CB">
        <w:rPr>
          <w:rFonts w:ascii="Times New Roman" w:eastAsia="Arial" w:hAnsi="Times New Roman" w:cs="Times New Roman"/>
          <w:sz w:val="24"/>
          <w:szCs w:val="24"/>
        </w:rPr>
        <w:t xml:space="preserve">i bulunmuştur. </w:t>
      </w:r>
      <w:r w:rsidR="00091EA3" w:rsidRPr="00C341CB">
        <w:rPr>
          <w:rFonts w:ascii="Times New Roman" w:eastAsia="Arial" w:hAnsi="Times New Roman" w:cs="Times New Roman"/>
          <w:sz w:val="24"/>
          <w:szCs w:val="24"/>
        </w:rPr>
        <w:t>Böylece sağlık ve eğitim harcamalarındaki değişiml</w:t>
      </w:r>
      <w:r w:rsidR="00940C52" w:rsidRPr="00C341CB">
        <w:rPr>
          <w:rFonts w:ascii="Times New Roman" w:eastAsia="Arial" w:hAnsi="Times New Roman" w:cs="Times New Roman"/>
          <w:sz w:val="24"/>
          <w:szCs w:val="24"/>
        </w:rPr>
        <w:t xml:space="preserve">erin, kişi başı gayri safi yurtiçi hasıladaki </w:t>
      </w:r>
      <w:r w:rsidR="00091EA3" w:rsidRPr="00C341CB">
        <w:rPr>
          <w:rFonts w:ascii="Times New Roman" w:eastAsia="Arial" w:hAnsi="Times New Roman" w:cs="Times New Roman"/>
          <w:sz w:val="24"/>
          <w:szCs w:val="24"/>
        </w:rPr>
        <w:t xml:space="preserve">değişimlerin nedeni olduğu gibi </w:t>
      </w:r>
      <w:r w:rsidR="00940C52" w:rsidRPr="00C341CB">
        <w:rPr>
          <w:rFonts w:ascii="Times New Roman" w:eastAsia="Arial" w:hAnsi="Times New Roman" w:cs="Times New Roman"/>
          <w:sz w:val="24"/>
          <w:szCs w:val="24"/>
        </w:rPr>
        <w:t xml:space="preserve">kişi başı gayri safi yurtiçi hasıladaki değişimlerin </w:t>
      </w:r>
      <w:r w:rsidR="00091EA3" w:rsidRPr="00C341CB">
        <w:rPr>
          <w:rFonts w:ascii="Times New Roman" w:eastAsia="Arial" w:hAnsi="Times New Roman" w:cs="Times New Roman"/>
          <w:sz w:val="24"/>
          <w:szCs w:val="24"/>
        </w:rPr>
        <w:t xml:space="preserve">de sağlık ve eğitim harcamalarındaki değişimlerin nedeni olduğu sonucuna varılmıştır. </w:t>
      </w:r>
      <w:r w:rsidRPr="00C341CB">
        <w:rPr>
          <w:rFonts w:ascii="Times New Roman" w:eastAsia="Arial" w:hAnsi="Times New Roman" w:cs="Times New Roman"/>
          <w:sz w:val="24"/>
          <w:szCs w:val="24"/>
        </w:rPr>
        <w:t>Bu çalışmada nedensellik testinden elde edile</w:t>
      </w:r>
      <w:r w:rsidR="007A010C">
        <w:rPr>
          <w:rFonts w:ascii="Times New Roman" w:eastAsia="Arial" w:hAnsi="Times New Roman" w:cs="Times New Roman"/>
          <w:sz w:val="24"/>
          <w:szCs w:val="24"/>
        </w:rPr>
        <w:t xml:space="preserve">n bulgular, literatürde Kılıç </w:t>
      </w:r>
      <w:r w:rsidR="007A010C">
        <w:rPr>
          <w:rFonts w:ascii="Times New Roman" w:hAnsi="Times New Roman" w:cs="Times New Roman"/>
          <w:sz w:val="24"/>
          <w:szCs w:val="24"/>
        </w:rPr>
        <w:t>&amp;</w:t>
      </w:r>
      <w:r w:rsidR="007A010C">
        <w:rPr>
          <w:rFonts w:ascii="Times New Roman" w:eastAsia="Arial" w:hAnsi="Times New Roman" w:cs="Times New Roman"/>
          <w:sz w:val="24"/>
          <w:szCs w:val="24"/>
        </w:rPr>
        <w:t xml:space="preserve"> Özbek (2018), </w:t>
      </w:r>
      <w:r w:rsidR="007A010C" w:rsidRPr="00EF0E1F">
        <w:rPr>
          <w:rFonts w:ascii="Times New Roman" w:hAnsi="Times New Roman" w:cs="Times New Roman"/>
          <w:sz w:val="24"/>
          <w:szCs w:val="24"/>
        </w:rPr>
        <w:t>Çalış</w:t>
      </w:r>
      <w:r w:rsidR="007A010C">
        <w:rPr>
          <w:rFonts w:ascii="Times New Roman" w:hAnsi="Times New Roman" w:cs="Times New Roman"/>
          <w:sz w:val="24"/>
          <w:szCs w:val="24"/>
        </w:rPr>
        <w:t>kan, Karabacak &amp; Meçik</w:t>
      </w:r>
      <w:r w:rsidRPr="00C341CB">
        <w:rPr>
          <w:rFonts w:ascii="Times New Roman" w:eastAsia="Arial" w:hAnsi="Times New Roman" w:cs="Times New Roman"/>
          <w:sz w:val="24"/>
          <w:szCs w:val="24"/>
        </w:rPr>
        <w:t xml:space="preserve"> (2018</w:t>
      </w:r>
      <w:r w:rsidR="007A010C">
        <w:rPr>
          <w:rFonts w:ascii="Times New Roman" w:eastAsia="Arial" w:hAnsi="Times New Roman" w:cs="Times New Roman"/>
          <w:sz w:val="24"/>
          <w:szCs w:val="24"/>
        </w:rPr>
        <w:t xml:space="preserve">), Sarıgül (2019) ile Çetiner </w:t>
      </w:r>
      <w:r w:rsidR="007A010C">
        <w:rPr>
          <w:rFonts w:ascii="Times New Roman" w:hAnsi="Times New Roman" w:cs="Times New Roman"/>
          <w:sz w:val="24"/>
          <w:szCs w:val="24"/>
        </w:rPr>
        <w:t>&amp;</w:t>
      </w:r>
      <w:r w:rsidRPr="00C341CB">
        <w:rPr>
          <w:rFonts w:ascii="Times New Roman" w:eastAsia="Arial" w:hAnsi="Times New Roman" w:cs="Times New Roman"/>
          <w:sz w:val="24"/>
          <w:szCs w:val="24"/>
        </w:rPr>
        <w:t xml:space="preserve"> Çelik (2021) tarafından yapılan çalışma bulgularıyla örtüşmektedir.</w:t>
      </w:r>
      <w:r w:rsidR="007A010C">
        <w:rPr>
          <w:rFonts w:ascii="Times New Roman" w:eastAsia="Arial" w:hAnsi="Times New Roman" w:cs="Times New Roman"/>
          <w:sz w:val="24"/>
          <w:szCs w:val="24"/>
        </w:rPr>
        <w:t xml:space="preserve"> </w:t>
      </w:r>
      <w:r w:rsidRPr="00C341CB">
        <w:rPr>
          <w:rFonts w:ascii="Times New Roman" w:eastAsia="Arial" w:hAnsi="Times New Roman" w:cs="Times New Roman"/>
          <w:sz w:val="24"/>
          <w:szCs w:val="24"/>
        </w:rPr>
        <w:t xml:space="preserve"> </w:t>
      </w:r>
    </w:p>
    <w:p w:rsidR="00814EC5" w:rsidRPr="00C341CB" w:rsidRDefault="00EF0E1F" w:rsidP="00C341CB">
      <w:pPr>
        <w:widowControl w:val="0"/>
        <w:tabs>
          <w:tab w:val="left" w:pos="220"/>
          <w:tab w:val="left" w:pos="720"/>
        </w:tabs>
        <w:autoSpaceDE w:val="0"/>
        <w:autoSpaceDN w:val="0"/>
        <w:adjustRightInd w:val="0"/>
        <w:spacing w:before="120" w:after="0"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5. </w:t>
      </w:r>
      <w:r w:rsidRPr="00C341CB">
        <w:rPr>
          <w:rFonts w:ascii="Times New Roman" w:eastAsia="Calibri" w:hAnsi="Times New Roman" w:cs="Times New Roman"/>
          <w:b/>
          <w:color w:val="000000"/>
          <w:sz w:val="24"/>
          <w:szCs w:val="24"/>
        </w:rPr>
        <w:t>SONUÇ</w:t>
      </w:r>
    </w:p>
    <w:p w:rsidR="00C44AA6" w:rsidRPr="00C341CB" w:rsidRDefault="00C44AA6" w:rsidP="00C341CB">
      <w:pPr>
        <w:widowControl w:val="0"/>
        <w:tabs>
          <w:tab w:val="left" w:pos="220"/>
          <w:tab w:val="left" w:pos="720"/>
        </w:tabs>
        <w:autoSpaceDE w:val="0"/>
        <w:autoSpaceDN w:val="0"/>
        <w:adjustRightInd w:val="0"/>
        <w:spacing w:before="120" w:after="0" w:line="240" w:lineRule="auto"/>
        <w:ind w:firstLine="709"/>
        <w:jc w:val="both"/>
        <w:rPr>
          <w:rFonts w:ascii="Times New Roman" w:eastAsia="Arial" w:hAnsi="Times New Roman" w:cs="Times New Roman"/>
          <w:sz w:val="24"/>
          <w:szCs w:val="24"/>
        </w:rPr>
      </w:pPr>
      <w:r w:rsidRPr="00C341CB">
        <w:rPr>
          <w:rFonts w:ascii="Times New Roman" w:eastAsia="Arial" w:hAnsi="Times New Roman" w:cs="Times New Roman"/>
          <w:sz w:val="24"/>
          <w:szCs w:val="24"/>
        </w:rPr>
        <w:t>Sağlık ekonomisi ve sağlık harcamalarına verilen önem, sağlığın beşeri sermaye üzerindeki olumlu etkisinden gelmektedir. Sağlık harcamaları, beşeri sermayeyi geliştirme ve koruma noktasında önemli bir rol üstlenmekte ve üretimin daha sağlıklı bir beşeri sermaye ile gerçekleştirilmesini mümkün kılmaktadır. Daha sağlıklı üretim yapısı ise gelir artışıyla sonuçlanmaktadır. Bu temel varsayımdan hareketle yapılan bu çalışmada, Türkiye’de iller bazında sağlık harcamalarının ekonomik büyüme üzerindeki etkisini analiz etmek süratiyle sürdürülebilir ekonomik büyümenin sağlanmasında sağlık harcamalarının rolünü ortaya koymak ve elde edilen sonuçlara ilişkin politika önerilerinde bulunmak, çalışmanın önemini oluşturmaktadır. Ayrıca bu araştırmanın iller bazında yapılmış olması, araştırmanın bir diğer önemini ve özgünlüğünü göstermektedir.</w:t>
      </w:r>
    </w:p>
    <w:p w:rsidR="00C44AA6" w:rsidRPr="00C341CB" w:rsidRDefault="00C44AA6" w:rsidP="00C341CB">
      <w:pPr>
        <w:widowControl w:val="0"/>
        <w:tabs>
          <w:tab w:val="left" w:pos="220"/>
          <w:tab w:val="left" w:pos="720"/>
        </w:tabs>
        <w:autoSpaceDE w:val="0"/>
        <w:autoSpaceDN w:val="0"/>
        <w:adjustRightInd w:val="0"/>
        <w:spacing w:before="120" w:after="0" w:line="240" w:lineRule="auto"/>
        <w:ind w:firstLine="709"/>
        <w:jc w:val="both"/>
        <w:rPr>
          <w:rFonts w:ascii="Times New Roman" w:eastAsia="Arial" w:hAnsi="Times New Roman" w:cs="Times New Roman"/>
          <w:sz w:val="24"/>
          <w:szCs w:val="24"/>
        </w:rPr>
      </w:pPr>
      <w:r w:rsidRPr="00C341CB">
        <w:rPr>
          <w:rFonts w:ascii="Times New Roman" w:eastAsia="Arial" w:hAnsi="Times New Roman" w:cs="Times New Roman"/>
          <w:sz w:val="24"/>
          <w:szCs w:val="24"/>
        </w:rPr>
        <w:t xml:space="preserve">Çalışmada, sağlık harcamaları ve ekonomik büyüme ilişkisinin incelenmesi amacıyla Türkiye’de 81 il için 2004-2020 dönemine ilişkin yıllık veriler kullanılmıştır. Sağlık harcamaları ve kişi başı GSYH ilişkisinin yanı sıra beşeri sermayenin geliştirilmesi noktasında sağlık harcamaları kadar önemli bir diğer harcama olan eğitim harcamaları da bir kontrol değişkeni olarak modele dâhil edilmiştir. Yapılan panel ARDL analizi sonuçlarına göre, sağlık harcamalarındaki % 1’lik artışın kişi başına düşen gayri safi yurtiçi hasılayı % 0.353 oranında azalttığı, buna karşın eğitim harcamalarındaki % 1’lik bir artışın ise kişi başına düşen gayri safi yurtiçi hasılayı % 1.058 oranında artırdığı gözlemlenmiştir. Çalışmadan elde edilen bulgulara göre, sağlık harcamalarının kişi başı GSYH üzerindeki etkisinin önsel beklentilerin aksine negatif olduğu saptanmıştır. Bu sonuç, Türkiye’deki sağlık harcamalarının, üretken düzeydeki beşerî sermayenin (sağlık düzeyleri ve verimliliklerini) geliştirilmesi ve korunmasında etkili </w:t>
      </w:r>
      <w:r w:rsidRPr="00C341CB">
        <w:rPr>
          <w:rFonts w:ascii="Times New Roman" w:eastAsia="Arial" w:hAnsi="Times New Roman" w:cs="Times New Roman"/>
          <w:sz w:val="24"/>
          <w:szCs w:val="24"/>
        </w:rPr>
        <w:lastRenderedPageBreak/>
        <w:t xml:space="preserve">olmadığını göstermektedir. Ülkemizde bulunan göçmen nüfusun sağlık giderlerinin devlet tarafından karşılanıyor olması ve gelen bu kişilerin ekonomik katma değerlerinin düşük olması bu sonuç üzerinde etkili olmuştur. Sağlık harcamalarında yeniden yapılanmayı gerekli kılan politikaların hayata geçirilmesinin elzem olduğunu gösteren bu sonuçlar, öncelikle Türkiye’deki göçmenlerin sağlık harcamalarının yükünün kamunun üzerinden kaldırılmasının önemli olduğunu göstermektedir. Eğitim harcamalarının ekonomik büyüme üzerindeki pozitif etkisi ise ekonomik büyüme açısından asıl önemli olan yatırım ve harcamaların, genç nüfusa yönelik eğitim harcamaları/yatırımları olduğunu ortaya koymaktadır. </w:t>
      </w:r>
    </w:p>
    <w:p w:rsidR="00C44AA6" w:rsidRPr="00C341CB" w:rsidRDefault="00C44AA6" w:rsidP="00C341CB">
      <w:pPr>
        <w:widowControl w:val="0"/>
        <w:tabs>
          <w:tab w:val="left" w:pos="220"/>
          <w:tab w:val="left" w:pos="720"/>
        </w:tabs>
        <w:autoSpaceDE w:val="0"/>
        <w:autoSpaceDN w:val="0"/>
        <w:adjustRightInd w:val="0"/>
        <w:spacing w:before="120" w:after="0" w:line="240" w:lineRule="auto"/>
        <w:ind w:firstLine="709"/>
        <w:jc w:val="both"/>
        <w:rPr>
          <w:rFonts w:ascii="Times New Roman" w:eastAsia="Arial" w:hAnsi="Times New Roman" w:cs="Times New Roman"/>
          <w:sz w:val="24"/>
          <w:szCs w:val="24"/>
        </w:rPr>
      </w:pPr>
      <w:r w:rsidRPr="00C341CB">
        <w:rPr>
          <w:rFonts w:ascii="Times New Roman" w:eastAsia="Arial" w:hAnsi="Times New Roman" w:cs="Times New Roman"/>
          <w:sz w:val="24"/>
          <w:szCs w:val="24"/>
        </w:rPr>
        <w:t>Sağlık harcamalarının ekonomik büyüme üzerindeki etkisine</w:t>
      </w:r>
      <w:r w:rsidR="00014634">
        <w:rPr>
          <w:rFonts w:ascii="Times New Roman" w:eastAsia="Arial" w:hAnsi="Times New Roman" w:cs="Times New Roman"/>
          <w:sz w:val="24"/>
          <w:szCs w:val="24"/>
        </w:rPr>
        <w:t xml:space="preserve"> ilişkin negatif sonuç; </w:t>
      </w:r>
      <w:r w:rsidR="00014634" w:rsidRPr="00EF0E1F">
        <w:rPr>
          <w:rFonts w:ascii="Times New Roman" w:hAnsi="Times New Roman" w:cs="Times New Roman"/>
          <w:sz w:val="24"/>
          <w:szCs w:val="24"/>
        </w:rPr>
        <w:t>Yang</w:t>
      </w:r>
      <w:r w:rsidR="00014634">
        <w:rPr>
          <w:rFonts w:ascii="Times New Roman" w:hAnsi="Times New Roman" w:cs="Times New Roman"/>
          <w:sz w:val="24"/>
          <w:szCs w:val="24"/>
        </w:rPr>
        <w:t xml:space="preserve">, Norton &amp; Stearns </w:t>
      </w:r>
      <w:r w:rsidR="00014634">
        <w:rPr>
          <w:rFonts w:ascii="Times New Roman" w:eastAsia="Arial" w:hAnsi="Times New Roman" w:cs="Times New Roman"/>
          <w:sz w:val="24"/>
          <w:szCs w:val="24"/>
        </w:rPr>
        <w:t xml:space="preserve">(2003), </w:t>
      </w:r>
      <w:r w:rsidR="00014634" w:rsidRPr="00EF0E1F">
        <w:rPr>
          <w:rFonts w:ascii="Times New Roman" w:hAnsi="Times New Roman" w:cs="Times New Roman"/>
          <w:sz w:val="24"/>
          <w:szCs w:val="24"/>
        </w:rPr>
        <w:t>Werblow</w:t>
      </w:r>
      <w:r w:rsidR="00014634">
        <w:rPr>
          <w:rFonts w:ascii="Times New Roman" w:hAnsi="Times New Roman" w:cs="Times New Roman"/>
          <w:sz w:val="24"/>
          <w:szCs w:val="24"/>
        </w:rPr>
        <w:t xml:space="preserve">, Felder &amp; Zweifel </w:t>
      </w:r>
      <w:r w:rsidR="00014634">
        <w:rPr>
          <w:rFonts w:ascii="Times New Roman" w:eastAsia="Arial" w:hAnsi="Times New Roman" w:cs="Times New Roman"/>
          <w:sz w:val="24"/>
          <w:szCs w:val="24"/>
        </w:rPr>
        <w:t xml:space="preserve">(2007), </w:t>
      </w:r>
      <w:r w:rsidR="00014634">
        <w:rPr>
          <w:rFonts w:ascii="Times New Roman" w:hAnsi="Times New Roman" w:cs="Times New Roman"/>
          <w:sz w:val="24"/>
          <w:szCs w:val="24"/>
        </w:rPr>
        <w:t>Gökbunar, Uğur &amp; Duramaz</w:t>
      </w:r>
      <w:r w:rsidR="00014634" w:rsidRPr="00EF0E1F">
        <w:rPr>
          <w:rFonts w:ascii="Times New Roman" w:hAnsi="Times New Roman" w:cs="Times New Roman"/>
          <w:sz w:val="24"/>
          <w:szCs w:val="24"/>
        </w:rPr>
        <w:t xml:space="preserve"> (2016)</w:t>
      </w:r>
      <w:r w:rsidR="00014634">
        <w:rPr>
          <w:rFonts w:ascii="Times New Roman" w:eastAsia="Arial" w:hAnsi="Times New Roman" w:cs="Times New Roman"/>
          <w:sz w:val="24"/>
          <w:szCs w:val="24"/>
        </w:rPr>
        <w:t xml:space="preserve"> </w:t>
      </w:r>
      <w:r w:rsidRPr="00C341CB">
        <w:rPr>
          <w:rFonts w:ascii="Times New Roman" w:eastAsia="Arial" w:hAnsi="Times New Roman" w:cs="Times New Roman"/>
          <w:sz w:val="24"/>
          <w:szCs w:val="24"/>
        </w:rPr>
        <w:t xml:space="preserve">ve </w:t>
      </w:r>
      <w:r w:rsidR="00014634">
        <w:rPr>
          <w:rFonts w:ascii="Times New Roman" w:hAnsi="Times New Roman" w:cs="Times New Roman"/>
          <w:sz w:val="24"/>
          <w:szCs w:val="24"/>
        </w:rPr>
        <w:t xml:space="preserve">Balçık, Konca &amp; Biçer </w:t>
      </w:r>
      <w:r w:rsidRPr="00C341CB">
        <w:rPr>
          <w:rFonts w:ascii="Times New Roman" w:eastAsia="Arial" w:hAnsi="Times New Roman" w:cs="Times New Roman"/>
          <w:sz w:val="24"/>
          <w:szCs w:val="24"/>
        </w:rPr>
        <w:t xml:space="preserve">(2021) tarafından yapılan çalışmalarda belirtilen yaşlı nüfus ile Küçükhazar (2019) ve Dursun (2019) tarafından yapılan çalışmalarda belirtilen göçmen sorunuyla ilişkilendirilmiştir. Yaşlı nüfustaki artışın sağlık harcamalarında artışa sebep olduğu yapılan araştırmalar neticesinde ortaya konulmuş ve bu durumun ise kamusal harcamalar üzerinde bir yük oluşturduğu görülmüştür. Diğer yandan sığınmacılara ve ülkemize gelen göçmenlere yönelik sağlık hizmetlerinin ücretsiz olarak sunulması da bu eksende değerlendirilebilir. Bu anlamda yaşlı nüfustaki artış ile birlikte sağlık harcamalarının ekonomik anlamda katma değeri düşük olan göçmen topluluğuna yönelik yapılması, sağlık harcamalarının ekonomik büyüme üzerindeki pozitif etkisini azaltmakta veya negatif yöne çevirebilmektedir. Ayrıca çalışmada, panel Granger nedensellik testinden elde edilen bulgular, Türkiye’de iller düzeyinde sağlık harcamaları, eğitim harcamaları ve kişi başına düşen gelir arasında karşılıklı nedensellik ilişkisinin olduğunu göstermiştir.  </w:t>
      </w:r>
    </w:p>
    <w:p w:rsidR="00C44AA6" w:rsidRPr="00C341CB" w:rsidRDefault="00C44AA6" w:rsidP="00C341CB">
      <w:pPr>
        <w:widowControl w:val="0"/>
        <w:tabs>
          <w:tab w:val="left" w:pos="220"/>
          <w:tab w:val="left" w:pos="720"/>
        </w:tabs>
        <w:autoSpaceDE w:val="0"/>
        <w:autoSpaceDN w:val="0"/>
        <w:adjustRightInd w:val="0"/>
        <w:spacing w:before="120" w:after="0" w:line="240" w:lineRule="auto"/>
        <w:ind w:firstLine="709"/>
        <w:jc w:val="both"/>
        <w:rPr>
          <w:rFonts w:ascii="Times New Roman" w:eastAsia="Arial" w:hAnsi="Times New Roman" w:cs="Times New Roman"/>
          <w:sz w:val="24"/>
          <w:szCs w:val="24"/>
        </w:rPr>
      </w:pPr>
      <w:r w:rsidRPr="00C341CB">
        <w:rPr>
          <w:rFonts w:ascii="Times New Roman" w:eastAsia="Arial" w:hAnsi="Times New Roman" w:cs="Times New Roman"/>
          <w:sz w:val="24"/>
          <w:szCs w:val="24"/>
        </w:rPr>
        <w:t xml:space="preserve">Çalışmanın teorik ve ampirik sonuçları değerlendirildiğinde, Türkiye’de kişi başı gayri safi yurtiçi hasılanın eğitim ve sağlık harcamalarındaki değişimlere duyarlı olduğu gibi eğitim ve sağlık harcamalarının da kişi başı gayri safi yurtiçi hasıladaki değişimlere duyarlı olduğu görülmektedir. Elde edilen bu sonuçlar neticesinde çalışmamız, Türkiye’de eğitim ve sağlık harcamalarının, etkinlik ve verimlilik temelinde yeniden planlanmasının gerektiğini ortaya koymaktadır. Dolayısıyla etkin sağlık politikaları ekseninde sağlık harcamalarında yeniden yapılandırılmaya gidilmesi, üretim sürecinde önemli bir faktör olan beşeri sermayenin korunması ve geliştirilmesi noktasında önemli avantajlar sağlayarak daha sağlıklı bir üretim yapısıyla ülke ekonomisine katkı sağlayacaktır.   </w:t>
      </w:r>
    </w:p>
    <w:p w:rsidR="00C44AA6" w:rsidRPr="00C341CB" w:rsidRDefault="00C44AA6" w:rsidP="00C341CB">
      <w:pPr>
        <w:widowControl w:val="0"/>
        <w:tabs>
          <w:tab w:val="left" w:pos="220"/>
          <w:tab w:val="left" w:pos="720"/>
        </w:tabs>
        <w:autoSpaceDE w:val="0"/>
        <w:autoSpaceDN w:val="0"/>
        <w:adjustRightInd w:val="0"/>
        <w:spacing w:before="120" w:after="0" w:line="240" w:lineRule="auto"/>
        <w:ind w:firstLine="709"/>
        <w:jc w:val="both"/>
        <w:rPr>
          <w:rFonts w:ascii="Times New Roman" w:eastAsia="Arial" w:hAnsi="Times New Roman" w:cs="Times New Roman"/>
          <w:sz w:val="24"/>
          <w:szCs w:val="24"/>
        </w:rPr>
      </w:pPr>
      <w:r w:rsidRPr="00C341CB">
        <w:rPr>
          <w:rFonts w:ascii="Times New Roman" w:eastAsia="Arial" w:hAnsi="Times New Roman" w:cs="Times New Roman"/>
          <w:sz w:val="24"/>
          <w:szCs w:val="24"/>
        </w:rPr>
        <w:t>Çalışmadan elde edilen bulgular dikkate alındığında, politika önerileri neden ve sonuç ilişkisi ekseninde birkaç başlık altında oluşturulabilir. Bu anlamda öncelikle sağlık harcamalarının ekonomik büyüme üzerindeki negatif etkisi, yaşlı nüfus üzerinde yoğunlaşan kamu sağlık harcamalarından kaynaklanabildiğinden, sağlık harcamalarının yaşlıları korumakla birlikte bu süreçte daha çok genç kesime yönelik olarak planlanması gerekmektedir. Bu noktada oluşturulacak olan sağlık politikalarıyla genç nüfusun ve doğurganlık hızının artırılmasına yönelik çalışmalar ön plana çıkarılabilir. Böylece işgücünün büyük bir miktarını oluşturan genç nüfusa yönelik yapılan sağlık harcamaları, daha sağlıklı beşeri sermaye yaratarak üretim sürecine katkı sağlayacak ve dolayısıyla ekonomik büyüme üzerinde pozitif bir etki yaratabilecektir.</w:t>
      </w:r>
    </w:p>
    <w:p w:rsidR="00C44AA6" w:rsidRPr="00C341CB" w:rsidRDefault="00C44AA6" w:rsidP="00EF0E1F">
      <w:pPr>
        <w:widowControl w:val="0"/>
        <w:tabs>
          <w:tab w:val="left" w:pos="220"/>
          <w:tab w:val="left" w:pos="720"/>
        </w:tabs>
        <w:autoSpaceDE w:val="0"/>
        <w:autoSpaceDN w:val="0"/>
        <w:adjustRightInd w:val="0"/>
        <w:spacing w:before="120" w:after="120" w:line="240" w:lineRule="auto"/>
        <w:ind w:firstLine="709"/>
        <w:jc w:val="both"/>
        <w:rPr>
          <w:rFonts w:ascii="Times New Roman" w:eastAsia="Arial" w:hAnsi="Times New Roman" w:cs="Times New Roman"/>
          <w:sz w:val="24"/>
          <w:szCs w:val="24"/>
        </w:rPr>
      </w:pPr>
      <w:r w:rsidRPr="00C341CB">
        <w:rPr>
          <w:rFonts w:ascii="Times New Roman" w:eastAsia="Arial" w:hAnsi="Times New Roman" w:cs="Times New Roman"/>
          <w:sz w:val="24"/>
          <w:szCs w:val="24"/>
        </w:rPr>
        <w:t xml:space="preserve">Sağlık harcamalarının ekonomik büyüme üzerindeki negatif etkisi, aynı zamanda Türkiye’de bulunan göçmen nüfusla bağlantılı olabileceğinden; bu nüfusa ayrılan sağlık harcamalarının yeniden yapılandırılması gerekmektedir. Bu kapsamda ücretsiz sunulan sağlık hizmetlerinin, belirli bir kısmının ücretli olarak sunulması noktasında alternatif politikalar geliştirilmelidir. Bu anlamda bir yandan sağlık harcamaları ile beşeri sermaye geliştirilirken diğer taraftan kamu sağlık harcamalarının kamu bütçesi üzerinde oluşturduğu yük azaltılmaya çalışılmalıdır. Böylesi bir yapıda rasyonel politikalar ekseninde yeniden yapılandırılan sağlık </w:t>
      </w:r>
      <w:r w:rsidRPr="00C341CB">
        <w:rPr>
          <w:rFonts w:ascii="Times New Roman" w:eastAsia="Arial" w:hAnsi="Times New Roman" w:cs="Times New Roman"/>
          <w:sz w:val="24"/>
          <w:szCs w:val="24"/>
        </w:rPr>
        <w:lastRenderedPageBreak/>
        <w:t>harcamaları, ekonomide üretkenliğin ve verimliliğin artışını sağlayarak ekonomik büyüme performansını olumlu yönde etkileyecektir. Ekonomik büyüme performansındaki olumlu gelişmeler ise uz</w:t>
      </w:r>
      <w:r w:rsidR="00230A6A" w:rsidRPr="00C341CB">
        <w:rPr>
          <w:rFonts w:ascii="Times New Roman" w:eastAsia="Arial" w:hAnsi="Times New Roman" w:cs="Times New Roman"/>
          <w:sz w:val="24"/>
          <w:szCs w:val="24"/>
        </w:rPr>
        <w:t>un dönemde sağlık harcamaların</w:t>
      </w:r>
      <w:r w:rsidRPr="00C341CB">
        <w:rPr>
          <w:rFonts w:ascii="Times New Roman" w:eastAsia="Arial" w:hAnsi="Times New Roman" w:cs="Times New Roman"/>
          <w:sz w:val="24"/>
          <w:szCs w:val="24"/>
        </w:rPr>
        <w:t>daki artışı tetikleyerek sağlıklı bir toplum için gerekli sağlık hizmetlerinin miktar ve kalitesini yükseltecektir. Sağlık düzeyinin gelişmesini ve iyileşmesi anlamına gelen bu gelişmeler, nihai olarak beşeri sermaye birikimi ve sürdürülebilir bir ekono</w:t>
      </w:r>
      <w:r w:rsidR="00230A6A" w:rsidRPr="00C341CB">
        <w:rPr>
          <w:rFonts w:ascii="Times New Roman" w:eastAsia="Arial" w:hAnsi="Times New Roman" w:cs="Times New Roman"/>
          <w:sz w:val="24"/>
          <w:szCs w:val="24"/>
        </w:rPr>
        <w:t xml:space="preserve">mik büyüme ile sonuçlanabilecektir. </w:t>
      </w:r>
    </w:p>
    <w:p w:rsidR="003A51B8" w:rsidRPr="00EF0E1F" w:rsidRDefault="00EF0E1F" w:rsidP="00EF0E1F">
      <w:pPr>
        <w:widowControl w:val="0"/>
        <w:tabs>
          <w:tab w:val="left" w:pos="220"/>
          <w:tab w:val="left" w:pos="720"/>
        </w:tabs>
        <w:autoSpaceDE w:val="0"/>
        <w:autoSpaceDN w:val="0"/>
        <w:adjustRightInd w:val="0"/>
        <w:spacing w:before="120" w:after="120" w:line="240" w:lineRule="auto"/>
        <w:jc w:val="both"/>
        <w:rPr>
          <w:rFonts w:ascii="Times New Roman" w:eastAsia="Calibri" w:hAnsi="Times New Roman" w:cs="Times New Roman"/>
          <w:b/>
          <w:color w:val="000000"/>
          <w:sz w:val="24"/>
          <w:szCs w:val="24"/>
        </w:rPr>
      </w:pPr>
      <w:r w:rsidRPr="00EF0E1F">
        <w:rPr>
          <w:rFonts w:ascii="Times New Roman" w:eastAsia="Calibri" w:hAnsi="Times New Roman" w:cs="Times New Roman"/>
          <w:b/>
          <w:color w:val="000000"/>
          <w:sz w:val="24"/>
          <w:szCs w:val="24"/>
        </w:rPr>
        <w:t>KAYNAKÇA</w:t>
      </w:r>
    </w:p>
    <w:p w:rsidR="00FF50F3" w:rsidRPr="00EF0E1F" w:rsidRDefault="003C779D"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AKAR, S., (2014)</w:t>
      </w:r>
      <w:r w:rsidR="009009A9" w:rsidRPr="00EF0E1F">
        <w:rPr>
          <w:rFonts w:ascii="Times New Roman" w:hAnsi="Times New Roman" w:cs="Times New Roman"/>
          <w:sz w:val="24"/>
          <w:szCs w:val="24"/>
        </w:rPr>
        <w:t>, Türkiye’de Sağlık Harcamaları, Sağlık Harcamalarının Nisbi Fiyatı ve Ekonomik Büyüme A</w:t>
      </w:r>
      <w:r>
        <w:rPr>
          <w:rFonts w:ascii="Times New Roman" w:hAnsi="Times New Roman" w:cs="Times New Roman"/>
          <w:sz w:val="24"/>
          <w:szCs w:val="24"/>
        </w:rPr>
        <w:t xml:space="preserve">rasındaki İlişkinin İncelenmesi, </w:t>
      </w:r>
      <w:r w:rsidRPr="003C779D">
        <w:rPr>
          <w:rFonts w:ascii="Times New Roman" w:hAnsi="Times New Roman" w:cs="Times New Roman"/>
          <w:sz w:val="24"/>
          <w:szCs w:val="24"/>
        </w:rPr>
        <w:t>Yönetim ve Ekonomi Dergisi</w:t>
      </w:r>
      <w:r w:rsidR="009009A9" w:rsidRPr="003C779D">
        <w:rPr>
          <w:rFonts w:ascii="Times New Roman" w:hAnsi="Times New Roman" w:cs="Times New Roman"/>
          <w:i/>
          <w:sz w:val="24"/>
          <w:szCs w:val="24"/>
        </w:rPr>
        <w:t>,</w:t>
      </w:r>
      <w:r w:rsidR="009009A9" w:rsidRPr="00EF0E1F">
        <w:rPr>
          <w:rFonts w:ascii="Times New Roman" w:hAnsi="Times New Roman" w:cs="Times New Roman"/>
          <w:sz w:val="24"/>
          <w:szCs w:val="24"/>
        </w:rPr>
        <w:t xml:space="preserve"> 21</w:t>
      </w:r>
      <w:r w:rsidR="00987C03">
        <w:rPr>
          <w:rFonts w:ascii="Times New Roman" w:hAnsi="Times New Roman" w:cs="Times New Roman"/>
          <w:sz w:val="24"/>
          <w:szCs w:val="24"/>
        </w:rPr>
        <w:t>(</w:t>
      </w:r>
      <w:r>
        <w:rPr>
          <w:rFonts w:ascii="Times New Roman" w:hAnsi="Times New Roman" w:cs="Times New Roman"/>
          <w:sz w:val="24"/>
          <w:szCs w:val="24"/>
        </w:rPr>
        <w:t>1</w:t>
      </w:r>
      <w:r w:rsidR="00987C03">
        <w:rPr>
          <w:rFonts w:ascii="Times New Roman" w:hAnsi="Times New Roman" w:cs="Times New Roman"/>
          <w:sz w:val="24"/>
          <w:szCs w:val="24"/>
        </w:rPr>
        <w:t>),</w:t>
      </w:r>
      <w:r>
        <w:rPr>
          <w:rFonts w:ascii="Times New Roman" w:hAnsi="Times New Roman" w:cs="Times New Roman"/>
          <w:sz w:val="24"/>
          <w:szCs w:val="24"/>
        </w:rPr>
        <w:t xml:space="preserve"> </w:t>
      </w:r>
      <w:r w:rsidR="009009A9" w:rsidRPr="00EF0E1F">
        <w:rPr>
          <w:rFonts w:ascii="Times New Roman" w:hAnsi="Times New Roman" w:cs="Times New Roman"/>
          <w:sz w:val="24"/>
          <w:szCs w:val="24"/>
        </w:rPr>
        <w:t>311-322.</w:t>
      </w:r>
      <w:r>
        <w:rPr>
          <w:rFonts w:ascii="Times New Roman" w:hAnsi="Times New Roman" w:cs="Times New Roman"/>
          <w:sz w:val="24"/>
          <w:szCs w:val="24"/>
        </w:rPr>
        <w:t xml:space="preserve"> </w:t>
      </w:r>
    </w:p>
    <w:p w:rsidR="00FF50F3" w:rsidRPr="00EF0E1F" w:rsidRDefault="00987C03"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AKIN, C. S.</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(2007), Sağlık ve Sağlık Harcamalarının Ekonomik Büyüme Üzerine Etkisi: Türkiye’de Sağlık Sektörü ve Harcamaları, Yüksek Lis</w:t>
      </w:r>
      <w:r>
        <w:rPr>
          <w:rFonts w:ascii="Times New Roman" w:hAnsi="Times New Roman" w:cs="Times New Roman"/>
          <w:sz w:val="24"/>
          <w:szCs w:val="24"/>
        </w:rPr>
        <w:t>ans Tezi, Çukurova Üniversitesi</w:t>
      </w:r>
      <w:r w:rsidR="009009A9" w:rsidRPr="00EF0E1F">
        <w:rPr>
          <w:rFonts w:ascii="Times New Roman" w:hAnsi="Times New Roman" w:cs="Times New Roman"/>
          <w:sz w:val="24"/>
          <w:szCs w:val="24"/>
        </w:rPr>
        <w:t>.</w:t>
      </w:r>
      <w:r>
        <w:rPr>
          <w:rFonts w:ascii="Times New Roman" w:hAnsi="Times New Roman" w:cs="Times New Roman"/>
          <w:sz w:val="24"/>
          <w:szCs w:val="24"/>
        </w:rPr>
        <w:t xml:space="preserve"> </w:t>
      </w:r>
    </w:p>
    <w:p w:rsidR="00FF50F3" w:rsidRPr="00EF0E1F" w:rsidRDefault="00987C03"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AKINCI, A. ve</w:t>
      </w:r>
      <w:r w:rsidRPr="00EF0E1F">
        <w:rPr>
          <w:rFonts w:ascii="Times New Roman" w:hAnsi="Times New Roman" w:cs="Times New Roman"/>
          <w:sz w:val="24"/>
          <w:szCs w:val="24"/>
        </w:rPr>
        <w:t xml:space="preserve"> TUNCER, G. </w:t>
      </w:r>
      <w:r w:rsidR="009009A9" w:rsidRPr="00EF0E1F">
        <w:rPr>
          <w:rFonts w:ascii="Times New Roman" w:hAnsi="Times New Roman" w:cs="Times New Roman"/>
          <w:sz w:val="24"/>
          <w:szCs w:val="24"/>
        </w:rPr>
        <w:t>(2016),</w:t>
      </w:r>
      <w:r>
        <w:rPr>
          <w:rFonts w:ascii="Times New Roman" w:hAnsi="Times New Roman" w:cs="Times New Roman"/>
          <w:sz w:val="24"/>
          <w:szCs w:val="24"/>
        </w:rPr>
        <w:t xml:space="preserve"> Türkiye’de Sağlık Harcamaları i</w:t>
      </w:r>
      <w:r w:rsidR="009009A9" w:rsidRPr="00EF0E1F">
        <w:rPr>
          <w:rFonts w:ascii="Times New Roman" w:hAnsi="Times New Roman" w:cs="Times New Roman"/>
          <w:sz w:val="24"/>
          <w:szCs w:val="24"/>
        </w:rPr>
        <w:t>le Ekonomik Büyüme Arasındaki İliş</w:t>
      </w:r>
      <w:r>
        <w:rPr>
          <w:rFonts w:ascii="Times New Roman" w:hAnsi="Times New Roman" w:cs="Times New Roman"/>
          <w:sz w:val="24"/>
          <w:szCs w:val="24"/>
        </w:rPr>
        <w:t xml:space="preserve">ki, </w:t>
      </w:r>
      <w:r w:rsidR="009009A9" w:rsidRPr="00987C03">
        <w:rPr>
          <w:rFonts w:ascii="Times New Roman" w:hAnsi="Times New Roman" w:cs="Times New Roman"/>
          <w:iCs/>
          <w:sz w:val="24"/>
          <w:szCs w:val="24"/>
        </w:rPr>
        <w:t>Sayıştay Dergisi</w:t>
      </w:r>
      <w:r w:rsidR="009009A9" w:rsidRPr="00987C03">
        <w:rPr>
          <w:rFonts w:ascii="Times New Roman" w:hAnsi="Times New Roman" w:cs="Times New Roman"/>
          <w:sz w:val="24"/>
          <w:szCs w:val="24"/>
        </w:rPr>
        <w:t>,</w:t>
      </w:r>
      <w:r>
        <w:rPr>
          <w:rFonts w:ascii="Times New Roman" w:hAnsi="Times New Roman" w:cs="Times New Roman"/>
          <w:sz w:val="24"/>
          <w:szCs w:val="24"/>
        </w:rPr>
        <w:t xml:space="preserve"> 102</w:t>
      </w:r>
      <w:r w:rsidR="009009A9" w:rsidRPr="00EF0E1F">
        <w:rPr>
          <w:rFonts w:ascii="Times New Roman" w:hAnsi="Times New Roman" w:cs="Times New Roman"/>
          <w:sz w:val="24"/>
          <w:szCs w:val="24"/>
        </w:rPr>
        <w:t>, 47-61.</w:t>
      </w:r>
    </w:p>
    <w:p w:rsidR="00FF50F3" w:rsidRPr="00EF0E1F" w:rsidRDefault="00F773F3"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BALÇIK, P. Y., KONCA, M. ve</w:t>
      </w:r>
      <w:r w:rsidRPr="00EF0E1F">
        <w:rPr>
          <w:rFonts w:ascii="Times New Roman" w:hAnsi="Times New Roman" w:cs="Times New Roman"/>
          <w:sz w:val="24"/>
          <w:szCs w:val="24"/>
        </w:rPr>
        <w:t xml:space="preserve"> BİÇER İ. (2021), </w:t>
      </w:r>
      <w:r w:rsidR="009009A9" w:rsidRPr="00EF0E1F">
        <w:rPr>
          <w:rFonts w:ascii="Times New Roman" w:hAnsi="Times New Roman" w:cs="Times New Roman"/>
          <w:sz w:val="24"/>
          <w:szCs w:val="24"/>
        </w:rPr>
        <w:t>Yaşlı Nüfus ile Sağlık Harcamaları Arasındaki İlişkinin İncelenmesi: P</w:t>
      </w:r>
      <w:r>
        <w:rPr>
          <w:rFonts w:ascii="Times New Roman" w:hAnsi="Times New Roman" w:cs="Times New Roman"/>
          <w:sz w:val="24"/>
          <w:szCs w:val="24"/>
        </w:rPr>
        <w:t>anel Veriye Dayalı Bir Uygulama,</w:t>
      </w:r>
      <w:r w:rsidR="009009A9" w:rsidRPr="00EF0E1F">
        <w:rPr>
          <w:rFonts w:ascii="Times New Roman" w:hAnsi="Times New Roman" w:cs="Times New Roman"/>
          <w:sz w:val="24"/>
          <w:szCs w:val="24"/>
        </w:rPr>
        <w:t> </w:t>
      </w:r>
      <w:r w:rsidR="009009A9" w:rsidRPr="00F773F3">
        <w:rPr>
          <w:rFonts w:ascii="Times New Roman" w:hAnsi="Times New Roman" w:cs="Times New Roman"/>
          <w:iCs/>
          <w:sz w:val="24"/>
          <w:szCs w:val="24"/>
        </w:rPr>
        <w:t>Iğdır Üniversitesi Sosyal Bilimler Dergisi</w:t>
      </w:r>
      <w:r w:rsidR="009009A9" w:rsidRPr="00F773F3">
        <w:rPr>
          <w:rFonts w:ascii="Times New Roman" w:hAnsi="Times New Roman" w:cs="Times New Roman"/>
          <w:sz w:val="24"/>
          <w:szCs w:val="24"/>
        </w:rPr>
        <w:t>,</w:t>
      </w:r>
      <w:r>
        <w:rPr>
          <w:rFonts w:ascii="Times New Roman" w:hAnsi="Times New Roman" w:cs="Times New Roman"/>
          <w:sz w:val="24"/>
          <w:szCs w:val="24"/>
        </w:rPr>
        <w:t xml:space="preserve"> (26)</w:t>
      </w:r>
      <w:r w:rsidR="009009A9" w:rsidRPr="00EF0E1F">
        <w:rPr>
          <w:rFonts w:ascii="Times New Roman" w:hAnsi="Times New Roman" w:cs="Times New Roman"/>
          <w:sz w:val="24"/>
          <w:szCs w:val="24"/>
        </w:rPr>
        <w:t>, 314-324.</w:t>
      </w:r>
    </w:p>
    <w:p w:rsidR="00FF50F3" w:rsidRPr="00EF0E1F" w:rsidRDefault="00F773F3"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BARRO, R.</w:t>
      </w:r>
      <w:r w:rsidR="00202E81">
        <w:rPr>
          <w:rFonts w:ascii="Times New Roman" w:hAnsi="Times New Roman" w:cs="Times New Roman"/>
          <w:sz w:val="24"/>
          <w:szCs w:val="24"/>
        </w:rPr>
        <w:t xml:space="preserve"> J.,</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 xml:space="preserve">(1996), Three </w:t>
      </w:r>
      <w:r w:rsidR="00202E81">
        <w:rPr>
          <w:rFonts w:ascii="Times New Roman" w:hAnsi="Times New Roman" w:cs="Times New Roman"/>
          <w:sz w:val="24"/>
          <w:szCs w:val="24"/>
        </w:rPr>
        <w:t>Models of Health a</w:t>
      </w:r>
      <w:r w:rsidR="00202E81" w:rsidRPr="00EF0E1F">
        <w:rPr>
          <w:rFonts w:ascii="Times New Roman" w:hAnsi="Times New Roman" w:cs="Times New Roman"/>
          <w:sz w:val="24"/>
          <w:szCs w:val="24"/>
        </w:rPr>
        <w:t>nd Economic Growth</w:t>
      </w:r>
      <w:r w:rsidR="00202E81">
        <w:rPr>
          <w:rFonts w:ascii="Times New Roman" w:hAnsi="Times New Roman" w:cs="Times New Roman"/>
          <w:sz w:val="24"/>
          <w:szCs w:val="24"/>
        </w:rPr>
        <w:t xml:space="preserve">, Unpublished Manuscript, MA, </w:t>
      </w:r>
      <w:r w:rsidR="009009A9" w:rsidRPr="00EF0E1F">
        <w:rPr>
          <w:rFonts w:ascii="Times New Roman" w:hAnsi="Times New Roman" w:cs="Times New Roman"/>
          <w:sz w:val="24"/>
          <w:szCs w:val="24"/>
        </w:rPr>
        <w:t>Harvard University.</w:t>
      </w:r>
    </w:p>
    <w:p w:rsidR="00FF50F3" w:rsidRPr="00EF0E1F" w:rsidRDefault="00202E81"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BARRO, R. J.</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(1990), Goverment Spending in a Si</w:t>
      </w:r>
      <w:r>
        <w:rPr>
          <w:rFonts w:ascii="Times New Roman" w:hAnsi="Times New Roman" w:cs="Times New Roman"/>
          <w:sz w:val="24"/>
          <w:szCs w:val="24"/>
        </w:rPr>
        <w:t>mple Model of Endogenous Growth,</w:t>
      </w:r>
      <w:r w:rsidR="009009A9" w:rsidRPr="00EF0E1F">
        <w:rPr>
          <w:rFonts w:ascii="Times New Roman" w:hAnsi="Times New Roman" w:cs="Times New Roman"/>
          <w:sz w:val="24"/>
          <w:szCs w:val="24"/>
        </w:rPr>
        <w:t xml:space="preserve"> The Journal of Political Economy, 98(5), 103-125.</w:t>
      </w:r>
    </w:p>
    <w:p w:rsidR="00FF50F3" w:rsidRPr="00EF0E1F" w:rsidRDefault="00202E81"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BERALDO, S., MONTOLIO, D. ve TURATI</w:t>
      </w:r>
      <w:r w:rsidRPr="00EF0E1F">
        <w:rPr>
          <w:rFonts w:ascii="Times New Roman" w:hAnsi="Times New Roman" w:cs="Times New Roman"/>
          <w:sz w:val="24"/>
          <w:szCs w:val="24"/>
        </w:rPr>
        <w:t xml:space="preserve">, G., </w:t>
      </w:r>
      <w:r>
        <w:rPr>
          <w:rFonts w:ascii="Times New Roman" w:hAnsi="Times New Roman" w:cs="Times New Roman"/>
          <w:sz w:val="24"/>
          <w:szCs w:val="24"/>
        </w:rPr>
        <w:t xml:space="preserve">(2009), </w:t>
      </w:r>
      <w:r w:rsidR="009009A9" w:rsidRPr="00EF0E1F">
        <w:rPr>
          <w:rFonts w:ascii="Times New Roman" w:hAnsi="Times New Roman" w:cs="Times New Roman"/>
          <w:sz w:val="24"/>
          <w:szCs w:val="24"/>
        </w:rPr>
        <w:t xml:space="preserve">Healthy, Educated and Wealthy: A Primer on the Impact of Public and Private Welfare </w:t>
      </w:r>
      <w:r>
        <w:rPr>
          <w:rFonts w:ascii="Times New Roman" w:hAnsi="Times New Roman" w:cs="Times New Roman"/>
          <w:sz w:val="24"/>
          <w:szCs w:val="24"/>
        </w:rPr>
        <w:t>Expenditures on Economic Growth</w:t>
      </w:r>
      <w:r w:rsidR="009009A9" w:rsidRPr="00EF0E1F">
        <w:rPr>
          <w:rFonts w:ascii="Times New Roman" w:hAnsi="Times New Roman" w:cs="Times New Roman"/>
          <w:sz w:val="24"/>
          <w:szCs w:val="24"/>
        </w:rPr>
        <w:t>, The Journal of Socio–Economics, 38, 946-956.</w:t>
      </w:r>
      <w:r>
        <w:rPr>
          <w:rFonts w:ascii="Times New Roman" w:hAnsi="Times New Roman" w:cs="Times New Roman"/>
          <w:sz w:val="24"/>
          <w:szCs w:val="24"/>
        </w:rPr>
        <w:t xml:space="preserve"> </w:t>
      </w:r>
    </w:p>
    <w:p w:rsidR="00FF50F3" w:rsidRPr="00EF0E1F" w:rsidRDefault="00202E81"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BOZKURT, H.Y.</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(2002), Türkiye Ekonomisinde İktisadi Kriz ve Büyüme Analizinin Vektör Otoregresif Modeller ile İncelenmesi, Doktora Tezi, İstanbul</w:t>
      </w:r>
      <w:r>
        <w:rPr>
          <w:rFonts w:ascii="Times New Roman" w:hAnsi="Times New Roman" w:cs="Times New Roman"/>
          <w:sz w:val="24"/>
          <w:szCs w:val="24"/>
        </w:rPr>
        <w:t xml:space="preserve"> Üniversitesi</w:t>
      </w:r>
      <w:r w:rsidR="009009A9" w:rsidRPr="00EF0E1F">
        <w:rPr>
          <w:rFonts w:ascii="Times New Roman" w:hAnsi="Times New Roman" w:cs="Times New Roman"/>
          <w:sz w:val="24"/>
          <w:szCs w:val="24"/>
        </w:rPr>
        <w:t>.</w:t>
      </w:r>
      <w:r>
        <w:rPr>
          <w:rFonts w:ascii="Times New Roman" w:hAnsi="Times New Roman" w:cs="Times New Roman"/>
          <w:sz w:val="24"/>
          <w:szCs w:val="24"/>
        </w:rPr>
        <w:t xml:space="preserve"> </w:t>
      </w:r>
    </w:p>
    <w:p w:rsidR="00FF50F3" w:rsidRPr="00EF0E1F" w:rsidRDefault="00B53B39"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BULĞURCU, B. ve</w:t>
      </w:r>
      <w:r w:rsidRPr="00EF0E1F">
        <w:rPr>
          <w:rFonts w:ascii="Times New Roman" w:hAnsi="Times New Roman" w:cs="Times New Roman"/>
          <w:sz w:val="24"/>
          <w:szCs w:val="24"/>
        </w:rPr>
        <w:t xml:space="preserve"> ÖZDEMİR, P.</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(2015), Geçiş Ekonomilerinde Sağlık Harcamalarının Etkinliği Üzerine Bir İnceleme, Ege Akademik Bakış, 15(4), 523-537.</w:t>
      </w:r>
      <w:r>
        <w:rPr>
          <w:rFonts w:ascii="Times New Roman" w:hAnsi="Times New Roman" w:cs="Times New Roman"/>
          <w:sz w:val="24"/>
          <w:szCs w:val="24"/>
        </w:rPr>
        <w:t xml:space="preserve"> </w:t>
      </w:r>
    </w:p>
    <w:p w:rsidR="00FF50F3" w:rsidRPr="00EF0E1F" w:rsidRDefault="00B53B39"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CEBECİ, E. ve</w:t>
      </w:r>
      <w:r w:rsidRPr="00EF0E1F">
        <w:rPr>
          <w:rFonts w:ascii="Times New Roman" w:hAnsi="Times New Roman" w:cs="Times New Roman"/>
          <w:sz w:val="24"/>
          <w:szCs w:val="24"/>
        </w:rPr>
        <w:t xml:space="preserve"> AY, A</w:t>
      </w:r>
      <w:r w:rsidR="009009A9" w:rsidRPr="00EF0E1F">
        <w:rPr>
          <w:rFonts w:ascii="Times New Roman" w:hAnsi="Times New Roman" w:cs="Times New Roman"/>
          <w:sz w:val="24"/>
          <w:szCs w:val="24"/>
        </w:rPr>
        <w:t>.</w:t>
      </w:r>
      <w:r>
        <w:rPr>
          <w:rFonts w:ascii="Times New Roman" w:hAnsi="Times New Roman" w:cs="Times New Roman"/>
          <w:sz w:val="24"/>
          <w:szCs w:val="24"/>
        </w:rPr>
        <w:t>,</w:t>
      </w:r>
      <w:r w:rsidR="009009A9" w:rsidRPr="00EF0E1F">
        <w:rPr>
          <w:rFonts w:ascii="Times New Roman" w:hAnsi="Times New Roman" w:cs="Times New Roman"/>
          <w:sz w:val="24"/>
          <w:szCs w:val="24"/>
        </w:rPr>
        <w:t xml:space="preserve"> (2016), Sağlık Harcamalarının Ekonomik Büyüme Üzerindeki Etkisi: </w:t>
      </w:r>
      <w:r w:rsidRPr="00EF0E1F">
        <w:rPr>
          <w:rFonts w:ascii="Times New Roman" w:hAnsi="Times New Roman" w:cs="Times New Roman"/>
          <w:sz w:val="24"/>
          <w:szCs w:val="24"/>
        </w:rPr>
        <w:t>BRICS</w:t>
      </w:r>
      <w:r w:rsidR="009009A9" w:rsidRPr="00EF0E1F">
        <w:rPr>
          <w:rFonts w:ascii="Times New Roman" w:hAnsi="Times New Roman" w:cs="Times New Roman"/>
          <w:sz w:val="24"/>
          <w:szCs w:val="24"/>
        </w:rPr>
        <w:t xml:space="preserve"> Ülkeleri ve Tür</w:t>
      </w:r>
      <w:r>
        <w:rPr>
          <w:rFonts w:ascii="Times New Roman" w:hAnsi="Times New Roman" w:cs="Times New Roman"/>
          <w:sz w:val="24"/>
          <w:szCs w:val="24"/>
        </w:rPr>
        <w:t xml:space="preserve">kiye Üzerine Bir Değerlendirme, </w:t>
      </w:r>
      <w:r w:rsidR="009009A9" w:rsidRPr="00B53B39">
        <w:rPr>
          <w:rFonts w:ascii="Times New Roman" w:hAnsi="Times New Roman" w:cs="Times New Roman"/>
          <w:iCs/>
          <w:sz w:val="24"/>
          <w:szCs w:val="24"/>
        </w:rPr>
        <w:t>Dumlupınar Üniversitesi Sosyal Bilimler Dergisi</w:t>
      </w:r>
      <w:r w:rsidR="009009A9" w:rsidRPr="00B53B39">
        <w:rPr>
          <w:rFonts w:ascii="Times New Roman" w:hAnsi="Times New Roman" w:cs="Times New Roman"/>
          <w:sz w:val="24"/>
          <w:szCs w:val="24"/>
        </w:rPr>
        <w:t>,</w:t>
      </w:r>
      <w:r w:rsidR="009009A9" w:rsidRPr="00EF0E1F">
        <w:rPr>
          <w:rFonts w:ascii="Times New Roman" w:hAnsi="Times New Roman" w:cs="Times New Roman"/>
          <w:sz w:val="24"/>
          <w:szCs w:val="24"/>
        </w:rPr>
        <w:t xml:space="preserve"> </w:t>
      </w:r>
      <w:r>
        <w:rPr>
          <w:rFonts w:ascii="Times New Roman" w:hAnsi="Times New Roman" w:cs="Times New Roman"/>
          <w:sz w:val="24"/>
          <w:szCs w:val="24"/>
        </w:rPr>
        <w:t xml:space="preserve">ICEBSS Özel Sayısı, </w:t>
      </w:r>
      <w:r w:rsidR="009009A9" w:rsidRPr="00EF0E1F">
        <w:rPr>
          <w:rFonts w:ascii="Times New Roman" w:hAnsi="Times New Roman" w:cs="Times New Roman"/>
          <w:sz w:val="24"/>
          <w:szCs w:val="24"/>
        </w:rPr>
        <w:t>91-102.</w:t>
      </w:r>
    </w:p>
    <w:p w:rsidR="00FF50F3" w:rsidRPr="00EF0E1F" w:rsidRDefault="00B53B39"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ÇALIŞKAN, Ş., KARABACAK, M. ve</w:t>
      </w:r>
      <w:r w:rsidRPr="00EF0E1F">
        <w:rPr>
          <w:rFonts w:ascii="Times New Roman" w:hAnsi="Times New Roman" w:cs="Times New Roman"/>
          <w:sz w:val="24"/>
          <w:szCs w:val="24"/>
        </w:rPr>
        <w:t xml:space="preserve"> MEÇİK, O.</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(2018), Türkiye’de Uzun Dönemd</w:t>
      </w:r>
      <w:r>
        <w:rPr>
          <w:rFonts w:ascii="Times New Roman" w:hAnsi="Times New Roman" w:cs="Times New Roman"/>
          <w:sz w:val="24"/>
          <w:szCs w:val="24"/>
        </w:rPr>
        <w:t>e Eğitim ve Sağlık Harcamaları ile Ekonomik Büyüme İlişkisi,</w:t>
      </w:r>
      <w:r w:rsidR="009009A9" w:rsidRPr="00EF0E1F">
        <w:rPr>
          <w:rFonts w:ascii="Times New Roman" w:hAnsi="Times New Roman" w:cs="Times New Roman"/>
          <w:sz w:val="24"/>
          <w:szCs w:val="24"/>
        </w:rPr>
        <w:t> </w:t>
      </w:r>
      <w:r w:rsidR="009009A9" w:rsidRPr="00B53B39">
        <w:rPr>
          <w:rFonts w:ascii="Times New Roman" w:hAnsi="Times New Roman" w:cs="Times New Roman"/>
          <w:iCs/>
          <w:sz w:val="24"/>
          <w:szCs w:val="24"/>
        </w:rPr>
        <w:t>Dokuz Eylül Üniversitesi İktisadi İdari Bilimler Fakültesi Dergisi</w:t>
      </w:r>
      <w:r w:rsidR="009009A9" w:rsidRPr="00B53B39">
        <w:rPr>
          <w:rFonts w:ascii="Times New Roman" w:hAnsi="Times New Roman" w:cs="Times New Roman"/>
          <w:sz w:val="24"/>
          <w:szCs w:val="24"/>
        </w:rPr>
        <w:t>, </w:t>
      </w:r>
      <w:r w:rsidR="009009A9" w:rsidRPr="00B53B39">
        <w:rPr>
          <w:rFonts w:ascii="Times New Roman" w:hAnsi="Times New Roman" w:cs="Times New Roman"/>
          <w:iCs/>
          <w:sz w:val="24"/>
          <w:szCs w:val="24"/>
        </w:rPr>
        <w:t>33</w:t>
      </w:r>
      <w:r w:rsidR="009009A9" w:rsidRPr="00EF0E1F">
        <w:rPr>
          <w:rFonts w:ascii="Times New Roman" w:hAnsi="Times New Roman" w:cs="Times New Roman"/>
          <w:sz w:val="24"/>
          <w:szCs w:val="24"/>
        </w:rPr>
        <w:t>(1), 75-96.</w:t>
      </w:r>
    </w:p>
    <w:p w:rsidR="00FF50F3" w:rsidRPr="00EF0E1F" w:rsidRDefault="00B53B39"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ÇETİN, M. ve </w:t>
      </w:r>
      <w:r w:rsidRPr="00EF0E1F">
        <w:rPr>
          <w:rFonts w:ascii="Times New Roman" w:hAnsi="Times New Roman" w:cs="Times New Roman"/>
          <w:sz w:val="24"/>
          <w:szCs w:val="24"/>
        </w:rPr>
        <w:t>ECEVİT, E.</w:t>
      </w:r>
      <w:r>
        <w:rPr>
          <w:rFonts w:ascii="Times New Roman" w:hAnsi="Times New Roman" w:cs="Times New Roman"/>
          <w:sz w:val="24"/>
          <w:szCs w:val="24"/>
        </w:rPr>
        <w:t>,</w:t>
      </w:r>
      <w:r w:rsidRPr="00EF0E1F">
        <w:rPr>
          <w:rFonts w:ascii="Times New Roman" w:hAnsi="Times New Roman" w:cs="Times New Roman"/>
          <w:sz w:val="24"/>
          <w:szCs w:val="24"/>
        </w:rPr>
        <w:t xml:space="preserve"> (2010), </w:t>
      </w:r>
      <w:r w:rsidR="009009A9" w:rsidRPr="00EF0E1F">
        <w:rPr>
          <w:rFonts w:ascii="Times New Roman" w:hAnsi="Times New Roman" w:cs="Times New Roman"/>
          <w:sz w:val="24"/>
          <w:szCs w:val="24"/>
        </w:rPr>
        <w:t>Sağlık Harcamalarının Ekonomik Büyüme Üzerindeki Etkisi: OECD Ülkeleri Üzerine Bir Panel Regresyon Analizi, </w:t>
      </w:r>
      <w:r w:rsidR="009009A9" w:rsidRPr="00B53B39">
        <w:rPr>
          <w:rFonts w:ascii="Times New Roman" w:hAnsi="Times New Roman" w:cs="Times New Roman"/>
          <w:iCs/>
          <w:sz w:val="24"/>
          <w:szCs w:val="24"/>
        </w:rPr>
        <w:t>Doğuş Üniversitesi Dergisi</w:t>
      </w:r>
      <w:r w:rsidR="009009A9" w:rsidRPr="00B53B39">
        <w:rPr>
          <w:rFonts w:ascii="Times New Roman" w:hAnsi="Times New Roman" w:cs="Times New Roman"/>
          <w:sz w:val="24"/>
          <w:szCs w:val="24"/>
        </w:rPr>
        <w:t>, </w:t>
      </w:r>
      <w:r w:rsidR="009009A9" w:rsidRPr="00B53B39">
        <w:rPr>
          <w:rFonts w:ascii="Times New Roman" w:hAnsi="Times New Roman" w:cs="Times New Roman"/>
          <w:iCs/>
          <w:sz w:val="24"/>
          <w:szCs w:val="24"/>
        </w:rPr>
        <w:t>11</w:t>
      </w:r>
      <w:r w:rsidR="009009A9" w:rsidRPr="00B53B39">
        <w:rPr>
          <w:rFonts w:ascii="Times New Roman" w:hAnsi="Times New Roman" w:cs="Times New Roman"/>
          <w:sz w:val="24"/>
          <w:szCs w:val="24"/>
        </w:rPr>
        <w:t xml:space="preserve">(2), </w:t>
      </w:r>
      <w:r w:rsidR="009009A9" w:rsidRPr="00EF0E1F">
        <w:rPr>
          <w:rFonts w:ascii="Times New Roman" w:hAnsi="Times New Roman" w:cs="Times New Roman"/>
          <w:sz w:val="24"/>
          <w:szCs w:val="24"/>
        </w:rPr>
        <w:t>166-182.</w:t>
      </w:r>
    </w:p>
    <w:p w:rsidR="00FF50F3" w:rsidRPr="00B53B39" w:rsidRDefault="00B53B39"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ÇETİNER, S. ve</w:t>
      </w:r>
      <w:r w:rsidRPr="00EF0E1F">
        <w:rPr>
          <w:rFonts w:ascii="Times New Roman" w:hAnsi="Times New Roman" w:cs="Times New Roman"/>
          <w:sz w:val="24"/>
          <w:szCs w:val="24"/>
        </w:rPr>
        <w:t xml:space="preserve"> ÇELİK, O.</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(2021), Türkiye Ekonomisinde Ekonomik Büyüme ve Beşeri Sermaye Arasındaki İlişkinin Ampirik Analizi: 1980-2019 Dönemi, </w:t>
      </w:r>
      <w:r w:rsidR="009009A9" w:rsidRPr="00B53B39">
        <w:rPr>
          <w:rFonts w:ascii="Times New Roman" w:hAnsi="Times New Roman" w:cs="Times New Roman"/>
          <w:iCs/>
          <w:sz w:val="24"/>
          <w:szCs w:val="24"/>
        </w:rPr>
        <w:t>Sosyal Politika Çalışmaları Dergisi</w:t>
      </w:r>
      <w:r w:rsidR="009009A9" w:rsidRPr="00B53B39">
        <w:rPr>
          <w:rFonts w:ascii="Times New Roman" w:hAnsi="Times New Roman" w:cs="Times New Roman"/>
          <w:sz w:val="24"/>
          <w:szCs w:val="24"/>
        </w:rPr>
        <w:t>, </w:t>
      </w:r>
      <w:r w:rsidR="009009A9" w:rsidRPr="00B53B39">
        <w:rPr>
          <w:rFonts w:ascii="Times New Roman" w:hAnsi="Times New Roman" w:cs="Times New Roman"/>
          <w:iCs/>
          <w:sz w:val="24"/>
          <w:szCs w:val="24"/>
        </w:rPr>
        <w:t>21</w:t>
      </w:r>
      <w:r w:rsidR="009009A9" w:rsidRPr="00B53B39">
        <w:rPr>
          <w:rFonts w:ascii="Times New Roman" w:hAnsi="Times New Roman" w:cs="Times New Roman"/>
          <w:sz w:val="24"/>
          <w:szCs w:val="24"/>
        </w:rPr>
        <w:t>(51), 540-558.</w:t>
      </w:r>
    </w:p>
    <w:p w:rsidR="00FF50F3" w:rsidRPr="00EF0E1F" w:rsidRDefault="00B53B39"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ÇINAR, S.</w:t>
      </w:r>
      <w:r>
        <w:rPr>
          <w:rFonts w:ascii="Times New Roman" w:hAnsi="Times New Roman" w:cs="Times New Roman"/>
          <w:sz w:val="24"/>
          <w:szCs w:val="24"/>
        </w:rPr>
        <w:t>,</w:t>
      </w:r>
      <w:r w:rsidRPr="00EF0E1F">
        <w:rPr>
          <w:rFonts w:ascii="Times New Roman" w:hAnsi="Times New Roman" w:cs="Times New Roman"/>
          <w:sz w:val="24"/>
          <w:szCs w:val="24"/>
        </w:rPr>
        <w:t xml:space="preserve"> </w:t>
      </w:r>
      <w:r>
        <w:rPr>
          <w:rFonts w:ascii="Times New Roman" w:hAnsi="Times New Roman" w:cs="Times New Roman"/>
          <w:sz w:val="24"/>
          <w:szCs w:val="24"/>
        </w:rPr>
        <w:t>(2011), Gelir ve CO</w:t>
      </w:r>
      <w:r>
        <w:rPr>
          <w:rFonts w:ascii="Times New Roman" w:hAnsi="Times New Roman" w:cs="Times New Roman"/>
          <w:sz w:val="24"/>
          <w:szCs w:val="24"/>
          <w:vertAlign w:val="subscript"/>
        </w:rPr>
        <w:t>2</w:t>
      </w:r>
      <w:r w:rsidR="009009A9" w:rsidRPr="00EF0E1F">
        <w:rPr>
          <w:rFonts w:ascii="Times New Roman" w:hAnsi="Times New Roman" w:cs="Times New Roman"/>
          <w:sz w:val="24"/>
          <w:szCs w:val="24"/>
        </w:rPr>
        <w:t xml:space="preserve"> Emisyonu İlişkisi: Panel Birim Kök ve Eşbütünle</w:t>
      </w:r>
      <w:r>
        <w:rPr>
          <w:rFonts w:ascii="Times New Roman" w:hAnsi="Times New Roman" w:cs="Times New Roman"/>
          <w:sz w:val="24"/>
          <w:szCs w:val="24"/>
        </w:rPr>
        <w:t xml:space="preserve">şme Testi, Uludağ Üniversitesi </w:t>
      </w:r>
      <w:r w:rsidR="009009A9" w:rsidRPr="00EF0E1F">
        <w:rPr>
          <w:rFonts w:ascii="Times New Roman" w:hAnsi="Times New Roman" w:cs="Times New Roman"/>
          <w:sz w:val="24"/>
          <w:szCs w:val="24"/>
        </w:rPr>
        <w:t>İktisadi ve İdari Bilimler Fakültesi Dergisi, 30(2), 71-83.</w:t>
      </w:r>
    </w:p>
    <w:p w:rsidR="00FF50F3" w:rsidRPr="00EF0E1F" w:rsidRDefault="00B53B39"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lastRenderedPageBreak/>
        <w:t>ÇOBAN, H.</w:t>
      </w:r>
      <w:r w:rsidR="003259A6">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(2009), Sağlık Ekonomisi ve Türkiye’de Sağlık Hizmetlerinin Yeniden Yapılandırılması, Doktora</w:t>
      </w:r>
      <w:r w:rsidR="003259A6">
        <w:rPr>
          <w:rFonts w:ascii="Times New Roman" w:hAnsi="Times New Roman" w:cs="Times New Roman"/>
          <w:sz w:val="24"/>
          <w:szCs w:val="24"/>
        </w:rPr>
        <w:t xml:space="preserve"> Tezi, Dokuz Eylül Üniversitesi. </w:t>
      </w:r>
    </w:p>
    <w:p w:rsidR="003259A6" w:rsidRDefault="003259A6"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DURSUN, S.</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2019),  </w:t>
      </w:r>
      <w:r w:rsidR="009009A9" w:rsidRPr="00EF0E1F">
        <w:rPr>
          <w:rFonts w:ascii="Times New Roman" w:hAnsi="Times New Roman" w:cs="Times New Roman"/>
          <w:iCs/>
          <w:sz w:val="24"/>
          <w:szCs w:val="24"/>
        </w:rPr>
        <w:t>Uluslararası Göç Bağlamında Suriyeli Sığınmacıların Türkiye Sağlık Politikaları Üzerine Etkileri</w:t>
      </w:r>
      <w:r w:rsidR="009009A9" w:rsidRPr="00EF0E1F">
        <w:rPr>
          <w:rFonts w:ascii="Times New Roman" w:hAnsi="Times New Roman" w:cs="Times New Roman"/>
          <w:sz w:val="24"/>
          <w:szCs w:val="24"/>
        </w:rPr>
        <w:t>, Yüksek Lisans Tezi, İst</w:t>
      </w:r>
      <w:r>
        <w:rPr>
          <w:rFonts w:ascii="Times New Roman" w:hAnsi="Times New Roman" w:cs="Times New Roman"/>
          <w:sz w:val="24"/>
          <w:szCs w:val="24"/>
        </w:rPr>
        <w:t xml:space="preserve">anbul Yeni Yüzyıl Üniversitesi. </w:t>
      </w:r>
    </w:p>
    <w:p w:rsidR="00FF50F3" w:rsidRPr="003259A6" w:rsidRDefault="003259A6"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ERDEM, E. ve</w:t>
      </w:r>
      <w:r w:rsidRPr="00EF0E1F">
        <w:rPr>
          <w:rFonts w:ascii="Times New Roman" w:hAnsi="Times New Roman" w:cs="Times New Roman"/>
          <w:sz w:val="24"/>
          <w:szCs w:val="24"/>
        </w:rPr>
        <w:t xml:space="preserve"> ÇELİK, B</w:t>
      </w:r>
      <w:r w:rsidR="009009A9" w:rsidRPr="00EF0E1F">
        <w:rPr>
          <w:rFonts w:ascii="Times New Roman" w:hAnsi="Times New Roman" w:cs="Times New Roman"/>
          <w:sz w:val="24"/>
          <w:szCs w:val="24"/>
        </w:rPr>
        <w:t>.</w:t>
      </w:r>
      <w:r>
        <w:rPr>
          <w:rFonts w:ascii="Times New Roman" w:hAnsi="Times New Roman" w:cs="Times New Roman"/>
          <w:sz w:val="24"/>
          <w:szCs w:val="24"/>
        </w:rPr>
        <w:t>,</w:t>
      </w:r>
      <w:r w:rsidR="009009A9" w:rsidRPr="00EF0E1F">
        <w:rPr>
          <w:rFonts w:ascii="Times New Roman" w:hAnsi="Times New Roman" w:cs="Times New Roman"/>
          <w:sz w:val="24"/>
          <w:szCs w:val="24"/>
        </w:rPr>
        <w:t xml:space="preserve"> (2019), İnsani Gelişme ve Ekonomik Büyüme İlişkisi: Bazı Afrika</w:t>
      </w:r>
      <w:r>
        <w:rPr>
          <w:rFonts w:ascii="Times New Roman" w:hAnsi="Times New Roman" w:cs="Times New Roman"/>
          <w:sz w:val="24"/>
          <w:szCs w:val="24"/>
        </w:rPr>
        <w:t xml:space="preserve"> Ülkeleri Üzerine Bir Uygulama, </w:t>
      </w:r>
      <w:r w:rsidR="009009A9" w:rsidRPr="003259A6">
        <w:rPr>
          <w:rFonts w:ascii="Times New Roman" w:hAnsi="Times New Roman" w:cs="Times New Roman"/>
          <w:iCs/>
          <w:sz w:val="24"/>
          <w:szCs w:val="24"/>
        </w:rPr>
        <w:t>Bingöl Üniversitesi Sosyal Bilimler Enstitüsü Dergisi</w:t>
      </w:r>
      <w:r w:rsidR="009009A9" w:rsidRPr="003259A6">
        <w:rPr>
          <w:rFonts w:ascii="Times New Roman" w:hAnsi="Times New Roman" w:cs="Times New Roman"/>
          <w:sz w:val="24"/>
          <w:szCs w:val="24"/>
        </w:rPr>
        <w:t>, </w:t>
      </w:r>
      <w:r w:rsidR="009009A9" w:rsidRPr="003259A6">
        <w:rPr>
          <w:rFonts w:ascii="Times New Roman" w:hAnsi="Times New Roman" w:cs="Times New Roman"/>
          <w:iCs/>
          <w:sz w:val="24"/>
          <w:szCs w:val="24"/>
        </w:rPr>
        <w:t>9</w:t>
      </w:r>
      <w:r w:rsidR="009009A9" w:rsidRPr="003259A6">
        <w:rPr>
          <w:rFonts w:ascii="Times New Roman" w:hAnsi="Times New Roman" w:cs="Times New Roman"/>
          <w:sz w:val="24"/>
          <w:szCs w:val="24"/>
        </w:rPr>
        <w:t>(17), 13-36.</w:t>
      </w:r>
    </w:p>
    <w:p w:rsidR="00FF50F3" w:rsidRPr="00EF0E1F" w:rsidRDefault="003259A6" w:rsidP="001B5C7A">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GEMMEL, N. (</w:t>
      </w:r>
      <w:r w:rsidR="009009A9" w:rsidRPr="00EF0E1F">
        <w:rPr>
          <w:rFonts w:ascii="Times New Roman" w:hAnsi="Times New Roman" w:cs="Times New Roman"/>
          <w:sz w:val="24"/>
          <w:szCs w:val="24"/>
        </w:rPr>
        <w:t xml:space="preserve">1995), The Growth of the Public Sector, Theories and International Evidence, </w:t>
      </w:r>
      <w:r w:rsidR="001B5C7A">
        <w:rPr>
          <w:rFonts w:ascii="Times New Roman" w:hAnsi="Times New Roman" w:cs="Times New Roman"/>
          <w:sz w:val="24"/>
          <w:szCs w:val="24"/>
        </w:rPr>
        <w:t xml:space="preserve">UK: Edward Elgar Publishing. </w:t>
      </w:r>
    </w:p>
    <w:p w:rsidR="00FF50F3" w:rsidRPr="00EF0E1F" w:rsidRDefault="001B5C7A"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GÖKBUNAR, A. R., UĞUR, A. ve</w:t>
      </w:r>
      <w:r w:rsidRPr="00EF0E1F">
        <w:rPr>
          <w:rFonts w:ascii="Times New Roman" w:hAnsi="Times New Roman" w:cs="Times New Roman"/>
          <w:sz w:val="24"/>
          <w:szCs w:val="24"/>
        </w:rPr>
        <w:t xml:space="preserve"> DURAMAZ, S</w:t>
      </w:r>
      <w:r w:rsidR="009009A9" w:rsidRPr="00EF0E1F">
        <w:rPr>
          <w:rFonts w:ascii="Times New Roman" w:hAnsi="Times New Roman" w:cs="Times New Roman"/>
          <w:sz w:val="24"/>
          <w:szCs w:val="24"/>
        </w:rPr>
        <w:t>.</w:t>
      </w:r>
      <w:r>
        <w:rPr>
          <w:rFonts w:ascii="Times New Roman" w:hAnsi="Times New Roman" w:cs="Times New Roman"/>
          <w:sz w:val="24"/>
          <w:szCs w:val="24"/>
        </w:rPr>
        <w:t>,</w:t>
      </w:r>
      <w:r w:rsidR="009009A9" w:rsidRPr="00EF0E1F">
        <w:rPr>
          <w:rFonts w:ascii="Times New Roman" w:hAnsi="Times New Roman" w:cs="Times New Roman"/>
          <w:sz w:val="24"/>
          <w:szCs w:val="24"/>
        </w:rPr>
        <w:t xml:space="preserve"> (2016), Yaşlı Nüfusa Yönelik Sağlık Harcamalarının Azaltılmasında Kamusal Politikaların Önemi, </w:t>
      </w:r>
      <w:r w:rsidR="009009A9" w:rsidRPr="00EF0E1F">
        <w:rPr>
          <w:rFonts w:ascii="Times New Roman" w:hAnsi="Times New Roman" w:cs="Times New Roman"/>
          <w:iCs/>
          <w:sz w:val="24"/>
          <w:szCs w:val="24"/>
        </w:rPr>
        <w:t>International Journal of Economic &amp; Social Research</w:t>
      </w:r>
      <w:r w:rsidR="009009A9" w:rsidRPr="00EF0E1F">
        <w:rPr>
          <w:rFonts w:ascii="Times New Roman" w:hAnsi="Times New Roman" w:cs="Times New Roman"/>
          <w:sz w:val="24"/>
          <w:szCs w:val="24"/>
        </w:rPr>
        <w:t>, </w:t>
      </w:r>
      <w:r w:rsidR="009009A9" w:rsidRPr="00EF0E1F">
        <w:rPr>
          <w:rFonts w:ascii="Times New Roman" w:hAnsi="Times New Roman" w:cs="Times New Roman"/>
          <w:iCs/>
          <w:sz w:val="24"/>
          <w:szCs w:val="24"/>
        </w:rPr>
        <w:t>12</w:t>
      </w:r>
      <w:r w:rsidR="009009A9" w:rsidRPr="00EF0E1F">
        <w:rPr>
          <w:rFonts w:ascii="Times New Roman" w:hAnsi="Times New Roman" w:cs="Times New Roman"/>
          <w:sz w:val="24"/>
          <w:szCs w:val="24"/>
        </w:rPr>
        <w:t>(1), 109-122.</w:t>
      </w:r>
    </w:p>
    <w:p w:rsidR="00FF50F3" w:rsidRPr="00EF0E1F" w:rsidRDefault="001B5C7A"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GRANGER, C.W J., </w:t>
      </w:r>
      <w:r w:rsidR="009009A9" w:rsidRPr="00EF0E1F">
        <w:rPr>
          <w:rFonts w:ascii="Times New Roman" w:hAnsi="Times New Roman" w:cs="Times New Roman"/>
          <w:sz w:val="24"/>
          <w:szCs w:val="24"/>
        </w:rPr>
        <w:t xml:space="preserve">(1969), </w:t>
      </w:r>
      <w:r w:rsidRPr="001B5C7A">
        <w:rPr>
          <w:rFonts w:ascii="Times New Roman" w:hAnsi="Times New Roman" w:cs="Times New Roman"/>
          <w:sz w:val="24"/>
          <w:szCs w:val="24"/>
        </w:rPr>
        <w:t>Investigating Causal Relations by Econometric Models and Cross-spectral Methods</w:t>
      </w:r>
      <w:r>
        <w:rPr>
          <w:rFonts w:ascii="Times New Roman" w:hAnsi="Times New Roman" w:cs="Times New Roman"/>
          <w:sz w:val="24"/>
          <w:szCs w:val="24"/>
        </w:rPr>
        <w:t xml:space="preserve">, </w:t>
      </w:r>
      <w:r w:rsidR="009009A9" w:rsidRPr="00EF0E1F">
        <w:rPr>
          <w:rFonts w:ascii="Times New Roman" w:hAnsi="Times New Roman" w:cs="Times New Roman"/>
          <w:sz w:val="24"/>
          <w:szCs w:val="24"/>
        </w:rPr>
        <w:t>Econometrica, 37, 424-438.</w:t>
      </w:r>
      <w:r>
        <w:rPr>
          <w:rFonts w:ascii="Times New Roman" w:hAnsi="Times New Roman" w:cs="Times New Roman"/>
          <w:sz w:val="24"/>
          <w:szCs w:val="24"/>
        </w:rPr>
        <w:t xml:space="preserve"> </w:t>
      </w:r>
    </w:p>
    <w:p w:rsidR="00FF50F3" w:rsidRPr="00EF0E1F" w:rsidRDefault="001B5C7A"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GROSSMAN, M.</w:t>
      </w:r>
      <w:r>
        <w:rPr>
          <w:rFonts w:ascii="Times New Roman" w:hAnsi="Times New Roman" w:cs="Times New Roman"/>
          <w:sz w:val="24"/>
          <w:szCs w:val="24"/>
        </w:rPr>
        <w:t>,</w:t>
      </w:r>
      <w:r w:rsidRPr="00EF0E1F">
        <w:rPr>
          <w:rFonts w:ascii="Times New Roman" w:hAnsi="Times New Roman" w:cs="Times New Roman"/>
          <w:sz w:val="24"/>
          <w:szCs w:val="24"/>
        </w:rPr>
        <w:t xml:space="preserve"> (1972), </w:t>
      </w:r>
      <w:r w:rsidR="009009A9" w:rsidRPr="00EF0E1F">
        <w:rPr>
          <w:rFonts w:ascii="Times New Roman" w:hAnsi="Times New Roman" w:cs="Times New Roman"/>
          <w:sz w:val="24"/>
          <w:szCs w:val="24"/>
        </w:rPr>
        <w:t>On the Concept of Health Capital and the Demand for Health, The Journal of Political Economy, 80(2), 223-255.</w:t>
      </w:r>
    </w:p>
    <w:p w:rsidR="001B5C7A" w:rsidRDefault="001B5C7A"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GUJARATI, D.</w:t>
      </w:r>
      <w:r>
        <w:rPr>
          <w:rFonts w:ascii="Times New Roman" w:hAnsi="Times New Roman" w:cs="Times New Roman"/>
          <w:sz w:val="24"/>
          <w:szCs w:val="24"/>
        </w:rPr>
        <w:t>,</w:t>
      </w:r>
      <w:r w:rsidRPr="00EF0E1F">
        <w:rPr>
          <w:rFonts w:ascii="Times New Roman" w:hAnsi="Times New Roman" w:cs="Times New Roman"/>
          <w:sz w:val="24"/>
          <w:szCs w:val="24"/>
        </w:rPr>
        <w:t xml:space="preserve"> </w:t>
      </w:r>
      <w:r>
        <w:rPr>
          <w:rFonts w:ascii="Times New Roman" w:hAnsi="Times New Roman" w:cs="Times New Roman"/>
          <w:sz w:val="24"/>
          <w:szCs w:val="24"/>
        </w:rPr>
        <w:t>(2016), Örneklerle Ekonometri, Nasip</w:t>
      </w:r>
      <w:r w:rsidR="009009A9" w:rsidRPr="00EF0E1F">
        <w:rPr>
          <w:rFonts w:ascii="Times New Roman" w:hAnsi="Times New Roman" w:cs="Times New Roman"/>
          <w:sz w:val="24"/>
          <w:szCs w:val="24"/>
        </w:rPr>
        <w:t xml:space="preserve"> BULUTOĞLU, (Çev.), </w:t>
      </w:r>
      <w:r>
        <w:rPr>
          <w:rFonts w:ascii="Times New Roman" w:hAnsi="Times New Roman" w:cs="Times New Roman"/>
          <w:sz w:val="24"/>
          <w:szCs w:val="24"/>
        </w:rPr>
        <w:t>Ankara: BB101 Yayınları.</w:t>
      </w:r>
    </w:p>
    <w:p w:rsidR="00FF50F3" w:rsidRPr="00EF0E1F" w:rsidRDefault="001B5C7A"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 xml:space="preserve">GÜLER, A. </w:t>
      </w:r>
      <w:r>
        <w:rPr>
          <w:rFonts w:ascii="Times New Roman" w:hAnsi="Times New Roman" w:cs="Times New Roman"/>
          <w:sz w:val="24"/>
          <w:szCs w:val="24"/>
        </w:rPr>
        <w:t>ve</w:t>
      </w:r>
      <w:r w:rsidRPr="00EF0E1F">
        <w:rPr>
          <w:rFonts w:ascii="Times New Roman" w:hAnsi="Times New Roman" w:cs="Times New Roman"/>
          <w:sz w:val="24"/>
          <w:szCs w:val="24"/>
        </w:rPr>
        <w:t xml:space="preserve"> ÖZYURT, H.</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 xml:space="preserve">(2011), Merkez Bankası Bağımsızlığı ve Reel Ekonomik </w:t>
      </w:r>
      <w:r>
        <w:rPr>
          <w:rFonts w:ascii="Times New Roman" w:hAnsi="Times New Roman" w:cs="Times New Roman"/>
          <w:sz w:val="24"/>
          <w:szCs w:val="24"/>
        </w:rPr>
        <w:t xml:space="preserve">Performans: Panel ARDL Analizi, </w:t>
      </w:r>
      <w:r w:rsidR="009009A9" w:rsidRPr="00EF0E1F">
        <w:rPr>
          <w:rFonts w:ascii="Times New Roman" w:hAnsi="Times New Roman" w:cs="Times New Roman"/>
          <w:sz w:val="24"/>
          <w:szCs w:val="24"/>
        </w:rPr>
        <w:t>Ekonomi Bilimleri Dergisi, 3(2), 11-20.</w:t>
      </w:r>
    </w:p>
    <w:p w:rsidR="00FF50F3" w:rsidRPr="00EF0E1F" w:rsidRDefault="00EA2D17"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HESHMATI</w:t>
      </w:r>
      <w:r w:rsidRPr="00EF0E1F">
        <w:rPr>
          <w:rFonts w:ascii="Times New Roman" w:hAnsi="Times New Roman" w:cs="Times New Roman"/>
          <w:sz w:val="24"/>
          <w:szCs w:val="24"/>
        </w:rPr>
        <w:t>, A.</w:t>
      </w:r>
      <w:r>
        <w:rPr>
          <w:rFonts w:ascii="Times New Roman" w:hAnsi="Times New Roman" w:cs="Times New Roman"/>
          <w:sz w:val="24"/>
          <w:szCs w:val="24"/>
        </w:rPr>
        <w:t>,</w:t>
      </w:r>
      <w:r w:rsidRPr="00EF0E1F">
        <w:rPr>
          <w:rFonts w:ascii="Times New Roman" w:hAnsi="Times New Roman" w:cs="Times New Roman"/>
          <w:sz w:val="24"/>
          <w:szCs w:val="24"/>
        </w:rPr>
        <w:t xml:space="preserve"> (2001), </w:t>
      </w:r>
      <w:r w:rsidR="009009A9" w:rsidRPr="00EF0E1F">
        <w:rPr>
          <w:rFonts w:ascii="Times New Roman" w:hAnsi="Times New Roman" w:cs="Times New Roman"/>
          <w:sz w:val="24"/>
          <w:szCs w:val="24"/>
        </w:rPr>
        <w:t xml:space="preserve">On The Causality Between </w:t>
      </w:r>
      <w:r w:rsidRPr="00EF0E1F">
        <w:rPr>
          <w:rFonts w:ascii="Times New Roman" w:hAnsi="Times New Roman" w:cs="Times New Roman"/>
          <w:sz w:val="24"/>
          <w:szCs w:val="24"/>
        </w:rPr>
        <w:t>GDP</w:t>
      </w:r>
      <w:r>
        <w:rPr>
          <w:rFonts w:ascii="Times New Roman" w:hAnsi="Times New Roman" w:cs="Times New Roman"/>
          <w:sz w:val="24"/>
          <w:szCs w:val="24"/>
        </w:rPr>
        <w:t xml:space="preserve"> a</w:t>
      </w:r>
      <w:r w:rsidR="00687288">
        <w:rPr>
          <w:rFonts w:ascii="Times New Roman" w:hAnsi="Times New Roman" w:cs="Times New Roman"/>
          <w:sz w:val="24"/>
          <w:szCs w:val="24"/>
        </w:rPr>
        <w:t>nd Health Care Expenditure i</w:t>
      </w:r>
      <w:r w:rsidR="009009A9" w:rsidRPr="00EF0E1F">
        <w:rPr>
          <w:rFonts w:ascii="Times New Roman" w:hAnsi="Times New Roman" w:cs="Times New Roman"/>
          <w:sz w:val="24"/>
          <w:szCs w:val="24"/>
        </w:rPr>
        <w:t>n Augmented Solow Growth Model</w:t>
      </w:r>
      <w:r w:rsidR="00687288">
        <w:rPr>
          <w:rFonts w:ascii="Times New Roman" w:hAnsi="Times New Roman" w:cs="Times New Roman"/>
          <w:sz w:val="24"/>
          <w:szCs w:val="24"/>
        </w:rPr>
        <w:t xml:space="preserve">, SSE/EFI Working Paper Series in Economics and Finance, 423. </w:t>
      </w:r>
    </w:p>
    <w:p w:rsidR="00FF50F3" w:rsidRPr="00EF0E1F" w:rsidRDefault="00687288"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 xml:space="preserve">IM, K.S., </w:t>
      </w:r>
      <w:r>
        <w:rPr>
          <w:rFonts w:ascii="Times New Roman" w:hAnsi="Times New Roman" w:cs="Times New Roman"/>
          <w:sz w:val="24"/>
          <w:szCs w:val="24"/>
        </w:rPr>
        <w:t xml:space="preserve">PESARAN, </w:t>
      </w:r>
      <w:r w:rsidRPr="00EF0E1F">
        <w:rPr>
          <w:rFonts w:ascii="Times New Roman" w:hAnsi="Times New Roman" w:cs="Times New Roman"/>
          <w:sz w:val="24"/>
          <w:szCs w:val="24"/>
        </w:rPr>
        <w:t>M.</w:t>
      </w:r>
      <w:r>
        <w:rPr>
          <w:rFonts w:ascii="Times New Roman" w:hAnsi="Times New Roman" w:cs="Times New Roman"/>
          <w:sz w:val="24"/>
          <w:szCs w:val="24"/>
        </w:rPr>
        <w:t xml:space="preserve"> H. ve SHIN, Y.,</w:t>
      </w:r>
      <w:r w:rsidRPr="00EF0E1F">
        <w:rPr>
          <w:rFonts w:ascii="Times New Roman" w:hAnsi="Times New Roman" w:cs="Times New Roman"/>
          <w:sz w:val="24"/>
          <w:szCs w:val="24"/>
        </w:rPr>
        <w:t xml:space="preserve"> </w:t>
      </w:r>
      <w:r>
        <w:rPr>
          <w:rFonts w:ascii="Times New Roman" w:hAnsi="Times New Roman" w:cs="Times New Roman"/>
          <w:sz w:val="24"/>
          <w:szCs w:val="24"/>
        </w:rPr>
        <w:t>(2003), Testing for Unit Roots i</w:t>
      </w:r>
      <w:r w:rsidR="009009A9" w:rsidRPr="00EF0E1F">
        <w:rPr>
          <w:rFonts w:ascii="Times New Roman" w:hAnsi="Times New Roman" w:cs="Times New Roman"/>
          <w:sz w:val="24"/>
          <w:szCs w:val="24"/>
        </w:rPr>
        <w:t>n Hete</w:t>
      </w:r>
      <w:r>
        <w:rPr>
          <w:rFonts w:ascii="Times New Roman" w:hAnsi="Times New Roman" w:cs="Times New Roman"/>
          <w:sz w:val="24"/>
          <w:szCs w:val="24"/>
        </w:rPr>
        <w:t>rogeneous Panels, Journal o</w:t>
      </w:r>
      <w:r w:rsidR="009009A9" w:rsidRPr="00EF0E1F">
        <w:rPr>
          <w:rFonts w:ascii="Times New Roman" w:hAnsi="Times New Roman" w:cs="Times New Roman"/>
          <w:sz w:val="24"/>
          <w:szCs w:val="24"/>
        </w:rPr>
        <w:t>f Econometrics, 115(1), 53- 74.</w:t>
      </w:r>
      <w:r>
        <w:rPr>
          <w:rFonts w:ascii="Times New Roman" w:hAnsi="Times New Roman" w:cs="Times New Roman"/>
          <w:sz w:val="24"/>
          <w:szCs w:val="24"/>
        </w:rPr>
        <w:t xml:space="preserve"> </w:t>
      </w:r>
    </w:p>
    <w:p w:rsidR="00FF50F3" w:rsidRPr="00EF0E1F" w:rsidRDefault="00687288"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KAMACI, A. ve</w:t>
      </w:r>
      <w:r w:rsidRPr="00EF0E1F">
        <w:rPr>
          <w:rFonts w:ascii="Times New Roman" w:hAnsi="Times New Roman" w:cs="Times New Roman"/>
          <w:sz w:val="24"/>
          <w:szCs w:val="24"/>
        </w:rPr>
        <w:t xml:space="preserve"> YAZICI, H. U.</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2017), OECD Ülkelerinde Sağlık Harcamalarının Ekonomik Büyüme Üzerindeki Etkisinin Ekonometrik Analizi, </w:t>
      </w:r>
      <w:r w:rsidR="009009A9" w:rsidRPr="00687288">
        <w:rPr>
          <w:rFonts w:ascii="Times New Roman" w:hAnsi="Times New Roman" w:cs="Times New Roman"/>
          <w:iCs/>
          <w:sz w:val="24"/>
          <w:szCs w:val="24"/>
        </w:rPr>
        <w:t>Sakarya İktisat Dergisi</w:t>
      </w:r>
      <w:r w:rsidR="009009A9" w:rsidRPr="00687288">
        <w:rPr>
          <w:rFonts w:ascii="Times New Roman" w:hAnsi="Times New Roman" w:cs="Times New Roman"/>
          <w:sz w:val="24"/>
          <w:szCs w:val="24"/>
        </w:rPr>
        <w:t>,</w:t>
      </w:r>
      <w:r w:rsidR="009009A9" w:rsidRPr="00EF0E1F">
        <w:rPr>
          <w:rFonts w:ascii="Times New Roman" w:hAnsi="Times New Roman" w:cs="Times New Roman"/>
          <w:sz w:val="24"/>
          <w:szCs w:val="24"/>
        </w:rPr>
        <w:t> </w:t>
      </w:r>
      <w:r w:rsidR="009009A9" w:rsidRPr="00687288">
        <w:rPr>
          <w:rFonts w:ascii="Times New Roman" w:hAnsi="Times New Roman" w:cs="Times New Roman"/>
          <w:iCs/>
          <w:sz w:val="24"/>
          <w:szCs w:val="24"/>
        </w:rPr>
        <w:t>6</w:t>
      </w:r>
      <w:r w:rsidR="009009A9" w:rsidRPr="00687288">
        <w:rPr>
          <w:rFonts w:ascii="Times New Roman" w:hAnsi="Times New Roman" w:cs="Times New Roman"/>
          <w:sz w:val="24"/>
          <w:szCs w:val="24"/>
        </w:rPr>
        <w:t>(2),</w:t>
      </w:r>
      <w:r w:rsidR="009009A9" w:rsidRPr="00EF0E1F">
        <w:rPr>
          <w:rFonts w:ascii="Times New Roman" w:hAnsi="Times New Roman" w:cs="Times New Roman"/>
          <w:sz w:val="24"/>
          <w:szCs w:val="24"/>
        </w:rPr>
        <w:t xml:space="preserve"> 52-69.</w:t>
      </w:r>
    </w:p>
    <w:p w:rsidR="00FF50F3" w:rsidRPr="00EF0E1F" w:rsidRDefault="00687288"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KAR, M. ve</w:t>
      </w:r>
      <w:r w:rsidRPr="00EF0E1F">
        <w:rPr>
          <w:rFonts w:ascii="Times New Roman" w:hAnsi="Times New Roman" w:cs="Times New Roman"/>
          <w:sz w:val="24"/>
          <w:szCs w:val="24"/>
        </w:rPr>
        <w:t xml:space="preserve"> TABAN, S.</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(2003), Kamu Harcama Çeşitlerinin Ek</w:t>
      </w:r>
      <w:r>
        <w:rPr>
          <w:rFonts w:ascii="Times New Roman" w:hAnsi="Times New Roman" w:cs="Times New Roman"/>
          <w:sz w:val="24"/>
          <w:szCs w:val="24"/>
        </w:rPr>
        <w:t xml:space="preserve">onomik Büyüme Üzerine Etkileri, </w:t>
      </w:r>
      <w:r w:rsidR="009009A9" w:rsidRPr="00EF0E1F">
        <w:rPr>
          <w:rFonts w:ascii="Times New Roman" w:hAnsi="Times New Roman" w:cs="Times New Roman"/>
          <w:sz w:val="24"/>
          <w:szCs w:val="24"/>
        </w:rPr>
        <w:t>Ankara Üniversitesi SBF Dergisi, 58 (03), 145-169.</w:t>
      </w:r>
      <w:r>
        <w:rPr>
          <w:rFonts w:ascii="Times New Roman" w:hAnsi="Times New Roman" w:cs="Times New Roman"/>
          <w:sz w:val="24"/>
          <w:szCs w:val="24"/>
        </w:rPr>
        <w:t xml:space="preserve"> </w:t>
      </w:r>
    </w:p>
    <w:p w:rsidR="00FF50F3" w:rsidRPr="00EF0E1F" w:rsidRDefault="00A878E7"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KAR, M. ve</w:t>
      </w:r>
      <w:r w:rsidRPr="00EF0E1F">
        <w:rPr>
          <w:rFonts w:ascii="Times New Roman" w:hAnsi="Times New Roman" w:cs="Times New Roman"/>
          <w:sz w:val="24"/>
          <w:szCs w:val="24"/>
        </w:rPr>
        <w:t xml:space="preserve"> AĞIR, H.</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(2006), Türkiye’de Beşerî Sermaye ve Ekonomik Büyüme İlişkisi: Eşb</w:t>
      </w:r>
      <w:r>
        <w:rPr>
          <w:rFonts w:ascii="Times New Roman" w:hAnsi="Times New Roman" w:cs="Times New Roman"/>
          <w:sz w:val="24"/>
          <w:szCs w:val="24"/>
        </w:rPr>
        <w:t>ütünleşme ile Nedensellik Testi</w:t>
      </w:r>
      <w:r w:rsidR="009009A9" w:rsidRPr="00EF0E1F">
        <w:rPr>
          <w:rFonts w:ascii="Times New Roman" w:hAnsi="Times New Roman" w:cs="Times New Roman"/>
          <w:sz w:val="24"/>
          <w:szCs w:val="24"/>
        </w:rPr>
        <w:t xml:space="preserve"> </w:t>
      </w:r>
      <w:r>
        <w:rPr>
          <w:rFonts w:ascii="Times New Roman" w:hAnsi="Times New Roman" w:cs="Times New Roman"/>
          <w:sz w:val="24"/>
          <w:szCs w:val="24"/>
        </w:rPr>
        <w:t>(</w:t>
      </w:r>
      <w:r w:rsidR="009009A9" w:rsidRPr="00EF0E1F">
        <w:rPr>
          <w:rFonts w:ascii="Times New Roman" w:hAnsi="Times New Roman" w:cs="Times New Roman"/>
          <w:sz w:val="24"/>
          <w:szCs w:val="24"/>
        </w:rPr>
        <w:t>1926-1994</w:t>
      </w:r>
      <w:r>
        <w:rPr>
          <w:rFonts w:ascii="Times New Roman" w:hAnsi="Times New Roman" w:cs="Times New Roman"/>
          <w:sz w:val="24"/>
          <w:szCs w:val="24"/>
        </w:rPr>
        <w:t>)</w:t>
      </w:r>
      <w:r w:rsidR="009009A9" w:rsidRPr="00EF0E1F">
        <w:rPr>
          <w:rFonts w:ascii="Times New Roman" w:hAnsi="Times New Roman" w:cs="Times New Roman"/>
          <w:sz w:val="24"/>
          <w:szCs w:val="24"/>
        </w:rPr>
        <w:t>, SÜ İİBF Sosyal ve Ekonomik Araştırmalar Dergisi, 11, 51-68.</w:t>
      </w:r>
      <w:r>
        <w:rPr>
          <w:rFonts w:ascii="Times New Roman" w:hAnsi="Times New Roman" w:cs="Times New Roman"/>
          <w:sz w:val="24"/>
          <w:szCs w:val="24"/>
        </w:rPr>
        <w:t xml:space="preserve"> </w:t>
      </w:r>
    </w:p>
    <w:p w:rsidR="00FF50F3" w:rsidRPr="00EF0E1F" w:rsidRDefault="0001354A"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KAR, M., NAZLIOĞLU, Ş. ve</w:t>
      </w:r>
      <w:r w:rsidRPr="00EF0E1F">
        <w:rPr>
          <w:rFonts w:ascii="Times New Roman" w:hAnsi="Times New Roman" w:cs="Times New Roman"/>
          <w:sz w:val="24"/>
          <w:szCs w:val="24"/>
        </w:rPr>
        <w:t xml:space="preserve"> AĞIR, H.</w:t>
      </w:r>
      <w:r>
        <w:rPr>
          <w:rFonts w:ascii="Times New Roman" w:hAnsi="Times New Roman" w:cs="Times New Roman"/>
          <w:sz w:val="24"/>
          <w:szCs w:val="24"/>
        </w:rPr>
        <w:t>,</w:t>
      </w:r>
      <w:r w:rsidRPr="00EF0E1F">
        <w:rPr>
          <w:rFonts w:ascii="Times New Roman" w:hAnsi="Times New Roman" w:cs="Times New Roman"/>
          <w:sz w:val="24"/>
          <w:szCs w:val="24"/>
        </w:rPr>
        <w:t xml:space="preserve"> (2011</w:t>
      </w:r>
      <w:r w:rsidR="009009A9" w:rsidRPr="00EF0E1F">
        <w:rPr>
          <w:rFonts w:ascii="Times New Roman" w:hAnsi="Times New Roman" w:cs="Times New Roman"/>
          <w:sz w:val="24"/>
          <w:szCs w:val="24"/>
        </w:rPr>
        <w:t>), Financial Developmen</w:t>
      </w:r>
      <w:r>
        <w:rPr>
          <w:rFonts w:ascii="Times New Roman" w:hAnsi="Times New Roman" w:cs="Times New Roman"/>
          <w:sz w:val="24"/>
          <w:szCs w:val="24"/>
        </w:rPr>
        <w:t>t and Economic Growth Nexus in t</w:t>
      </w:r>
      <w:r w:rsidR="009009A9" w:rsidRPr="00EF0E1F">
        <w:rPr>
          <w:rFonts w:ascii="Times New Roman" w:hAnsi="Times New Roman" w:cs="Times New Roman"/>
          <w:sz w:val="24"/>
          <w:szCs w:val="24"/>
        </w:rPr>
        <w:t>he MENA Countries: Boostrap Panel Granger Causality Analysis, Economic Modelling, 28/1-2, 685-693.</w:t>
      </w:r>
      <w:r>
        <w:rPr>
          <w:rFonts w:ascii="Times New Roman" w:hAnsi="Times New Roman" w:cs="Times New Roman"/>
          <w:sz w:val="24"/>
          <w:szCs w:val="24"/>
        </w:rPr>
        <w:t xml:space="preserve"> </w:t>
      </w:r>
    </w:p>
    <w:p w:rsidR="00FF50F3" w:rsidRPr="00EF0E1F" w:rsidRDefault="0001354A"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KARAGÜL, M.</w:t>
      </w:r>
      <w:r>
        <w:rPr>
          <w:rFonts w:ascii="Times New Roman" w:hAnsi="Times New Roman" w:cs="Times New Roman"/>
          <w:sz w:val="24"/>
          <w:szCs w:val="24"/>
        </w:rPr>
        <w:t>,</w:t>
      </w:r>
      <w:r w:rsidRPr="00EF0E1F">
        <w:rPr>
          <w:rFonts w:ascii="Times New Roman" w:hAnsi="Times New Roman" w:cs="Times New Roman"/>
          <w:sz w:val="24"/>
          <w:szCs w:val="24"/>
        </w:rPr>
        <w:t xml:space="preserve"> (2002),</w:t>
      </w:r>
      <w:r w:rsidR="009009A9" w:rsidRPr="00EF0E1F">
        <w:rPr>
          <w:rFonts w:ascii="Times New Roman" w:hAnsi="Times New Roman" w:cs="Times New Roman"/>
          <w:sz w:val="24"/>
          <w:szCs w:val="24"/>
        </w:rPr>
        <w:t xml:space="preserve"> Beşerî Sermayenin İktisadi Gelişmedeki Rolü ve Türkiye’deki Önemi, Afyon: Afyonkarahisar Kocatepe</w:t>
      </w:r>
      <w:r>
        <w:rPr>
          <w:rFonts w:ascii="Times New Roman" w:hAnsi="Times New Roman" w:cs="Times New Roman"/>
          <w:sz w:val="24"/>
          <w:szCs w:val="24"/>
        </w:rPr>
        <w:t xml:space="preserve"> Üniversitesi Yayınları. </w:t>
      </w:r>
    </w:p>
    <w:p w:rsidR="00FF50F3" w:rsidRPr="00EF0E1F" w:rsidRDefault="0001354A"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KAREEM, R. O., ADEM</w:t>
      </w:r>
      <w:r>
        <w:rPr>
          <w:rFonts w:ascii="Times New Roman" w:hAnsi="Times New Roman" w:cs="Times New Roman"/>
          <w:sz w:val="24"/>
          <w:szCs w:val="24"/>
        </w:rPr>
        <w:t>OYEWA, G., FAGBOHUN, O. L. &amp; ARI</w:t>
      </w:r>
      <w:r w:rsidRPr="00EF0E1F">
        <w:rPr>
          <w:rFonts w:ascii="Times New Roman" w:hAnsi="Times New Roman" w:cs="Times New Roman"/>
          <w:sz w:val="24"/>
          <w:szCs w:val="24"/>
        </w:rPr>
        <w:t xml:space="preserve">JE, B. R., </w:t>
      </w:r>
      <w:r w:rsidR="009009A9" w:rsidRPr="00EF0E1F">
        <w:rPr>
          <w:rFonts w:ascii="Times New Roman" w:hAnsi="Times New Roman" w:cs="Times New Roman"/>
          <w:sz w:val="24"/>
          <w:szCs w:val="24"/>
        </w:rPr>
        <w:t>(2017), Impact of Federal Government’s Healthcare Expenditure on Economic Growth of Nigeria, Journal of Research in Business, Economics and Management (JRBEM), 1(8), 1329-1343.</w:t>
      </w:r>
      <w:r>
        <w:rPr>
          <w:rFonts w:ascii="Times New Roman" w:hAnsi="Times New Roman" w:cs="Times New Roman"/>
          <w:sz w:val="24"/>
          <w:szCs w:val="24"/>
        </w:rPr>
        <w:t xml:space="preserve"> </w:t>
      </w:r>
    </w:p>
    <w:p w:rsidR="00FF50F3" w:rsidRPr="00EF0E1F" w:rsidRDefault="00AE209E"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KILIÇ, R ve</w:t>
      </w:r>
      <w:r w:rsidRPr="00EF0E1F">
        <w:rPr>
          <w:rFonts w:ascii="Times New Roman" w:hAnsi="Times New Roman" w:cs="Times New Roman"/>
          <w:sz w:val="24"/>
          <w:szCs w:val="24"/>
        </w:rPr>
        <w:t xml:space="preserve"> ÖZBEK, R. İ.. (2018</w:t>
      </w:r>
      <w:r>
        <w:rPr>
          <w:rFonts w:ascii="Times New Roman" w:hAnsi="Times New Roman" w:cs="Times New Roman"/>
          <w:sz w:val="24"/>
          <w:szCs w:val="24"/>
        </w:rPr>
        <w:t>), Sağlık ve Eğitim Hizmetleri i</w:t>
      </w:r>
      <w:r w:rsidR="009009A9" w:rsidRPr="00EF0E1F">
        <w:rPr>
          <w:rFonts w:ascii="Times New Roman" w:hAnsi="Times New Roman" w:cs="Times New Roman"/>
          <w:sz w:val="24"/>
          <w:szCs w:val="24"/>
        </w:rPr>
        <w:t>le Ekonomik Büyüme İlişkisi: OECD Ülkeleri Uygulaması. </w:t>
      </w:r>
      <w:r w:rsidRPr="00AE209E">
        <w:rPr>
          <w:rFonts w:ascii="Times New Roman" w:hAnsi="Times New Roman" w:cs="Times New Roman"/>
          <w:iCs/>
          <w:sz w:val="24"/>
          <w:szCs w:val="24"/>
        </w:rPr>
        <w:t>ODÜ</w:t>
      </w:r>
      <w:r w:rsidR="009009A9" w:rsidRPr="00AE209E">
        <w:rPr>
          <w:rFonts w:ascii="Times New Roman" w:hAnsi="Times New Roman" w:cs="Times New Roman"/>
          <w:iCs/>
          <w:sz w:val="24"/>
          <w:szCs w:val="24"/>
        </w:rPr>
        <w:t xml:space="preserve"> Sosya</w:t>
      </w:r>
      <w:r>
        <w:rPr>
          <w:rFonts w:ascii="Times New Roman" w:hAnsi="Times New Roman" w:cs="Times New Roman"/>
          <w:iCs/>
          <w:sz w:val="24"/>
          <w:szCs w:val="24"/>
        </w:rPr>
        <w:t>l Bilimler Araştırmaları Dergisi</w:t>
      </w:r>
      <w:r w:rsidR="009009A9" w:rsidRPr="00EF0E1F">
        <w:rPr>
          <w:rFonts w:ascii="Times New Roman" w:hAnsi="Times New Roman" w:cs="Times New Roman"/>
          <w:sz w:val="24"/>
          <w:szCs w:val="24"/>
        </w:rPr>
        <w:t>, </w:t>
      </w:r>
      <w:r w:rsidR="009009A9" w:rsidRPr="00AE209E">
        <w:rPr>
          <w:rFonts w:ascii="Times New Roman" w:hAnsi="Times New Roman" w:cs="Times New Roman"/>
          <w:iCs/>
          <w:sz w:val="24"/>
          <w:szCs w:val="24"/>
        </w:rPr>
        <w:t>8</w:t>
      </w:r>
      <w:r w:rsidR="009009A9" w:rsidRPr="00AE209E">
        <w:rPr>
          <w:rFonts w:ascii="Times New Roman" w:hAnsi="Times New Roman" w:cs="Times New Roman"/>
          <w:sz w:val="24"/>
          <w:szCs w:val="24"/>
        </w:rPr>
        <w:t>(2),</w:t>
      </w:r>
      <w:r w:rsidR="009009A9" w:rsidRPr="00EF0E1F">
        <w:rPr>
          <w:rFonts w:ascii="Times New Roman" w:hAnsi="Times New Roman" w:cs="Times New Roman"/>
          <w:sz w:val="24"/>
          <w:szCs w:val="24"/>
        </w:rPr>
        <w:t xml:space="preserve"> 369-391.</w:t>
      </w:r>
      <w:r>
        <w:rPr>
          <w:rFonts w:ascii="Times New Roman" w:hAnsi="Times New Roman" w:cs="Times New Roman"/>
          <w:sz w:val="24"/>
          <w:szCs w:val="24"/>
        </w:rPr>
        <w:t xml:space="preserve"> </w:t>
      </w:r>
    </w:p>
    <w:p w:rsidR="00AE209E" w:rsidRDefault="00AE209E"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KOCABADAK, Y., (2021),</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Kriz ve Salgın Dönemlerinde Sağlık Harcamaları ve Eko</w:t>
      </w:r>
      <w:r>
        <w:rPr>
          <w:rFonts w:ascii="Times New Roman" w:hAnsi="Times New Roman" w:cs="Times New Roman"/>
          <w:sz w:val="24"/>
          <w:szCs w:val="24"/>
        </w:rPr>
        <w:t xml:space="preserve">nomik Büyüme Arasındaki İlişki, </w:t>
      </w:r>
      <w:r w:rsidR="009009A9" w:rsidRPr="00EF0E1F">
        <w:rPr>
          <w:rFonts w:ascii="Times New Roman" w:hAnsi="Times New Roman" w:cs="Times New Roman"/>
          <w:sz w:val="24"/>
          <w:szCs w:val="24"/>
        </w:rPr>
        <w:t>Yüksek Lisans Tezi, Es</w:t>
      </w:r>
      <w:r>
        <w:rPr>
          <w:rFonts w:ascii="Times New Roman" w:hAnsi="Times New Roman" w:cs="Times New Roman"/>
          <w:sz w:val="24"/>
          <w:szCs w:val="24"/>
        </w:rPr>
        <w:t>kişehir Osmangazi Üniversitesi.</w:t>
      </w:r>
    </w:p>
    <w:p w:rsidR="00AF1CA1" w:rsidRDefault="00AF1CA1"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KÜÇÜKHAZAR, M.</w:t>
      </w:r>
      <w:r>
        <w:rPr>
          <w:rFonts w:ascii="Times New Roman" w:hAnsi="Times New Roman" w:cs="Times New Roman"/>
          <w:sz w:val="24"/>
          <w:szCs w:val="24"/>
        </w:rPr>
        <w:t>,</w:t>
      </w:r>
      <w:r w:rsidRPr="00EF0E1F">
        <w:rPr>
          <w:rFonts w:ascii="Times New Roman" w:hAnsi="Times New Roman" w:cs="Times New Roman"/>
          <w:sz w:val="24"/>
          <w:szCs w:val="24"/>
        </w:rPr>
        <w:t> </w:t>
      </w:r>
      <w:r w:rsidR="009009A9" w:rsidRPr="00EF0E1F">
        <w:rPr>
          <w:rFonts w:ascii="Times New Roman" w:hAnsi="Times New Roman" w:cs="Times New Roman"/>
          <w:sz w:val="24"/>
          <w:szCs w:val="24"/>
        </w:rPr>
        <w:t xml:space="preserve">(2019), </w:t>
      </w:r>
      <w:r w:rsidR="009009A9" w:rsidRPr="00EF0E1F">
        <w:rPr>
          <w:rFonts w:ascii="Times New Roman" w:hAnsi="Times New Roman" w:cs="Times New Roman"/>
          <w:iCs/>
          <w:sz w:val="24"/>
          <w:szCs w:val="24"/>
        </w:rPr>
        <w:t>Suriye Kaynaklı Göç Sonrası Türkiye’deki Sağlık Harcamalarının Hayat Kalitesi Üzerine Etkileri: Şanlıurfa İli Örneği, Yüksek Lisans Tezi,</w:t>
      </w:r>
      <w:r>
        <w:rPr>
          <w:rFonts w:ascii="Times New Roman" w:hAnsi="Times New Roman" w:cs="Times New Roman"/>
          <w:sz w:val="24"/>
          <w:szCs w:val="24"/>
        </w:rPr>
        <w:t xml:space="preserve"> Fırat Üniversitesi. </w:t>
      </w:r>
    </w:p>
    <w:p w:rsidR="00FF50F3" w:rsidRPr="00EF0E1F" w:rsidRDefault="00AF1CA1"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LEVIN, A., LIN C.F. ve</w:t>
      </w:r>
      <w:r w:rsidRPr="00EF0E1F">
        <w:rPr>
          <w:rFonts w:ascii="Times New Roman" w:hAnsi="Times New Roman" w:cs="Times New Roman"/>
          <w:sz w:val="24"/>
          <w:szCs w:val="24"/>
        </w:rPr>
        <w:t xml:space="preserve">  CHU C.S.J.</w:t>
      </w:r>
      <w:r>
        <w:rPr>
          <w:rFonts w:ascii="Times New Roman" w:hAnsi="Times New Roman" w:cs="Times New Roman"/>
          <w:sz w:val="24"/>
          <w:szCs w:val="24"/>
        </w:rPr>
        <w:t xml:space="preserve">, </w:t>
      </w:r>
      <w:r w:rsidR="009009A9" w:rsidRPr="00EF0E1F">
        <w:rPr>
          <w:rFonts w:ascii="Times New Roman" w:hAnsi="Times New Roman" w:cs="Times New Roman"/>
          <w:sz w:val="24"/>
          <w:szCs w:val="24"/>
        </w:rPr>
        <w:t>(2002), Unit Root Tests in Panel Data: Asymptotic and Finite-Sample Properties, Journal of Econometrics, 108(1), 1-24.</w:t>
      </w:r>
      <w:r>
        <w:rPr>
          <w:rFonts w:ascii="Times New Roman" w:hAnsi="Times New Roman" w:cs="Times New Roman"/>
          <w:sz w:val="24"/>
          <w:szCs w:val="24"/>
        </w:rPr>
        <w:t xml:space="preserve"> </w:t>
      </w:r>
    </w:p>
    <w:p w:rsidR="00AF1CA1" w:rsidRDefault="00AF1CA1"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LUSTİNG, N., (2006</w:t>
      </w:r>
      <w:r w:rsidR="009009A9" w:rsidRPr="00EF0E1F">
        <w:rPr>
          <w:rFonts w:ascii="Times New Roman" w:hAnsi="Times New Roman" w:cs="Times New Roman"/>
          <w:sz w:val="24"/>
          <w:szCs w:val="24"/>
        </w:rPr>
        <w:t xml:space="preserve">). Investing in </w:t>
      </w:r>
      <w:r>
        <w:rPr>
          <w:rFonts w:ascii="Times New Roman" w:hAnsi="Times New Roman" w:cs="Times New Roman"/>
          <w:sz w:val="24"/>
          <w:szCs w:val="24"/>
        </w:rPr>
        <w:t>Health for Economic Development:</w:t>
      </w:r>
      <w:r w:rsidR="009009A9" w:rsidRPr="00EF0E1F">
        <w:rPr>
          <w:rFonts w:ascii="Times New Roman" w:hAnsi="Times New Roman" w:cs="Times New Roman"/>
          <w:sz w:val="24"/>
          <w:szCs w:val="24"/>
        </w:rPr>
        <w:t xml:space="preserve"> </w:t>
      </w:r>
      <w:r w:rsidRPr="00AF1CA1">
        <w:rPr>
          <w:rFonts w:ascii="Times New Roman" w:hAnsi="Times New Roman" w:cs="Times New Roman"/>
          <w:sz w:val="24"/>
          <w:szCs w:val="24"/>
        </w:rPr>
        <w:t>The case of Mexico, Research Paper, United Nations University (UNU), No. 2006/30</w:t>
      </w:r>
      <w:r>
        <w:rPr>
          <w:rFonts w:ascii="Times New Roman" w:hAnsi="Times New Roman" w:cs="Times New Roman"/>
          <w:sz w:val="24"/>
          <w:szCs w:val="24"/>
        </w:rPr>
        <w:t>.</w:t>
      </w:r>
    </w:p>
    <w:p w:rsidR="00FF50F3" w:rsidRDefault="00AF1CA1"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MAZGİT, İ.</w:t>
      </w:r>
      <w:r>
        <w:rPr>
          <w:rFonts w:ascii="Times New Roman" w:hAnsi="Times New Roman" w:cs="Times New Roman"/>
          <w:sz w:val="24"/>
          <w:szCs w:val="24"/>
        </w:rPr>
        <w:t>,</w:t>
      </w:r>
      <w:r w:rsidRPr="00EF0E1F">
        <w:rPr>
          <w:rFonts w:ascii="Times New Roman" w:hAnsi="Times New Roman" w:cs="Times New Roman"/>
          <w:sz w:val="24"/>
          <w:szCs w:val="24"/>
        </w:rPr>
        <w:t xml:space="preserve"> (2002), </w:t>
      </w:r>
      <w:r w:rsidR="009009A9" w:rsidRPr="00EF0E1F">
        <w:rPr>
          <w:rFonts w:ascii="Times New Roman" w:hAnsi="Times New Roman" w:cs="Times New Roman"/>
          <w:sz w:val="24"/>
          <w:szCs w:val="24"/>
        </w:rPr>
        <w:t>Bilgi Toplumu ve Sağlığın Artan Önemi, I. Ulusal Bilgi, Ekonomi ve Yönetim Kongresi, (Hereke-Kocaeli), 405-415.</w:t>
      </w:r>
    </w:p>
    <w:p w:rsidR="00FF50F3" w:rsidRPr="00EF0E1F" w:rsidRDefault="00974501"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MUTLU, A. ve IŞIK, A</w:t>
      </w:r>
      <w:r w:rsidRPr="00EF0E1F">
        <w:rPr>
          <w:rFonts w:ascii="Times New Roman" w:hAnsi="Times New Roman" w:cs="Times New Roman"/>
          <w:sz w:val="24"/>
          <w:szCs w:val="24"/>
        </w:rPr>
        <w:t>.</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w:t>
      </w:r>
      <w:r>
        <w:rPr>
          <w:rFonts w:ascii="Times New Roman" w:hAnsi="Times New Roman" w:cs="Times New Roman"/>
          <w:sz w:val="24"/>
          <w:szCs w:val="24"/>
        </w:rPr>
        <w:t xml:space="preserve">012), Sağlık Ekonomisine Giriş, Bursa: Ekin Yayınevi. </w:t>
      </w:r>
    </w:p>
    <w:p w:rsidR="00FF50F3" w:rsidRPr="00EF0E1F" w:rsidRDefault="00974501"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NARGELEÇEKENLER, M.</w:t>
      </w:r>
      <w:r>
        <w:rPr>
          <w:rFonts w:ascii="Times New Roman" w:hAnsi="Times New Roman" w:cs="Times New Roman"/>
          <w:sz w:val="24"/>
          <w:szCs w:val="24"/>
        </w:rPr>
        <w:t>,</w:t>
      </w:r>
      <w:r w:rsidR="009009A9" w:rsidRPr="00EF0E1F">
        <w:rPr>
          <w:rFonts w:ascii="Times New Roman" w:hAnsi="Times New Roman" w:cs="Times New Roman"/>
          <w:sz w:val="24"/>
          <w:szCs w:val="24"/>
        </w:rPr>
        <w:t xml:space="preserve"> (2011), Hisse Senedi Fiyatları ve Fiyat/Kazanç Oranı İlişkisi: Panel</w:t>
      </w:r>
      <w:r>
        <w:rPr>
          <w:rFonts w:ascii="Times New Roman" w:hAnsi="Times New Roman" w:cs="Times New Roman"/>
          <w:sz w:val="24"/>
          <w:szCs w:val="24"/>
        </w:rPr>
        <w:t xml:space="preserve"> Verilerle Sektörel Bir Analiz, </w:t>
      </w:r>
      <w:r w:rsidR="009009A9" w:rsidRPr="00EF0E1F">
        <w:rPr>
          <w:rFonts w:ascii="Times New Roman" w:hAnsi="Times New Roman" w:cs="Times New Roman"/>
          <w:sz w:val="24"/>
          <w:szCs w:val="24"/>
        </w:rPr>
        <w:t>Business and Economics Research Journal, 2(2), 165-184.</w:t>
      </w:r>
    </w:p>
    <w:p w:rsidR="00FF50F3" w:rsidRPr="00EF0E1F" w:rsidRDefault="0020108F"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 xml:space="preserve">ODUBUNMI, A. S., SAKA, J. O. </w:t>
      </w:r>
      <w:r>
        <w:rPr>
          <w:rFonts w:ascii="Times New Roman" w:hAnsi="Times New Roman" w:cs="Times New Roman"/>
          <w:sz w:val="24"/>
          <w:szCs w:val="24"/>
        </w:rPr>
        <w:t>ve</w:t>
      </w:r>
      <w:r w:rsidRPr="00EF0E1F">
        <w:rPr>
          <w:rFonts w:ascii="Times New Roman" w:hAnsi="Times New Roman" w:cs="Times New Roman"/>
          <w:sz w:val="24"/>
          <w:szCs w:val="24"/>
        </w:rPr>
        <w:t xml:space="preserve"> OKE, D. M., </w:t>
      </w:r>
      <w:r w:rsidR="009009A9" w:rsidRPr="00EF0E1F">
        <w:rPr>
          <w:rFonts w:ascii="Times New Roman" w:hAnsi="Times New Roman" w:cs="Times New Roman"/>
          <w:sz w:val="24"/>
          <w:szCs w:val="24"/>
        </w:rPr>
        <w:t xml:space="preserve">(2012), Testing </w:t>
      </w:r>
      <w:r>
        <w:rPr>
          <w:rFonts w:ascii="Times New Roman" w:hAnsi="Times New Roman" w:cs="Times New Roman"/>
          <w:sz w:val="24"/>
          <w:szCs w:val="24"/>
        </w:rPr>
        <w:t>the Cointegrating Relationship B</w:t>
      </w:r>
      <w:r w:rsidR="009009A9" w:rsidRPr="00EF0E1F">
        <w:rPr>
          <w:rFonts w:ascii="Times New Roman" w:hAnsi="Times New Roman" w:cs="Times New Roman"/>
          <w:sz w:val="24"/>
          <w:szCs w:val="24"/>
        </w:rPr>
        <w:t>etween Health Care Expenditure and Economic Growth in Nigeria, International Jour</w:t>
      </w:r>
      <w:r>
        <w:rPr>
          <w:rFonts w:ascii="Times New Roman" w:hAnsi="Times New Roman" w:cs="Times New Roman"/>
          <w:sz w:val="24"/>
          <w:szCs w:val="24"/>
        </w:rPr>
        <w:t>nal of Economics and Finance, 4</w:t>
      </w:r>
      <w:r w:rsidR="009009A9" w:rsidRPr="00EF0E1F">
        <w:rPr>
          <w:rFonts w:ascii="Times New Roman" w:hAnsi="Times New Roman" w:cs="Times New Roman"/>
          <w:sz w:val="24"/>
          <w:szCs w:val="24"/>
        </w:rPr>
        <w:t>(11), 99-107.</w:t>
      </w:r>
    </w:p>
    <w:p w:rsidR="00FF50F3" w:rsidRPr="00EF0E1F" w:rsidRDefault="0020108F"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OGUNDIPE, M. A. ve</w:t>
      </w:r>
      <w:r w:rsidRPr="00EF0E1F">
        <w:rPr>
          <w:rFonts w:ascii="Times New Roman" w:hAnsi="Times New Roman" w:cs="Times New Roman"/>
          <w:sz w:val="24"/>
          <w:szCs w:val="24"/>
        </w:rPr>
        <w:t xml:space="preserve"> LAWAL, N. A., (2011), </w:t>
      </w:r>
      <w:r w:rsidR="009009A9" w:rsidRPr="00EF0E1F">
        <w:rPr>
          <w:rFonts w:ascii="Times New Roman" w:hAnsi="Times New Roman" w:cs="Times New Roman"/>
          <w:sz w:val="24"/>
          <w:szCs w:val="24"/>
        </w:rPr>
        <w:t>Health Expenditure and Nigerian Economic Growth, European Journal of Economics, Finance and Administrative Sciences, 30, 125-129.</w:t>
      </w:r>
    </w:p>
    <w:p w:rsidR="00FF50F3" w:rsidRPr="00EF0E1F" w:rsidRDefault="0020108F"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ÖZDAMAR, G.</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 xml:space="preserve">2015), Türkiye Ekonomisinde Döviz Kuru Geçiş Etkisi: ARDL Sınır Yaklaşımı Bulguları, Akdeniz İ.İ.B.F </w:t>
      </w:r>
      <w:r>
        <w:rPr>
          <w:rFonts w:ascii="Times New Roman" w:hAnsi="Times New Roman" w:cs="Times New Roman"/>
          <w:sz w:val="24"/>
          <w:szCs w:val="24"/>
        </w:rPr>
        <w:t>Dergisi 32</w:t>
      </w:r>
      <w:r w:rsidR="009009A9" w:rsidRPr="00EF0E1F">
        <w:rPr>
          <w:rFonts w:ascii="Times New Roman" w:hAnsi="Times New Roman" w:cs="Times New Roman"/>
          <w:sz w:val="24"/>
          <w:szCs w:val="24"/>
        </w:rPr>
        <w:t xml:space="preserve">, 66-97. </w:t>
      </w:r>
    </w:p>
    <w:p w:rsidR="00FF50F3" w:rsidRPr="00EF0E1F" w:rsidRDefault="0020108F"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 xml:space="preserve">ÖZEL, H. A., (2012), </w:t>
      </w:r>
      <w:r w:rsidR="009009A9" w:rsidRPr="00EF0E1F">
        <w:rPr>
          <w:rFonts w:ascii="Times New Roman" w:hAnsi="Times New Roman" w:cs="Times New Roman"/>
          <w:sz w:val="24"/>
          <w:szCs w:val="24"/>
        </w:rPr>
        <w:t>Ekonomik Büyümenin Teorik Temelleri, Çankırı Kara Tekin Üniversitesi İktisadi ve İdari Bilimler Fakültesi Dergisi, 2(1), 63-72.</w:t>
      </w:r>
      <w:r>
        <w:rPr>
          <w:rFonts w:ascii="Times New Roman" w:hAnsi="Times New Roman" w:cs="Times New Roman"/>
          <w:sz w:val="24"/>
          <w:szCs w:val="24"/>
        </w:rPr>
        <w:t xml:space="preserve"> </w:t>
      </w:r>
    </w:p>
    <w:p w:rsidR="00FF50F3" w:rsidRPr="00EF0E1F" w:rsidRDefault="00857FFE"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ÖZTÜRK, S. ve</w:t>
      </w:r>
      <w:r w:rsidRPr="00EF0E1F">
        <w:rPr>
          <w:rFonts w:ascii="Times New Roman" w:hAnsi="Times New Roman" w:cs="Times New Roman"/>
          <w:sz w:val="24"/>
          <w:szCs w:val="24"/>
        </w:rPr>
        <w:t xml:space="preserve"> UÇAN, O.</w:t>
      </w:r>
      <w:r>
        <w:rPr>
          <w:rFonts w:ascii="Times New Roman" w:hAnsi="Times New Roman" w:cs="Times New Roman"/>
          <w:sz w:val="24"/>
          <w:szCs w:val="24"/>
        </w:rPr>
        <w:t>,</w:t>
      </w:r>
      <w:r w:rsidRPr="00EF0E1F">
        <w:rPr>
          <w:rFonts w:ascii="Times New Roman" w:hAnsi="Times New Roman" w:cs="Times New Roman"/>
          <w:sz w:val="24"/>
          <w:szCs w:val="24"/>
        </w:rPr>
        <w:t xml:space="preserve"> (2017</w:t>
      </w:r>
      <w:r w:rsidR="009009A9" w:rsidRPr="00EF0E1F">
        <w:rPr>
          <w:rFonts w:ascii="Times New Roman" w:hAnsi="Times New Roman" w:cs="Times New Roman"/>
          <w:sz w:val="24"/>
          <w:szCs w:val="24"/>
        </w:rPr>
        <w:t>), Türkiye’de Sağlık Harcamalarında Artış Nedenleri: Sağl</w:t>
      </w:r>
      <w:r>
        <w:rPr>
          <w:rFonts w:ascii="Times New Roman" w:hAnsi="Times New Roman" w:cs="Times New Roman"/>
          <w:sz w:val="24"/>
          <w:szCs w:val="24"/>
        </w:rPr>
        <w:t>ık Harcamalarında Artış-</w:t>
      </w:r>
      <w:r w:rsidR="009009A9" w:rsidRPr="00EF0E1F">
        <w:rPr>
          <w:rFonts w:ascii="Times New Roman" w:hAnsi="Times New Roman" w:cs="Times New Roman"/>
          <w:sz w:val="24"/>
          <w:szCs w:val="24"/>
        </w:rPr>
        <w:t>Büyüme İlişkisi</w:t>
      </w:r>
      <w:r>
        <w:rPr>
          <w:rFonts w:ascii="Times New Roman" w:hAnsi="Times New Roman" w:cs="Times New Roman"/>
          <w:sz w:val="24"/>
          <w:szCs w:val="24"/>
        </w:rPr>
        <w:t>, Süleyman Demirel Üniversitesi</w:t>
      </w:r>
      <w:r w:rsidR="009009A9" w:rsidRPr="00EF0E1F">
        <w:rPr>
          <w:rFonts w:ascii="Times New Roman" w:hAnsi="Times New Roman" w:cs="Times New Roman"/>
          <w:sz w:val="24"/>
          <w:szCs w:val="24"/>
        </w:rPr>
        <w:t xml:space="preserve"> İktisadi ve İdari Bilimler Fakültesi Dergisi, 22, 139-152.</w:t>
      </w:r>
      <w:r>
        <w:rPr>
          <w:rFonts w:ascii="Times New Roman" w:hAnsi="Times New Roman" w:cs="Times New Roman"/>
          <w:sz w:val="24"/>
          <w:szCs w:val="24"/>
        </w:rPr>
        <w:t xml:space="preserve"> </w:t>
      </w:r>
    </w:p>
    <w:p w:rsidR="0063679A" w:rsidRDefault="0063679A"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 xml:space="preserve">ÖZYURT, M. (2020), </w:t>
      </w:r>
      <w:r w:rsidR="009009A9" w:rsidRPr="00EF0E1F">
        <w:rPr>
          <w:rFonts w:ascii="Times New Roman" w:hAnsi="Times New Roman" w:cs="Times New Roman"/>
          <w:iCs/>
          <w:sz w:val="24"/>
          <w:szCs w:val="24"/>
        </w:rPr>
        <w:t>Sağlık Harcamaları ve Ekonomik Büyüme Arasındaki İlişki: Türkiye Üzerine Ekonometrik Bir Çalışma</w:t>
      </w:r>
      <w:r w:rsidR="009009A9" w:rsidRPr="00EF0E1F">
        <w:rPr>
          <w:rFonts w:ascii="Times New Roman" w:hAnsi="Times New Roman" w:cs="Times New Roman"/>
          <w:sz w:val="24"/>
          <w:szCs w:val="24"/>
        </w:rPr>
        <w:t>, Yüksek Lisans Tezi, İstanbul Üniversitesi</w:t>
      </w:r>
      <w:r>
        <w:rPr>
          <w:rFonts w:ascii="Times New Roman" w:hAnsi="Times New Roman" w:cs="Times New Roman"/>
          <w:sz w:val="24"/>
          <w:szCs w:val="24"/>
        </w:rPr>
        <w:t>.</w:t>
      </w:r>
    </w:p>
    <w:p w:rsidR="00FF50F3" w:rsidRPr="00EF0E1F" w:rsidRDefault="0063679A"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PESARAN, H., SHIN, Y. ve</w:t>
      </w:r>
      <w:r w:rsidRPr="00EF0E1F">
        <w:rPr>
          <w:rFonts w:ascii="Times New Roman" w:hAnsi="Times New Roman" w:cs="Times New Roman"/>
          <w:sz w:val="24"/>
          <w:szCs w:val="24"/>
        </w:rPr>
        <w:t xml:space="preserve"> SMITH, R.</w:t>
      </w:r>
      <w:r>
        <w:rPr>
          <w:rFonts w:ascii="Times New Roman" w:hAnsi="Times New Roman" w:cs="Times New Roman"/>
          <w:sz w:val="24"/>
          <w:szCs w:val="24"/>
        </w:rPr>
        <w:t>,</w:t>
      </w:r>
      <w:r w:rsidRPr="00EF0E1F">
        <w:rPr>
          <w:rFonts w:ascii="Times New Roman" w:hAnsi="Times New Roman" w:cs="Times New Roman"/>
          <w:sz w:val="24"/>
          <w:szCs w:val="24"/>
        </w:rPr>
        <w:t xml:space="preserve"> (2001), </w:t>
      </w:r>
      <w:r w:rsidR="009009A9" w:rsidRPr="00EF0E1F">
        <w:rPr>
          <w:rFonts w:ascii="Times New Roman" w:hAnsi="Times New Roman" w:cs="Times New Roman"/>
          <w:sz w:val="24"/>
          <w:szCs w:val="24"/>
        </w:rPr>
        <w:t>Bounds Testing Approaches to the Analysis of Level Relationships, Journal of Applied Econometrics,16, 289-326.</w:t>
      </w:r>
    </w:p>
    <w:p w:rsidR="00FF50F3" w:rsidRPr="00EF0E1F" w:rsidRDefault="0063679A"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PESARAN, M. H. ve</w:t>
      </w:r>
      <w:r w:rsidRPr="00EF0E1F">
        <w:rPr>
          <w:rFonts w:ascii="Times New Roman" w:hAnsi="Times New Roman" w:cs="Times New Roman"/>
          <w:sz w:val="24"/>
          <w:szCs w:val="24"/>
        </w:rPr>
        <w:t xml:space="preserve"> SHİN, Y., (1995</w:t>
      </w:r>
      <w:r w:rsidR="009009A9" w:rsidRPr="00EF0E1F">
        <w:rPr>
          <w:rFonts w:ascii="Times New Roman" w:hAnsi="Times New Roman" w:cs="Times New Roman"/>
          <w:sz w:val="24"/>
          <w:szCs w:val="24"/>
        </w:rPr>
        <w:t>), Long-run Structural Modelling, Unpublished Manuscript, University of Cambridge.</w:t>
      </w:r>
      <w:r>
        <w:rPr>
          <w:rFonts w:ascii="Times New Roman" w:hAnsi="Times New Roman" w:cs="Times New Roman"/>
          <w:sz w:val="24"/>
          <w:szCs w:val="24"/>
        </w:rPr>
        <w:t xml:space="preserve"> </w:t>
      </w:r>
    </w:p>
    <w:p w:rsidR="00FF50F3" w:rsidRDefault="0063679A" w:rsidP="0063679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PESARAN, M. H. ve</w:t>
      </w:r>
      <w:r w:rsidRPr="00EF0E1F">
        <w:rPr>
          <w:rFonts w:ascii="Times New Roman" w:hAnsi="Times New Roman" w:cs="Times New Roman"/>
          <w:sz w:val="24"/>
          <w:szCs w:val="24"/>
        </w:rPr>
        <w:t xml:space="preserve"> SHİN, Y., (1999), </w:t>
      </w:r>
      <w:r w:rsidR="009009A9" w:rsidRPr="00EF0E1F">
        <w:rPr>
          <w:rFonts w:ascii="Times New Roman" w:hAnsi="Times New Roman" w:cs="Times New Roman"/>
          <w:sz w:val="24"/>
          <w:szCs w:val="24"/>
        </w:rPr>
        <w:t>An Autodistributed Lag Modeling Appro</w:t>
      </w:r>
      <w:r>
        <w:rPr>
          <w:rFonts w:ascii="Times New Roman" w:hAnsi="Times New Roman" w:cs="Times New Roman"/>
          <w:sz w:val="24"/>
          <w:szCs w:val="24"/>
        </w:rPr>
        <w:t xml:space="preserve">ach to Cointegration Analysis, </w:t>
      </w:r>
      <w:r w:rsidR="009009A9" w:rsidRPr="00EF0E1F">
        <w:rPr>
          <w:rFonts w:ascii="Times New Roman" w:hAnsi="Times New Roman" w:cs="Times New Roman"/>
          <w:sz w:val="24"/>
          <w:szCs w:val="24"/>
        </w:rPr>
        <w:t>Econometrics and Economic Theory in the 20th Century: The Ragnar</w:t>
      </w:r>
      <w:r>
        <w:rPr>
          <w:rFonts w:ascii="Times New Roman" w:hAnsi="Times New Roman" w:cs="Times New Roman"/>
          <w:sz w:val="24"/>
          <w:szCs w:val="24"/>
        </w:rPr>
        <w:t xml:space="preserve"> Frisch Centennial Symposium, UK: Cambridge University Press, 370–413.</w:t>
      </w:r>
    </w:p>
    <w:p w:rsidR="00FF50F3" w:rsidRPr="00EF0E1F" w:rsidRDefault="0063679A"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PESARAN, M.H. ve</w:t>
      </w:r>
      <w:r w:rsidRPr="00EF0E1F">
        <w:rPr>
          <w:rFonts w:ascii="Times New Roman" w:hAnsi="Times New Roman" w:cs="Times New Roman"/>
          <w:sz w:val="24"/>
          <w:szCs w:val="24"/>
        </w:rPr>
        <w:t xml:space="preserve"> YAMAGATA, T. (2008), </w:t>
      </w:r>
      <w:r w:rsidR="009009A9" w:rsidRPr="00EF0E1F">
        <w:rPr>
          <w:rFonts w:ascii="Times New Roman" w:hAnsi="Times New Roman" w:cs="Times New Roman"/>
          <w:sz w:val="24"/>
          <w:szCs w:val="24"/>
        </w:rPr>
        <w:t xml:space="preserve">Testing Slope Homogenity in Large Panels, </w:t>
      </w:r>
      <w:r w:rsidR="009009A9" w:rsidRPr="0063679A">
        <w:rPr>
          <w:rFonts w:ascii="Times New Roman" w:hAnsi="Times New Roman" w:cs="Times New Roman"/>
          <w:sz w:val="24"/>
          <w:szCs w:val="24"/>
        </w:rPr>
        <w:t>Journal of Econometrics</w:t>
      </w:r>
      <w:r w:rsidR="009009A9" w:rsidRPr="00EF0E1F">
        <w:rPr>
          <w:rFonts w:ascii="Times New Roman" w:hAnsi="Times New Roman" w:cs="Times New Roman"/>
          <w:i/>
          <w:sz w:val="24"/>
          <w:szCs w:val="24"/>
        </w:rPr>
        <w:t>,</w:t>
      </w:r>
      <w:r w:rsidR="009009A9" w:rsidRPr="00EF0E1F">
        <w:rPr>
          <w:rFonts w:ascii="Times New Roman" w:hAnsi="Times New Roman" w:cs="Times New Roman"/>
          <w:sz w:val="24"/>
          <w:szCs w:val="24"/>
        </w:rPr>
        <w:t xml:space="preserve"> 142(1), 50-93.</w:t>
      </w:r>
      <w:r>
        <w:rPr>
          <w:rFonts w:ascii="Times New Roman" w:hAnsi="Times New Roman" w:cs="Times New Roman"/>
          <w:sz w:val="24"/>
          <w:szCs w:val="24"/>
        </w:rPr>
        <w:t xml:space="preserve"> </w:t>
      </w:r>
    </w:p>
    <w:p w:rsidR="00FF50F3" w:rsidRPr="00EF0E1F" w:rsidRDefault="0063679A"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PESARAN, M</w:t>
      </w:r>
      <w:r>
        <w:rPr>
          <w:rFonts w:ascii="Times New Roman" w:hAnsi="Times New Roman" w:cs="Times New Roman"/>
          <w:sz w:val="24"/>
          <w:szCs w:val="24"/>
        </w:rPr>
        <w:t xml:space="preserve">. </w:t>
      </w:r>
      <w:r w:rsidRPr="00EF0E1F">
        <w:rPr>
          <w:rFonts w:ascii="Times New Roman" w:hAnsi="Times New Roman" w:cs="Times New Roman"/>
          <w:sz w:val="24"/>
          <w:szCs w:val="24"/>
        </w:rPr>
        <w:t>H</w:t>
      </w:r>
      <w:r>
        <w:rPr>
          <w:rFonts w:ascii="Times New Roman" w:hAnsi="Times New Roman" w:cs="Times New Roman"/>
          <w:sz w:val="24"/>
          <w:szCs w:val="24"/>
        </w:rPr>
        <w:t>. ve SMI</w:t>
      </w:r>
      <w:r w:rsidRPr="00EF0E1F">
        <w:rPr>
          <w:rFonts w:ascii="Times New Roman" w:hAnsi="Times New Roman" w:cs="Times New Roman"/>
          <w:sz w:val="24"/>
          <w:szCs w:val="24"/>
        </w:rPr>
        <w:t>TH, R</w:t>
      </w:r>
      <w:r>
        <w:rPr>
          <w:rFonts w:ascii="Times New Roman" w:hAnsi="Times New Roman" w:cs="Times New Roman"/>
          <w:sz w:val="24"/>
          <w:szCs w:val="24"/>
        </w:rPr>
        <w:t xml:space="preserve">. </w:t>
      </w:r>
      <w:r w:rsidRPr="00EF0E1F">
        <w:rPr>
          <w:rFonts w:ascii="Times New Roman" w:hAnsi="Times New Roman" w:cs="Times New Roman"/>
          <w:sz w:val="24"/>
          <w:szCs w:val="24"/>
        </w:rPr>
        <w:t>P</w:t>
      </w:r>
      <w:r>
        <w:rPr>
          <w:rFonts w:ascii="Times New Roman" w:hAnsi="Times New Roman" w:cs="Times New Roman"/>
          <w:sz w:val="24"/>
          <w:szCs w:val="24"/>
        </w:rPr>
        <w:t>.,</w:t>
      </w:r>
      <w:r w:rsidRPr="00EF0E1F">
        <w:rPr>
          <w:rFonts w:ascii="Times New Roman" w:hAnsi="Times New Roman" w:cs="Times New Roman"/>
          <w:sz w:val="24"/>
          <w:szCs w:val="24"/>
        </w:rPr>
        <w:t xml:space="preserve"> (1998</w:t>
      </w:r>
      <w:r w:rsidR="009009A9" w:rsidRPr="00EF0E1F">
        <w:rPr>
          <w:rFonts w:ascii="Times New Roman" w:hAnsi="Times New Roman" w:cs="Times New Roman"/>
          <w:sz w:val="24"/>
          <w:szCs w:val="24"/>
        </w:rPr>
        <w:t xml:space="preserve">), </w:t>
      </w:r>
      <w:r w:rsidRPr="0063679A">
        <w:rPr>
          <w:rFonts w:ascii="Times New Roman" w:hAnsi="Times New Roman" w:cs="Times New Roman"/>
          <w:sz w:val="24"/>
          <w:szCs w:val="24"/>
        </w:rPr>
        <w:t>Structural Analysis of Cointegrating VARs</w:t>
      </w:r>
      <w:r>
        <w:rPr>
          <w:rFonts w:ascii="Times New Roman" w:hAnsi="Times New Roman" w:cs="Times New Roman"/>
          <w:sz w:val="24"/>
          <w:szCs w:val="24"/>
        </w:rPr>
        <w:t xml:space="preserve">, Journal of Economic Surveys, </w:t>
      </w:r>
      <w:r w:rsidR="009009A9" w:rsidRPr="0063679A">
        <w:rPr>
          <w:rFonts w:ascii="Times New Roman" w:hAnsi="Times New Roman" w:cs="Times New Roman"/>
          <w:iCs/>
          <w:sz w:val="24"/>
          <w:szCs w:val="24"/>
        </w:rPr>
        <w:t>12</w:t>
      </w:r>
      <w:r w:rsidR="009009A9" w:rsidRPr="0063679A">
        <w:rPr>
          <w:rFonts w:ascii="Times New Roman" w:hAnsi="Times New Roman" w:cs="Times New Roman"/>
          <w:sz w:val="24"/>
          <w:szCs w:val="24"/>
        </w:rPr>
        <w:t>(5),</w:t>
      </w:r>
      <w:r w:rsidR="009009A9" w:rsidRPr="00EF0E1F">
        <w:rPr>
          <w:rFonts w:ascii="Times New Roman" w:hAnsi="Times New Roman" w:cs="Times New Roman"/>
          <w:sz w:val="24"/>
          <w:szCs w:val="24"/>
        </w:rPr>
        <w:t xml:space="preserve"> 471-505.</w:t>
      </w:r>
      <w:r>
        <w:rPr>
          <w:rFonts w:ascii="Times New Roman" w:hAnsi="Times New Roman" w:cs="Times New Roman"/>
          <w:sz w:val="24"/>
          <w:szCs w:val="24"/>
        </w:rPr>
        <w:t xml:space="preserve"> </w:t>
      </w:r>
    </w:p>
    <w:p w:rsidR="00FF50F3" w:rsidRPr="00EF0E1F" w:rsidRDefault="00053C8D"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 xml:space="preserve">ROMER, P. M., (1994), </w:t>
      </w:r>
      <w:r w:rsidR="009009A9" w:rsidRPr="00EF0E1F">
        <w:rPr>
          <w:rFonts w:ascii="Times New Roman" w:hAnsi="Times New Roman" w:cs="Times New Roman"/>
          <w:sz w:val="24"/>
          <w:szCs w:val="24"/>
        </w:rPr>
        <w:t>The Origins of Endogenous Growth, The Journal of Econo</w:t>
      </w:r>
      <w:r>
        <w:rPr>
          <w:rFonts w:ascii="Times New Roman" w:hAnsi="Times New Roman" w:cs="Times New Roman"/>
          <w:sz w:val="24"/>
          <w:szCs w:val="24"/>
        </w:rPr>
        <w:t xml:space="preserve">mic Perspectives, 8(1), </w:t>
      </w:r>
      <w:r w:rsidR="009009A9" w:rsidRPr="00EF0E1F">
        <w:rPr>
          <w:rFonts w:ascii="Times New Roman" w:hAnsi="Times New Roman" w:cs="Times New Roman"/>
          <w:sz w:val="24"/>
          <w:szCs w:val="24"/>
        </w:rPr>
        <w:t>3-22.</w:t>
      </w:r>
      <w:r>
        <w:rPr>
          <w:rFonts w:ascii="Times New Roman" w:hAnsi="Times New Roman" w:cs="Times New Roman"/>
          <w:sz w:val="24"/>
          <w:szCs w:val="24"/>
        </w:rPr>
        <w:t xml:space="preserve"> </w:t>
      </w:r>
    </w:p>
    <w:p w:rsidR="00FF50F3" w:rsidRPr="00EF0E1F" w:rsidRDefault="009E0E53"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lastRenderedPageBreak/>
        <w:t>SACHS, J.</w:t>
      </w:r>
      <w:r>
        <w:rPr>
          <w:rFonts w:ascii="Times New Roman" w:hAnsi="Times New Roman" w:cs="Times New Roman"/>
          <w:sz w:val="24"/>
          <w:szCs w:val="24"/>
        </w:rPr>
        <w:t xml:space="preserve"> </w:t>
      </w:r>
      <w:r w:rsidRPr="00EF0E1F">
        <w:rPr>
          <w:rFonts w:ascii="Times New Roman" w:hAnsi="Times New Roman" w:cs="Times New Roman"/>
          <w:sz w:val="24"/>
          <w:szCs w:val="24"/>
        </w:rPr>
        <w:t>D.</w:t>
      </w:r>
      <w:r>
        <w:rPr>
          <w:rFonts w:ascii="Times New Roman" w:hAnsi="Times New Roman" w:cs="Times New Roman"/>
          <w:sz w:val="24"/>
          <w:szCs w:val="24"/>
        </w:rPr>
        <w:t>,</w:t>
      </w:r>
      <w:r w:rsidRPr="00EF0E1F">
        <w:rPr>
          <w:rFonts w:ascii="Times New Roman" w:hAnsi="Times New Roman" w:cs="Times New Roman"/>
          <w:sz w:val="24"/>
          <w:szCs w:val="24"/>
        </w:rPr>
        <w:t xml:space="preserve"> (2001), </w:t>
      </w:r>
      <w:r>
        <w:rPr>
          <w:rFonts w:ascii="Times New Roman" w:hAnsi="Times New Roman" w:cs="Times New Roman"/>
          <w:sz w:val="24"/>
          <w:szCs w:val="24"/>
        </w:rPr>
        <w:t>Macroeconomics and Health: I</w:t>
      </w:r>
      <w:r w:rsidR="009009A9" w:rsidRPr="00EF0E1F">
        <w:rPr>
          <w:rFonts w:ascii="Times New Roman" w:hAnsi="Times New Roman" w:cs="Times New Roman"/>
          <w:sz w:val="24"/>
          <w:szCs w:val="24"/>
        </w:rPr>
        <w:t>nvesting in Health for Economic Development, Report of the Commission on Macroeconomics and Hea</w:t>
      </w:r>
      <w:r>
        <w:rPr>
          <w:rFonts w:ascii="Times New Roman" w:hAnsi="Times New Roman" w:cs="Times New Roman"/>
          <w:sz w:val="24"/>
          <w:szCs w:val="24"/>
        </w:rPr>
        <w:t xml:space="preserve">lth, World Health Organization. </w:t>
      </w:r>
    </w:p>
    <w:p w:rsidR="00FF50F3" w:rsidRPr="00EF0E1F" w:rsidRDefault="00212236"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SAĞDIÇ, E. N.</w:t>
      </w:r>
      <w:r w:rsidR="009E0E53">
        <w:rPr>
          <w:rFonts w:ascii="Times New Roman" w:hAnsi="Times New Roman" w:cs="Times New Roman"/>
          <w:sz w:val="24"/>
          <w:szCs w:val="24"/>
        </w:rPr>
        <w:t xml:space="preserve"> ve</w:t>
      </w:r>
      <w:r w:rsidR="009E0E53" w:rsidRPr="00EF0E1F">
        <w:rPr>
          <w:rFonts w:ascii="Times New Roman" w:hAnsi="Times New Roman" w:cs="Times New Roman"/>
          <w:sz w:val="24"/>
          <w:szCs w:val="24"/>
        </w:rPr>
        <w:t xml:space="preserve"> YILDIZ, F.</w:t>
      </w:r>
      <w:r>
        <w:rPr>
          <w:rFonts w:ascii="Times New Roman" w:hAnsi="Times New Roman" w:cs="Times New Roman"/>
          <w:sz w:val="24"/>
          <w:szCs w:val="24"/>
        </w:rPr>
        <w:t>,</w:t>
      </w:r>
      <w:r w:rsidR="009E0E53"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(2021), Türkiye’de Kamu Sağlık Harcamaları ve Ekonomik Büyüme İlişkisi Üzerine Ampirik Bir Araştırma, </w:t>
      </w:r>
      <w:r w:rsidR="009009A9" w:rsidRPr="009E0E53">
        <w:rPr>
          <w:rFonts w:ascii="Times New Roman" w:hAnsi="Times New Roman" w:cs="Times New Roman"/>
          <w:iCs/>
          <w:sz w:val="24"/>
          <w:szCs w:val="24"/>
        </w:rPr>
        <w:t>Uluslararası Afro-Avrasya Araştırmaları Dergisi</w:t>
      </w:r>
      <w:r w:rsidR="009009A9" w:rsidRPr="009E0E53">
        <w:rPr>
          <w:rFonts w:ascii="Times New Roman" w:hAnsi="Times New Roman" w:cs="Times New Roman"/>
          <w:sz w:val="24"/>
          <w:szCs w:val="24"/>
        </w:rPr>
        <w:t>, </w:t>
      </w:r>
      <w:r w:rsidR="009009A9" w:rsidRPr="009E0E53">
        <w:rPr>
          <w:rFonts w:ascii="Times New Roman" w:hAnsi="Times New Roman" w:cs="Times New Roman"/>
          <w:iCs/>
          <w:sz w:val="24"/>
          <w:szCs w:val="24"/>
        </w:rPr>
        <w:t>6</w:t>
      </w:r>
      <w:r w:rsidR="009009A9" w:rsidRPr="009E0E53">
        <w:rPr>
          <w:rFonts w:ascii="Times New Roman" w:hAnsi="Times New Roman" w:cs="Times New Roman"/>
          <w:sz w:val="24"/>
          <w:szCs w:val="24"/>
        </w:rPr>
        <w:t>(12), 1</w:t>
      </w:r>
      <w:r w:rsidR="009009A9" w:rsidRPr="00EF0E1F">
        <w:rPr>
          <w:rFonts w:ascii="Times New Roman" w:hAnsi="Times New Roman" w:cs="Times New Roman"/>
          <w:sz w:val="24"/>
          <w:szCs w:val="24"/>
        </w:rPr>
        <w:t>4-31.</w:t>
      </w:r>
      <w:r w:rsidR="009E0E53">
        <w:rPr>
          <w:rFonts w:ascii="Times New Roman" w:hAnsi="Times New Roman" w:cs="Times New Roman"/>
          <w:sz w:val="24"/>
          <w:szCs w:val="24"/>
        </w:rPr>
        <w:t xml:space="preserve"> </w:t>
      </w:r>
    </w:p>
    <w:p w:rsidR="00FF50F3" w:rsidRPr="00212236" w:rsidRDefault="00212236"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SARAÇ</w:t>
      </w:r>
      <w:r>
        <w:rPr>
          <w:rFonts w:ascii="Times New Roman" w:hAnsi="Times New Roman" w:cs="Times New Roman"/>
          <w:sz w:val="24"/>
          <w:szCs w:val="24"/>
        </w:rPr>
        <w:t>OĞLU, S. ve</w:t>
      </w:r>
      <w:r w:rsidRPr="00EF0E1F">
        <w:rPr>
          <w:rFonts w:ascii="Times New Roman" w:hAnsi="Times New Roman" w:cs="Times New Roman"/>
          <w:sz w:val="24"/>
          <w:szCs w:val="24"/>
        </w:rPr>
        <w:t xml:space="preserve"> SONGUR, M.</w:t>
      </w:r>
      <w:r>
        <w:rPr>
          <w:rFonts w:ascii="Times New Roman" w:hAnsi="Times New Roman" w:cs="Times New Roman"/>
          <w:sz w:val="24"/>
          <w:szCs w:val="24"/>
        </w:rPr>
        <w:t>,</w:t>
      </w:r>
      <w:r w:rsidRPr="00EF0E1F">
        <w:rPr>
          <w:rFonts w:ascii="Times New Roman" w:hAnsi="Times New Roman" w:cs="Times New Roman"/>
          <w:sz w:val="24"/>
          <w:szCs w:val="24"/>
        </w:rPr>
        <w:t xml:space="preserve"> (2017),</w:t>
      </w:r>
      <w:r w:rsidR="009009A9" w:rsidRPr="00EF0E1F">
        <w:rPr>
          <w:rFonts w:ascii="Times New Roman" w:hAnsi="Times New Roman" w:cs="Times New Roman"/>
          <w:sz w:val="24"/>
          <w:szCs w:val="24"/>
        </w:rPr>
        <w:t xml:space="preserve"> Sağlık Harcamaları ve Ekonomik Büyüme İlişkisi: Avrasya Ülkeleri Örneği, </w:t>
      </w:r>
      <w:r w:rsidR="009009A9" w:rsidRPr="00212236">
        <w:rPr>
          <w:rFonts w:ascii="Times New Roman" w:hAnsi="Times New Roman" w:cs="Times New Roman"/>
          <w:iCs/>
          <w:sz w:val="24"/>
          <w:szCs w:val="24"/>
        </w:rPr>
        <w:t>Kafkas Üniversitesi İktisadi ve İdari Bilimler Fakültesi Dergisi</w:t>
      </w:r>
      <w:r w:rsidR="009009A9" w:rsidRPr="00212236">
        <w:rPr>
          <w:rFonts w:ascii="Times New Roman" w:hAnsi="Times New Roman" w:cs="Times New Roman"/>
          <w:sz w:val="24"/>
          <w:szCs w:val="24"/>
        </w:rPr>
        <w:t>, </w:t>
      </w:r>
      <w:r w:rsidR="009009A9" w:rsidRPr="00212236">
        <w:rPr>
          <w:rFonts w:ascii="Times New Roman" w:hAnsi="Times New Roman" w:cs="Times New Roman"/>
          <w:iCs/>
          <w:sz w:val="24"/>
          <w:szCs w:val="24"/>
        </w:rPr>
        <w:t>8</w:t>
      </w:r>
      <w:r w:rsidR="009009A9" w:rsidRPr="00212236">
        <w:rPr>
          <w:rFonts w:ascii="Times New Roman" w:hAnsi="Times New Roman" w:cs="Times New Roman"/>
          <w:sz w:val="24"/>
          <w:szCs w:val="24"/>
        </w:rPr>
        <w:t>(16), 353-372.</w:t>
      </w:r>
    </w:p>
    <w:p w:rsidR="00212236" w:rsidRDefault="00212236" w:rsidP="00EF0E1F">
      <w:pPr>
        <w:spacing w:after="120" w:line="240" w:lineRule="auto"/>
        <w:jc w:val="both"/>
        <w:rPr>
          <w:rFonts w:ascii="Times New Roman" w:hAnsi="Times New Roman" w:cs="Times New Roman"/>
          <w:sz w:val="24"/>
          <w:szCs w:val="24"/>
        </w:rPr>
      </w:pPr>
      <w:r w:rsidRPr="00212236">
        <w:rPr>
          <w:rFonts w:ascii="Times New Roman" w:hAnsi="Times New Roman" w:cs="Times New Roman"/>
          <w:sz w:val="24"/>
          <w:szCs w:val="24"/>
        </w:rPr>
        <w:t>SARIGÜL, Ö.</w:t>
      </w:r>
      <w:r>
        <w:rPr>
          <w:rFonts w:ascii="Times New Roman" w:hAnsi="Times New Roman" w:cs="Times New Roman"/>
          <w:sz w:val="24"/>
          <w:szCs w:val="24"/>
        </w:rPr>
        <w:t>,</w:t>
      </w:r>
      <w:r w:rsidRPr="00212236">
        <w:rPr>
          <w:rFonts w:ascii="Times New Roman" w:hAnsi="Times New Roman" w:cs="Times New Roman"/>
          <w:sz w:val="24"/>
          <w:szCs w:val="24"/>
        </w:rPr>
        <w:t xml:space="preserve"> (2019)</w:t>
      </w:r>
      <w:r w:rsidRPr="00EF0E1F">
        <w:rPr>
          <w:rFonts w:ascii="Times New Roman" w:hAnsi="Times New Roman" w:cs="Times New Roman"/>
          <w:sz w:val="24"/>
          <w:szCs w:val="24"/>
        </w:rPr>
        <w:t>, </w:t>
      </w:r>
      <w:r w:rsidR="009009A9" w:rsidRPr="00212236">
        <w:rPr>
          <w:rFonts w:ascii="Times New Roman" w:hAnsi="Times New Roman" w:cs="Times New Roman"/>
          <w:iCs/>
          <w:sz w:val="24"/>
          <w:szCs w:val="24"/>
        </w:rPr>
        <w:t>Eğitim Harcamaları, Sağl</w:t>
      </w:r>
      <w:r>
        <w:rPr>
          <w:rFonts w:ascii="Times New Roman" w:hAnsi="Times New Roman" w:cs="Times New Roman"/>
          <w:iCs/>
          <w:sz w:val="24"/>
          <w:szCs w:val="24"/>
        </w:rPr>
        <w:t>ık Harcamaları ve Milli Gelir İl</w:t>
      </w:r>
      <w:r w:rsidR="009009A9" w:rsidRPr="00212236">
        <w:rPr>
          <w:rFonts w:ascii="Times New Roman" w:hAnsi="Times New Roman" w:cs="Times New Roman"/>
          <w:iCs/>
          <w:sz w:val="24"/>
          <w:szCs w:val="24"/>
        </w:rPr>
        <w:t>işkisi: OECD Ülkeleri için Panel Bootstrap Modelleri</w:t>
      </w:r>
      <w:r w:rsidR="009009A9" w:rsidRPr="00212236">
        <w:rPr>
          <w:rFonts w:ascii="Times New Roman" w:hAnsi="Times New Roman" w:cs="Times New Roman"/>
          <w:sz w:val="24"/>
          <w:szCs w:val="24"/>
        </w:rPr>
        <w:t>, Yüksek Lis</w:t>
      </w:r>
      <w:r>
        <w:rPr>
          <w:rFonts w:ascii="Times New Roman" w:hAnsi="Times New Roman" w:cs="Times New Roman"/>
          <w:sz w:val="24"/>
          <w:szCs w:val="24"/>
        </w:rPr>
        <w:t>ans Tezi, Marmara Üniversitesi.</w:t>
      </w:r>
    </w:p>
    <w:p w:rsidR="00FF50F3" w:rsidRPr="00EF0E1F" w:rsidRDefault="00212236"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SWAMY, P. A., (1970). Efficient Inference in a Random Coefficient Regression Model</w:t>
      </w:r>
      <w:r w:rsidR="00E24E10">
        <w:rPr>
          <w:rFonts w:ascii="Times New Roman" w:hAnsi="Times New Roman" w:cs="Times New Roman"/>
          <w:sz w:val="24"/>
          <w:szCs w:val="24"/>
        </w:rPr>
        <w:t>,</w:t>
      </w:r>
      <w:r>
        <w:rPr>
          <w:rFonts w:ascii="Times New Roman" w:hAnsi="Times New Roman" w:cs="Times New Roman"/>
          <w:sz w:val="24"/>
          <w:szCs w:val="24"/>
        </w:rPr>
        <w:t xml:space="preserve"> Econometrica, </w:t>
      </w:r>
      <w:r w:rsidRPr="00212236">
        <w:rPr>
          <w:rFonts w:ascii="Times New Roman" w:hAnsi="Times New Roman" w:cs="Times New Roman"/>
          <w:sz w:val="24"/>
          <w:szCs w:val="24"/>
        </w:rPr>
        <w:t>38(2), 311-323.</w:t>
      </w:r>
    </w:p>
    <w:p w:rsidR="00FF50F3" w:rsidRPr="00EF0E1F" w:rsidRDefault="00E24E10"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ŞAHİN, D. ve</w:t>
      </w:r>
      <w:r w:rsidRPr="00EF0E1F">
        <w:rPr>
          <w:rFonts w:ascii="Times New Roman" w:hAnsi="Times New Roman" w:cs="Times New Roman"/>
          <w:sz w:val="24"/>
          <w:szCs w:val="24"/>
        </w:rPr>
        <w:t xml:space="preserve"> TEMELLİ, F. </w:t>
      </w:r>
      <w:r w:rsidR="009009A9" w:rsidRPr="00EF0E1F">
        <w:rPr>
          <w:rFonts w:ascii="Times New Roman" w:hAnsi="Times New Roman" w:cs="Times New Roman"/>
          <w:sz w:val="24"/>
          <w:szCs w:val="24"/>
        </w:rPr>
        <w:t>(2019), OECD Ülkelerinde Sağlık Harcamalarının Belirleyicileri: Panel Veri Analizi, </w:t>
      </w:r>
      <w:r w:rsidR="009009A9" w:rsidRPr="00E24E10">
        <w:rPr>
          <w:rFonts w:ascii="Times New Roman" w:hAnsi="Times New Roman" w:cs="Times New Roman"/>
          <w:iCs/>
          <w:sz w:val="24"/>
          <w:szCs w:val="24"/>
        </w:rPr>
        <w:t>Avrasya Uluslararası Araştırmalar Dergisi</w:t>
      </w:r>
      <w:r w:rsidR="009009A9" w:rsidRPr="00E24E10">
        <w:rPr>
          <w:rFonts w:ascii="Times New Roman" w:hAnsi="Times New Roman" w:cs="Times New Roman"/>
          <w:sz w:val="24"/>
          <w:szCs w:val="24"/>
        </w:rPr>
        <w:t>, </w:t>
      </w:r>
      <w:r w:rsidR="009009A9" w:rsidRPr="00E24E10">
        <w:rPr>
          <w:rFonts w:ascii="Times New Roman" w:hAnsi="Times New Roman" w:cs="Times New Roman"/>
          <w:iCs/>
          <w:sz w:val="24"/>
          <w:szCs w:val="24"/>
        </w:rPr>
        <w:t>7</w:t>
      </w:r>
      <w:r w:rsidR="009009A9" w:rsidRPr="00E24E10">
        <w:rPr>
          <w:rFonts w:ascii="Times New Roman" w:hAnsi="Times New Roman" w:cs="Times New Roman"/>
          <w:sz w:val="24"/>
          <w:szCs w:val="24"/>
        </w:rPr>
        <w:t>(16),</w:t>
      </w:r>
      <w:r w:rsidR="009009A9" w:rsidRPr="00EF0E1F">
        <w:rPr>
          <w:rFonts w:ascii="Times New Roman" w:hAnsi="Times New Roman" w:cs="Times New Roman"/>
          <w:sz w:val="24"/>
          <w:szCs w:val="24"/>
        </w:rPr>
        <w:t xml:space="preserve"> 946-961.</w:t>
      </w:r>
    </w:p>
    <w:p w:rsidR="00FF50F3" w:rsidRPr="00EF0E1F" w:rsidRDefault="00E24E10"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ŞEN, A. ve</w:t>
      </w:r>
      <w:r w:rsidRPr="00EF0E1F">
        <w:rPr>
          <w:rFonts w:ascii="Times New Roman" w:hAnsi="Times New Roman" w:cs="Times New Roman"/>
          <w:sz w:val="24"/>
          <w:szCs w:val="24"/>
        </w:rPr>
        <w:t xml:space="preserve"> BİNGÖL, N.</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(2018), Sağlık Harcamaları ve Ekonomik Büyüme İlişkisi: Türkiye Örneği, </w:t>
      </w:r>
      <w:r w:rsidR="009009A9" w:rsidRPr="00E24E10">
        <w:rPr>
          <w:rFonts w:ascii="Times New Roman" w:hAnsi="Times New Roman" w:cs="Times New Roman"/>
          <w:iCs/>
          <w:sz w:val="24"/>
          <w:szCs w:val="24"/>
        </w:rPr>
        <w:t>Akademik Yaklaşımlar Dergisi</w:t>
      </w:r>
      <w:r w:rsidR="009009A9" w:rsidRPr="00E24E10">
        <w:rPr>
          <w:rFonts w:ascii="Times New Roman" w:hAnsi="Times New Roman" w:cs="Times New Roman"/>
          <w:sz w:val="24"/>
          <w:szCs w:val="24"/>
        </w:rPr>
        <w:t>, </w:t>
      </w:r>
      <w:r w:rsidR="009009A9" w:rsidRPr="00E24E10">
        <w:rPr>
          <w:rFonts w:ascii="Times New Roman" w:hAnsi="Times New Roman" w:cs="Times New Roman"/>
          <w:iCs/>
          <w:sz w:val="24"/>
          <w:szCs w:val="24"/>
        </w:rPr>
        <w:t>9</w:t>
      </w:r>
      <w:r w:rsidR="009009A9" w:rsidRPr="00E24E10">
        <w:rPr>
          <w:rFonts w:ascii="Times New Roman" w:hAnsi="Times New Roman" w:cs="Times New Roman"/>
          <w:sz w:val="24"/>
          <w:szCs w:val="24"/>
        </w:rPr>
        <w:t>(1</w:t>
      </w:r>
      <w:r w:rsidR="009009A9" w:rsidRPr="00EF0E1F">
        <w:rPr>
          <w:rFonts w:ascii="Times New Roman" w:hAnsi="Times New Roman" w:cs="Times New Roman"/>
          <w:sz w:val="24"/>
          <w:szCs w:val="24"/>
        </w:rPr>
        <w:t>), 89-106.</w:t>
      </w:r>
    </w:p>
    <w:p w:rsidR="00FF50F3" w:rsidRPr="00EF0E1F" w:rsidRDefault="00E24E10"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ŞEN, H. KAYA, A. ve</w:t>
      </w:r>
      <w:r w:rsidRPr="00EF0E1F">
        <w:rPr>
          <w:rFonts w:ascii="Times New Roman" w:hAnsi="Times New Roman" w:cs="Times New Roman"/>
          <w:sz w:val="24"/>
          <w:szCs w:val="24"/>
        </w:rPr>
        <w:t xml:space="preserve"> ALPASLAN, B</w:t>
      </w:r>
      <w:r w:rsidR="009009A9" w:rsidRPr="00EF0E1F">
        <w:rPr>
          <w:rFonts w:ascii="Times New Roman" w:hAnsi="Times New Roman" w:cs="Times New Roman"/>
          <w:sz w:val="24"/>
          <w:szCs w:val="24"/>
        </w:rPr>
        <w:t>.</w:t>
      </w:r>
      <w:r>
        <w:rPr>
          <w:rFonts w:ascii="Times New Roman" w:hAnsi="Times New Roman" w:cs="Times New Roman"/>
          <w:sz w:val="24"/>
          <w:szCs w:val="24"/>
        </w:rPr>
        <w:t>,</w:t>
      </w:r>
      <w:r w:rsidR="009009A9" w:rsidRPr="00EF0E1F">
        <w:rPr>
          <w:rFonts w:ascii="Times New Roman" w:hAnsi="Times New Roman" w:cs="Times New Roman"/>
          <w:sz w:val="24"/>
          <w:szCs w:val="24"/>
        </w:rPr>
        <w:t xml:space="preserve"> (2018), Education, Health, and Economic Growth Nexus:</w:t>
      </w:r>
      <w:r>
        <w:rPr>
          <w:rFonts w:ascii="Times New Roman" w:hAnsi="Times New Roman" w:cs="Times New Roman"/>
          <w:sz w:val="24"/>
          <w:szCs w:val="24"/>
        </w:rPr>
        <w:t xml:space="preserve"> </w:t>
      </w:r>
      <w:r w:rsidR="009009A9" w:rsidRPr="00EF0E1F">
        <w:rPr>
          <w:rFonts w:ascii="Times New Roman" w:hAnsi="Times New Roman" w:cs="Times New Roman"/>
          <w:sz w:val="24"/>
          <w:szCs w:val="24"/>
        </w:rPr>
        <w:t>A Bootstrap Panel Granger Causality Analysis for Developing Countries, </w:t>
      </w:r>
      <w:r w:rsidR="009009A9" w:rsidRPr="00E24E10">
        <w:rPr>
          <w:rFonts w:ascii="Times New Roman" w:hAnsi="Times New Roman" w:cs="Times New Roman"/>
          <w:iCs/>
          <w:sz w:val="24"/>
          <w:szCs w:val="24"/>
        </w:rPr>
        <w:t>Sosyoekonomi</w:t>
      </w:r>
      <w:r w:rsidR="009009A9" w:rsidRPr="00E24E10">
        <w:rPr>
          <w:rFonts w:ascii="Times New Roman" w:hAnsi="Times New Roman" w:cs="Times New Roman"/>
          <w:sz w:val="24"/>
          <w:szCs w:val="24"/>
        </w:rPr>
        <w:t>, </w:t>
      </w:r>
      <w:r w:rsidR="009009A9" w:rsidRPr="00E24E10">
        <w:rPr>
          <w:rFonts w:ascii="Times New Roman" w:hAnsi="Times New Roman" w:cs="Times New Roman"/>
          <w:iCs/>
          <w:sz w:val="24"/>
          <w:szCs w:val="24"/>
        </w:rPr>
        <w:t>26</w:t>
      </w:r>
      <w:r w:rsidR="009009A9" w:rsidRPr="00E24E10">
        <w:rPr>
          <w:rFonts w:ascii="Times New Roman" w:hAnsi="Times New Roman" w:cs="Times New Roman"/>
          <w:sz w:val="24"/>
          <w:szCs w:val="24"/>
        </w:rPr>
        <w:t>(36),</w:t>
      </w:r>
      <w:r w:rsidR="009009A9" w:rsidRPr="00EF0E1F">
        <w:rPr>
          <w:rFonts w:ascii="Times New Roman" w:hAnsi="Times New Roman" w:cs="Times New Roman"/>
          <w:sz w:val="24"/>
          <w:szCs w:val="24"/>
        </w:rPr>
        <w:t xml:space="preserve"> 125-144.</w:t>
      </w:r>
      <w:r>
        <w:rPr>
          <w:rFonts w:ascii="Times New Roman" w:hAnsi="Times New Roman" w:cs="Times New Roman"/>
          <w:sz w:val="24"/>
          <w:szCs w:val="24"/>
        </w:rPr>
        <w:t xml:space="preserve">  </w:t>
      </w:r>
    </w:p>
    <w:p w:rsidR="00FF50F3" w:rsidRPr="00E24E10" w:rsidRDefault="00E24E10"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TABAN, S.</w:t>
      </w:r>
      <w:r>
        <w:rPr>
          <w:rFonts w:ascii="Times New Roman" w:hAnsi="Times New Roman" w:cs="Times New Roman"/>
          <w:sz w:val="24"/>
          <w:szCs w:val="24"/>
        </w:rPr>
        <w:t>,</w:t>
      </w:r>
      <w:r w:rsidRPr="00EF0E1F">
        <w:rPr>
          <w:rFonts w:ascii="Times New Roman" w:hAnsi="Times New Roman" w:cs="Times New Roman"/>
          <w:sz w:val="24"/>
          <w:szCs w:val="24"/>
        </w:rPr>
        <w:t xml:space="preserve"> (2006), </w:t>
      </w:r>
      <w:r w:rsidR="009009A9" w:rsidRPr="00EF0E1F">
        <w:rPr>
          <w:rFonts w:ascii="Times New Roman" w:hAnsi="Times New Roman" w:cs="Times New Roman"/>
          <w:sz w:val="24"/>
          <w:szCs w:val="24"/>
        </w:rPr>
        <w:t>Türkiye'de Sağlık ve Ekonomik Büyüme Arasındaki Nedensellik İlişkisi</w:t>
      </w:r>
      <w:r w:rsidR="009009A9" w:rsidRPr="00E24E10">
        <w:rPr>
          <w:rFonts w:ascii="Times New Roman" w:hAnsi="Times New Roman" w:cs="Times New Roman"/>
          <w:sz w:val="24"/>
          <w:szCs w:val="24"/>
        </w:rPr>
        <w:t>, </w:t>
      </w:r>
      <w:r w:rsidR="009009A9" w:rsidRPr="00E24E10">
        <w:rPr>
          <w:rFonts w:ascii="Times New Roman" w:hAnsi="Times New Roman" w:cs="Times New Roman"/>
          <w:iCs/>
          <w:sz w:val="24"/>
          <w:szCs w:val="24"/>
        </w:rPr>
        <w:t>Sosyoekonomi</w:t>
      </w:r>
      <w:r w:rsidR="009009A9" w:rsidRPr="00E24E10">
        <w:rPr>
          <w:rFonts w:ascii="Times New Roman" w:hAnsi="Times New Roman" w:cs="Times New Roman"/>
          <w:sz w:val="24"/>
          <w:szCs w:val="24"/>
        </w:rPr>
        <w:t>, </w:t>
      </w:r>
      <w:r w:rsidR="009009A9" w:rsidRPr="00E24E10">
        <w:rPr>
          <w:rFonts w:ascii="Times New Roman" w:hAnsi="Times New Roman" w:cs="Times New Roman"/>
          <w:iCs/>
          <w:sz w:val="24"/>
          <w:szCs w:val="24"/>
        </w:rPr>
        <w:t>4</w:t>
      </w:r>
      <w:r w:rsidRPr="00E24E10">
        <w:rPr>
          <w:rFonts w:ascii="Times New Roman" w:hAnsi="Times New Roman" w:cs="Times New Roman"/>
          <w:sz w:val="24"/>
          <w:szCs w:val="24"/>
        </w:rPr>
        <w:t xml:space="preserve">(4), 31-46. </w:t>
      </w:r>
    </w:p>
    <w:p w:rsidR="00FF50F3" w:rsidRPr="00EF0E1F" w:rsidRDefault="00E24E10"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TAŞAR, İ.</w:t>
      </w:r>
      <w:r>
        <w:rPr>
          <w:rFonts w:ascii="Times New Roman" w:hAnsi="Times New Roman" w:cs="Times New Roman"/>
          <w:sz w:val="24"/>
          <w:szCs w:val="24"/>
        </w:rPr>
        <w:t>,</w:t>
      </w:r>
      <w:r w:rsidRPr="00EF0E1F">
        <w:rPr>
          <w:rFonts w:ascii="Times New Roman" w:hAnsi="Times New Roman" w:cs="Times New Roman"/>
          <w:sz w:val="24"/>
          <w:szCs w:val="24"/>
        </w:rPr>
        <w:t xml:space="preserve"> (2015), </w:t>
      </w:r>
      <w:r w:rsidR="009009A9" w:rsidRPr="00EF0E1F">
        <w:rPr>
          <w:rFonts w:ascii="Times New Roman" w:hAnsi="Times New Roman" w:cs="Times New Roman"/>
          <w:sz w:val="24"/>
          <w:szCs w:val="24"/>
        </w:rPr>
        <w:t>İçsel Büyüme Modelleri Çerçevesinde Türkiye'de Ekonomik Büyümenin Yapısal Dönüşümü, Doktor</w:t>
      </w:r>
      <w:r>
        <w:rPr>
          <w:rFonts w:ascii="Times New Roman" w:hAnsi="Times New Roman" w:cs="Times New Roman"/>
          <w:sz w:val="24"/>
          <w:szCs w:val="24"/>
        </w:rPr>
        <w:t>a Tezi, İnönü Üniversitesi.</w:t>
      </w:r>
    </w:p>
    <w:p w:rsidR="00FF50F3" w:rsidRPr="00EF0E1F" w:rsidRDefault="008B2729"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TIRAŞ, H. H.</w:t>
      </w:r>
      <w:r>
        <w:rPr>
          <w:rFonts w:ascii="Times New Roman" w:hAnsi="Times New Roman" w:cs="Times New Roman"/>
          <w:sz w:val="24"/>
          <w:szCs w:val="24"/>
        </w:rPr>
        <w:t>,</w:t>
      </w:r>
      <w:r w:rsidR="009009A9" w:rsidRPr="00EF0E1F">
        <w:rPr>
          <w:rFonts w:ascii="Times New Roman" w:hAnsi="Times New Roman" w:cs="Times New Roman"/>
          <w:sz w:val="24"/>
          <w:szCs w:val="24"/>
        </w:rPr>
        <w:t xml:space="preserve"> (2018), Sağlık Harcamaları ve Ekonomik Büyüme İlişkisi: Panel Nedensellik Analizleri, Doktora Tezi, Kahram</w:t>
      </w:r>
      <w:r>
        <w:rPr>
          <w:rFonts w:ascii="Times New Roman" w:hAnsi="Times New Roman" w:cs="Times New Roman"/>
          <w:sz w:val="24"/>
          <w:szCs w:val="24"/>
        </w:rPr>
        <w:t>anmaraş Sütçü İmam Üniversitesi</w:t>
      </w:r>
      <w:r w:rsidR="009009A9" w:rsidRPr="00EF0E1F">
        <w:rPr>
          <w:rFonts w:ascii="Times New Roman" w:hAnsi="Times New Roman" w:cs="Times New Roman"/>
          <w:sz w:val="24"/>
          <w:szCs w:val="24"/>
        </w:rPr>
        <w:t>.</w:t>
      </w:r>
    </w:p>
    <w:p w:rsidR="00FF50F3" w:rsidRPr="00EF0E1F" w:rsidRDefault="008B2729"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TIRAŞ, H. H. ve </w:t>
      </w:r>
      <w:r w:rsidRPr="00EF0E1F">
        <w:rPr>
          <w:rFonts w:ascii="Times New Roman" w:hAnsi="Times New Roman" w:cs="Times New Roman"/>
          <w:sz w:val="24"/>
          <w:szCs w:val="24"/>
        </w:rPr>
        <w:t>AĞIR, H.</w:t>
      </w:r>
      <w:r>
        <w:rPr>
          <w:rFonts w:ascii="Times New Roman" w:hAnsi="Times New Roman" w:cs="Times New Roman"/>
          <w:sz w:val="24"/>
          <w:szCs w:val="24"/>
        </w:rPr>
        <w:t>,</w:t>
      </w:r>
      <w:r w:rsidRPr="00EF0E1F">
        <w:rPr>
          <w:rFonts w:ascii="Times New Roman" w:hAnsi="Times New Roman" w:cs="Times New Roman"/>
          <w:sz w:val="24"/>
          <w:szCs w:val="24"/>
        </w:rPr>
        <w:t xml:space="preserve"> (2018), </w:t>
      </w:r>
      <w:r w:rsidR="009009A9" w:rsidRPr="00EF0E1F">
        <w:rPr>
          <w:rFonts w:ascii="Times New Roman" w:hAnsi="Times New Roman" w:cs="Times New Roman"/>
          <w:sz w:val="24"/>
          <w:szCs w:val="24"/>
        </w:rPr>
        <w:t>Sağlık Harcamaları ve Ekonomik Büyüme İlişkisi: Panel Nedensell</w:t>
      </w:r>
      <w:r>
        <w:rPr>
          <w:rFonts w:ascii="Times New Roman" w:hAnsi="Times New Roman" w:cs="Times New Roman"/>
          <w:sz w:val="24"/>
          <w:szCs w:val="24"/>
        </w:rPr>
        <w:t>ik Analizi, Gaziantep Üniversitesi Sosyal Bilimler Dergisi</w:t>
      </w:r>
      <w:r w:rsidR="009009A9" w:rsidRPr="00EF0E1F">
        <w:rPr>
          <w:rFonts w:ascii="Times New Roman" w:hAnsi="Times New Roman" w:cs="Times New Roman"/>
          <w:sz w:val="24"/>
          <w:szCs w:val="24"/>
        </w:rPr>
        <w:t>, 17(4), 1558-1573.</w:t>
      </w:r>
    </w:p>
    <w:p w:rsidR="00FF50F3" w:rsidRPr="008B2729" w:rsidRDefault="008B2729" w:rsidP="00EF0E1F">
      <w:pPr>
        <w:spacing w:after="120" w:line="240" w:lineRule="auto"/>
        <w:jc w:val="both"/>
        <w:rPr>
          <w:rFonts w:ascii="Times New Roman" w:hAnsi="Times New Roman" w:cs="Times New Roman"/>
          <w:sz w:val="24"/>
          <w:szCs w:val="24"/>
        </w:rPr>
      </w:pPr>
      <w:r w:rsidRPr="008B2729">
        <w:rPr>
          <w:rFonts w:ascii="Times New Roman" w:hAnsi="Times New Roman" w:cs="Times New Roman"/>
          <w:sz w:val="24"/>
          <w:szCs w:val="24"/>
        </w:rPr>
        <w:t>TOPÇU, E. ve ATASAYAR, Y.</w:t>
      </w:r>
      <w:r>
        <w:rPr>
          <w:rFonts w:ascii="Times New Roman" w:hAnsi="Times New Roman" w:cs="Times New Roman"/>
          <w:sz w:val="24"/>
          <w:szCs w:val="24"/>
        </w:rPr>
        <w:t>,</w:t>
      </w:r>
      <w:r w:rsidRPr="008B2729">
        <w:rPr>
          <w:rFonts w:ascii="Times New Roman" w:hAnsi="Times New Roman" w:cs="Times New Roman"/>
          <w:sz w:val="24"/>
          <w:szCs w:val="24"/>
        </w:rPr>
        <w:t xml:space="preserve"> </w:t>
      </w:r>
      <w:r w:rsidR="009009A9" w:rsidRPr="008B2729">
        <w:rPr>
          <w:rFonts w:ascii="Times New Roman" w:hAnsi="Times New Roman" w:cs="Times New Roman"/>
          <w:sz w:val="24"/>
          <w:szCs w:val="24"/>
        </w:rPr>
        <w:t>(2020), </w:t>
      </w:r>
      <w:r w:rsidRPr="008B2729">
        <w:rPr>
          <w:rFonts w:ascii="Times New Roman" w:hAnsi="Times New Roman" w:cs="Times New Roman"/>
          <w:sz w:val="24"/>
          <w:szCs w:val="24"/>
        </w:rPr>
        <w:t>Sağlık Harcamaları, Sermaye Birikimi ve Ekonomik Büyüme Arasındaki Nedensel İlişki: Gelişmiş ve Gelişmekte Olan Ülkeler Üzerine Bir İnceleme</w:t>
      </w:r>
      <w:r w:rsidR="009009A9" w:rsidRPr="008B2729">
        <w:rPr>
          <w:rFonts w:ascii="Times New Roman" w:hAnsi="Times New Roman" w:cs="Times New Roman"/>
          <w:sz w:val="24"/>
          <w:szCs w:val="24"/>
        </w:rPr>
        <w:t>, </w:t>
      </w:r>
      <w:r w:rsidR="009009A9" w:rsidRPr="008B2729">
        <w:rPr>
          <w:rFonts w:ascii="Times New Roman" w:hAnsi="Times New Roman" w:cs="Times New Roman"/>
          <w:iCs/>
          <w:sz w:val="24"/>
          <w:szCs w:val="24"/>
        </w:rPr>
        <w:t>Ekonomi Politika ve Finans Araştırmaları Dergisi</w:t>
      </w:r>
      <w:r>
        <w:rPr>
          <w:rFonts w:ascii="Times New Roman" w:hAnsi="Times New Roman" w:cs="Times New Roman"/>
          <w:sz w:val="24"/>
          <w:szCs w:val="24"/>
        </w:rPr>
        <w:t xml:space="preserve">, </w:t>
      </w:r>
      <w:r w:rsidR="009009A9" w:rsidRPr="008B2729">
        <w:rPr>
          <w:rFonts w:ascii="Times New Roman" w:hAnsi="Times New Roman" w:cs="Times New Roman"/>
          <w:iCs/>
          <w:sz w:val="24"/>
          <w:szCs w:val="24"/>
        </w:rPr>
        <w:t>5</w:t>
      </w:r>
      <w:r w:rsidR="009009A9" w:rsidRPr="008B2729">
        <w:rPr>
          <w:rFonts w:ascii="Times New Roman" w:hAnsi="Times New Roman" w:cs="Times New Roman"/>
          <w:sz w:val="24"/>
          <w:szCs w:val="24"/>
        </w:rPr>
        <w:t>(2), 276-291.</w:t>
      </w:r>
    </w:p>
    <w:p w:rsidR="00FF50F3" w:rsidRPr="00EF0E1F" w:rsidRDefault="008B2729"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UÇAN, O. ve</w:t>
      </w:r>
      <w:r w:rsidRPr="00EF0E1F">
        <w:rPr>
          <w:rFonts w:ascii="Times New Roman" w:hAnsi="Times New Roman" w:cs="Times New Roman"/>
          <w:sz w:val="24"/>
          <w:szCs w:val="24"/>
        </w:rPr>
        <w:t xml:space="preserve"> ATAY, S. </w:t>
      </w:r>
      <w:r w:rsidR="009009A9" w:rsidRPr="00EF0E1F">
        <w:rPr>
          <w:rFonts w:ascii="Times New Roman" w:hAnsi="Times New Roman" w:cs="Times New Roman"/>
          <w:sz w:val="24"/>
          <w:szCs w:val="24"/>
        </w:rPr>
        <w:t>(2016), Türkiye'de Sağlık Harcamaları ve Büyüme Arasındaki İlişki Üzerine Bir İnceleme, </w:t>
      </w:r>
      <w:r>
        <w:rPr>
          <w:rFonts w:ascii="Times New Roman" w:hAnsi="Times New Roman" w:cs="Times New Roman"/>
          <w:iCs/>
          <w:sz w:val="24"/>
          <w:szCs w:val="24"/>
        </w:rPr>
        <w:t>Ömer Halisdemir Ü</w:t>
      </w:r>
      <w:r w:rsidR="009009A9" w:rsidRPr="008B2729">
        <w:rPr>
          <w:rFonts w:ascii="Times New Roman" w:hAnsi="Times New Roman" w:cs="Times New Roman"/>
          <w:iCs/>
          <w:sz w:val="24"/>
          <w:szCs w:val="24"/>
        </w:rPr>
        <w:t xml:space="preserve">niversitesi </w:t>
      </w:r>
      <w:r w:rsidRPr="008B2729">
        <w:rPr>
          <w:rFonts w:ascii="Times New Roman" w:hAnsi="Times New Roman" w:cs="Times New Roman"/>
          <w:iCs/>
          <w:sz w:val="24"/>
          <w:szCs w:val="24"/>
        </w:rPr>
        <w:t>İktisadi</w:t>
      </w:r>
      <w:r w:rsidR="009009A9" w:rsidRPr="008B2729">
        <w:rPr>
          <w:rFonts w:ascii="Times New Roman" w:hAnsi="Times New Roman" w:cs="Times New Roman"/>
          <w:iCs/>
          <w:sz w:val="24"/>
          <w:szCs w:val="24"/>
        </w:rPr>
        <w:t xml:space="preserve"> ve </w:t>
      </w:r>
      <w:r w:rsidRPr="008B2729">
        <w:rPr>
          <w:rFonts w:ascii="Times New Roman" w:hAnsi="Times New Roman" w:cs="Times New Roman"/>
          <w:iCs/>
          <w:sz w:val="24"/>
          <w:szCs w:val="24"/>
        </w:rPr>
        <w:t>İdari</w:t>
      </w:r>
      <w:r w:rsidR="009009A9" w:rsidRPr="008B2729">
        <w:rPr>
          <w:rFonts w:ascii="Times New Roman" w:hAnsi="Times New Roman" w:cs="Times New Roman"/>
          <w:iCs/>
          <w:sz w:val="24"/>
          <w:szCs w:val="24"/>
        </w:rPr>
        <w:t xml:space="preserve"> Bilimler Fakültesi Dergisi</w:t>
      </w:r>
      <w:r w:rsidR="009009A9" w:rsidRPr="008B2729">
        <w:rPr>
          <w:rFonts w:ascii="Times New Roman" w:hAnsi="Times New Roman" w:cs="Times New Roman"/>
          <w:sz w:val="24"/>
          <w:szCs w:val="24"/>
        </w:rPr>
        <w:t>, </w:t>
      </w:r>
      <w:r w:rsidR="009009A9" w:rsidRPr="008B2729">
        <w:rPr>
          <w:rFonts w:ascii="Times New Roman" w:hAnsi="Times New Roman" w:cs="Times New Roman"/>
          <w:iCs/>
          <w:sz w:val="24"/>
          <w:szCs w:val="24"/>
        </w:rPr>
        <w:t>9</w:t>
      </w:r>
      <w:r w:rsidR="009009A9" w:rsidRPr="008B2729">
        <w:rPr>
          <w:rFonts w:ascii="Times New Roman" w:hAnsi="Times New Roman" w:cs="Times New Roman"/>
          <w:sz w:val="24"/>
          <w:szCs w:val="24"/>
        </w:rPr>
        <w:t>(3), 215-22</w:t>
      </w:r>
      <w:r w:rsidR="009009A9" w:rsidRPr="00EF0E1F">
        <w:rPr>
          <w:rFonts w:ascii="Times New Roman" w:hAnsi="Times New Roman" w:cs="Times New Roman"/>
          <w:sz w:val="24"/>
          <w:szCs w:val="24"/>
        </w:rPr>
        <w:t>2.</w:t>
      </w:r>
    </w:p>
    <w:p w:rsidR="00FF50F3" w:rsidRPr="00EF0E1F" w:rsidRDefault="008B2729"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WERBLOW, A., FELDER, S. ve ZWEI</w:t>
      </w:r>
      <w:r w:rsidRPr="00EF0E1F">
        <w:rPr>
          <w:rFonts w:ascii="Times New Roman" w:hAnsi="Times New Roman" w:cs="Times New Roman"/>
          <w:sz w:val="24"/>
          <w:szCs w:val="24"/>
        </w:rPr>
        <w:t>FEL, P.</w:t>
      </w:r>
      <w:r>
        <w:rPr>
          <w:rFonts w:ascii="Times New Roman" w:hAnsi="Times New Roman" w:cs="Times New Roman"/>
          <w:sz w:val="24"/>
          <w:szCs w:val="24"/>
        </w:rPr>
        <w:t>,</w:t>
      </w:r>
      <w:r w:rsidRPr="00EF0E1F">
        <w:rPr>
          <w:rFonts w:ascii="Times New Roman" w:hAnsi="Times New Roman" w:cs="Times New Roman"/>
          <w:sz w:val="24"/>
          <w:szCs w:val="24"/>
        </w:rPr>
        <w:t xml:space="preserve"> (2007).</w:t>
      </w:r>
      <w:r w:rsidR="009009A9" w:rsidRPr="00EF0E1F">
        <w:rPr>
          <w:rFonts w:ascii="Times New Roman" w:hAnsi="Times New Roman" w:cs="Times New Roman"/>
          <w:sz w:val="24"/>
          <w:szCs w:val="24"/>
        </w:rPr>
        <w:t xml:space="preserve"> Population Ageing and Health Care Expenditu</w:t>
      </w:r>
      <w:r>
        <w:rPr>
          <w:rFonts w:ascii="Times New Roman" w:hAnsi="Times New Roman" w:cs="Times New Roman"/>
          <w:sz w:val="24"/>
          <w:szCs w:val="24"/>
        </w:rPr>
        <w:t>re: A School of ‘Red Herrings’?, Health Economics, 16(10), 1109-</w:t>
      </w:r>
      <w:r w:rsidR="009009A9" w:rsidRPr="00EF0E1F">
        <w:rPr>
          <w:rFonts w:ascii="Times New Roman" w:hAnsi="Times New Roman" w:cs="Times New Roman"/>
          <w:sz w:val="24"/>
          <w:szCs w:val="24"/>
        </w:rPr>
        <w:t>1126.</w:t>
      </w:r>
    </w:p>
    <w:p w:rsidR="00FF50F3" w:rsidRPr="00EF0E1F" w:rsidRDefault="008B2729"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YANG, Z., NORTON, E.C. ve</w:t>
      </w:r>
      <w:r w:rsidRPr="00EF0E1F">
        <w:rPr>
          <w:rFonts w:ascii="Times New Roman" w:hAnsi="Times New Roman" w:cs="Times New Roman"/>
          <w:sz w:val="24"/>
          <w:szCs w:val="24"/>
        </w:rPr>
        <w:t xml:space="preserve"> STEARNS, S.C.</w:t>
      </w:r>
      <w:r>
        <w:rPr>
          <w:rFonts w:ascii="Times New Roman" w:hAnsi="Times New Roman" w:cs="Times New Roman"/>
          <w:sz w:val="24"/>
          <w:szCs w:val="24"/>
        </w:rPr>
        <w:t>,</w:t>
      </w:r>
      <w:r w:rsidRPr="00EF0E1F">
        <w:rPr>
          <w:rFonts w:ascii="Times New Roman" w:hAnsi="Times New Roman" w:cs="Times New Roman"/>
          <w:sz w:val="24"/>
          <w:szCs w:val="24"/>
        </w:rPr>
        <w:t xml:space="preserve"> </w:t>
      </w:r>
      <w:r>
        <w:rPr>
          <w:rFonts w:ascii="Times New Roman" w:hAnsi="Times New Roman" w:cs="Times New Roman"/>
          <w:sz w:val="24"/>
          <w:szCs w:val="24"/>
        </w:rPr>
        <w:t>(2003),</w:t>
      </w:r>
      <w:r w:rsidR="009009A9" w:rsidRPr="00EF0E1F">
        <w:rPr>
          <w:rFonts w:ascii="Times New Roman" w:hAnsi="Times New Roman" w:cs="Times New Roman"/>
          <w:sz w:val="24"/>
          <w:szCs w:val="24"/>
        </w:rPr>
        <w:t xml:space="preserve"> Longevity and Health Care Expenditures: The Real Reasons Older People Spend More, The Journals of Gerontology Series B: Psychological Sciences</w:t>
      </w:r>
      <w:r>
        <w:rPr>
          <w:rFonts w:ascii="Times New Roman" w:hAnsi="Times New Roman" w:cs="Times New Roman"/>
          <w:sz w:val="24"/>
          <w:szCs w:val="24"/>
        </w:rPr>
        <w:t xml:space="preserve"> and Social Sciences, 58(1), 2-</w:t>
      </w:r>
      <w:r w:rsidR="009009A9" w:rsidRPr="00EF0E1F">
        <w:rPr>
          <w:rFonts w:ascii="Times New Roman" w:hAnsi="Times New Roman" w:cs="Times New Roman"/>
          <w:sz w:val="24"/>
          <w:szCs w:val="24"/>
        </w:rPr>
        <w:t>10.</w:t>
      </w:r>
    </w:p>
    <w:p w:rsidR="00FF50F3" w:rsidRPr="008B2729" w:rsidRDefault="008B2729"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t>YARDIMCI,</w:t>
      </w:r>
      <w:r w:rsidR="001E2F6D">
        <w:rPr>
          <w:rFonts w:ascii="Times New Roman" w:hAnsi="Times New Roman" w:cs="Times New Roman"/>
          <w:sz w:val="24"/>
          <w:szCs w:val="24"/>
        </w:rPr>
        <w:t xml:space="preserve"> P</w:t>
      </w:r>
      <w:r w:rsidRPr="00EF0E1F">
        <w:rPr>
          <w:rFonts w:ascii="Times New Roman" w:hAnsi="Times New Roman" w:cs="Times New Roman"/>
          <w:sz w:val="24"/>
          <w:szCs w:val="24"/>
        </w:rPr>
        <w:t>.</w:t>
      </w:r>
      <w:r>
        <w:rPr>
          <w:rFonts w:ascii="Times New Roman" w:hAnsi="Times New Roman" w:cs="Times New Roman"/>
          <w:sz w:val="24"/>
          <w:szCs w:val="24"/>
        </w:rPr>
        <w:t>,</w:t>
      </w:r>
      <w:r w:rsidRPr="00EF0E1F">
        <w:rPr>
          <w:rFonts w:ascii="Times New Roman" w:hAnsi="Times New Roman" w:cs="Times New Roman"/>
          <w:sz w:val="24"/>
          <w:szCs w:val="24"/>
        </w:rPr>
        <w:t xml:space="preserve"> (2006), </w:t>
      </w:r>
      <w:r w:rsidR="009009A9" w:rsidRPr="00EF0E1F">
        <w:rPr>
          <w:rFonts w:ascii="Times New Roman" w:hAnsi="Times New Roman" w:cs="Times New Roman"/>
          <w:sz w:val="24"/>
          <w:szCs w:val="24"/>
        </w:rPr>
        <w:t> İçsel Büyüme Modelleri ve Türkiye Ekonomisinde Büyümenin Dinamikleri, </w:t>
      </w:r>
      <w:r w:rsidR="009009A9" w:rsidRPr="008B2729">
        <w:rPr>
          <w:rFonts w:ascii="Times New Roman" w:hAnsi="Times New Roman" w:cs="Times New Roman"/>
          <w:iCs/>
          <w:sz w:val="24"/>
          <w:szCs w:val="24"/>
        </w:rPr>
        <w:t>Karamanoğlu Mehmetbey Üniversitesi Sosyal ve Ekonomik Araştırmalar Dergisi</w:t>
      </w:r>
      <w:r w:rsidR="009009A9" w:rsidRPr="008B2729">
        <w:rPr>
          <w:rFonts w:ascii="Times New Roman" w:hAnsi="Times New Roman" w:cs="Times New Roman"/>
          <w:sz w:val="24"/>
          <w:szCs w:val="24"/>
        </w:rPr>
        <w:t> , (1), 96-114.</w:t>
      </w:r>
    </w:p>
    <w:p w:rsidR="00FF50F3" w:rsidRPr="001E2F6D" w:rsidRDefault="001E2F6D" w:rsidP="00EF0E1F">
      <w:pPr>
        <w:spacing w:after="120" w:line="240" w:lineRule="auto"/>
        <w:jc w:val="both"/>
        <w:rPr>
          <w:rFonts w:ascii="Times New Roman" w:hAnsi="Times New Roman" w:cs="Times New Roman"/>
          <w:sz w:val="24"/>
          <w:szCs w:val="24"/>
        </w:rPr>
      </w:pPr>
      <w:r w:rsidRPr="00EF0E1F">
        <w:rPr>
          <w:rFonts w:ascii="Times New Roman" w:hAnsi="Times New Roman" w:cs="Times New Roman"/>
          <w:sz w:val="24"/>
          <w:szCs w:val="24"/>
        </w:rPr>
        <w:lastRenderedPageBreak/>
        <w:t>YARDIMCIOĞLU, F.</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(2012), OECD Ülkelerinde Sağlık ve Ekonomik Büyüme İlişkisinin Ekonometrik Bir İncelemesi, </w:t>
      </w:r>
      <w:r w:rsidR="009009A9" w:rsidRPr="001E2F6D">
        <w:rPr>
          <w:rFonts w:ascii="Times New Roman" w:hAnsi="Times New Roman" w:cs="Times New Roman"/>
          <w:iCs/>
          <w:sz w:val="24"/>
          <w:szCs w:val="24"/>
        </w:rPr>
        <w:t>Eskişehir Osmangazi Üniversitesi Sosyal Bilimler Dergisi</w:t>
      </w:r>
      <w:r w:rsidR="009009A9" w:rsidRPr="001E2F6D">
        <w:rPr>
          <w:rFonts w:ascii="Times New Roman" w:hAnsi="Times New Roman" w:cs="Times New Roman"/>
          <w:sz w:val="24"/>
          <w:szCs w:val="24"/>
        </w:rPr>
        <w:t>, </w:t>
      </w:r>
      <w:r w:rsidR="009009A9" w:rsidRPr="001E2F6D">
        <w:rPr>
          <w:rFonts w:ascii="Times New Roman" w:hAnsi="Times New Roman" w:cs="Times New Roman"/>
          <w:iCs/>
          <w:sz w:val="24"/>
          <w:szCs w:val="24"/>
        </w:rPr>
        <w:t>13</w:t>
      </w:r>
      <w:r w:rsidR="009009A9" w:rsidRPr="001E2F6D">
        <w:rPr>
          <w:rFonts w:ascii="Times New Roman" w:hAnsi="Times New Roman" w:cs="Times New Roman"/>
          <w:sz w:val="24"/>
          <w:szCs w:val="24"/>
        </w:rPr>
        <w:t>(2), 27-47.</w:t>
      </w:r>
    </w:p>
    <w:p w:rsidR="00FF50F3" w:rsidRPr="00EF0E1F" w:rsidRDefault="001E2F6D"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YUMUŞAK, İ. G. ve</w:t>
      </w:r>
      <w:r w:rsidRPr="00EF0E1F">
        <w:rPr>
          <w:rFonts w:ascii="Times New Roman" w:hAnsi="Times New Roman" w:cs="Times New Roman"/>
          <w:sz w:val="24"/>
          <w:szCs w:val="24"/>
        </w:rPr>
        <w:t xml:space="preserve"> YILDIRIM, D. Ç.</w:t>
      </w:r>
      <w:r>
        <w:rPr>
          <w:rFonts w:ascii="Times New Roman" w:hAnsi="Times New Roman" w:cs="Times New Roman"/>
          <w:sz w:val="24"/>
          <w:szCs w:val="24"/>
        </w:rPr>
        <w:t>,</w:t>
      </w:r>
      <w:r w:rsidRPr="00EF0E1F">
        <w:rPr>
          <w:rFonts w:ascii="Times New Roman" w:hAnsi="Times New Roman" w:cs="Times New Roman"/>
          <w:sz w:val="24"/>
          <w:szCs w:val="24"/>
        </w:rPr>
        <w:t xml:space="preserve"> </w:t>
      </w:r>
      <w:r w:rsidR="009009A9" w:rsidRPr="00EF0E1F">
        <w:rPr>
          <w:rFonts w:ascii="Times New Roman" w:hAnsi="Times New Roman" w:cs="Times New Roman"/>
          <w:sz w:val="24"/>
          <w:szCs w:val="24"/>
        </w:rPr>
        <w:t>(2009), Sağlık Harcamaları İktisadi Büyüme İlişkisi Üzerine Ekonometrik Bir İnceleme, </w:t>
      </w:r>
      <w:r w:rsidR="009009A9" w:rsidRPr="001E2F6D">
        <w:rPr>
          <w:rFonts w:ascii="Times New Roman" w:hAnsi="Times New Roman" w:cs="Times New Roman"/>
          <w:iCs/>
          <w:sz w:val="24"/>
          <w:szCs w:val="24"/>
        </w:rPr>
        <w:t>Bilgi Ekonomisi ve Yönetimi Dergisi</w:t>
      </w:r>
      <w:r w:rsidR="009009A9" w:rsidRPr="001E2F6D">
        <w:rPr>
          <w:rFonts w:ascii="Times New Roman" w:hAnsi="Times New Roman" w:cs="Times New Roman"/>
          <w:sz w:val="24"/>
          <w:szCs w:val="24"/>
        </w:rPr>
        <w:t>, </w:t>
      </w:r>
      <w:r w:rsidR="009009A9" w:rsidRPr="001E2F6D">
        <w:rPr>
          <w:rFonts w:ascii="Times New Roman" w:hAnsi="Times New Roman" w:cs="Times New Roman"/>
          <w:iCs/>
          <w:sz w:val="24"/>
          <w:szCs w:val="24"/>
        </w:rPr>
        <w:t>4</w:t>
      </w:r>
      <w:r w:rsidR="009009A9" w:rsidRPr="001E2F6D">
        <w:rPr>
          <w:rFonts w:ascii="Times New Roman" w:hAnsi="Times New Roman" w:cs="Times New Roman"/>
          <w:sz w:val="24"/>
          <w:szCs w:val="24"/>
        </w:rPr>
        <w:t>(1), 57</w:t>
      </w:r>
      <w:r w:rsidR="009009A9" w:rsidRPr="00EF0E1F">
        <w:rPr>
          <w:rFonts w:ascii="Times New Roman" w:hAnsi="Times New Roman" w:cs="Times New Roman"/>
          <w:sz w:val="24"/>
          <w:szCs w:val="24"/>
        </w:rPr>
        <w:t>-70.</w:t>
      </w:r>
    </w:p>
    <w:p w:rsidR="00096386" w:rsidRPr="00EF0E1F" w:rsidRDefault="001E2F6D" w:rsidP="00EF0E1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ZENGİN, G. ve</w:t>
      </w:r>
      <w:r w:rsidRPr="00EF0E1F">
        <w:rPr>
          <w:rFonts w:ascii="Times New Roman" w:hAnsi="Times New Roman" w:cs="Times New Roman"/>
          <w:sz w:val="24"/>
          <w:szCs w:val="24"/>
        </w:rPr>
        <w:t xml:space="preserve"> ÖZKAN, G. (2018), </w:t>
      </w:r>
      <w:r w:rsidR="009009A9" w:rsidRPr="00EF0E1F">
        <w:rPr>
          <w:rFonts w:ascii="Times New Roman" w:hAnsi="Times New Roman" w:cs="Times New Roman"/>
          <w:sz w:val="24"/>
          <w:szCs w:val="24"/>
        </w:rPr>
        <w:t>Sağlık Harcamaları Ekonomik Büyüme İlişkisi: OECD Ülkeleri Üzerine Panel Veri Analizi (2000-2015), Kilis 7 Aralık Üniversitesi Sosyal Bilimler Dergisi, 8(16), 365-380.</w:t>
      </w:r>
      <w:r>
        <w:rPr>
          <w:rFonts w:ascii="Times New Roman" w:hAnsi="Times New Roman" w:cs="Times New Roman"/>
          <w:sz w:val="24"/>
          <w:szCs w:val="24"/>
        </w:rPr>
        <w:t xml:space="preserve"> </w:t>
      </w:r>
    </w:p>
    <w:sectPr w:rsidR="00096386" w:rsidRPr="00EF0E1F" w:rsidSect="00E036A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6D6" w:rsidRDefault="004116D6" w:rsidP="00814EC5">
      <w:pPr>
        <w:spacing w:after="0" w:line="240" w:lineRule="auto"/>
      </w:pPr>
      <w:r>
        <w:separator/>
      </w:r>
    </w:p>
  </w:endnote>
  <w:endnote w:type="continuationSeparator" w:id="0">
    <w:p w:rsidR="004116D6" w:rsidRDefault="004116D6" w:rsidP="00814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6D6" w:rsidRDefault="004116D6" w:rsidP="00814EC5">
      <w:pPr>
        <w:spacing w:after="0" w:line="240" w:lineRule="auto"/>
      </w:pPr>
      <w:r>
        <w:separator/>
      </w:r>
    </w:p>
  </w:footnote>
  <w:footnote w:type="continuationSeparator" w:id="0">
    <w:p w:rsidR="004116D6" w:rsidRDefault="004116D6" w:rsidP="00814E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60"/>
    <w:rsid w:val="00007991"/>
    <w:rsid w:val="0001354A"/>
    <w:rsid w:val="00014135"/>
    <w:rsid w:val="00014634"/>
    <w:rsid w:val="00031D8E"/>
    <w:rsid w:val="0004716D"/>
    <w:rsid w:val="00053C8D"/>
    <w:rsid w:val="000734C3"/>
    <w:rsid w:val="00091EA3"/>
    <w:rsid w:val="00096386"/>
    <w:rsid w:val="000A404C"/>
    <w:rsid w:val="000B15D8"/>
    <w:rsid w:val="000D0CED"/>
    <w:rsid w:val="000D310F"/>
    <w:rsid w:val="000D376E"/>
    <w:rsid w:val="000F21A1"/>
    <w:rsid w:val="00102395"/>
    <w:rsid w:val="00111204"/>
    <w:rsid w:val="00134687"/>
    <w:rsid w:val="00154A45"/>
    <w:rsid w:val="00172794"/>
    <w:rsid w:val="00182C1E"/>
    <w:rsid w:val="001B5C7A"/>
    <w:rsid w:val="001B7119"/>
    <w:rsid w:val="001D6EC6"/>
    <w:rsid w:val="001E2F6D"/>
    <w:rsid w:val="001F1709"/>
    <w:rsid w:val="001F3135"/>
    <w:rsid w:val="0020108F"/>
    <w:rsid w:val="00202E81"/>
    <w:rsid w:val="0020599C"/>
    <w:rsid w:val="00212236"/>
    <w:rsid w:val="002258B6"/>
    <w:rsid w:val="00230A6A"/>
    <w:rsid w:val="00231648"/>
    <w:rsid w:val="00235274"/>
    <w:rsid w:val="00257187"/>
    <w:rsid w:val="002A32E3"/>
    <w:rsid w:val="002C6B01"/>
    <w:rsid w:val="002D0ECD"/>
    <w:rsid w:val="002E26D0"/>
    <w:rsid w:val="002E5BEF"/>
    <w:rsid w:val="002E76BF"/>
    <w:rsid w:val="00321D8F"/>
    <w:rsid w:val="003259A6"/>
    <w:rsid w:val="003513C9"/>
    <w:rsid w:val="0036303F"/>
    <w:rsid w:val="003837D6"/>
    <w:rsid w:val="00385468"/>
    <w:rsid w:val="0039089F"/>
    <w:rsid w:val="003A51B8"/>
    <w:rsid w:val="003A6CFD"/>
    <w:rsid w:val="003B1D59"/>
    <w:rsid w:val="003C779D"/>
    <w:rsid w:val="003C7D49"/>
    <w:rsid w:val="003D3A68"/>
    <w:rsid w:val="003E5D75"/>
    <w:rsid w:val="003F1CB1"/>
    <w:rsid w:val="004116D6"/>
    <w:rsid w:val="004127D5"/>
    <w:rsid w:val="0042289E"/>
    <w:rsid w:val="00436FD7"/>
    <w:rsid w:val="0048315E"/>
    <w:rsid w:val="00497F7E"/>
    <w:rsid w:val="004A67C5"/>
    <w:rsid w:val="004C68E7"/>
    <w:rsid w:val="004D35E8"/>
    <w:rsid w:val="004E4FF0"/>
    <w:rsid w:val="004E67D6"/>
    <w:rsid w:val="00527C76"/>
    <w:rsid w:val="005375D6"/>
    <w:rsid w:val="00574CF9"/>
    <w:rsid w:val="005802DF"/>
    <w:rsid w:val="005856C3"/>
    <w:rsid w:val="0058614B"/>
    <w:rsid w:val="00586F02"/>
    <w:rsid w:val="00591FA8"/>
    <w:rsid w:val="005B2DAC"/>
    <w:rsid w:val="005C1C4B"/>
    <w:rsid w:val="005D0826"/>
    <w:rsid w:val="005E26C0"/>
    <w:rsid w:val="00600EC6"/>
    <w:rsid w:val="006247A3"/>
    <w:rsid w:val="00627B05"/>
    <w:rsid w:val="0063679A"/>
    <w:rsid w:val="00636ADC"/>
    <w:rsid w:val="006434F7"/>
    <w:rsid w:val="006859FA"/>
    <w:rsid w:val="00687288"/>
    <w:rsid w:val="006A5098"/>
    <w:rsid w:val="006B3B7C"/>
    <w:rsid w:val="006D0EBF"/>
    <w:rsid w:val="006D5BE0"/>
    <w:rsid w:val="006E0A01"/>
    <w:rsid w:val="006F32C2"/>
    <w:rsid w:val="006F639B"/>
    <w:rsid w:val="006F6D26"/>
    <w:rsid w:val="007010BD"/>
    <w:rsid w:val="007120A9"/>
    <w:rsid w:val="0074003D"/>
    <w:rsid w:val="0076319A"/>
    <w:rsid w:val="00765D68"/>
    <w:rsid w:val="007665BD"/>
    <w:rsid w:val="007A010C"/>
    <w:rsid w:val="007B33AA"/>
    <w:rsid w:val="007F4ED2"/>
    <w:rsid w:val="008042B7"/>
    <w:rsid w:val="00806C5D"/>
    <w:rsid w:val="00814EC5"/>
    <w:rsid w:val="00843749"/>
    <w:rsid w:val="00853CDE"/>
    <w:rsid w:val="00857FFE"/>
    <w:rsid w:val="00874BC2"/>
    <w:rsid w:val="00875326"/>
    <w:rsid w:val="008853BE"/>
    <w:rsid w:val="0088707A"/>
    <w:rsid w:val="008B2729"/>
    <w:rsid w:val="008B2BA7"/>
    <w:rsid w:val="008B4774"/>
    <w:rsid w:val="008D3E5B"/>
    <w:rsid w:val="008F3BEC"/>
    <w:rsid w:val="009009A9"/>
    <w:rsid w:val="00923034"/>
    <w:rsid w:val="00937B73"/>
    <w:rsid w:val="00940C52"/>
    <w:rsid w:val="00956D99"/>
    <w:rsid w:val="00961B44"/>
    <w:rsid w:val="00974501"/>
    <w:rsid w:val="00987707"/>
    <w:rsid w:val="00987C03"/>
    <w:rsid w:val="009A27F3"/>
    <w:rsid w:val="009D591C"/>
    <w:rsid w:val="009E0E53"/>
    <w:rsid w:val="00A04B9A"/>
    <w:rsid w:val="00A1352B"/>
    <w:rsid w:val="00A155B0"/>
    <w:rsid w:val="00A66BCD"/>
    <w:rsid w:val="00A67DD0"/>
    <w:rsid w:val="00A82D3D"/>
    <w:rsid w:val="00A878E7"/>
    <w:rsid w:val="00A90EA3"/>
    <w:rsid w:val="00A91F34"/>
    <w:rsid w:val="00AA7046"/>
    <w:rsid w:val="00AB13CC"/>
    <w:rsid w:val="00AB2CF8"/>
    <w:rsid w:val="00AB30AC"/>
    <w:rsid w:val="00AC7C48"/>
    <w:rsid w:val="00AE209E"/>
    <w:rsid w:val="00AE328A"/>
    <w:rsid w:val="00AF1CA1"/>
    <w:rsid w:val="00B01692"/>
    <w:rsid w:val="00B05DCE"/>
    <w:rsid w:val="00B16CC1"/>
    <w:rsid w:val="00B53B39"/>
    <w:rsid w:val="00B81849"/>
    <w:rsid w:val="00BB665F"/>
    <w:rsid w:val="00BF46A8"/>
    <w:rsid w:val="00BF6D24"/>
    <w:rsid w:val="00C07CBF"/>
    <w:rsid w:val="00C341CB"/>
    <w:rsid w:val="00C44AA6"/>
    <w:rsid w:val="00C65456"/>
    <w:rsid w:val="00CA2CA6"/>
    <w:rsid w:val="00CC088F"/>
    <w:rsid w:val="00CD259F"/>
    <w:rsid w:val="00CE2493"/>
    <w:rsid w:val="00D17FAE"/>
    <w:rsid w:val="00D27559"/>
    <w:rsid w:val="00D31660"/>
    <w:rsid w:val="00D32673"/>
    <w:rsid w:val="00D46D6E"/>
    <w:rsid w:val="00D46E8B"/>
    <w:rsid w:val="00D65209"/>
    <w:rsid w:val="00D7056A"/>
    <w:rsid w:val="00D73412"/>
    <w:rsid w:val="00D903ED"/>
    <w:rsid w:val="00D90DEB"/>
    <w:rsid w:val="00DA5F35"/>
    <w:rsid w:val="00DD4786"/>
    <w:rsid w:val="00DF24CF"/>
    <w:rsid w:val="00E036A9"/>
    <w:rsid w:val="00E1213A"/>
    <w:rsid w:val="00E24E10"/>
    <w:rsid w:val="00E33C2A"/>
    <w:rsid w:val="00E44749"/>
    <w:rsid w:val="00E44872"/>
    <w:rsid w:val="00E531F7"/>
    <w:rsid w:val="00E94741"/>
    <w:rsid w:val="00EA2D17"/>
    <w:rsid w:val="00EB43A0"/>
    <w:rsid w:val="00ED3E66"/>
    <w:rsid w:val="00EF0E1F"/>
    <w:rsid w:val="00F24745"/>
    <w:rsid w:val="00F27AE1"/>
    <w:rsid w:val="00F773F3"/>
    <w:rsid w:val="00F97CB9"/>
    <w:rsid w:val="00FA2E19"/>
    <w:rsid w:val="00FA5F9F"/>
    <w:rsid w:val="00FB53F1"/>
    <w:rsid w:val="00FC6B0A"/>
    <w:rsid w:val="00FD34B2"/>
    <w:rsid w:val="00FF50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1C729"/>
  <w15:chartTrackingRefBased/>
  <w15:docId w15:val="{563ABF01-D307-49C3-9C4E-3F325044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
    <w:semiHidden/>
    <w:unhideWhenUsed/>
    <w:qFormat/>
    <w:rsid w:val="008B272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Char Char,Footnote Text Char Char Char,Footnote Text Char Char,Footnote Text Char Char Char Char Char Char,Footnote Text Char Char Char Char Char Char Char Char Char Char Char Char Char Char Char Char Char Char Char Char Char Char"/>
    <w:basedOn w:val="Normal"/>
    <w:link w:val="DipnotMetniChar"/>
    <w:uiPriority w:val="99"/>
    <w:rsid w:val="00814EC5"/>
    <w:pPr>
      <w:spacing w:after="0" w:line="240" w:lineRule="auto"/>
    </w:pPr>
    <w:rPr>
      <w:rFonts w:ascii="Times New Roman" w:eastAsia="SimSun" w:hAnsi="Times New Roman" w:cs="Times New Roman"/>
      <w:sz w:val="20"/>
      <w:szCs w:val="20"/>
      <w:lang w:eastAsia="zh-CN"/>
    </w:rPr>
  </w:style>
  <w:style w:type="character" w:customStyle="1" w:styleId="DipnotMetniChar">
    <w:name w:val="Dipnot Metni Char"/>
    <w:aliases w:val="Char Char Char,Footnote Text Char Char Char Char,Footnote Text Char Char Char1,Footnote Text Char Char Char Char Char Char Char"/>
    <w:basedOn w:val="VarsaylanParagrafYazTipi"/>
    <w:link w:val="DipnotMetni"/>
    <w:uiPriority w:val="99"/>
    <w:rsid w:val="00814EC5"/>
    <w:rPr>
      <w:rFonts w:ascii="Times New Roman" w:eastAsia="SimSun" w:hAnsi="Times New Roman" w:cs="Times New Roman"/>
      <w:sz w:val="20"/>
      <w:szCs w:val="20"/>
      <w:lang w:eastAsia="zh-CN"/>
    </w:rPr>
  </w:style>
  <w:style w:type="character" w:styleId="DipnotBavurusu">
    <w:name w:val="footnote reference"/>
    <w:uiPriority w:val="99"/>
    <w:qFormat/>
    <w:rsid w:val="00814EC5"/>
    <w:rPr>
      <w:vertAlign w:val="superscript"/>
    </w:rPr>
  </w:style>
  <w:style w:type="paragraph" w:styleId="stBilgi">
    <w:name w:val="header"/>
    <w:basedOn w:val="Normal"/>
    <w:link w:val="stBilgiChar"/>
    <w:uiPriority w:val="99"/>
    <w:unhideWhenUsed/>
    <w:rsid w:val="0039089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9089F"/>
  </w:style>
  <w:style w:type="paragraph" w:styleId="AltBilgi">
    <w:name w:val="footer"/>
    <w:basedOn w:val="Normal"/>
    <w:link w:val="AltBilgiChar"/>
    <w:uiPriority w:val="99"/>
    <w:unhideWhenUsed/>
    <w:rsid w:val="0039089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9089F"/>
  </w:style>
  <w:style w:type="table" w:styleId="TabloKlavuzu">
    <w:name w:val="Table Grid"/>
    <w:basedOn w:val="NormalTablo"/>
    <w:uiPriority w:val="39"/>
    <w:rsid w:val="00CC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41CB"/>
    <w:pPr>
      <w:ind w:left="720"/>
      <w:contextualSpacing/>
    </w:pPr>
  </w:style>
  <w:style w:type="character" w:customStyle="1" w:styleId="Balk3Char">
    <w:name w:val="Başlık 3 Char"/>
    <w:basedOn w:val="VarsaylanParagrafYazTipi"/>
    <w:link w:val="Balk3"/>
    <w:uiPriority w:val="9"/>
    <w:semiHidden/>
    <w:rsid w:val="008B272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4519</TotalTime>
  <Pages>17</Pages>
  <Words>8504</Words>
  <Characters>48477</Characters>
  <Application>Microsoft Office Word</Application>
  <DocSecurity>0</DocSecurity>
  <Lines>403</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Sony</cp:lastModifiedBy>
  <cp:revision>85</cp:revision>
  <dcterms:created xsi:type="dcterms:W3CDTF">2022-10-18T12:43:00Z</dcterms:created>
  <dcterms:modified xsi:type="dcterms:W3CDTF">2022-10-23T07:47:00Z</dcterms:modified>
</cp:coreProperties>
</file>