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147D1" w14:textId="77777777" w:rsidR="000820BD" w:rsidRDefault="000820BD" w:rsidP="000820BD">
      <w:pPr>
        <w:spacing w:after="0" w:line="240" w:lineRule="auto"/>
        <w:ind w:left="709" w:right="379" w:firstLine="284"/>
        <w:jc w:val="center"/>
        <w:rPr>
          <w:rFonts w:ascii="Times New Roman" w:eastAsiaTheme="minorEastAsia" w:hAnsi="Times New Roman" w:cs="Times New Roman"/>
          <w:b/>
          <w:bCs/>
          <w:color w:val="000000" w:themeColor="text1"/>
          <w:kern w:val="24"/>
          <w:sz w:val="24"/>
          <w:szCs w:val="24"/>
        </w:rPr>
      </w:pPr>
      <w:r>
        <w:rPr>
          <w:rFonts w:ascii="Times New Roman" w:hAnsi="Times New Roman" w:cs="Times New Roman"/>
          <w:b/>
          <w:sz w:val="28"/>
          <w:szCs w:val="24"/>
        </w:rPr>
        <w:t xml:space="preserve"> </w:t>
      </w:r>
      <w:r w:rsidRPr="00DB6F0C">
        <w:rPr>
          <w:rFonts w:ascii="Times New Roman" w:hAnsi="Times New Roman" w:cs="Times New Roman"/>
          <w:b/>
          <w:sz w:val="28"/>
          <w:szCs w:val="24"/>
        </w:rPr>
        <w:t xml:space="preserve"> </w:t>
      </w:r>
      <w:r w:rsidRPr="000820BD">
        <w:rPr>
          <w:rFonts w:ascii="Times New Roman" w:eastAsiaTheme="minorEastAsia" w:hAnsi="Times New Roman" w:cs="Times New Roman"/>
          <w:b/>
          <w:bCs/>
          <w:color w:val="000000" w:themeColor="text1"/>
          <w:kern w:val="24"/>
          <w:sz w:val="24"/>
          <w:szCs w:val="24"/>
        </w:rPr>
        <w:t xml:space="preserve">Shaping Sustainable Development Thru Sustainable Education: An Investigation Among Sustainable Consciousness Among </w:t>
      </w:r>
    </w:p>
    <w:p w14:paraId="2F6B6630" w14:textId="52D141C2" w:rsidR="000820BD" w:rsidRPr="000820BD" w:rsidRDefault="000820BD" w:rsidP="000820BD">
      <w:pPr>
        <w:spacing w:after="0" w:line="240" w:lineRule="auto"/>
        <w:ind w:left="709" w:right="379" w:firstLine="284"/>
        <w:jc w:val="center"/>
        <w:rPr>
          <w:rFonts w:ascii="Times New Roman" w:hAnsi="Times New Roman" w:cs="Times New Roman"/>
          <w:b/>
          <w:sz w:val="24"/>
          <w:szCs w:val="24"/>
        </w:rPr>
      </w:pPr>
      <w:r w:rsidRPr="000820BD">
        <w:rPr>
          <w:rFonts w:ascii="Times New Roman" w:eastAsiaTheme="minorEastAsia" w:hAnsi="Times New Roman" w:cs="Times New Roman"/>
          <w:b/>
          <w:bCs/>
          <w:color w:val="000000" w:themeColor="text1"/>
          <w:kern w:val="24"/>
          <w:sz w:val="24"/>
          <w:szCs w:val="24"/>
        </w:rPr>
        <w:t xml:space="preserve">Adolescents In </w:t>
      </w:r>
      <w:r>
        <w:rPr>
          <w:rFonts w:ascii="Times New Roman" w:eastAsiaTheme="minorEastAsia" w:hAnsi="Times New Roman" w:cs="Times New Roman"/>
          <w:b/>
          <w:bCs/>
          <w:color w:val="000000" w:themeColor="text1"/>
          <w:kern w:val="24"/>
          <w:sz w:val="24"/>
          <w:szCs w:val="24"/>
        </w:rPr>
        <w:t>TVET</w:t>
      </w:r>
      <w:r w:rsidRPr="000820BD">
        <w:rPr>
          <w:rFonts w:ascii="Times New Roman" w:eastAsiaTheme="minorEastAsia" w:hAnsi="Times New Roman" w:cs="Times New Roman"/>
          <w:b/>
          <w:bCs/>
          <w:color w:val="000000" w:themeColor="text1"/>
          <w:kern w:val="24"/>
          <w:sz w:val="24"/>
          <w:szCs w:val="24"/>
        </w:rPr>
        <w:t xml:space="preserve"> Education</w:t>
      </w:r>
      <w:r w:rsidRPr="000820BD">
        <w:rPr>
          <w:rFonts w:ascii="Times New Roman" w:hAnsi="Times New Roman" w:cs="Times New Roman"/>
          <w:b/>
          <w:sz w:val="24"/>
          <w:szCs w:val="24"/>
        </w:rPr>
        <w:t xml:space="preserve"> </w:t>
      </w:r>
    </w:p>
    <w:p w14:paraId="463C1468" w14:textId="77777777" w:rsidR="000820BD" w:rsidRPr="00DB6F0C" w:rsidRDefault="000820BD" w:rsidP="000820BD">
      <w:pPr>
        <w:spacing w:after="0" w:line="240" w:lineRule="auto"/>
        <w:ind w:left="709" w:right="379" w:firstLine="284"/>
        <w:jc w:val="center"/>
        <w:rPr>
          <w:rFonts w:ascii="Times New Roman" w:hAnsi="Times New Roman" w:cs="Times New Roman"/>
          <w:b/>
          <w:sz w:val="28"/>
          <w:szCs w:val="24"/>
        </w:rPr>
      </w:pPr>
    </w:p>
    <w:p w14:paraId="1462C8A1" w14:textId="383FE0C6" w:rsidR="000820BD" w:rsidRDefault="000820BD" w:rsidP="000820BD">
      <w:pPr>
        <w:spacing w:after="0" w:line="240" w:lineRule="auto"/>
        <w:ind w:left="709" w:right="379" w:firstLine="284"/>
        <w:jc w:val="center"/>
        <w:rPr>
          <w:rFonts w:ascii="Times New Roman" w:hAnsi="Times New Roman" w:cs="Times New Roman"/>
        </w:rPr>
      </w:pPr>
      <w:r w:rsidRPr="00770822">
        <w:rPr>
          <w:rFonts w:ascii="Times New Roman" w:hAnsi="Times New Roman" w:cs="Times New Roman"/>
        </w:rPr>
        <w:t>Norman bin Zamri</w:t>
      </w:r>
      <w:r>
        <w:rPr>
          <w:rFonts w:ascii="Times New Roman" w:hAnsi="Times New Roman" w:cs="Times New Roman"/>
          <w:vertAlign w:val="superscript"/>
        </w:rPr>
        <w:t>1</w:t>
      </w:r>
      <w:r>
        <w:rPr>
          <w:rFonts w:ascii="Times New Roman" w:hAnsi="Times New Roman" w:cs="Times New Roman"/>
        </w:rPr>
        <w:t xml:space="preserve">, </w:t>
      </w:r>
      <w:r w:rsidRPr="00770822">
        <w:rPr>
          <w:rFonts w:ascii="Times New Roman" w:hAnsi="Times New Roman" w:cs="Times New Roman"/>
        </w:rPr>
        <w:t>Rosmanizah Derahman</w:t>
      </w:r>
      <w:r w:rsidRPr="00770822">
        <w:rPr>
          <w:rFonts w:ascii="Times New Roman" w:hAnsi="Times New Roman" w:cs="Times New Roman"/>
          <w:vertAlign w:val="superscript"/>
        </w:rPr>
        <w:t>1</w:t>
      </w:r>
      <w:proofErr w:type="gramStart"/>
      <w:r w:rsidRPr="00770822">
        <w:rPr>
          <w:rFonts w:ascii="Times New Roman" w:hAnsi="Times New Roman" w:cs="Times New Roman"/>
        </w:rPr>
        <w:t>, ,</w:t>
      </w:r>
      <w:proofErr w:type="gramEnd"/>
      <w:r w:rsidRPr="00770822">
        <w:rPr>
          <w:rFonts w:ascii="Times New Roman" w:hAnsi="Times New Roman" w:cs="Times New Roman"/>
        </w:rPr>
        <w:t xml:space="preserve"> </w:t>
      </w:r>
    </w:p>
    <w:p w14:paraId="18C5EDBB" w14:textId="059EE446" w:rsidR="000820BD" w:rsidRPr="00770822" w:rsidRDefault="000820BD" w:rsidP="000820BD">
      <w:pPr>
        <w:spacing w:after="0" w:line="240" w:lineRule="auto"/>
        <w:ind w:left="709" w:right="379" w:firstLine="284"/>
        <w:jc w:val="center"/>
        <w:rPr>
          <w:rFonts w:ascii="Times New Roman" w:hAnsi="Times New Roman" w:cs="Times New Roman"/>
        </w:rPr>
      </w:pPr>
      <w:r w:rsidRPr="00770822">
        <w:rPr>
          <w:rFonts w:ascii="Times New Roman" w:hAnsi="Times New Roman" w:cs="Times New Roman"/>
        </w:rPr>
        <w:t xml:space="preserve">Nur Nadia </w:t>
      </w:r>
      <w:proofErr w:type="spellStart"/>
      <w:r w:rsidRPr="00770822">
        <w:rPr>
          <w:rFonts w:ascii="Times New Roman" w:hAnsi="Times New Roman" w:cs="Times New Roman"/>
        </w:rPr>
        <w:t>Saheera</w:t>
      </w:r>
      <w:proofErr w:type="spellEnd"/>
      <w:r w:rsidRPr="00770822">
        <w:rPr>
          <w:rFonts w:ascii="Times New Roman" w:hAnsi="Times New Roman" w:cs="Times New Roman"/>
        </w:rPr>
        <w:t xml:space="preserve"> Ros Laili</w:t>
      </w:r>
      <w:r>
        <w:rPr>
          <w:rFonts w:ascii="Times New Roman" w:hAnsi="Times New Roman" w:cs="Times New Roman"/>
          <w:vertAlign w:val="superscript"/>
        </w:rPr>
        <w:t>1</w:t>
      </w:r>
      <w:r w:rsidRPr="00770822">
        <w:rPr>
          <w:rFonts w:ascii="Times New Roman" w:hAnsi="Times New Roman" w:cs="Times New Roman"/>
        </w:rPr>
        <w:t xml:space="preserve">, </w:t>
      </w:r>
      <w:proofErr w:type="spellStart"/>
      <w:r w:rsidRPr="00770822">
        <w:rPr>
          <w:rFonts w:ascii="Times New Roman" w:hAnsi="Times New Roman" w:cs="Times New Roman"/>
        </w:rPr>
        <w:t>Nurwahida</w:t>
      </w:r>
      <w:proofErr w:type="spellEnd"/>
      <w:r w:rsidRPr="00770822">
        <w:rPr>
          <w:rFonts w:ascii="Times New Roman" w:hAnsi="Times New Roman" w:cs="Times New Roman"/>
        </w:rPr>
        <w:t xml:space="preserve"> Johari</w:t>
      </w:r>
      <w:r>
        <w:rPr>
          <w:rFonts w:ascii="Times New Roman" w:hAnsi="Times New Roman" w:cs="Times New Roman"/>
          <w:vertAlign w:val="superscript"/>
        </w:rPr>
        <w:t>1</w:t>
      </w:r>
      <w:r w:rsidRPr="00770822">
        <w:rPr>
          <w:rFonts w:ascii="Times New Roman" w:hAnsi="Times New Roman" w:cs="Times New Roman"/>
        </w:rPr>
        <w:t xml:space="preserve">, </w:t>
      </w:r>
      <w:r>
        <w:rPr>
          <w:rFonts w:ascii="Times New Roman" w:hAnsi="Times New Roman" w:cs="Times New Roman"/>
        </w:rPr>
        <w:t xml:space="preserve"> </w:t>
      </w:r>
    </w:p>
    <w:p w14:paraId="7C3DD4CE" w14:textId="77777777" w:rsidR="000820BD" w:rsidRPr="00770822" w:rsidRDefault="000820BD" w:rsidP="000820BD">
      <w:pPr>
        <w:spacing w:after="0" w:line="240" w:lineRule="auto"/>
        <w:ind w:left="709" w:right="379" w:firstLine="284"/>
        <w:jc w:val="center"/>
        <w:rPr>
          <w:rFonts w:ascii="Times New Roman" w:hAnsi="Times New Roman" w:cs="Times New Roman"/>
        </w:rPr>
      </w:pPr>
    </w:p>
    <w:p w14:paraId="6B19D3AD" w14:textId="4D75B8D0" w:rsidR="000820BD" w:rsidRPr="00770822" w:rsidRDefault="000820BD" w:rsidP="000820BD">
      <w:pPr>
        <w:spacing w:after="0" w:line="240" w:lineRule="auto"/>
        <w:ind w:left="709" w:right="379" w:firstLine="284"/>
        <w:jc w:val="center"/>
        <w:rPr>
          <w:rFonts w:ascii="Times New Roman" w:hAnsi="Times New Roman" w:cs="Times New Roman"/>
        </w:rPr>
      </w:pPr>
      <w:r w:rsidRPr="00770822">
        <w:rPr>
          <w:rFonts w:ascii="Times New Roman" w:hAnsi="Times New Roman" w:cs="Times New Roman"/>
          <w:vertAlign w:val="superscript"/>
        </w:rPr>
        <w:t>1</w:t>
      </w:r>
      <w:r w:rsidRPr="00770822">
        <w:rPr>
          <w:rFonts w:ascii="Times New Roman" w:hAnsi="Times New Roman" w:cs="Times New Roman"/>
        </w:rPr>
        <w:t xml:space="preserve">Politeknik Sultan Idris Shah </w:t>
      </w:r>
    </w:p>
    <w:p w14:paraId="58DA82F7" w14:textId="77777777" w:rsidR="000820BD" w:rsidRDefault="000820BD" w:rsidP="000820BD">
      <w:pPr>
        <w:spacing w:after="0" w:line="240" w:lineRule="auto"/>
        <w:ind w:right="379"/>
        <w:rPr>
          <w:rFonts w:ascii="Times New Roman" w:hAnsi="Times New Roman" w:cs="Times New Roman"/>
        </w:rPr>
      </w:pPr>
    </w:p>
    <w:p w14:paraId="51DF25F4" w14:textId="77777777" w:rsidR="000820BD" w:rsidRDefault="00000000" w:rsidP="000820BD">
      <w:pPr>
        <w:spacing w:after="0" w:line="240" w:lineRule="auto"/>
        <w:ind w:left="709" w:right="379" w:firstLine="284"/>
        <w:jc w:val="center"/>
        <w:rPr>
          <w:rFonts w:ascii="Bookman Old Style" w:hAnsi="Bookman Old Style"/>
          <w:b/>
          <w:sz w:val="24"/>
        </w:rPr>
      </w:pPr>
      <w:hyperlink r:id="rId8" w:history="1">
        <w:r w:rsidR="000820BD" w:rsidRPr="00573D72">
          <w:rPr>
            <w:rStyle w:val="Hyperlink"/>
            <w:rFonts w:ascii="Times New Roman" w:hAnsi="Times New Roman" w:cs="Times New Roman"/>
          </w:rPr>
          <w:t>rosmanizah@psis.edu.my</w:t>
        </w:r>
      </w:hyperlink>
      <w:r w:rsidR="000820BD">
        <w:rPr>
          <w:rFonts w:ascii="Times New Roman" w:hAnsi="Times New Roman" w:cs="Times New Roman"/>
        </w:rPr>
        <w:br/>
      </w:r>
      <w:r w:rsidR="000820BD">
        <w:t xml:space="preserve"> </w:t>
      </w:r>
    </w:p>
    <w:p w14:paraId="78BFF4E1" w14:textId="77777777" w:rsidR="000820BD" w:rsidRPr="004A525D" w:rsidRDefault="000820BD" w:rsidP="000820BD">
      <w:pPr>
        <w:spacing w:line="240" w:lineRule="auto"/>
        <w:ind w:right="379"/>
        <w:rPr>
          <w:rFonts w:ascii="Times New Roman" w:hAnsi="Times New Roman" w:cs="Times New Roman"/>
          <w:b/>
          <w:sz w:val="24"/>
          <w:szCs w:val="24"/>
        </w:rPr>
      </w:pPr>
      <w:r w:rsidRPr="004A525D">
        <w:rPr>
          <w:rFonts w:ascii="Times New Roman" w:hAnsi="Times New Roman" w:cs="Times New Roman"/>
          <w:b/>
          <w:sz w:val="24"/>
          <w:szCs w:val="24"/>
        </w:rPr>
        <w:t>ABSTRACT</w:t>
      </w:r>
    </w:p>
    <w:p w14:paraId="77224383" w14:textId="77777777" w:rsidR="000820BD" w:rsidRPr="00316160" w:rsidRDefault="000820BD" w:rsidP="000820BD">
      <w:pPr>
        <w:spacing w:line="240" w:lineRule="auto"/>
        <w:ind w:right="379"/>
        <w:jc w:val="both"/>
        <w:rPr>
          <w:rFonts w:ascii="Times New Roman" w:hAnsi="Times New Roman" w:cs="Times New Roman"/>
          <w:sz w:val="20"/>
          <w:szCs w:val="20"/>
        </w:rPr>
      </w:pPr>
      <w:r w:rsidRPr="00316160">
        <w:rPr>
          <w:rFonts w:ascii="Times New Roman" w:hAnsi="Times New Roman" w:cs="Times New Roman"/>
          <w:sz w:val="20"/>
          <w:szCs w:val="20"/>
        </w:rPr>
        <w:t xml:space="preserve">Sustainability holds to our ability to maintain at a certain level which is bearable and capable. Consciousness towards it would bring our nation a step higher level. </w:t>
      </w:r>
      <w:proofErr w:type="gramStart"/>
      <w:r w:rsidRPr="00316160">
        <w:rPr>
          <w:rFonts w:ascii="Times New Roman" w:hAnsi="Times New Roman" w:cs="Times New Roman"/>
          <w:sz w:val="20"/>
          <w:szCs w:val="20"/>
        </w:rPr>
        <w:t>Thus</w:t>
      </w:r>
      <w:proofErr w:type="gramEnd"/>
      <w:r w:rsidRPr="00316160">
        <w:rPr>
          <w:rFonts w:ascii="Times New Roman" w:hAnsi="Times New Roman" w:cs="Times New Roman"/>
          <w:sz w:val="20"/>
          <w:szCs w:val="20"/>
        </w:rPr>
        <w:t xml:space="preserve"> this study is aiming at crystallizing the sustainability knowledge, attitude, and </w:t>
      </w:r>
      <w:proofErr w:type="spellStart"/>
      <w:r w:rsidRPr="00316160">
        <w:rPr>
          <w:rFonts w:ascii="Times New Roman" w:hAnsi="Times New Roman" w:cs="Times New Roman"/>
          <w:sz w:val="20"/>
          <w:szCs w:val="20"/>
        </w:rPr>
        <w:t>behavior</w:t>
      </w:r>
      <w:proofErr w:type="spellEnd"/>
      <w:r w:rsidRPr="00316160">
        <w:rPr>
          <w:rFonts w:ascii="Times New Roman" w:hAnsi="Times New Roman" w:cs="Times New Roman"/>
          <w:sz w:val="20"/>
          <w:szCs w:val="20"/>
        </w:rPr>
        <w:t xml:space="preserve"> among TVET education. This cross-sectional study is aiming at measuring sustainability consciousness.  This quantitative study will utilize four sets of adapted items and would be distributed to all TVET institutions in Malaysia. The questionnaire will be conducted on 30 samples of a pilot test before it could be administered to the samples using simple random sampling. The finding is expected to give quite an impact and infer to sustainability awareness in Malaysian TVET education. </w:t>
      </w:r>
    </w:p>
    <w:p w14:paraId="7884E874" w14:textId="77777777" w:rsidR="000820BD" w:rsidRPr="004A525D" w:rsidRDefault="000820BD" w:rsidP="000820BD">
      <w:pPr>
        <w:spacing w:line="240" w:lineRule="auto"/>
        <w:ind w:right="379"/>
        <w:jc w:val="both"/>
        <w:rPr>
          <w:rFonts w:ascii="Times New Roman" w:hAnsi="Times New Roman" w:cs="Times New Roman"/>
        </w:rPr>
      </w:pPr>
      <w:r w:rsidRPr="004A525D">
        <w:rPr>
          <w:rFonts w:ascii="Times New Roman" w:hAnsi="Times New Roman" w:cs="Times New Roman"/>
        </w:rPr>
        <w:t xml:space="preserve">Keywords:  </w:t>
      </w:r>
      <w:r w:rsidRPr="004A525D">
        <w:rPr>
          <w:rFonts w:ascii="Times New Roman" w:hAnsi="Times New Roman" w:cs="Times New Roman"/>
          <w:i/>
        </w:rPr>
        <w:t xml:space="preserve">sustainable learning, consciousness, sustainable knowledge, sustainable attitude, sustainable </w:t>
      </w:r>
      <w:proofErr w:type="spellStart"/>
      <w:r w:rsidRPr="004A525D">
        <w:rPr>
          <w:rFonts w:ascii="Times New Roman" w:hAnsi="Times New Roman" w:cs="Times New Roman"/>
          <w:i/>
        </w:rPr>
        <w:t>behavior</w:t>
      </w:r>
      <w:proofErr w:type="spellEnd"/>
      <w:r w:rsidRPr="004A525D">
        <w:rPr>
          <w:rFonts w:ascii="Times New Roman" w:hAnsi="Times New Roman" w:cs="Times New Roman"/>
          <w:i/>
        </w:rPr>
        <w:t>, TVET education</w:t>
      </w:r>
      <w:r w:rsidRPr="004A525D">
        <w:rPr>
          <w:rFonts w:ascii="Times New Roman" w:hAnsi="Times New Roman" w:cs="Times New Roman"/>
        </w:rPr>
        <w:t>.</w:t>
      </w:r>
    </w:p>
    <w:p w14:paraId="1DD6B1B0" w14:textId="77777777" w:rsidR="000820BD" w:rsidRDefault="000820BD" w:rsidP="000820BD">
      <w:pPr>
        <w:spacing w:line="240" w:lineRule="auto"/>
        <w:ind w:left="709" w:right="379" w:firstLine="284"/>
        <w:jc w:val="both"/>
        <w:rPr>
          <w:rFonts w:ascii="Times New Roman" w:hAnsi="Times New Roman" w:cs="Times New Roman"/>
          <w:sz w:val="20"/>
          <w:szCs w:val="24"/>
        </w:rPr>
      </w:pPr>
    </w:p>
    <w:p w14:paraId="506B770A" w14:textId="77777777" w:rsidR="000820BD" w:rsidRDefault="000820BD" w:rsidP="000820BD">
      <w:pPr>
        <w:spacing w:line="240" w:lineRule="auto"/>
        <w:ind w:left="709" w:right="379" w:firstLine="284"/>
        <w:jc w:val="both"/>
        <w:rPr>
          <w:rFonts w:ascii="Times New Roman" w:hAnsi="Times New Roman" w:cs="Times New Roman"/>
          <w:sz w:val="20"/>
          <w:szCs w:val="24"/>
        </w:rPr>
      </w:pPr>
    </w:p>
    <w:p w14:paraId="45C2AD20" w14:textId="77777777" w:rsidR="000820BD" w:rsidRPr="006E08CC" w:rsidRDefault="000820BD" w:rsidP="000820BD">
      <w:pPr>
        <w:pStyle w:val="ListParagraph"/>
        <w:numPr>
          <w:ilvl w:val="0"/>
          <w:numId w:val="1"/>
        </w:numPr>
        <w:spacing w:line="240" w:lineRule="auto"/>
        <w:ind w:left="284" w:right="379" w:hanging="284"/>
        <w:jc w:val="both"/>
        <w:rPr>
          <w:rFonts w:ascii="Times New Roman" w:hAnsi="Times New Roman" w:cs="Times New Roman"/>
          <w:b/>
          <w:sz w:val="24"/>
          <w:szCs w:val="24"/>
        </w:rPr>
      </w:pPr>
      <w:r w:rsidRPr="006E08CC">
        <w:rPr>
          <w:rFonts w:ascii="Times New Roman" w:hAnsi="Times New Roman" w:cs="Times New Roman"/>
          <w:b/>
          <w:sz w:val="24"/>
          <w:szCs w:val="24"/>
        </w:rPr>
        <w:t>INTRODUCTION</w:t>
      </w:r>
    </w:p>
    <w:p w14:paraId="58786D14" w14:textId="77777777" w:rsidR="000820BD" w:rsidRPr="00E50331" w:rsidRDefault="000820BD" w:rsidP="000820BD">
      <w:pPr>
        <w:spacing w:line="240" w:lineRule="auto"/>
        <w:ind w:left="709" w:right="379" w:firstLine="284"/>
        <w:jc w:val="both"/>
        <w:rPr>
          <w:rFonts w:ascii="Times New Roman" w:hAnsi="Times New Roman" w:cs="Times New Roman"/>
          <w:b/>
          <w:sz w:val="24"/>
          <w:szCs w:val="24"/>
        </w:rPr>
      </w:pPr>
    </w:p>
    <w:p w14:paraId="1EFD8AE9"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Learning in a new era has been vastly challenging. Transform from traditional learning to outcome-based education (OBE) has been tremendously becoming emerging practice. Transformative learning which requires integration of various teaching and learning approaches which engage the head, heart, and hands for various discipline is quite complex to chew (Mahmud, 2017). Hence learning and sustainability have become an emerging field of inquiry (Rodríguez </w:t>
      </w:r>
      <w:proofErr w:type="spellStart"/>
      <w:r w:rsidRPr="00316160">
        <w:rPr>
          <w:rFonts w:ascii="Times New Roman" w:hAnsi="Times New Roman" w:cs="Times New Roman"/>
        </w:rPr>
        <w:t>Aboytes</w:t>
      </w:r>
      <w:proofErr w:type="spellEnd"/>
      <w:r w:rsidRPr="00316160">
        <w:rPr>
          <w:rFonts w:ascii="Times New Roman" w:hAnsi="Times New Roman" w:cs="Times New Roman"/>
        </w:rPr>
        <w:t xml:space="preserve"> &amp; Barth, 2020).  </w:t>
      </w:r>
    </w:p>
    <w:p w14:paraId="7FC6BCAC"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Sustainable learning would be from various perspectives. There would be from organizational perspectives (</w:t>
      </w:r>
      <w:proofErr w:type="spellStart"/>
      <w:r w:rsidRPr="00316160">
        <w:rPr>
          <w:rFonts w:ascii="Times New Roman" w:hAnsi="Times New Roman" w:cs="Times New Roman"/>
        </w:rPr>
        <w:t>Wijethilake</w:t>
      </w:r>
      <w:proofErr w:type="spellEnd"/>
      <w:r w:rsidRPr="00316160">
        <w:rPr>
          <w:rFonts w:ascii="Times New Roman" w:hAnsi="Times New Roman" w:cs="Times New Roman"/>
        </w:rPr>
        <w:t xml:space="preserve"> &amp; </w:t>
      </w:r>
      <w:proofErr w:type="spellStart"/>
      <w:r w:rsidRPr="00316160">
        <w:rPr>
          <w:rFonts w:ascii="Times New Roman" w:hAnsi="Times New Roman" w:cs="Times New Roman"/>
        </w:rPr>
        <w:t>Upadhaya</w:t>
      </w:r>
      <w:proofErr w:type="spellEnd"/>
      <w:r w:rsidRPr="00316160">
        <w:rPr>
          <w:rFonts w:ascii="Times New Roman" w:hAnsi="Times New Roman" w:cs="Times New Roman"/>
        </w:rPr>
        <w:t>, 2020), supply chain (Sarkis, 2021), or from different levels of education. Sustainability learning would capture attention on the school approach (</w:t>
      </w:r>
      <w:proofErr w:type="spellStart"/>
      <w:r w:rsidRPr="00316160">
        <w:rPr>
          <w:rFonts w:ascii="Times New Roman" w:hAnsi="Times New Roman" w:cs="Times New Roman"/>
        </w:rPr>
        <w:t>Bosevska</w:t>
      </w:r>
      <w:proofErr w:type="spellEnd"/>
      <w:r w:rsidRPr="00316160">
        <w:rPr>
          <w:rFonts w:ascii="Times New Roman" w:hAnsi="Times New Roman" w:cs="Times New Roman"/>
        </w:rPr>
        <w:t xml:space="preserve"> &amp; </w:t>
      </w:r>
      <w:proofErr w:type="spellStart"/>
      <w:r w:rsidRPr="00316160">
        <w:rPr>
          <w:rFonts w:ascii="Times New Roman" w:hAnsi="Times New Roman" w:cs="Times New Roman"/>
        </w:rPr>
        <w:t>Kriewaldt</w:t>
      </w:r>
      <w:proofErr w:type="spellEnd"/>
      <w:r w:rsidRPr="00316160">
        <w:rPr>
          <w:rFonts w:ascii="Times New Roman" w:hAnsi="Times New Roman" w:cs="Times New Roman"/>
        </w:rPr>
        <w:t>, 2020) or higher education (</w:t>
      </w:r>
      <w:proofErr w:type="spellStart"/>
      <w:r w:rsidRPr="00316160">
        <w:rPr>
          <w:rFonts w:ascii="Times New Roman" w:hAnsi="Times New Roman" w:cs="Times New Roman"/>
        </w:rPr>
        <w:t>Risopoulos</w:t>
      </w:r>
      <w:proofErr w:type="spellEnd"/>
      <w:r w:rsidRPr="00316160">
        <w:rPr>
          <w:rFonts w:ascii="Times New Roman" w:hAnsi="Times New Roman" w:cs="Times New Roman"/>
        </w:rPr>
        <w:t xml:space="preserve">-Pichler, </w:t>
      </w:r>
      <w:proofErr w:type="spellStart"/>
      <w:r w:rsidRPr="00316160">
        <w:rPr>
          <w:rFonts w:ascii="Times New Roman" w:hAnsi="Times New Roman" w:cs="Times New Roman"/>
        </w:rPr>
        <w:t>Daghofer</w:t>
      </w:r>
      <w:proofErr w:type="spellEnd"/>
      <w:r w:rsidRPr="00316160">
        <w:rPr>
          <w:rFonts w:ascii="Times New Roman" w:hAnsi="Times New Roman" w:cs="Times New Roman"/>
        </w:rPr>
        <w:t xml:space="preserve">, &amp; Steiner, 2020). </w:t>
      </w:r>
      <w:proofErr w:type="gramStart"/>
      <w:r w:rsidRPr="00316160">
        <w:rPr>
          <w:rFonts w:ascii="Times New Roman" w:hAnsi="Times New Roman" w:cs="Times New Roman"/>
        </w:rPr>
        <w:t>Thus</w:t>
      </w:r>
      <w:proofErr w:type="gramEnd"/>
      <w:r w:rsidRPr="00316160">
        <w:rPr>
          <w:rFonts w:ascii="Times New Roman" w:hAnsi="Times New Roman" w:cs="Times New Roman"/>
        </w:rPr>
        <w:t xml:space="preserve"> questions emerge as to how learning would sustain and contribute to education and further accelerate the growth of online learning especially during and after the Covid19 pandemic.</w:t>
      </w:r>
    </w:p>
    <w:p w14:paraId="0640FCE3"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To date, various efforts have been made to understand and investigate these questions. This paper aims to help in closing the gaps and provide some overview on sustainable learning in higher education and the focus is aiming at providing insight to TVET Education.  Learning is defined </w:t>
      </w:r>
      <w:proofErr w:type="gramStart"/>
      <w:r w:rsidRPr="00316160">
        <w:rPr>
          <w:rFonts w:ascii="Times New Roman" w:hAnsi="Times New Roman" w:cs="Times New Roman"/>
        </w:rPr>
        <w:t>variously</w:t>
      </w:r>
      <w:proofErr w:type="gramEnd"/>
      <w:r w:rsidRPr="00316160">
        <w:rPr>
          <w:rFonts w:ascii="Times New Roman" w:hAnsi="Times New Roman" w:cs="Times New Roman"/>
        </w:rPr>
        <w:t xml:space="preserve"> and Henry (2009) defines it as:</w:t>
      </w:r>
    </w:p>
    <w:p w14:paraId="0632413F" w14:textId="77777777" w:rsidR="000820BD" w:rsidRPr="00316160" w:rsidRDefault="000820BD" w:rsidP="000820BD">
      <w:pPr>
        <w:spacing w:line="240" w:lineRule="auto"/>
        <w:ind w:left="709" w:right="379" w:firstLine="284"/>
        <w:jc w:val="both"/>
        <w:rPr>
          <w:rFonts w:ascii="Times New Roman" w:hAnsi="Times New Roman" w:cs="Times New Roman"/>
          <w:i/>
        </w:rPr>
      </w:pPr>
      <w:r w:rsidRPr="00316160">
        <w:rPr>
          <w:rFonts w:ascii="Times New Roman" w:hAnsi="Times New Roman" w:cs="Times New Roman"/>
          <w:i/>
        </w:rPr>
        <w:t xml:space="preserve">The continuous and active process that “takes place both in action and interaction and focuses on the cognition-action relationship” and by which individuals, collective agents, or wider social systems assimilate information and update their cognitions and </w:t>
      </w:r>
      <w:proofErr w:type="spellStart"/>
      <w:r w:rsidRPr="00316160">
        <w:rPr>
          <w:rFonts w:ascii="Times New Roman" w:hAnsi="Times New Roman" w:cs="Times New Roman"/>
          <w:i/>
        </w:rPr>
        <w:t>behavior</w:t>
      </w:r>
      <w:proofErr w:type="spellEnd"/>
      <w:r w:rsidRPr="00316160">
        <w:rPr>
          <w:rFonts w:ascii="Times New Roman" w:hAnsi="Times New Roman" w:cs="Times New Roman"/>
          <w:i/>
        </w:rPr>
        <w:t xml:space="preserve"> accordingly.</w:t>
      </w:r>
    </w:p>
    <w:p w14:paraId="50FDCAE1" w14:textId="77777777" w:rsidR="000820BD" w:rsidRPr="00316160" w:rsidRDefault="000820BD" w:rsidP="000820BD">
      <w:pPr>
        <w:spacing w:line="240" w:lineRule="auto"/>
        <w:ind w:left="709" w:right="379" w:firstLine="284"/>
        <w:jc w:val="both"/>
        <w:rPr>
          <w:rFonts w:ascii="Times New Roman" w:hAnsi="Times New Roman" w:cs="Times New Roman"/>
          <w:b/>
        </w:rPr>
      </w:pPr>
    </w:p>
    <w:p w14:paraId="08B5742C" w14:textId="77777777" w:rsidR="000820BD" w:rsidRPr="00316160" w:rsidRDefault="000820BD" w:rsidP="000820BD">
      <w:pPr>
        <w:tabs>
          <w:tab w:val="left" w:pos="8080"/>
        </w:tabs>
        <w:spacing w:line="240" w:lineRule="auto"/>
        <w:ind w:left="709" w:right="379" w:firstLine="284"/>
        <w:jc w:val="center"/>
        <w:rPr>
          <w:rFonts w:ascii="Times New Roman" w:hAnsi="Times New Roman" w:cs="Times New Roman"/>
          <w:szCs w:val="20"/>
        </w:rPr>
      </w:pPr>
      <w:r w:rsidRPr="00316160">
        <w:rPr>
          <w:noProof/>
          <w:sz w:val="20"/>
          <w:szCs w:val="20"/>
          <w:lang w:eastAsia="en-MY"/>
        </w:rPr>
        <w:lastRenderedPageBreak/>
        <w:drawing>
          <wp:inline distT="0" distB="0" distL="0" distR="0" wp14:anchorId="7368BDAF" wp14:editId="1441D7FD">
            <wp:extent cx="4514850" cy="2695575"/>
            <wp:effectExtent l="19050" t="19050" r="19050" b="28575"/>
            <wp:docPr id="1" name="Picture 1" descr="Diagram, ven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venn diagram&#10;&#10;Description automatically generated"/>
                    <pic:cNvPicPr/>
                  </pic:nvPicPr>
                  <pic:blipFill>
                    <a:blip r:embed="rId9"/>
                    <a:stretch>
                      <a:fillRect/>
                    </a:stretch>
                  </pic:blipFill>
                  <pic:spPr>
                    <a:xfrm>
                      <a:off x="0" y="0"/>
                      <a:ext cx="4514850" cy="2695575"/>
                    </a:xfrm>
                    <a:prstGeom prst="rect">
                      <a:avLst/>
                    </a:prstGeom>
                    <a:ln>
                      <a:solidFill>
                        <a:schemeClr val="tx1"/>
                      </a:solidFill>
                    </a:ln>
                  </pic:spPr>
                </pic:pic>
              </a:graphicData>
            </a:graphic>
          </wp:inline>
        </w:drawing>
      </w:r>
    </w:p>
    <w:p w14:paraId="05582844" w14:textId="77777777" w:rsidR="000820BD" w:rsidRPr="00316160" w:rsidRDefault="000820BD" w:rsidP="000820BD">
      <w:pPr>
        <w:spacing w:line="240" w:lineRule="auto"/>
        <w:ind w:left="709" w:right="379" w:firstLine="284"/>
        <w:jc w:val="center"/>
        <w:rPr>
          <w:rFonts w:ascii="Times New Roman" w:hAnsi="Times New Roman" w:cs="Times New Roman"/>
          <w:b/>
        </w:rPr>
      </w:pPr>
      <w:r w:rsidRPr="00316160">
        <w:rPr>
          <w:rFonts w:ascii="Times New Roman" w:hAnsi="Times New Roman" w:cs="Times New Roman"/>
        </w:rPr>
        <w:t>Figure 1: Overlaps on SL and SLE (Purvis, 2018)</w:t>
      </w:r>
    </w:p>
    <w:p w14:paraId="368B89A8" w14:textId="220D7DB7" w:rsidR="000820BD" w:rsidRPr="00316160" w:rsidRDefault="000820BD" w:rsidP="000820BD">
      <w:pPr>
        <w:spacing w:line="240" w:lineRule="auto"/>
        <w:ind w:left="709" w:right="379" w:firstLine="284"/>
        <w:jc w:val="center"/>
        <w:rPr>
          <w:rFonts w:ascii="Times New Roman" w:hAnsi="Times New Roman" w:cs="Times New Roman"/>
        </w:rPr>
      </w:pPr>
    </w:p>
    <w:p w14:paraId="34366E7D" w14:textId="77777777" w:rsidR="000820BD" w:rsidRPr="00316160" w:rsidRDefault="000820BD" w:rsidP="000820BD">
      <w:pPr>
        <w:tabs>
          <w:tab w:val="left" w:pos="8080"/>
        </w:tabs>
        <w:spacing w:line="240" w:lineRule="auto"/>
        <w:ind w:left="709" w:right="379" w:firstLine="284"/>
        <w:jc w:val="center"/>
        <w:rPr>
          <w:rFonts w:ascii="Times New Roman" w:hAnsi="Times New Roman" w:cs="Times New Roman"/>
          <w:szCs w:val="20"/>
        </w:rPr>
      </w:pPr>
    </w:p>
    <w:p w14:paraId="27397539"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The above figure 1 somewhat defines sustainable learning a way differently from sustainable learning in education (SLE) (Ben-Eliyahu, 2021). Sustainable learning (SL) is an emerging concept that is initially understood as learning that is retained and may be transferable (Hays &amp; Reinders, 2020). It emphasizes retained knowledge and skills which would consist of ongoing, purposeful, responsive, and proactive learning. </w:t>
      </w:r>
    </w:p>
    <w:p w14:paraId="6252CDF1" w14:textId="77777777" w:rsidR="000820BD" w:rsidRPr="00316160" w:rsidRDefault="000820BD" w:rsidP="000820BD">
      <w:pPr>
        <w:spacing w:line="240" w:lineRule="auto"/>
        <w:ind w:right="379"/>
        <w:jc w:val="both"/>
        <w:rPr>
          <w:rFonts w:ascii="Times New Roman" w:hAnsi="Times New Roman" w:cs="Times New Roman"/>
        </w:rPr>
      </w:pPr>
    </w:p>
    <w:p w14:paraId="1DB38645"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As sustainability is concerned, there are three pillars namely economy, society, and environment (Purvis, 2018). These three pillars are also known as profit, people, and the planet.  The so-called Prophet of Sustainability; Elkington (2020) predicts in his book an approaching crisis in the world </w:t>
      </w:r>
      <w:proofErr w:type="gramStart"/>
      <w:r w:rsidRPr="00316160">
        <w:rPr>
          <w:rFonts w:ascii="Times New Roman" w:hAnsi="Times New Roman" w:cs="Times New Roman"/>
        </w:rPr>
        <w:t>economy</w:t>
      </w:r>
      <w:proofErr w:type="gramEnd"/>
      <w:r w:rsidRPr="00316160">
        <w:rPr>
          <w:rFonts w:ascii="Times New Roman" w:hAnsi="Times New Roman" w:cs="Times New Roman"/>
        </w:rPr>
        <w:t xml:space="preserve"> and he offers solutions to crash capitalism which will be the systematic solution to global challenges and make this a better place for prosperity, people, and the planet. However, concern on sustainability is also aroused due to increasing environmental and society’s problems. When 23% of people live in the </w:t>
      </w:r>
      <w:proofErr w:type="gramStart"/>
      <w:r w:rsidRPr="00316160">
        <w:rPr>
          <w:rFonts w:ascii="Times New Roman" w:hAnsi="Times New Roman" w:cs="Times New Roman"/>
        </w:rPr>
        <w:t>cities,  CO2</w:t>
      </w:r>
      <w:proofErr w:type="gramEnd"/>
      <w:r w:rsidRPr="00316160">
        <w:rPr>
          <w:rFonts w:ascii="Times New Roman" w:hAnsi="Times New Roman" w:cs="Times New Roman"/>
        </w:rPr>
        <w:t xml:space="preserve"> emission and consequential climate could end the world. Not to mention the plastic pollution, over-fishing, deforestation, biodiversity loss, and illegal wildlife trade would jeopardize and bring mass-scale destruction to the future habitable world (</w:t>
      </w:r>
      <w:proofErr w:type="spellStart"/>
      <w:r w:rsidRPr="00316160">
        <w:rPr>
          <w:rFonts w:ascii="Times New Roman" w:hAnsi="Times New Roman" w:cs="Times New Roman"/>
        </w:rPr>
        <w:t>Figgener</w:t>
      </w:r>
      <w:proofErr w:type="spellEnd"/>
      <w:r w:rsidRPr="00316160">
        <w:rPr>
          <w:rFonts w:ascii="Times New Roman" w:hAnsi="Times New Roman" w:cs="Times New Roman"/>
        </w:rPr>
        <w:t xml:space="preserve">, 2021). </w:t>
      </w:r>
    </w:p>
    <w:p w14:paraId="0B32D83E"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 Today, time can’t be turning back but education would make people grow more trees, green the cities, clean up rivers and ocean and make peace with nature. As money talks and sustainability of prosperity, people and the planet </w:t>
      </w:r>
      <w:proofErr w:type="gramStart"/>
      <w:r w:rsidRPr="00316160">
        <w:rPr>
          <w:rFonts w:ascii="Times New Roman" w:hAnsi="Times New Roman" w:cs="Times New Roman"/>
        </w:rPr>
        <w:t>is</w:t>
      </w:r>
      <w:proofErr w:type="gramEnd"/>
      <w:r w:rsidRPr="00316160">
        <w:rPr>
          <w:rFonts w:ascii="Times New Roman" w:hAnsi="Times New Roman" w:cs="Times New Roman"/>
        </w:rPr>
        <w:t xml:space="preserve"> on the run, effortlessly. </w:t>
      </w:r>
    </w:p>
    <w:p w14:paraId="389E6777" w14:textId="2652C224" w:rsidR="000820BD" w:rsidRPr="00BA6FED" w:rsidRDefault="000820BD" w:rsidP="000820BD">
      <w:pPr>
        <w:spacing w:line="240" w:lineRule="auto"/>
        <w:ind w:right="379"/>
        <w:jc w:val="both"/>
        <w:rPr>
          <w:rFonts w:ascii="Times New Roman" w:hAnsi="Times New Roman" w:cs="Times New Roman"/>
          <w:b/>
          <w:sz w:val="24"/>
          <w:szCs w:val="24"/>
        </w:rPr>
      </w:pPr>
      <w:r w:rsidRPr="00BA6FED">
        <w:rPr>
          <w:rFonts w:ascii="Times New Roman" w:hAnsi="Times New Roman" w:cs="Times New Roman"/>
          <w:b/>
          <w:sz w:val="24"/>
          <w:szCs w:val="24"/>
        </w:rPr>
        <w:t>1.1</w:t>
      </w:r>
      <w:r>
        <w:rPr>
          <w:rFonts w:ascii="Times New Roman" w:hAnsi="Times New Roman" w:cs="Times New Roman"/>
          <w:b/>
          <w:sz w:val="24"/>
          <w:szCs w:val="24"/>
        </w:rPr>
        <w:t xml:space="preserve">  </w:t>
      </w:r>
      <w:r w:rsidRPr="00BA6FED">
        <w:rPr>
          <w:rFonts w:ascii="Times New Roman" w:hAnsi="Times New Roman" w:cs="Times New Roman"/>
          <w:b/>
          <w:sz w:val="24"/>
          <w:szCs w:val="24"/>
        </w:rPr>
        <w:t xml:space="preserve"> Sustainable Learning</w:t>
      </w:r>
    </w:p>
    <w:p w14:paraId="2FF408C3"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Sustainable learning is associated with lifelong learning (Livingstone, 1999) and a transferable process to learning to learn with engaging possibilities (Hays &amp; Reinders, 2020). Others may also view sustainable learning as ecological thinking which sees sustainability as not an option rather than imperatively important. Holding the principles that we are all an agent in the ecosystem, sustainable learning put a great notion to sustainability.  Hays &amp; Reinders (2020) also believe that sustainable learning is the need to provide for today without damaging the future. </w:t>
      </w:r>
      <w:proofErr w:type="gramStart"/>
      <w:r w:rsidRPr="00316160">
        <w:rPr>
          <w:rFonts w:ascii="Times New Roman" w:hAnsi="Times New Roman" w:cs="Times New Roman"/>
        </w:rPr>
        <w:t>Thus</w:t>
      </w:r>
      <w:proofErr w:type="gramEnd"/>
      <w:r w:rsidRPr="00316160">
        <w:rPr>
          <w:rFonts w:ascii="Times New Roman" w:hAnsi="Times New Roman" w:cs="Times New Roman"/>
        </w:rPr>
        <w:t xml:space="preserve"> weighing on the future direction is seemly required to ensure that today’s preparation is enough. Awareness and consciousness are vital to see the future undertaking.</w:t>
      </w:r>
    </w:p>
    <w:p w14:paraId="4000F416" w14:textId="77777777" w:rsidR="000820BD" w:rsidRPr="00BA6FED" w:rsidRDefault="000820BD" w:rsidP="000820BD">
      <w:pPr>
        <w:spacing w:line="240" w:lineRule="auto"/>
        <w:ind w:left="709" w:right="379" w:firstLine="284"/>
        <w:jc w:val="both"/>
        <w:rPr>
          <w:rFonts w:ascii="Times New Roman" w:hAnsi="Times New Roman" w:cs="Times New Roman"/>
          <w:sz w:val="24"/>
          <w:szCs w:val="24"/>
        </w:rPr>
      </w:pPr>
    </w:p>
    <w:p w14:paraId="7FA0C243" w14:textId="77777777" w:rsidR="000820BD" w:rsidRPr="006E08CC" w:rsidRDefault="000820BD" w:rsidP="000820BD">
      <w:pPr>
        <w:spacing w:line="240" w:lineRule="auto"/>
        <w:ind w:right="379"/>
        <w:jc w:val="both"/>
        <w:rPr>
          <w:rFonts w:ascii="Times New Roman" w:hAnsi="Times New Roman" w:cs="Times New Roman"/>
          <w:b/>
          <w:sz w:val="24"/>
          <w:szCs w:val="24"/>
        </w:rPr>
      </w:pPr>
      <w:r w:rsidRPr="00BA6FED">
        <w:rPr>
          <w:rFonts w:ascii="Times New Roman" w:hAnsi="Times New Roman" w:cs="Times New Roman"/>
          <w:b/>
          <w:sz w:val="24"/>
          <w:szCs w:val="24"/>
        </w:rPr>
        <w:lastRenderedPageBreak/>
        <w:t>1.2</w:t>
      </w:r>
      <w:r>
        <w:rPr>
          <w:rFonts w:ascii="Times New Roman" w:hAnsi="Times New Roman" w:cs="Times New Roman"/>
          <w:b/>
          <w:sz w:val="24"/>
          <w:szCs w:val="24"/>
        </w:rPr>
        <w:t xml:space="preserve"> </w:t>
      </w:r>
      <w:r w:rsidRPr="00BA6FED">
        <w:rPr>
          <w:rFonts w:ascii="Times New Roman" w:hAnsi="Times New Roman" w:cs="Times New Roman"/>
          <w:b/>
          <w:sz w:val="24"/>
          <w:szCs w:val="24"/>
        </w:rPr>
        <w:t>Sustainability Consciousness</w:t>
      </w:r>
    </w:p>
    <w:p w14:paraId="55496F1D"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Sustainability consciousness is related to the experience or awareness of sustainability phenomena. It would be viewed from self-experiences and perception which associated with one’s belief, feeling, and action (Gericke, Berglund, &amp; Olsson, 2018). Often, business and marketing sustainability has captured the attention and been explored frequently. It would be </w:t>
      </w:r>
      <w:proofErr w:type="gramStart"/>
      <w:r w:rsidRPr="00316160">
        <w:rPr>
          <w:rFonts w:ascii="Times New Roman" w:hAnsi="Times New Roman" w:cs="Times New Roman"/>
        </w:rPr>
        <w:t>due to the fact that</w:t>
      </w:r>
      <w:proofErr w:type="gramEnd"/>
      <w:r w:rsidRPr="00316160">
        <w:rPr>
          <w:rFonts w:ascii="Times New Roman" w:hAnsi="Times New Roman" w:cs="Times New Roman"/>
        </w:rPr>
        <w:t xml:space="preserve"> environmental and sustainability concern companies have higher earning (Ahmed, </w:t>
      </w:r>
      <w:proofErr w:type="spellStart"/>
      <w:r w:rsidRPr="00316160">
        <w:rPr>
          <w:rFonts w:ascii="Times New Roman" w:hAnsi="Times New Roman" w:cs="Times New Roman"/>
        </w:rPr>
        <w:t>Motagno</w:t>
      </w:r>
      <w:proofErr w:type="spellEnd"/>
      <w:r w:rsidRPr="00316160">
        <w:rPr>
          <w:rFonts w:ascii="Times New Roman" w:hAnsi="Times New Roman" w:cs="Times New Roman"/>
        </w:rPr>
        <w:t>, &amp; Firenze, 1998).</w:t>
      </w:r>
    </w:p>
    <w:p w14:paraId="7D387F3A"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In education, TVET Technical and Vocational Educational Training in Malaysia is developing. TVET has been regarded as a primary provider of human capital in industrialized nations. TVET has become primary education in most developed </w:t>
      </w:r>
      <w:proofErr w:type="gramStart"/>
      <w:r w:rsidRPr="00316160">
        <w:rPr>
          <w:rFonts w:ascii="Times New Roman" w:hAnsi="Times New Roman" w:cs="Times New Roman"/>
        </w:rPr>
        <w:t>countries</w:t>
      </w:r>
      <w:proofErr w:type="gramEnd"/>
      <w:r w:rsidRPr="00316160">
        <w:rPr>
          <w:rFonts w:ascii="Times New Roman" w:hAnsi="Times New Roman" w:cs="Times New Roman"/>
        </w:rPr>
        <w:t xml:space="preserve"> and it has been witnessed that almost 70% of students in Germany have entering TVET (Ahmad et al., 2015). </w:t>
      </w:r>
      <w:proofErr w:type="gramStart"/>
      <w:r w:rsidRPr="00316160">
        <w:rPr>
          <w:rFonts w:ascii="Times New Roman" w:hAnsi="Times New Roman" w:cs="Times New Roman"/>
        </w:rPr>
        <w:t>Thus</w:t>
      </w:r>
      <w:proofErr w:type="gramEnd"/>
      <w:r w:rsidRPr="00316160">
        <w:rPr>
          <w:rFonts w:ascii="Times New Roman" w:hAnsi="Times New Roman" w:cs="Times New Roman"/>
        </w:rPr>
        <w:t xml:space="preserve"> to be more competitive in preparing its human capital, Malaysia put enhancement on its TVET.</w:t>
      </w:r>
    </w:p>
    <w:p w14:paraId="7B75D026"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Until 2010, it is only 28% of higher-skilled workers in Malaysia is Malaysian and this situation put the Malaysian government realize how important it increases TVET graduates. Thru its Economic Transformation Program (ETP), TVET graduates are expected to take 1.5 million from 3.0 </w:t>
      </w:r>
      <w:proofErr w:type="gramStart"/>
      <w:r w:rsidRPr="00316160">
        <w:rPr>
          <w:rFonts w:ascii="Times New Roman" w:hAnsi="Times New Roman" w:cs="Times New Roman"/>
        </w:rPr>
        <w:t>Million</w:t>
      </w:r>
      <w:proofErr w:type="gramEnd"/>
      <w:r w:rsidRPr="00316160">
        <w:rPr>
          <w:rFonts w:ascii="Times New Roman" w:hAnsi="Times New Roman" w:cs="Times New Roman"/>
        </w:rPr>
        <w:t xml:space="preserve"> employment in 2020. Today there are more than 500 TVET institutions from various ministries in Malaysia. TVET has become an engine of growth, especially in RMK 12 (</w:t>
      </w:r>
      <w:proofErr w:type="spellStart"/>
      <w:r w:rsidRPr="00316160">
        <w:rPr>
          <w:rFonts w:ascii="Times New Roman" w:hAnsi="Times New Roman" w:cs="Times New Roman"/>
        </w:rPr>
        <w:t>Rancangan</w:t>
      </w:r>
      <w:proofErr w:type="spellEnd"/>
      <w:r w:rsidRPr="00316160">
        <w:rPr>
          <w:rFonts w:ascii="Times New Roman" w:hAnsi="Times New Roman" w:cs="Times New Roman"/>
        </w:rPr>
        <w:t xml:space="preserve"> Malaysia </w:t>
      </w:r>
      <w:proofErr w:type="spellStart"/>
      <w:r w:rsidRPr="00316160">
        <w:rPr>
          <w:rFonts w:ascii="Times New Roman" w:hAnsi="Times New Roman" w:cs="Times New Roman"/>
        </w:rPr>
        <w:t>Ke</w:t>
      </w:r>
      <w:proofErr w:type="spellEnd"/>
      <w:r w:rsidRPr="00316160">
        <w:rPr>
          <w:rFonts w:ascii="Times New Roman" w:hAnsi="Times New Roman" w:cs="Times New Roman"/>
        </w:rPr>
        <w:t xml:space="preserve"> 12). These graduates are expected to become higher-skilled workers who will fulfil the demand for semi-skilled and skilled talents in the country. In 2016, more than 50% of school leavers joined TVET institutions proves that TVET institutions enrolment is </w:t>
      </w:r>
      <w:proofErr w:type="gramStart"/>
      <w:r w:rsidRPr="00316160">
        <w:rPr>
          <w:rFonts w:ascii="Times New Roman" w:hAnsi="Times New Roman" w:cs="Times New Roman"/>
        </w:rPr>
        <w:t>succeeding  (</w:t>
      </w:r>
      <w:proofErr w:type="gramEnd"/>
      <w:r w:rsidRPr="00316160">
        <w:rPr>
          <w:rFonts w:ascii="Times New Roman" w:hAnsi="Times New Roman" w:cs="Times New Roman"/>
        </w:rPr>
        <w:t xml:space="preserve">Technical and vocational education and training (TVET) in Malaysia, 2016). Above all, consciousness among these TVET students and lecturers becomes vital and crucial to future endeavours towards sustainability. </w:t>
      </w:r>
    </w:p>
    <w:p w14:paraId="71BF3A36" w14:textId="6C617413" w:rsidR="000820BD" w:rsidRPr="006E08CC" w:rsidRDefault="000820BD" w:rsidP="000820BD">
      <w:pPr>
        <w:pStyle w:val="ListParagraph"/>
        <w:numPr>
          <w:ilvl w:val="0"/>
          <w:numId w:val="1"/>
        </w:numPr>
        <w:spacing w:line="240" w:lineRule="auto"/>
        <w:ind w:left="284" w:right="379" w:hanging="284"/>
        <w:jc w:val="both"/>
        <w:rPr>
          <w:rFonts w:ascii="Times New Roman" w:hAnsi="Times New Roman" w:cs="Times New Roman"/>
          <w:b/>
          <w:bCs/>
          <w:sz w:val="24"/>
          <w:szCs w:val="24"/>
        </w:rPr>
      </w:pPr>
      <w:r>
        <w:rPr>
          <w:rFonts w:ascii="Times New Roman" w:hAnsi="Times New Roman" w:cs="Times New Roman"/>
          <w:b/>
          <w:bCs/>
          <w:sz w:val="24"/>
          <w:szCs w:val="24"/>
        </w:rPr>
        <w:t>METHODOLOGY</w:t>
      </w:r>
    </w:p>
    <w:p w14:paraId="502925EC" w14:textId="77777777"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 xml:space="preserve">To better measuring the sustainable learning consciousness among TVET students and educators, this cross-sectional study plan is as follows: First, we provide the literature to describe the underpinning theory to support this study. Second, a set questionnaire is designed to measure how knowledge, attitude, and </w:t>
      </w:r>
      <w:proofErr w:type="spellStart"/>
      <w:r w:rsidRPr="00316160">
        <w:rPr>
          <w:rFonts w:ascii="Times New Roman" w:hAnsi="Times New Roman" w:cs="Times New Roman"/>
        </w:rPr>
        <w:t>behavior</w:t>
      </w:r>
      <w:proofErr w:type="spellEnd"/>
      <w:r w:rsidRPr="00316160">
        <w:rPr>
          <w:rFonts w:ascii="Times New Roman" w:hAnsi="Times New Roman" w:cs="Times New Roman"/>
        </w:rPr>
        <w:t xml:space="preserve"> towards sustainable learning is influencing the consciousness of sustainable learning.  Thirdly, the item has been developed and adapted from </w:t>
      </w:r>
      <w:proofErr w:type="spellStart"/>
      <w:r w:rsidRPr="00316160">
        <w:rPr>
          <w:rFonts w:ascii="Times New Roman" w:hAnsi="Times New Roman" w:cs="Times New Roman"/>
        </w:rPr>
        <w:t>Michalos</w:t>
      </w:r>
      <w:proofErr w:type="spellEnd"/>
      <w:r w:rsidRPr="00316160">
        <w:rPr>
          <w:rFonts w:ascii="Times New Roman" w:hAnsi="Times New Roman" w:cs="Times New Roman"/>
        </w:rPr>
        <w:t xml:space="preserve"> et al. (2011) which is based on Reasoned Action Theory. The framework is based on the work of Fishbein &amp; Ajzen (2009) which found that knowledge, attitude, and </w:t>
      </w:r>
      <w:proofErr w:type="spellStart"/>
      <w:r w:rsidRPr="00316160">
        <w:rPr>
          <w:rFonts w:ascii="Times New Roman" w:hAnsi="Times New Roman" w:cs="Times New Roman"/>
        </w:rPr>
        <w:t>behavior</w:t>
      </w:r>
      <w:proofErr w:type="spellEnd"/>
      <w:r w:rsidRPr="00316160">
        <w:rPr>
          <w:rFonts w:ascii="Times New Roman" w:hAnsi="Times New Roman" w:cs="Times New Roman"/>
        </w:rPr>
        <w:t xml:space="preserve"> are the factors to consciousness. </w:t>
      </w:r>
    </w:p>
    <w:p w14:paraId="55A0B5C3" w14:textId="77777777" w:rsidR="000820BD" w:rsidRPr="00316160" w:rsidRDefault="000820BD" w:rsidP="000820BD">
      <w:pPr>
        <w:spacing w:line="240" w:lineRule="auto"/>
        <w:ind w:right="379"/>
        <w:jc w:val="both"/>
        <w:rPr>
          <w:rFonts w:ascii="Times New Roman" w:hAnsi="Times New Roman" w:cs="Times New Roman"/>
        </w:rPr>
      </w:pPr>
    </w:p>
    <w:p w14:paraId="1169CA51" w14:textId="77777777" w:rsidR="000820BD" w:rsidRPr="00BA6FED" w:rsidRDefault="000820BD" w:rsidP="000820BD">
      <w:pPr>
        <w:spacing w:line="240" w:lineRule="auto"/>
        <w:ind w:left="709" w:right="379" w:firstLine="284"/>
        <w:jc w:val="both"/>
        <w:rPr>
          <w:rFonts w:ascii="Times New Roman" w:hAnsi="Times New Roman" w:cs="Times New Roman"/>
          <w:sz w:val="24"/>
          <w:szCs w:val="24"/>
        </w:rPr>
      </w:pPr>
      <w:r>
        <w:rPr>
          <w:rFonts w:ascii="Times New Roman" w:hAnsi="Times New Roman" w:cs="Times New Roman"/>
          <w:sz w:val="24"/>
          <w:szCs w:val="24"/>
        </w:rPr>
        <w:t xml:space="preserve"> </w:t>
      </w:r>
    </w:p>
    <w:p w14:paraId="22833C0D" w14:textId="77777777" w:rsidR="000820BD" w:rsidRDefault="000820BD" w:rsidP="000820BD">
      <w:pPr>
        <w:tabs>
          <w:tab w:val="left" w:pos="8080"/>
        </w:tabs>
        <w:spacing w:line="240" w:lineRule="auto"/>
        <w:ind w:left="709" w:right="379" w:firstLine="284"/>
        <w:jc w:val="center"/>
        <w:rPr>
          <w:rFonts w:ascii="Times New Roman" w:hAnsi="Times New Roman" w:cs="Times New Roman"/>
          <w:sz w:val="24"/>
          <w:szCs w:val="24"/>
        </w:rPr>
      </w:pPr>
      <w:r>
        <w:rPr>
          <w:rFonts w:ascii="Times New Roman" w:hAnsi="Times New Roman" w:cs="Times New Roman"/>
          <w:sz w:val="24"/>
          <w:szCs w:val="24"/>
        </w:rPr>
        <w:t>Figure 2: Conceptual Framework</w:t>
      </w:r>
    </w:p>
    <w:tbl>
      <w:tblPr>
        <w:tblStyle w:val="TableGrid"/>
        <w:tblW w:w="0" w:type="auto"/>
        <w:tblInd w:w="709" w:type="dxa"/>
        <w:tblLook w:val="04A0" w:firstRow="1" w:lastRow="0" w:firstColumn="1" w:lastColumn="0" w:noHBand="0" w:noVBand="1"/>
      </w:tblPr>
      <w:tblGrid>
        <w:gridCol w:w="8307"/>
      </w:tblGrid>
      <w:tr w:rsidR="000820BD" w14:paraId="7E49CD4A" w14:textId="77777777">
        <w:tc>
          <w:tcPr>
            <w:tcW w:w="9016" w:type="dxa"/>
          </w:tcPr>
          <w:p w14:paraId="1FA38229" w14:textId="77777777" w:rsidR="000820BD" w:rsidRDefault="000820BD">
            <w:pPr>
              <w:tabs>
                <w:tab w:val="left" w:pos="8080"/>
              </w:tabs>
              <w:ind w:right="379"/>
              <w:jc w:val="both"/>
              <w:rPr>
                <w:rFonts w:ascii="Times New Roman" w:hAnsi="Times New Roman" w:cs="Times New Roman"/>
                <w:sz w:val="24"/>
                <w:szCs w:val="24"/>
              </w:rPr>
            </w:pPr>
          </w:p>
          <w:p w14:paraId="5EC524A7" w14:textId="77777777" w:rsidR="000820BD" w:rsidRDefault="000820BD">
            <w:pPr>
              <w:tabs>
                <w:tab w:val="left" w:pos="8080"/>
              </w:tabs>
              <w:ind w:right="379"/>
              <w:jc w:val="both"/>
              <w:rPr>
                <w:rFonts w:ascii="Times New Roman" w:hAnsi="Times New Roman" w:cs="Times New Roman"/>
                <w:sz w:val="24"/>
                <w:szCs w:val="24"/>
              </w:rPr>
            </w:pPr>
          </w:p>
          <w:p w14:paraId="4C1BF8A1" w14:textId="66FDD8C8" w:rsidR="000820BD" w:rsidRDefault="001C1FCE">
            <w:pPr>
              <w:tabs>
                <w:tab w:val="left" w:pos="8080"/>
              </w:tabs>
              <w:ind w:right="379"/>
              <w:jc w:val="both"/>
              <w:rPr>
                <w:rFonts w:ascii="Times New Roman" w:hAnsi="Times New Roman" w:cs="Times New Roman"/>
                <w:sz w:val="24"/>
                <w:szCs w:val="24"/>
              </w:rPr>
            </w:pPr>
            <w:r>
              <w:rPr>
                <w:noProof/>
              </w:rPr>
              <w:drawing>
                <wp:inline distT="0" distB="0" distL="0" distR="0" wp14:anchorId="33725609" wp14:editId="445B67E4">
                  <wp:extent cx="5105400" cy="132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05400" cy="1323975"/>
                          </a:xfrm>
                          <a:prstGeom prst="rect">
                            <a:avLst/>
                          </a:prstGeom>
                        </pic:spPr>
                      </pic:pic>
                    </a:graphicData>
                  </a:graphic>
                </wp:inline>
              </w:drawing>
            </w:r>
          </w:p>
          <w:p w14:paraId="681E09C9" w14:textId="2CE3855F" w:rsidR="000820BD" w:rsidRDefault="000820BD">
            <w:pPr>
              <w:tabs>
                <w:tab w:val="left" w:pos="8080"/>
              </w:tabs>
              <w:ind w:right="379"/>
              <w:jc w:val="both"/>
              <w:rPr>
                <w:rFonts w:ascii="Times New Roman" w:hAnsi="Times New Roman" w:cs="Times New Roman"/>
                <w:sz w:val="24"/>
                <w:szCs w:val="24"/>
              </w:rPr>
            </w:pPr>
          </w:p>
          <w:p w14:paraId="636A40EE" w14:textId="77777777" w:rsidR="000820BD" w:rsidRDefault="000820BD">
            <w:pPr>
              <w:tabs>
                <w:tab w:val="left" w:pos="8080"/>
              </w:tabs>
              <w:ind w:right="379"/>
              <w:jc w:val="both"/>
              <w:rPr>
                <w:rFonts w:ascii="Times New Roman" w:hAnsi="Times New Roman" w:cs="Times New Roman"/>
                <w:sz w:val="24"/>
                <w:szCs w:val="24"/>
              </w:rPr>
            </w:pPr>
          </w:p>
        </w:tc>
      </w:tr>
    </w:tbl>
    <w:p w14:paraId="7055801F" w14:textId="62A017E2" w:rsidR="000820BD" w:rsidRPr="004F3E41" w:rsidRDefault="004F3E41" w:rsidP="004F3E41">
      <w:pPr>
        <w:tabs>
          <w:tab w:val="left" w:pos="8080"/>
        </w:tabs>
        <w:spacing w:line="240" w:lineRule="auto"/>
        <w:ind w:left="709" w:right="379" w:firstLine="284"/>
        <w:jc w:val="center"/>
        <w:rPr>
          <w:rFonts w:ascii="Times New Roman" w:hAnsi="Times New Roman" w:cs="Times New Roman"/>
          <w:sz w:val="20"/>
          <w:szCs w:val="20"/>
        </w:rPr>
      </w:pPr>
      <w:r w:rsidRPr="004F3E41">
        <w:rPr>
          <w:rFonts w:ascii="Times New Roman" w:hAnsi="Times New Roman" w:cs="Times New Roman"/>
          <w:noProof/>
          <w:sz w:val="20"/>
          <w:szCs w:val="20"/>
        </w:rPr>
        <w:t>Figure 1 : Theoretical Framework</w:t>
      </w:r>
    </w:p>
    <w:p w14:paraId="2F8412C5" w14:textId="536A1661" w:rsidR="00A82AA7" w:rsidRDefault="00A82AA7" w:rsidP="000820BD">
      <w:pPr>
        <w:tabs>
          <w:tab w:val="left" w:pos="8080"/>
        </w:tabs>
        <w:spacing w:line="240" w:lineRule="auto"/>
        <w:ind w:left="709" w:right="379" w:firstLine="284"/>
        <w:jc w:val="both"/>
        <w:rPr>
          <w:rFonts w:ascii="Times New Roman" w:hAnsi="Times New Roman" w:cs="Times New Roman"/>
          <w:sz w:val="24"/>
          <w:szCs w:val="24"/>
        </w:rPr>
      </w:pPr>
    </w:p>
    <w:p w14:paraId="14B947A6" w14:textId="3F3FBCED" w:rsidR="00A82AA7" w:rsidRDefault="00A82AA7" w:rsidP="000820BD">
      <w:pPr>
        <w:spacing w:line="240" w:lineRule="auto"/>
        <w:ind w:right="379"/>
        <w:jc w:val="both"/>
        <w:rPr>
          <w:rFonts w:ascii="Times New Roman" w:hAnsi="Times New Roman" w:cs="Times New Roman"/>
        </w:rPr>
      </w:pPr>
    </w:p>
    <w:p w14:paraId="13C62D7C" w14:textId="77777777" w:rsidR="00A82AA7" w:rsidRDefault="00A82AA7" w:rsidP="000820BD">
      <w:pPr>
        <w:spacing w:line="240" w:lineRule="auto"/>
        <w:ind w:right="379"/>
        <w:jc w:val="both"/>
        <w:rPr>
          <w:rFonts w:ascii="Times New Roman" w:hAnsi="Times New Roman" w:cs="Times New Roman"/>
        </w:rPr>
      </w:pPr>
    </w:p>
    <w:p w14:paraId="1B21295D" w14:textId="755D4D2C"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This Likert scale questionnaire uses a 4-point scale ranging from Definitely False to Definitely True.   After this stage of writing, the item will be sent for peer-reviewed and then undergo a pilot test. 30 samples of the pilot test will be used. The sample frame would be the name list of all students in TVET institutions in Malaysia which will be acquired from each institution.</w:t>
      </w:r>
    </w:p>
    <w:p w14:paraId="623C9140" w14:textId="0ECB1DD4" w:rsidR="000820BD"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After the pilot test, the Cronbach Alpha would be used to see the reliability test as suggested by Creswell et al (2016). The original set of the questionnaire has been showing an overall internal consistency.  This model showed an almost acceptable fit to the data (RMSEA = 0.033; CFI = 0.921; TLI = 0.917).  All items to measure three independent variables and a single dependent variable would be conducted online in this yet ending pandemic.  A sampling frame of 384 respondents (</w:t>
      </w:r>
      <w:proofErr w:type="spellStart"/>
      <w:r w:rsidRPr="00316160">
        <w:rPr>
          <w:rFonts w:ascii="Times New Roman" w:hAnsi="Times New Roman" w:cs="Times New Roman"/>
        </w:rPr>
        <w:t>Krejcie</w:t>
      </w:r>
      <w:proofErr w:type="spellEnd"/>
      <w:r w:rsidRPr="00316160">
        <w:rPr>
          <w:rFonts w:ascii="Times New Roman" w:hAnsi="Times New Roman" w:cs="Times New Roman"/>
        </w:rPr>
        <w:t xml:space="preserve"> &amp; Morgan, 1970) would be targeted to measure the sustainability consciousness among TVET students and lectures.  </w:t>
      </w:r>
    </w:p>
    <w:p w14:paraId="2144162C" w14:textId="77777777" w:rsidR="00111BAE" w:rsidRPr="00316160" w:rsidRDefault="00111BAE" w:rsidP="000820BD">
      <w:pPr>
        <w:spacing w:line="240" w:lineRule="auto"/>
        <w:ind w:right="379"/>
        <w:jc w:val="both"/>
        <w:rPr>
          <w:rFonts w:ascii="Times New Roman" w:hAnsi="Times New Roman" w:cs="Times New Roman"/>
        </w:rPr>
      </w:pPr>
    </w:p>
    <w:tbl>
      <w:tblPr>
        <w:tblStyle w:val="TableGrid"/>
        <w:tblW w:w="0" w:type="auto"/>
        <w:tblInd w:w="-108" w:type="dxa"/>
        <w:tblBorders>
          <w:left w:val="none" w:sz="0" w:space="0" w:color="auto"/>
          <w:right w:val="none" w:sz="0" w:space="0" w:color="auto"/>
          <w:insideV w:val="none" w:sz="0" w:space="0" w:color="auto"/>
        </w:tblBorders>
        <w:tblLook w:val="04A0" w:firstRow="1" w:lastRow="0" w:firstColumn="1" w:lastColumn="0" w:noHBand="0" w:noVBand="1"/>
      </w:tblPr>
      <w:tblGrid>
        <w:gridCol w:w="221"/>
        <w:gridCol w:w="1887"/>
        <w:gridCol w:w="68"/>
        <w:gridCol w:w="2099"/>
        <w:gridCol w:w="87"/>
        <w:gridCol w:w="1686"/>
        <w:gridCol w:w="240"/>
        <w:gridCol w:w="114"/>
        <w:gridCol w:w="1942"/>
        <w:gridCol w:w="108"/>
      </w:tblGrid>
      <w:tr w:rsidR="00111BAE" w14:paraId="6AF3915B" w14:textId="77777777" w:rsidTr="004F3E41">
        <w:trPr>
          <w:gridAfter w:val="1"/>
          <w:wAfter w:w="108" w:type="dxa"/>
        </w:trPr>
        <w:tc>
          <w:tcPr>
            <w:tcW w:w="2108" w:type="dxa"/>
            <w:gridSpan w:val="2"/>
            <w:tcBorders>
              <w:top w:val="nil"/>
            </w:tcBorders>
          </w:tcPr>
          <w:p w14:paraId="7CB75A6B" w14:textId="77777777" w:rsidR="00111BAE" w:rsidRDefault="00111BAE" w:rsidP="002D4C9B">
            <w:pPr>
              <w:spacing w:line="276" w:lineRule="auto"/>
              <w:jc w:val="center"/>
              <w:rPr>
                <w:rFonts w:ascii="Times New Roman" w:hAnsi="Times New Roman" w:cs="Times New Roman"/>
              </w:rPr>
            </w:pPr>
            <w:r>
              <w:rPr>
                <w:rFonts w:ascii="Times New Roman" w:hAnsi="Times New Roman" w:cs="Times New Roman"/>
              </w:rPr>
              <w:t>Variables</w:t>
            </w:r>
          </w:p>
        </w:tc>
        <w:tc>
          <w:tcPr>
            <w:tcW w:w="2167" w:type="dxa"/>
            <w:gridSpan w:val="2"/>
            <w:tcBorders>
              <w:top w:val="nil"/>
            </w:tcBorders>
          </w:tcPr>
          <w:p w14:paraId="2114A80B" w14:textId="77777777" w:rsidR="00111BAE" w:rsidRDefault="00111BAE" w:rsidP="002D4C9B">
            <w:pPr>
              <w:spacing w:line="276" w:lineRule="auto"/>
              <w:jc w:val="center"/>
              <w:rPr>
                <w:rFonts w:ascii="Times New Roman" w:hAnsi="Times New Roman" w:cs="Times New Roman"/>
              </w:rPr>
            </w:pPr>
            <w:r>
              <w:rPr>
                <w:rFonts w:ascii="Times New Roman" w:hAnsi="Times New Roman" w:cs="Times New Roman"/>
              </w:rPr>
              <w:t>Cronbach Alpha Coefficients</w:t>
            </w:r>
          </w:p>
        </w:tc>
        <w:tc>
          <w:tcPr>
            <w:tcW w:w="2013" w:type="dxa"/>
            <w:gridSpan w:val="3"/>
            <w:tcBorders>
              <w:top w:val="nil"/>
            </w:tcBorders>
          </w:tcPr>
          <w:p w14:paraId="307F7A80" w14:textId="77777777" w:rsidR="00111BAE" w:rsidRDefault="00111BAE" w:rsidP="002D4C9B">
            <w:pPr>
              <w:spacing w:line="276" w:lineRule="auto"/>
              <w:jc w:val="center"/>
              <w:rPr>
                <w:rFonts w:ascii="Times New Roman" w:hAnsi="Times New Roman" w:cs="Times New Roman"/>
              </w:rPr>
            </w:pPr>
            <w:r>
              <w:rPr>
                <w:rFonts w:ascii="Times New Roman" w:hAnsi="Times New Roman" w:cs="Times New Roman"/>
              </w:rPr>
              <w:t>Number of items in a construct</w:t>
            </w:r>
          </w:p>
        </w:tc>
        <w:tc>
          <w:tcPr>
            <w:tcW w:w="2056" w:type="dxa"/>
            <w:gridSpan w:val="2"/>
            <w:tcBorders>
              <w:top w:val="nil"/>
            </w:tcBorders>
          </w:tcPr>
          <w:p w14:paraId="258B4570" w14:textId="77777777" w:rsidR="00111BAE" w:rsidRDefault="00111BAE" w:rsidP="002D4C9B">
            <w:pPr>
              <w:spacing w:line="276" w:lineRule="auto"/>
              <w:jc w:val="center"/>
              <w:rPr>
                <w:rFonts w:ascii="Times New Roman" w:hAnsi="Times New Roman" w:cs="Times New Roman"/>
              </w:rPr>
            </w:pPr>
            <w:r>
              <w:rPr>
                <w:rFonts w:ascii="Times New Roman" w:hAnsi="Times New Roman" w:cs="Times New Roman"/>
              </w:rPr>
              <w:t xml:space="preserve">Reliability Coefficient </w:t>
            </w:r>
          </w:p>
        </w:tc>
      </w:tr>
      <w:tr w:rsidR="00111BAE" w14:paraId="3603C00E" w14:textId="77777777" w:rsidTr="004F3E41">
        <w:trPr>
          <w:gridAfter w:val="1"/>
          <w:wAfter w:w="108" w:type="dxa"/>
        </w:trPr>
        <w:tc>
          <w:tcPr>
            <w:tcW w:w="2108" w:type="dxa"/>
            <w:gridSpan w:val="2"/>
          </w:tcPr>
          <w:p w14:paraId="1D1C4EB1" w14:textId="44885D99" w:rsidR="00111BAE" w:rsidRDefault="0050787B" w:rsidP="002D4C9B">
            <w:pPr>
              <w:spacing w:line="276" w:lineRule="auto"/>
              <w:jc w:val="center"/>
              <w:rPr>
                <w:rFonts w:ascii="Times New Roman" w:hAnsi="Times New Roman" w:cs="Times New Roman"/>
              </w:rPr>
            </w:pPr>
            <w:r>
              <w:rPr>
                <w:rFonts w:ascii="Times New Roman" w:hAnsi="Times New Roman" w:cs="Times New Roman"/>
              </w:rPr>
              <w:t>Sustainable Knowledge</w:t>
            </w:r>
          </w:p>
        </w:tc>
        <w:tc>
          <w:tcPr>
            <w:tcW w:w="2167" w:type="dxa"/>
            <w:gridSpan w:val="2"/>
          </w:tcPr>
          <w:p w14:paraId="62038EE0" w14:textId="4AF24B12" w:rsidR="00111BAE" w:rsidRDefault="0050787B" w:rsidP="002D4C9B">
            <w:pPr>
              <w:spacing w:line="276" w:lineRule="auto"/>
              <w:jc w:val="center"/>
              <w:rPr>
                <w:rFonts w:ascii="Times New Roman" w:hAnsi="Times New Roman" w:cs="Times New Roman"/>
              </w:rPr>
            </w:pPr>
            <w:r>
              <w:rPr>
                <w:rFonts w:ascii="Times New Roman" w:hAnsi="Times New Roman" w:cs="Times New Roman"/>
              </w:rPr>
              <w:t>0.916</w:t>
            </w:r>
          </w:p>
        </w:tc>
        <w:tc>
          <w:tcPr>
            <w:tcW w:w="2013" w:type="dxa"/>
            <w:gridSpan w:val="3"/>
          </w:tcPr>
          <w:p w14:paraId="3D8D1884" w14:textId="328C68D2" w:rsidR="00111BAE" w:rsidRDefault="0050787B" w:rsidP="002D4C9B">
            <w:pPr>
              <w:spacing w:line="276" w:lineRule="auto"/>
              <w:jc w:val="center"/>
              <w:rPr>
                <w:rFonts w:ascii="Times New Roman" w:hAnsi="Times New Roman" w:cs="Times New Roman"/>
              </w:rPr>
            </w:pPr>
            <w:r>
              <w:rPr>
                <w:rFonts w:ascii="Times New Roman" w:hAnsi="Times New Roman" w:cs="Times New Roman"/>
              </w:rPr>
              <w:t>12</w:t>
            </w:r>
          </w:p>
        </w:tc>
        <w:tc>
          <w:tcPr>
            <w:tcW w:w="2056" w:type="dxa"/>
            <w:gridSpan w:val="2"/>
          </w:tcPr>
          <w:p w14:paraId="68F2646E" w14:textId="49969D5E" w:rsidR="00111BAE" w:rsidRDefault="0050787B" w:rsidP="002D4C9B">
            <w:pPr>
              <w:spacing w:line="276" w:lineRule="auto"/>
              <w:jc w:val="center"/>
              <w:rPr>
                <w:rFonts w:ascii="Times New Roman" w:hAnsi="Times New Roman" w:cs="Times New Roman"/>
              </w:rPr>
            </w:pPr>
            <w:r>
              <w:rPr>
                <w:rFonts w:ascii="Times New Roman" w:hAnsi="Times New Roman" w:cs="Times New Roman"/>
              </w:rPr>
              <w:t>Excellent</w:t>
            </w:r>
          </w:p>
        </w:tc>
      </w:tr>
      <w:tr w:rsidR="00111BAE" w14:paraId="046C5302" w14:textId="77777777" w:rsidTr="004F3E41">
        <w:trPr>
          <w:gridAfter w:val="1"/>
          <w:wAfter w:w="108" w:type="dxa"/>
        </w:trPr>
        <w:tc>
          <w:tcPr>
            <w:tcW w:w="2108" w:type="dxa"/>
            <w:gridSpan w:val="2"/>
          </w:tcPr>
          <w:p w14:paraId="65D9921D" w14:textId="77777777" w:rsidR="0050787B" w:rsidRDefault="0050787B" w:rsidP="002D4C9B">
            <w:pPr>
              <w:spacing w:line="276" w:lineRule="auto"/>
              <w:jc w:val="center"/>
              <w:rPr>
                <w:rFonts w:ascii="Times New Roman" w:hAnsi="Times New Roman" w:cs="Times New Roman"/>
              </w:rPr>
            </w:pPr>
            <w:r>
              <w:rPr>
                <w:rFonts w:ascii="Times New Roman" w:hAnsi="Times New Roman" w:cs="Times New Roman"/>
              </w:rPr>
              <w:t xml:space="preserve">Sustainable </w:t>
            </w:r>
          </w:p>
          <w:p w14:paraId="48EBA8BC" w14:textId="1E20A7FF" w:rsidR="00111BAE" w:rsidRDefault="0050787B" w:rsidP="002D4C9B">
            <w:pPr>
              <w:spacing w:line="276" w:lineRule="auto"/>
              <w:jc w:val="center"/>
              <w:rPr>
                <w:rFonts w:ascii="Times New Roman" w:hAnsi="Times New Roman" w:cs="Times New Roman"/>
              </w:rPr>
            </w:pPr>
            <w:r>
              <w:rPr>
                <w:rFonts w:ascii="Times New Roman" w:hAnsi="Times New Roman" w:cs="Times New Roman"/>
              </w:rPr>
              <w:t>Attitude</w:t>
            </w:r>
          </w:p>
        </w:tc>
        <w:tc>
          <w:tcPr>
            <w:tcW w:w="2167" w:type="dxa"/>
            <w:gridSpan w:val="2"/>
          </w:tcPr>
          <w:p w14:paraId="13B5115C" w14:textId="400D21E6" w:rsidR="00111BAE" w:rsidRDefault="0050787B" w:rsidP="002D4C9B">
            <w:pPr>
              <w:spacing w:line="276" w:lineRule="auto"/>
              <w:jc w:val="center"/>
              <w:rPr>
                <w:rFonts w:ascii="Times New Roman" w:hAnsi="Times New Roman" w:cs="Times New Roman"/>
              </w:rPr>
            </w:pPr>
            <w:r>
              <w:rPr>
                <w:rFonts w:ascii="Times New Roman" w:hAnsi="Times New Roman" w:cs="Times New Roman"/>
              </w:rPr>
              <w:t>0.916</w:t>
            </w:r>
          </w:p>
        </w:tc>
        <w:tc>
          <w:tcPr>
            <w:tcW w:w="2013" w:type="dxa"/>
            <w:gridSpan w:val="3"/>
          </w:tcPr>
          <w:p w14:paraId="2467C0D4" w14:textId="45D23CF0" w:rsidR="00111BAE" w:rsidRDefault="0050787B" w:rsidP="002D4C9B">
            <w:pPr>
              <w:spacing w:line="276" w:lineRule="auto"/>
              <w:jc w:val="center"/>
              <w:rPr>
                <w:rFonts w:ascii="Times New Roman" w:hAnsi="Times New Roman" w:cs="Times New Roman"/>
              </w:rPr>
            </w:pPr>
            <w:r>
              <w:rPr>
                <w:rFonts w:ascii="Times New Roman" w:hAnsi="Times New Roman" w:cs="Times New Roman"/>
              </w:rPr>
              <w:t>10</w:t>
            </w:r>
          </w:p>
        </w:tc>
        <w:tc>
          <w:tcPr>
            <w:tcW w:w="2056" w:type="dxa"/>
            <w:gridSpan w:val="2"/>
          </w:tcPr>
          <w:p w14:paraId="3B5D46A7" w14:textId="7A0719A3" w:rsidR="00111BAE" w:rsidRDefault="0050787B" w:rsidP="002D4C9B">
            <w:pPr>
              <w:spacing w:line="276" w:lineRule="auto"/>
              <w:jc w:val="center"/>
              <w:rPr>
                <w:rFonts w:ascii="Times New Roman" w:hAnsi="Times New Roman" w:cs="Times New Roman"/>
              </w:rPr>
            </w:pPr>
            <w:r>
              <w:rPr>
                <w:rFonts w:ascii="Times New Roman" w:hAnsi="Times New Roman" w:cs="Times New Roman"/>
              </w:rPr>
              <w:t>Excellent</w:t>
            </w:r>
          </w:p>
        </w:tc>
      </w:tr>
      <w:tr w:rsidR="00111BAE" w14:paraId="559BC9BE" w14:textId="77777777" w:rsidTr="004F3E41">
        <w:trPr>
          <w:gridAfter w:val="1"/>
          <w:wAfter w:w="108" w:type="dxa"/>
        </w:trPr>
        <w:tc>
          <w:tcPr>
            <w:tcW w:w="2108" w:type="dxa"/>
            <w:gridSpan w:val="2"/>
          </w:tcPr>
          <w:p w14:paraId="26A642BA" w14:textId="77777777" w:rsidR="0050787B" w:rsidRDefault="0050787B" w:rsidP="002D4C9B">
            <w:pPr>
              <w:spacing w:line="276" w:lineRule="auto"/>
              <w:jc w:val="center"/>
              <w:rPr>
                <w:rFonts w:ascii="Times New Roman" w:hAnsi="Times New Roman" w:cs="Times New Roman"/>
              </w:rPr>
            </w:pPr>
            <w:r>
              <w:rPr>
                <w:rFonts w:ascii="Times New Roman" w:hAnsi="Times New Roman" w:cs="Times New Roman"/>
              </w:rPr>
              <w:t xml:space="preserve">Sustainable </w:t>
            </w:r>
          </w:p>
          <w:p w14:paraId="4AB91B23" w14:textId="71CB7725" w:rsidR="00111BAE" w:rsidRDefault="0050787B" w:rsidP="002D4C9B">
            <w:pPr>
              <w:spacing w:line="276" w:lineRule="auto"/>
              <w:jc w:val="center"/>
              <w:rPr>
                <w:rFonts w:ascii="Times New Roman" w:hAnsi="Times New Roman" w:cs="Times New Roman"/>
              </w:rPr>
            </w:pPr>
            <w:r>
              <w:rPr>
                <w:rFonts w:ascii="Times New Roman" w:hAnsi="Times New Roman" w:cs="Times New Roman"/>
              </w:rPr>
              <w:t>Behaviour</w:t>
            </w:r>
          </w:p>
        </w:tc>
        <w:tc>
          <w:tcPr>
            <w:tcW w:w="2167" w:type="dxa"/>
            <w:gridSpan w:val="2"/>
          </w:tcPr>
          <w:p w14:paraId="3A52FC62" w14:textId="190269B9" w:rsidR="00111BAE" w:rsidRDefault="0050787B" w:rsidP="002D4C9B">
            <w:pPr>
              <w:spacing w:line="276" w:lineRule="auto"/>
              <w:jc w:val="center"/>
              <w:rPr>
                <w:rFonts w:ascii="Times New Roman" w:hAnsi="Times New Roman" w:cs="Times New Roman"/>
              </w:rPr>
            </w:pPr>
            <w:r>
              <w:rPr>
                <w:rFonts w:ascii="Times New Roman" w:hAnsi="Times New Roman" w:cs="Times New Roman"/>
              </w:rPr>
              <w:t>0.917</w:t>
            </w:r>
          </w:p>
        </w:tc>
        <w:tc>
          <w:tcPr>
            <w:tcW w:w="2013" w:type="dxa"/>
            <w:gridSpan w:val="3"/>
          </w:tcPr>
          <w:p w14:paraId="1CA9204F" w14:textId="66E022FD" w:rsidR="00111BAE" w:rsidRDefault="0050787B" w:rsidP="002D4C9B">
            <w:pPr>
              <w:spacing w:line="276" w:lineRule="auto"/>
              <w:jc w:val="center"/>
              <w:rPr>
                <w:rFonts w:ascii="Times New Roman" w:hAnsi="Times New Roman" w:cs="Times New Roman"/>
              </w:rPr>
            </w:pPr>
            <w:r>
              <w:rPr>
                <w:rFonts w:ascii="Times New Roman" w:hAnsi="Times New Roman" w:cs="Times New Roman"/>
              </w:rPr>
              <w:t>15</w:t>
            </w:r>
          </w:p>
        </w:tc>
        <w:tc>
          <w:tcPr>
            <w:tcW w:w="2056" w:type="dxa"/>
            <w:gridSpan w:val="2"/>
          </w:tcPr>
          <w:p w14:paraId="1F492EF9" w14:textId="51A0E3DC" w:rsidR="00111BAE" w:rsidRDefault="0050787B" w:rsidP="002D4C9B">
            <w:pPr>
              <w:spacing w:line="276" w:lineRule="auto"/>
              <w:jc w:val="center"/>
              <w:rPr>
                <w:rFonts w:ascii="Times New Roman" w:hAnsi="Times New Roman" w:cs="Times New Roman"/>
              </w:rPr>
            </w:pPr>
            <w:r>
              <w:rPr>
                <w:rFonts w:ascii="Times New Roman" w:hAnsi="Times New Roman" w:cs="Times New Roman"/>
              </w:rPr>
              <w:t>Excellent</w:t>
            </w:r>
          </w:p>
        </w:tc>
      </w:tr>
      <w:tr w:rsidR="00111BAE" w14:paraId="3318527D" w14:textId="77777777" w:rsidTr="004F3E41">
        <w:trPr>
          <w:gridAfter w:val="1"/>
          <w:wAfter w:w="108" w:type="dxa"/>
        </w:trPr>
        <w:tc>
          <w:tcPr>
            <w:tcW w:w="2108" w:type="dxa"/>
            <w:gridSpan w:val="2"/>
          </w:tcPr>
          <w:p w14:paraId="65169A04" w14:textId="77777777" w:rsidR="00111BAE" w:rsidRDefault="00111BAE" w:rsidP="002D4C9B">
            <w:pPr>
              <w:spacing w:line="276" w:lineRule="auto"/>
              <w:jc w:val="center"/>
              <w:rPr>
                <w:rFonts w:ascii="Times New Roman" w:hAnsi="Times New Roman" w:cs="Times New Roman"/>
              </w:rPr>
            </w:pPr>
          </w:p>
          <w:p w14:paraId="667FF1BF" w14:textId="77777777" w:rsidR="00111BAE" w:rsidRDefault="00111BAE" w:rsidP="002D4C9B">
            <w:pPr>
              <w:spacing w:line="276" w:lineRule="auto"/>
              <w:jc w:val="center"/>
              <w:rPr>
                <w:rFonts w:ascii="Times New Roman" w:hAnsi="Times New Roman" w:cs="Times New Roman"/>
              </w:rPr>
            </w:pPr>
          </w:p>
          <w:p w14:paraId="2A4E00D5" w14:textId="272BB09F" w:rsidR="00111BAE" w:rsidRDefault="004E3BC7" w:rsidP="004E3BC7">
            <w:pPr>
              <w:spacing w:line="276" w:lineRule="auto"/>
              <w:rPr>
                <w:rFonts w:ascii="Times New Roman" w:hAnsi="Times New Roman" w:cs="Times New Roman"/>
              </w:rPr>
            </w:pPr>
            <w:r>
              <w:rPr>
                <w:rFonts w:ascii="Times New Roman" w:hAnsi="Times New Roman" w:cs="Times New Roman"/>
              </w:rPr>
              <w:t xml:space="preserve"> </w:t>
            </w:r>
          </w:p>
        </w:tc>
        <w:tc>
          <w:tcPr>
            <w:tcW w:w="3940" w:type="dxa"/>
            <w:gridSpan w:val="4"/>
          </w:tcPr>
          <w:p w14:paraId="5B947804" w14:textId="3C7D5368" w:rsidR="00111BAE" w:rsidRPr="004F3E41" w:rsidRDefault="004F3E41" w:rsidP="004F3E41">
            <w:pPr>
              <w:spacing w:line="276" w:lineRule="auto"/>
              <w:ind w:right="-90"/>
              <w:rPr>
                <w:rFonts w:ascii="Times New Roman" w:hAnsi="Times New Roman" w:cs="Times New Roman"/>
                <w:sz w:val="20"/>
                <w:szCs w:val="20"/>
              </w:rPr>
            </w:pPr>
            <w:r>
              <w:rPr>
                <w:rFonts w:ascii="Times New Roman" w:hAnsi="Times New Roman" w:cs="Times New Roman"/>
                <w:sz w:val="20"/>
                <w:szCs w:val="20"/>
              </w:rPr>
              <w:t xml:space="preserve">Table </w:t>
            </w:r>
            <w:proofErr w:type="gramStart"/>
            <w:r>
              <w:rPr>
                <w:rFonts w:ascii="Times New Roman" w:hAnsi="Times New Roman" w:cs="Times New Roman"/>
                <w:sz w:val="20"/>
                <w:szCs w:val="20"/>
              </w:rPr>
              <w:t>1 :</w:t>
            </w:r>
            <w:proofErr w:type="gramEnd"/>
            <w:r>
              <w:rPr>
                <w:rFonts w:ascii="Times New Roman" w:hAnsi="Times New Roman" w:cs="Times New Roman"/>
                <w:sz w:val="20"/>
                <w:szCs w:val="20"/>
              </w:rPr>
              <w:t xml:space="preserve"> Reliability Statistics</w:t>
            </w:r>
          </w:p>
          <w:p w14:paraId="0D82B82F" w14:textId="53E0366B" w:rsidR="00111BAE" w:rsidRDefault="00111BAE" w:rsidP="002D4C9B">
            <w:pPr>
              <w:spacing w:line="276" w:lineRule="auto"/>
              <w:jc w:val="center"/>
              <w:rPr>
                <w:rFonts w:ascii="Times New Roman" w:hAnsi="Times New Roman" w:cs="Times New Roman"/>
              </w:rPr>
            </w:pPr>
          </w:p>
        </w:tc>
        <w:tc>
          <w:tcPr>
            <w:tcW w:w="240" w:type="dxa"/>
          </w:tcPr>
          <w:p w14:paraId="6AE09D84" w14:textId="77777777" w:rsidR="00111BAE" w:rsidRDefault="00111BAE" w:rsidP="002D4C9B">
            <w:pPr>
              <w:spacing w:line="276" w:lineRule="auto"/>
              <w:jc w:val="center"/>
              <w:rPr>
                <w:rFonts w:ascii="Times New Roman" w:hAnsi="Times New Roman" w:cs="Times New Roman"/>
              </w:rPr>
            </w:pPr>
          </w:p>
        </w:tc>
        <w:tc>
          <w:tcPr>
            <w:tcW w:w="2056" w:type="dxa"/>
            <w:gridSpan w:val="2"/>
          </w:tcPr>
          <w:p w14:paraId="4607C4DE" w14:textId="77777777" w:rsidR="00111BAE" w:rsidRDefault="00111BAE" w:rsidP="002D4C9B">
            <w:pPr>
              <w:spacing w:line="276" w:lineRule="auto"/>
              <w:jc w:val="center"/>
              <w:rPr>
                <w:rFonts w:ascii="Times New Roman" w:hAnsi="Times New Roman" w:cs="Times New Roman"/>
              </w:rPr>
            </w:pPr>
          </w:p>
        </w:tc>
      </w:tr>
      <w:tr w:rsidR="00111BAE" w:rsidRPr="00CE2AFD" w14:paraId="2A879687" w14:textId="77777777" w:rsidTr="004F3E41">
        <w:tblPrEx>
          <w:tblBorders>
            <w:left w:val="single" w:sz="4" w:space="0" w:color="auto"/>
            <w:right w:val="single" w:sz="4" w:space="0" w:color="auto"/>
            <w:insideV w:val="single" w:sz="4" w:space="0" w:color="auto"/>
          </w:tblBorders>
        </w:tblPrEx>
        <w:trPr>
          <w:gridBefore w:val="1"/>
          <w:wBefore w:w="221" w:type="dxa"/>
        </w:trPr>
        <w:tc>
          <w:tcPr>
            <w:tcW w:w="1955" w:type="dxa"/>
            <w:gridSpan w:val="2"/>
          </w:tcPr>
          <w:p w14:paraId="244AB1D4" w14:textId="77777777" w:rsidR="00111BAE" w:rsidRPr="0001662D" w:rsidRDefault="00111BAE" w:rsidP="002D4C9B">
            <w:pPr>
              <w:pStyle w:val="NormalWeb"/>
              <w:spacing w:before="0" w:beforeAutospacing="0" w:after="0" w:afterAutospacing="0" w:line="276" w:lineRule="auto"/>
              <w:jc w:val="both"/>
              <w:rPr>
                <w:sz w:val="20"/>
                <w:szCs w:val="20"/>
              </w:rPr>
            </w:pPr>
            <w:r w:rsidRPr="0001662D">
              <w:rPr>
                <w:sz w:val="20"/>
                <w:szCs w:val="20"/>
              </w:rPr>
              <w:t>Criteria</w:t>
            </w:r>
          </w:p>
        </w:tc>
        <w:tc>
          <w:tcPr>
            <w:tcW w:w="2186" w:type="dxa"/>
            <w:gridSpan w:val="2"/>
          </w:tcPr>
          <w:p w14:paraId="6094DCF1" w14:textId="77777777" w:rsidR="00111BAE" w:rsidRPr="0001662D" w:rsidRDefault="00111BAE" w:rsidP="002D4C9B">
            <w:pPr>
              <w:pStyle w:val="NormalWeb"/>
              <w:spacing w:before="0" w:beforeAutospacing="0" w:after="0" w:afterAutospacing="0" w:line="276" w:lineRule="auto"/>
              <w:jc w:val="both"/>
              <w:rPr>
                <w:sz w:val="20"/>
                <w:szCs w:val="20"/>
              </w:rPr>
            </w:pPr>
            <w:r w:rsidRPr="0001662D">
              <w:rPr>
                <w:sz w:val="20"/>
                <w:szCs w:val="20"/>
              </w:rPr>
              <w:t>Description</w:t>
            </w:r>
          </w:p>
        </w:tc>
        <w:tc>
          <w:tcPr>
            <w:tcW w:w="2040" w:type="dxa"/>
            <w:gridSpan w:val="3"/>
          </w:tcPr>
          <w:p w14:paraId="49ECFBF7" w14:textId="77777777" w:rsidR="00111BAE" w:rsidRPr="0001662D" w:rsidRDefault="00111BAE" w:rsidP="002D4C9B">
            <w:pPr>
              <w:pStyle w:val="NormalWeb"/>
              <w:spacing w:before="0" w:beforeAutospacing="0" w:after="0" w:afterAutospacing="0" w:line="276" w:lineRule="auto"/>
              <w:jc w:val="center"/>
              <w:rPr>
                <w:sz w:val="20"/>
                <w:szCs w:val="20"/>
              </w:rPr>
            </w:pPr>
            <w:r w:rsidRPr="0001662D">
              <w:rPr>
                <w:sz w:val="20"/>
                <w:szCs w:val="20"/>
              </w:rPr>
              <w:t>Frequency</w:t>
            </w:r>
          </w:p>
        </w:tc>
        <w:tc>
          <w:tcPr>
            <w:tcW w:w="2050" w:type="dxa"/>
            <w:gridSpan w:val="2"/>
          </w:tcPr>
          <w:p w14:paraId="238B1A95" w14:textId="77777777" w:rsidR="00111BAE" w:rsidRPr="0001662D" w:rsidRDefault="00111BAE" w:rsidP="002D4C9B">
            <w:pPr>
              <w:pStyle w:val="NormalWeb"/>
              <w:spacing w:before="0" w:beforeAutospacing="0" w:after="0" w:afterAutospacing="0" w:line="276" w:lineRule="auto"/>
              <w:jc w:val="center"/>
              <w:rPr>
                <w:sz w:val="20"/>
                <w:szCs w:val="20"/>
              </w:rPr>
            </w:pPr>
            <w:r w:rsidRPr="0001662D">
              <w:rPr>
                <w:sz w:val="20"/>
                <w:szCs w:val="20"/>
              </w:rPr>
              <w:t>Percentage</w:t>
            </w:r>
          </w:p>
        </w:tc>
      </w:tr>
      <w:tr w:rsidR="00111BAE" w:rsidRPr="00CE2AFD" w14:paraId="164D88A4" w14:textId="77777777" w:rsidTr="004E3BC7">
        <w:tblPrEx>
          <w:tblBorders>
            <w:left w:val="single" w:sz="4" w:space="0" w:color="auto"/>
            <w:right w:val="single" w:sz="4" w:space="0" w:color="auto"/>
            <w:insideV w:val="single" w:sz="4" w:space="0" w:color="auto"/>
          </w:tblBorders>
        </w:tblPrEx>
        <w:trPr>
          <w:gridBefore w:val="1"/>
          <w:wBefore w:w="221" w:type="dxa"/>
          <w:trHeight w:val="3527"/>
        </w:trPr>
        <w:tc>
          <w:tcPr>
            <w:tcW w:w="1955" w:type="dxa"/>
            <w:gridSpan w:val="2"/>
          </w:tcPr>
          <w:p w14:paraId="6CFCD5C0" w14:textId="4CA314DF" w:rsidR="00111BAE" w:rsidRDefault="00111BAE" w:rsidP="002D4C9B">
            <w:pPr>
              <w:pStyle w:val="NormalWeb"/>
              <w:spacing w:before="0" w:beforeAutospacing="0" w:after="0" w:afterAutospacing="0" w:line="276" w:lineRule="auto"/>
              <w:jc w:val="both"/>
              <w:rPr>
                <w:sz w:val="20"/>
                <w:szCs w:val="20"/>
              </w:rPr>
            </w:pPr>
            <w:r>
              <w:rPr>
                <w:sz w:val="20"/>
                <w:szCs w:val="20"/>
              </w:rPr>
              <w:t>Age</w:t>
            </w:r>
          </w:p>
          <w:p w14:paraId="503E3465" w14:textId="77777777" w:rsidR="00111BAE" w:rsidRDefault="00111BAE" w:rsidP="002D4C9B">
            <w:pPr>
              <w:pStyle w:val="NormalWeb"/>
              <w:spacing w:before="0" w:beforeAutospacing="0" w:after="0" w:afterAutospacing="0" w:line="276" w:lineRule="auto"/>
              <w:jc w:val="both"/>
              <w:rPr>
                <w:sz w:val="20"/>
                <w:szCs w:val="20"/>
              </w:rPr>
            </w:pPr>
          </w:p>
          <w:p w14:paraId="2EA68F10" w14:textId="7D6CDEF4" w:rsidR="00111BAE" w:rsidRPr="0001662D" w:rsidRDefault="00111BAE" w:rsidP="002D4C9B">
            <w:pPr>
              <w:pStyle w:val="NormalWeb"/>
              <w:spacing w:before="0" w:beforeAutospacing="0" w:after="0" w:afterAutospacing="0" w:line="276" w:lineRule="auto"/>
              <w:jc w:val="both"/>
              <w:rPr>
                <w:sz w:val="20"/>
                <w:szCs w:val="20"/>
              </w:rPr>
            </w:pPr>
            <w:r w:rsidRPr="0001662D">
              <w:rPr>
                <w:sz w:val="20"/>
                <w:szCs w:val="20"/>
              </w:rPr>
              <w:t>Gender</w:t>
            </w:r>
          </w:p>
          <w:p w14:paraId="46CB205E" w14:textId="77777777" w:rsidR="00111BAE" w:rsidRPr="0001662D" w:rsidRDefault="00111BAE" w:rsidP="002D4C9B">
            <w:pPr>
              <w:pStyle w:val="NormalWeb"/>
              <w:spacing w:before="0" w:beforeAutospacing="0" w:after="0" w:afterAutospacing="0" w:line="276" w:lineRule="auto"/>
              <w:jc w:val="both"/>
              <w:rPr>
                <w:sz w:val="20"/>
                <w:szCs w:val="20"/>
              </w:rPr>
            </w:pPr>
          </w:p>
          <w:p w14:paraId="5279ADA7" w14:textId="3CB6AAB4" w:rsidR="00B64C8E" w:rsidRDefault="00B64C8E" w:rsidP="002D4C9B">
            <w:pPr>
              <w:pStyle w:val="NormalWeb"/>
              <w:spacing w:before="0" w:beforeAutospacing="0" w:after="0" w:afterAutospacing="0" w:line="276" w:lineRule="auto"/>
              <w:jc w:val="both"/>
              <w:rPr>
                <w:sz w:val="20"/>
                <w:szCs w:val="20"/>
              </w:rPr>
            </w:pPr>
            <w:r>
              <w:rPr>
                <w:sz w:val="20"/>
                <w:szCs w:val="20"/>
              </w:rPr>
              <w:t>Location</w:t>
            </w:r>
          </w:p>
          <w:p w14:paraId="46BF929B" w14:textId="6DC84911" w:rsidR="00B64C8E" w:rsidRDefault="00B64C8E" w:rsidP="002D4C9B">
            <w:pPr>
              <w:pStyle w:val="NormalWeb"/>
              <w:spacing w:before="0" w:beforeAutospacing="0" w:after="0" w:afterAutospacing="0" w:line="276" w:lineRule="auto"/>
              <w:jc w:val="both"/>
              <w:rPr>
                <w:sz w:val="20"/>
                <w:szCs w:val="20"/>
              </w:rPr>
            </w:pPr>
          </w:p>
          <w:p w14:paraId="37A7F535" w14:textId="4176B89D" w:rsidR="00B64C8E" w:rsidRDefault="00B64C8E" w:rsidP="002D4C9B">
            <w:pPr>
              <w:pStyle w:val="NormalWeb"/>
              <w:spacing w:before="0" w:beforeAutospacing="0" w:after="0" w:afterAutospacing="0" w:line="276" w:lineRule="auto"/>
              <w:jc w:val="both"/>
              <w:rPr>
                <w:sz w:val="20"/>
                <w:szCs w:val="20"/>
              </w:rPr>
            </w:pPr>
          </w:p>
          <w:p w14:paraId="02952805" w14:textId="77777777" w:rsidR="00B64C8E" w:rsidRDefault="00B64C8E" w:rsidP="002D4C9B">
            <w:pPr>
              <w:pStyle w:val="NormalWeb"/>
              <w:spacing w:before="0" w:beforeAutospacing="0" w:after="0" w:afterAutospacing="0" w:line="276" w:lineRule="auto"/>
              <w:jc w:val="both"/>
              <w:rPr>
                <w:sz w:val="20"/>
                <w:szCs w:val="20"/>
              </w:rPr>
            </w:pPr>
          </w:p>
          <w:p w14:paraId="2CAF73E0" w14:textId="5E389602" w:rsidR="00111BAE" w:rsidRPr="0001662D" w:rsidRDefault="00B64C8E" w:rsidP="002D4C9B">
            <w:pPr>
              <w:pStyle w:val="NormalWeb"/>
              <w:spacing w:before="0" w:beforeAutospacing="0" w:after="0" w:afterAutospacing="0" w:line="276" w:lineRule="auto"/>
              <w:jc w:val="both"/>
              <w:rPr>
                <w:sz w:val="20"/>
                <w:szCs w:val="20"/>
              </w:rPr>
            </w:pPr>
            <w:r>
              <w:rPr>
                <w:sz w:val="20"/>
                <w:szCs w:val="20"/>
              </w:rPr>
              <w:t xml:space="preserve"> </w:t>
            </w:r>
          </w:p>
          <w:p w14:paraId="61FD2254" w14:textId="77777777" w:rsidR="00111BAE" w:rsidRPr="0001662D" w:rsidRDefault="00111BAE" w:rsidP="002D4C9B">
            <w:pPr>
              <w:pStyle w:val="NormalWeb"/>
              <w:spacing w:before="0" w:beforeAutospacing="0" w:after="0" w:afterAutospacing="0" w:line="276" w:lineRule="auto"/>
              <w:jc w:val="both"/>
              <w:rPr>
                <w:sz w:val="20"/>
                <w:szCs w:val="20"/>
              </w:rPr>
            </w:pPr>
            <w:r w:rsidRPr="0001662D">
              <w:rPr>
                <w:sz w:val="20"/>
                <w:szCs w:val="20"/>
              </w:rPr>
              <w:t>Education Level</w:t>
            </w:r>
          </w:p>
          <w:p w14:paraId="471AD512" w14:textId="77777777" w:rsidR="00111BAE" w:rsidRPr="0001662D" w:rsidRDefault="00111BAE" w:rsidP="002D4C9B">
            <w:pPr>
              <w:pStyle w:val="NormalWeb"/>
              <w:spacing w:before="0" w:beforeAutospacing="0" w:after="0" w:afterAutospacing="0" w:line="276" w:lineRule="auto"/>
              <w:jc w:val="both"/>
              <w:rPr>
                <w:sz w:val="20"/>
                <w:szCs w:val="20"/>
              </w:rPr>
            </w:pPr>
          </w:p>
          <w:p w14:paraId="4B7CC3B0" w14:textId="77777777" w:rsidR="00111BAE" w:rsidRPr="0001662D" w:rsidRDefault="00111BAE" w:rsidP="002D4C9B">
            <w:pPr>
              <w:pStyle w:val="NormalWeb"/>
              <w:spacing w:before="0" w:beforeAutospacing="0" w:after="0" w:afterAutospacing="0" w:line="276" w:lineRule="auto"/>
              <w:jc w:val="both"/>
              <w:rPr>
                <w:sz w:val="20"/>
                <w:szCs w:val="20"/>
              </w:rPr>
            </w:pPr>
            <w:r w:rsidRPr="0001662D">
              <w:rPr>
                <w:sz w:val="20"/>
                <w:szCs w:val="20"/>
              </w:rPr>
              <w:t>Races</w:t>
            </w:r>
          </w:p>
          <w:p w14:paraId="0C6C1460" w14:textId="77777777" w:rsidR="00111BAE" w:rsidRPr="0001662D" w:rsidRDefault="00111BAE" w:rsidP="002D4C9B">
            <w:pPr>
              <w:pStyle w:val="NormalWeb"/>
              <w:spacing w:before="0" w:beforeAutospacing="0" w:after="0" w:afterAutospacing="0" w:line="276" w:lineRule="auto"/>
              <w:jc w:val="both"/>
              <w:rPr>
                <w:sz w:val="20"/>
                <w:szCs w:val="20"/>
              </w:rPr>
            </w:pPr>
          </w:p>
          <w:p w14:paraId="29566DC2" w14:textId="3B7986BE" w:rsidR="00111BAE" w:rsidRPr="0001662D" w:rsidRDefault="004F3E41" w:rsidP="002D4C9B">
            <w:pPr>
              <w:pStyle w:val="NormalWeb"/>
              <w:spacing w:before="0" w:beforeAutospacing="0" w:after="0" w:afterAutospacing="0" w:line="276" w:lineRule="auto"/>
              <w:jc w:val="both"/>
              <w:rPr>
                <w:sz w:val="20"/>
                <w:szCs w:val="20"/>
              </w:rPr>
            </w:pPr>
            <w:r>
              <w:rPr>
                <w:sz w:val="20"/>
                <w:szCs w:val="20"/>
              </w:rPr>
              <w:t xml:space="preserve"> </w:t>
            </w:r>
            <w:r w:rsidR="00111BAE" w:rsidRPr="0001662D">
              <w:rPr>
                <w:sz w:val="20"/>
                <w:szCs w:val="20"/>
              </w:rPr>
              <w:t xml:space="preserve"> </w:t>
            </w:r>
          </w:p>
        </w:tc>
        <w:tc>
          <w:tcPr>
            <w:tcW w:w="2186" w:type="dxa"/>
            <w:gridSpan w:val="2"/>
          </w:tcPr>
          <w:p w14:paraId="567889A7" w14:textId="70AF58BD" w:rsidR="00111BAE" w:rsidRDefault="00111BAE" w:rsidP="002D4C9B">
            <w:pPr>
              <w:pStyle w:val="NormalWeb"/>
              <w:spacing w:before="0" w:beforeAutospacing="0" w:after="0" w:afterAutospacing="0" w:line="276" w:lineRule="auto"/>
              <w:jc w:val="both"/>
              <w:rPr>
                <w:sz w:val="20"/>
                <w:szCs w:val="20"/>
              </w:rPr>
            </w:pPr>
            <w:r>
              <w:rPr>
                <w:sz w:val="20"/>
                <w:szCs w:val="20"/>
              </w:rPr>
              <w:t>16 to 19 years</w:t>
            </w:r>
          </w:p>
          <w:p w14:paraId="2FB4A05B" w14:textId="38D66501" w:rsidR="00111BAE" w:rsidRDefault="00111BAE" w:rsidP="002D4C9B">
            <w:pPr>
              <w:pStyle w:val="NormalWeb"/>
              <w:spacing w:before="0" w:beforeAutospacing="0" w:after="0" w:afterAutospacing="0" w:line="276" w:lineRule="auto"/>
              <w:jc w:val="both"/>
              <w:rPr>
                <w:sz w:val="20"/>
                <w:szCs w:val="20"/>
              </w:rPr>
            </w:pPr>
            <w:r>
              <w:rPr>
                <w:sz w:val="20"/>
                <w:szCs w:val="20"/>
              </w:rPr>
              <w:t>Above 20 years</w:t>
            </w:r>
          </w:p>
          <w:p w14:paraId="73BD7EDE" w14:textId="6945A415" w:rsidR="00111BAE" w:rsidRPr="0001662D" w:rsidRDefault="00111BAE" w:rsidP="002D4C9B">
            <w:pPr>
              <w:pStyle w:val="NormalWeb"/>
              <w:spacing w:before="0" w:beforeAutospacing="0" w:after="0" w:afterAutospacing="0" w:line="276" w:lineRule="auto"/>
              <w:jc w:val="both"/>
              <w:rPr>
                <w:sz w:val="20"/>
                <w:szCs w:val="20"/>
              </w:rPr>
            </w:pPr>
            <w:r w:rsidRPr="0001662D">
              <w:rPr>
                <w:sz w:val="20"/>
                <w:szCs w:val="20"/>
              </w:rPr>
              <w:t>Male</w:t>
            </w:r>
          </w:p>
          <w:p w14:paraId="47B91138" w14:textId="77777777" w:rsidR="00111BAE" w:rsidRPr="0001662D" w:rsidRDefault="00111BAE" w:rsidP="002D4C9B">
            <w:pPr>
              <w:pStyle w:val="NormalWeb"/>
              <w:spacing w:before="0" w:beforeAutospacing="0" w:after="0" w:afterAutospacing="0" w:line="276" w:lineRule="auto"/>
              <w:jc w:val="both"/>
              <w:rPr>
                <w:sz w:val="20"/>
                <w:szCs w:val="20"/>
              </w:rPr>
            </w:pPr>
            <w:r w:rsidRPr="0001662D">
              <w:rPr>
                <w:sz w:val="20"/>
                <w:szCs w:val="20"/>
              </w:rPr>
              <w:t>Female</w:t>
            </w:r>
          </w:p>
          <w:p w14:paraId="2C575A03" w14:textId="0EC3F32B" w:rsidR="00B64C8E" w:rsidRDefault="00B64C8E" w:rsidP="002D4C9B">
            <w:pPr>
              <w:pStyle w:val="NormalWeb"/>
              <w:spacing w:before="0" w:beforeAutospacing="0" w:after="0" w:afterAutospacing="0" w:line="276" w:lineRule="auto"/>
              <w:jc w:val="both"/>
              <w:rPr>
                <w:sz w:val="20"/>
                <w:szCs w:val="20"/>
              </w:rPr>
            </w:pPr>
            <w:r>
              <w:rPr>
                <w:sz w:val="20"/>
                <w:szCs w:val="20"/>
              </w:rPr>
              <w:t>Rural Area</w:t>
            </w:r>
          </w:p>
          <w:p w14:paraId="7C1F727D" w14:textId="2F2CF826" w:rsidR="00B64C8E" w:rsidRDefault="00B64C8E" w:rsidP="002D4C9B">
            <w:pPr>
              <w:pStyle w:val="NormalWeb"/>
              <w:spacing w:before="0" w:beforeAutospacing="0" w:after="0" w:afterAutospacing="0" w:line="276" w:lineRule="auto"/>
              <w:jc w:val="both"/>
              <w:rPr>
                <w:sz w:val="20"/>
                <w:szCs w:val="20"/>
              </w:rPr>
            </w:pPr>
            <w:r>
              <w:rPr>
                <w:sz w:val="20"/>
                <w:szCs w:val="20"/>
              </w:rPr>
              <w:t>Sub Urban Area</w:t>
            </w:r>
          </w:p>
          <w:p w14:paraId="0F496319" w14:textId="3C6D02A5" w:rsidR="00111BAE" w:rsidRPr="0001662D" w:rsidRDefault="00B64C8E" w:rsidP="002D4C9B">
            <w:pPr>
              <w:pStyle w:val="NormalWeb"/>
              <w:spacing w:before="0" w:beforeAutospacing="0" w:after="0" w:afterAutospacing="0" w:line="276" w:lineRule="auto"/>
              <w:jc w:val="both"/>
              <w:rPr>
                <w:sz w:val="20"/>
                <w:szCs w:val="20"/>
              </w:rPr>
            </w:pPr>
            <w:r>
              <w:rPr>
                <w:sz w:val="20"/>
                <w:szCs w:val="20"/>
              </w:rPr>
              <w:t>Urban Area</w:t>
            </w:r>
            <w:r w:rsidR="00111BAE" w:rsidRPr="0001662D">
              <w:rPr>
                <w:sz w:val="20"/>
                <w:szCs w:val="20"/>
              </w:rPr>
              <w:t xml:space="preserve"> </w:t>
            </w:r>
          </w:p>
          <w:p w14:paraId="0DD8BEEE" w14:textId="7B2F10F3" w:rsidR="00B64C8E" w:rsidRDefault="00B64C8E" w:rsidP="002D4C9B">
            <w:pPr>
              <w:pStyle w:val="NormalWeb"/>
              <w:spacing w:before="0" w:beforeAutospacing="0" w:after="0" w:afterAutospacing="0" w:line="276" w:lineRule="auto"/>
              <w:jc w:val="both"/>
              <w:rPr>
                <w:sz w:val="20"/>
                <w:szCs w:val="20"/>
              </w:rPr>
            </w:pPr>
            <w:r>
              <w:rPr>
                <w:sz w:val="20"/>
                <w:szCs w:val="20"/>
              </w:rPr>
              <w:t>Certificates</w:t>
            </w:r>
          </w:p>
          <w:p w14:paraId="0D6B630B" w14:textId="4CA17063" w:rsidR="00111BAE" w:rsidRDefault="00111BAE" w:rsidP="002D4C9B">
            <w:pPr>
              <w:pStyle w:val="NormalWeb"/>
              <w:spacing w:before="0" w:beforeAutospacing="0" w:after="0" w:afterAutospacing="0" w:line="276" w:lineRule="auto"/>
              <w:jc w:val="both"/>
              <w:rPr>
                <w:sz w:val="20"/>
                <w:szCs w:val="20"/>
              </w:rPr>
            </w:pPr>
            <w:r w:rsidRPr="0001662D">
              <w:rPr>
                <w:sz w:val="20"/>
                <w:szCs w:val="20"/>
              </w:rPr>
              <w:t>Diploma</w:t>
            </w:r>
          </w:p>
          <w:p w14:paraId="686153AA" w14:textId="5DABC620" w:rsidR="00B64C8E" w:rsidRDefault="00B64C8E" w:rsidP="002D4C9B">
            <w:pPr>
              <w:pStyle w:val="NormalWeb"/>
              <w:spacing w:before="0" w:beforeAutospacing="0" w:after="0" w:afterAutospacing="0" w:line="276" w:lineRule="auto"/>
              <w:jc w:val="both"/>
              <w:rPr>
                <w:sz w:val="20"/>
                <w:szCs w:val="20"/>
              </w:rPr>
            </w:pPr>
            <w:r>
              <w:rPr>
                <w:sz w:val="20"/>
                <w:szCs w:val="20"/>
              </w:rPr>
              <w:t>First Degree</w:t>
            </w:r>
          </w:p>
          <w:p w14:paraId="21DC9291" w14:textId="7D8CD48C" w:rsidR="00B64C8E" w:rsidRPr="0001662D" w:rsidRDefault="0050787B" w:rsidP="002D4C9B">
            <w:pPr>
              <w:pStyle w:val="NormalWeb"/>
              <w:spacing w:before="0" w:beforeAutospacing="0" w:after="0" w:afterAutospacing="0" w:line="276" w:lineRule="auto"/>
              <w:jc w:val="both"/>
              <w:rPr>
                <w:sz w:val="20"/>
                <w:szCs w:val="20"/>
              </w:rPr>
            </w:pPr>
            <w:r>
              <w:rPr>
                <w:sz w:val="20"/>
                <w:szCs w:val="20"/>
              </w:rPr>
              <w:t>Postgraduate</w:t>
            </w:r>
          </w:p>
          <w:p w14:paraId="3EDC04AA" w14:textId="16A4AA2F" w:rsidR="00111BAE" w:rsidRDefault="00B64C8E" w:rsidP="002D4C9B">
            <w:pPr>
              <w:pStyle w:val="NormalWeb"/>
              <w:spacing w:before="0" w:beforeAutospacing="0" w:after="0" w:afterAutospacing="0" w:line="276" w:lineRule="auto"/>
              <w:jc w:val="both"/>
              <w:rPr>
                <w:sz w:val="20"/>
                <w:szCs w:val="20"/>
              </w:rPr>
            </w:pPr>
            <w:r>
              <w:rPr>
                <w:sz w:val="20"/>
                <w:szCs w:val="20"/>
              </w:rPr>
              <w:t>Malay</w:t>
            </w:r>
          </w:p>
          <w:p w14:paraId="5465B528" w14:textId="18B29902" w:rsidR="00B64C8E" w:rsidRPr="0001662D" w:rsidRDefault="00B64C8E" w:rsidP="002D4C9B">
            <w:pPr>
              <w:pStyle w:val="NormalWeb"/>
              <w:spacing w:before="0" w:beforeAutospacing="0" w:after="0" w:afterAutospacing="0" w:line="276" w:lineRule="auto"/>
              <w:jc w:val="both"/>
              <w:rPr>
                <w:sz w:val="20"/>
                <w:szCs w:val="20"/>
              </w:rPr>
            </w:pPr>
            <w:r>
              <w:rPr>
                <w:sz w:val="20"/>
                <w:szCs w:val="20"/>
              </w:rPr>
              <w:t>Indian</w:t>
            </w:r>
          </w:p>
          <w:p w14:paraId="19ABC1E8" w14:textId="77777777" w:rsidR="00111BAE" w:rsidRPr="0001662D" w:rsidRDefault="00111BAE" w:rsidP="002D4C9B">
            <w:pPr>
              <w:pStyle w:val="NormalWeb"/>
              <w:spacing w:before="0" w:beforeAutospacing="0" w:after="0" w:afterAutospacing="0" w:line="276" w:lineRule="auto"/>
              <w:jc w:val="both"/>
              <w:rPr>
                <w:sz w:val="20"/>
                <w:szCs w:val="20"/>
              </w:rPr>
            </w:pPr>
            <w:r w:rsidRPr="0001662D">
              <w:rPr>
                <w:sz w:val="20"/>
                <w:szCs w:val="20"/>
              </w:rPr>
              <w:t xml:space="preserve">  </w:t>
            </w:r>
          </w:p>
          <w:p w14:paraId="52C3C182" w14:textId="62150EAB" w:rsidR="00111BAE" w:rsidRPr="0001662D" w:rsidRDefault="004F3E41" w:rsidP="004F3E41">
            <w:pPr>
              <w:pStyle w:val="NormalWeb"/>
              <w:spacing w:before="0" w:beforeAutospacing="0" w:after="0" w:afterAutospacing="0" w:line="276" w:lineRule="auto"/>
              <w:jc w:val="both"/>
              <w:rPr>
                <w:sz w:val="20"/>
                <w:szCs w:val="20"/>
              </w:rPr>
            </w:pPr>
            <w:r>
              <w:rPr>
                <w:sz w:val="20"/>
                <w:szCs w:val="20"/>
              </w:rPr>
              <w:t xml:space="preserve">  </w:t>
            </w:r>
          </w:p>
        </w:tc>
        <w:tc>
          <w:tcPr>
            <w:tcW w:w="2040" w:type="dxa"/>
            <w:gridSpan w:val="3"/>
          </w:tcPr>
          <w:p w14:paraId="3AE38686" w14:textId="3E7A81E3" w:rsidR="00111BAE" w:rsidRPr="0001662D" w:rsidRDefault="00646147" w:rsidP="002D4C9B">
            <w:pPr>
              <w:pStyle w:val="NormalWeb"/>
              <w:spacing w:before="0" w:beforeAutospacing="0" w:after="0" w:afterAutospacing="0" w:line="276" w:lineRule="auto"/>
              <w:jc w:val="center"/>
              <w:rPr>
                <w:sz w:val="20"/>
                <w:szCs w:val="20"/>
              </w:rPr>
            </w:pPr>
            <w:r>
              <w:rPr>
                <w:sz w:val="20"/>
                <w:szCs w:val="20"/>
              </w:rPr>
              <w:t>3</w:t>
            </w:r>
          </w:p>
          <w:p w14:paraId="45AC848B" w14:textId="083B0A8B" w:rsidR="00111BAE" w:rsidRPr="0001662D" w:rsidRDefault="00646147" w:rsidP="002D4C9B">
            <w:pPr>
              <w:pStyle w:val="NormalWeb"/>
              <w:spacing w:before="0" w:beforeAutospacing="0" w:after="0" w:afterAutospacing="0" w:line="276" w:lineRule="auto"/>
              <w:jc w:val="center"/>
              <w:rPr>
                <w:sz w:val="20"/>
                <w:szCs w:val="20"/>
              </w:rPr>
            </w:pPr>
            <w:r>
              <w:rPr>
                <w:sz w:val="20"/>
                <w:szCs w:val="20"/>
              </w:rPr>
              <w:t>60</w:t>
            </w:r>
          </w:p>
          <w:p w14:paraId="06659560" w14:textId="0EE34B06" w:rsidR="00111BAE" w:rsidRPr="0001662D" w:rsidRDefault="00B64C8E" w:rsidP="002D4C9B">
            <w:pPr>
              <w:pStyle w:val="NormalWeb"/>
              <w:spacing w:before="0" w:beforeAutospacing="0" w:after="0" w:afterAutospacing="0" w:line="276" w:lineRule="auto"/>
              <w:jc w:val="center"/>
              <w:rPr>
                <w:sz w:val="20"/>
                <w:szCs w:val="20"/>
              </w:rPr>
            </w:pPr>
            <w:r>
              <w:rPr>
                <w:sz w:val="20"/>
                <w:szCs w:val="20"/>
              </w:rPr>
              <w:t>13</w:t>
            </w:r>
          </w:p>
          <w:p w14:paraId="0220454B" w14:textId="3A5A0699" w:rsidR="00111BAE" w:rsidRPr="0001662D" w:rsidRDefault="00B64C8E" w:rsidP="002D4C9B">
            <w:pPr>
              <w:pStyle w:val="NormalWeb"/>
              <w:spacing w:before="0" w:beforeAutospacing="0" w:after="0" w:afterAutospacing="0" w:line="276" w:lineRule="auto"/>
              <w:jc w:val="center"/>
              <w:rPr>
                <w:sz w:val="20"/>
                <w:szCs w:val="20"/>
              </w:rPr>
            </w:pPr>
            <w:r>
              <w:rPr>
                <w:sz w:val="20"/>
                <w:szCs w:val="20"/>
              </w:rPr>
              <w:t>50</w:t>
            </w:r>
          </w:p>
          <w:p w14:paraId="48ACFD13" w14:textId="1B98FC83" w:rsidR="00111BAE" w:rsidRPr="0001662D" w:rsidRDefault="00846190" w:rsidP="002D4C9B">
            <w:pPr>
              <w:pStyle w:val="NormalWeb"/>
              <w:spacing w:before="0" w:beforeAutospacing="0" w:after="0" w:afterAutospacing="0" w:line="276" w:lineRule="auto"/>
              <w:jc w:val="center"/>
              <w:rPr>
                <w:sz w:val="20"/>
                <w:szCs w:val="20"/>
              </w:rPr>
            </w:pPr>
            <w:r>
              <w:rPr>
                <w:sz w:val="20"/>
                <w:szCs w:val="20"/>
              </w:rPr>
              <w:t>2</w:t>
            </w:r>
            <w:r w:rsidR="000B29A2">
              <w:rPr>
                <w:sz w:val="20"/>
                <w:szCs w:val="20"/>
              </w:rPr>
              <w:t>3</w:t>
            </w:r>
          </w:p>
          <w:p w14:paraId="2F75A82E" w14:textId="3CD42B37" w:rsidR="00111BAE" w:rsidRPr="0001662D" w:rsidRDefault="00B64C8E" w:rsidP="002D4C9B">
            <w:pPr>
              <w:pStyle w:val="NormalWeb"/>
              <w:spacing w:before="0" w:beforeAutospacing="0" w:after="0" w:afterAutospacing="0" w:line="276" w:lineRule="auto"/>
              <w:jc w:val="center"/>
              <w:rPr>
                <w:sz w:val="20"/>
                <w:szCs w:val="20"/>
              </w:rPr>
            </w:pPr>
            <w:r>
              <w:rPr>
                <w:sz w:val="20"/>
                <w:szCs w:val="20"/>
              </w:rPr>
              <w:t xml:space="preserve"> </w:t>
            </w:r>
            <w:r w:rsidR="00846190">
              <w:rPr>
                <w:sz w:val="20"/>
                <w:szCs w:val="20"/>
              </w:rPr>
              <w:t>33</w:t>
            </w:r>
          </w:p>
          <w:p w14:paraId="4FC1C43A" w14:textId="571BE76F" w:rsidR="00111BAE" w:rsidRPr="0001662D" w:rsidRDefault="00846190" w:rsidP="002D4C9B">
            <w:pPr>
              <w:pStyle w:val="NormalWeb"/>
              <w:spacing w:before="0" w:beforeAutospacing="0" w:after="0" w:afterAutospacing="0" w:line="276" w:lineRule="auto"/>
              <w:jc w:val="center"/>
              <w:rPr>
                <w:sz w:val="20"/>
                <w:szCs w:val="20"/>
              </w:rPr>
            </w:pPr>
            <w:r>
              <w:rPr>
                <w:sz w:val="20"/>
                <w:szCs w:val="20"/>
              </w:rPr>
              <w:t>7</w:t>
            </w:r>
            <w:r w:rsidR="00111BAE" w:rsidRPr="0001662D">
              <w:rPr>
                <w:sz w:val="20"/>
                <w:szCs w:val="20"/>
              </w:rPr>
              <w:t xml:space="preserve"> </w:t>
            </w:r>
          </w:p>
          <w:p w14:paraId="3B8E802B" w14:textId="708AA202" w:rsidR="00111BAE" w:rsidRDefault="00B64C8E" w:rsidP="002D4C9B">
            <w:pPr>
              <w:pStyle w:val="NormalWeb"/>
              <w:spacing w:before="0" w:beforeAutospacing="0" w:after="0" w:afterAutospacing="0" w:line="276" w:lineRule="auto"/>
              <w:jc w:val="center"/>
              <w:rPr>
                <w:sz w:val="20"/>
                <w:szCs w:val="20"/>
              </w:rPr>
            </w:pPr>
            <w:r>
              <w:rPr>
                <w:sz w:val="20"/>
                <w:szCs w:val="20"/>
              </w:rPr>
              <w:t xml:space="preserve"> </w:t>
            </w:r>
            <w:r w:rsidR="004E3BC7">
              <w:rPr>
                <w:sz w:val="20"/>
                <w:szCs w:val="20"/>
              </w:rPr>
              <w:t>2</w:t>
            </w:r>
            <w:r w:rsidR="00111BAE" w:rsidRPr="0001662D">
              <w:rPr>
                <w:sz w:val="20"/>
                <w:szCs w:val="20"/>
              </w:rPr>
              <w:t xml:space="preserve"> </w:t>
            </w:r>
          </w:p>
          <w:p w14:paraId="4646384C" w14:textId="459B43F3" w:rsidR="0050787B" w:rsidRDefault="004E3BC7" w:rsidP="002D4C9B">
            <w:pPr>
              <w:pStyle w:val="NormalWeb"/>
              <w:spacing w:before="0" w:beforeAutospacing="0" w:after="0" w:afterAutospacing="0" w:line="276" w:lineRule="auto"/>
              <w:jc w:val="center"/>
              <w:rPr>
                <w:sz w:val="20"/>
                <w:szCs w:val="20"/>
              </w:rPr>
            </w:pPr>
            <w:r>
              <w:rPr>
                <w:sz w:val="20"/>
                <w:szCs w:val="20"/>
              </w:rPr>
              <w:t>58</w:t>
            </w:r>
          </w:p>
          <w:p w14:paraId="584BF042" w14:textId="117613AD" w:rsidR="0050787B" w:rsidRDefault="004E3BC7" w:rsidP="002D4C9B">
            <w:pPr>
              <w:pStyle w:val="NormalWeb"/>
              <w:spacing w:before="0" w:beforeAutospacing="0" w:after="0" w:afterAutospacing="0" w:line="276" w:lineRule="auto"/>
              <w:jc w:val="center"/>
              <w:rPr>
                <w:sz w:val="20"/>
                <w:szCs w:val="20"/>
              </w:rPr>
            </w:pPr>
            <w:r>
              <w:rPr>
                <w:sz w:val="20"/>
                <w:szCs w:val="20"/>
              </w:rPr>
              <w:t>2</w:t>
            </w:r>
          </w:p>
          <w:p w14:paraId="49209C02" w14:textId="6137F318" w:rsidR="0050787B" w:rsidRDefault="004E3BC7" w:rsidP="002D4C9B">
            <w:pPr>
              <w:pStyle w:val="NormalWeb"/>
              <w:spacing w:before="0" w:beforeAutospacing="0" w:after="0" w:afterAutospacing="0" w:line="276" w:lineRule="auto"/>
              <w:jc w:val="center"/>
              <w:rPr>
                <w:sz w:val="20"/>
                <w:szCs w:val="20"/>
              </w:rPr>
            </w:pPr>
            <w:r>
              <w:rPr>
                <w:sz w:val="20"/>
                <w:szCs w:val="20"/>
              </w:rPr>
              <w:t>1</w:t>
            </w:r>
          </w:p>
          <w:p w14:paraId="43E0DB85" w14:textId="378E6AD9" w:rsidR="0050787B" w:rsidRDefault="004E3BC7" w:rsidP="002D4C9B">
            <w:pPr>
              <w:pStyle w:val="NormalWeb"/>
              <w:spacing w:before="0" w:beforeAutospacing="0" w:after="0" w:afterAutospacing="0" w:line="276" w:lineRule="auto"/>
              <w:jc w:val="center"/>
              <w:rPr>
                <w:sz w:val="20"/>
                <w:szCs w:val="20"/>
              </w:rPr>
            </w:pPr>
            <w:r>
              <w:rPr>
                <w:sz w:val="20"/>
                <w:szCs w:val="20"/>
              </w:rPr>
              <w:t>60</w:t>
            </w:r>
          </w:p>
          <w:p w14:paraId="078A2F54" w14:textId="6DA5E6F6" w:rsidR="0050787B" w:rsidRDefault="004E3BC7" w:rsidP="002D4C9B">
            <w:pPr>
              <w:pStyle w:val="NormalWeb"/>
              <w:spacing w:before="0" w:beforeAutospacing="0" w:after="0" w:afterAutospacing="0" w:line="276" w:lineRule="auto"/>
              <w:jc w:val="center"/>
              <w:rPr>
                <w:sz w:val="20"/>
                <w:szCs w:val="20"/>
              </w:rPr>
            </w:pPr>
            <w:r>
              <w:rPr>
                <w:sz w:val="20"/>
                <w:szCs w:val="20"/>
              </w:rPr>
              <w:t>3</w:t>
            </w:r>
          </w:p>
          <w:p w14:paraId="37100E60" w14:textId="0F5FAEE4" w:rsidR="0050787B" w:rsidRPr="0001662D" w:rsidRDefault="004E3BC7" w:rsidP="002D4C9B">
            <w:pPr>
              <w:pStyle w:val="NormalWeb"/>
              <w:spacing w:before="0" w:beforeAutospacing="0" w:after="0" w:afterAutospacing="0" w:line="276" w:lineRule="auto"/>
              <w:jc w:val="center"/>
              <w:rPr>
                <w:sz w:val="20"/>
                <w:szCs w:val="20"/>
              </w:rPr>
            </w:pPr>
            <w:r>
              <w:rPr>
                <w:sz w:val="20"/>
                <w:szCs w:val="20"/>
              </w:rPr>
              <w:t xml:space="preserve"> </w:t>
            </w:r>
          </w:p>
        </w:tc>
        <w:tc>
          <w:tcPr>
            <w:tcW w:w="2050" w:type="dxa"/>
            <w:gridSpan w:val="2"/>
          </w:tcPr>
          <w:p w14:paraId="7E043770" w14:textId="5F4F9B45" w:rsidR="00111BAE" w:rsidRPr="0001662D" w:rsidRDefault="00646147" w:rsidP="002D4C9B">
            <w:pPr>
              <w:pStyle w:val="NormalWeb"/>
              <w:spacing w:before="0" w:beforeAutospacing="0" w:after="0" w:afterAutospacing="0" w:line="276" w:lineRule="auto"/>
              <w:jc w:val="center"/>
              <w:rPr>
                <w:sz w:val="20"/>
                <w:szCs w:val="20"/>
              </w:rPr>
            </w:pPr>
            <w:r>
              <w:rPr>
                <w:sz w:val="20"/>
                <w:szCs w:val="20"/>
              </w:rPr>
              <w:t>4.7</w:t>
            </w:r>
          </w:p>
          <w:p w14:paraId="02CFB73B" w14:textId="6C7B0025" w:rsidR="00111BAE" w:rsidRPr="0001662D" w:rsidRDefault="00646147" w:rsidP="002D4C9B">
            <w:pPr>
              <w:pStyle w:val="NormalWeb"/>
              <w:spacing w:before="0" w:beforeAutospacing="0" w:after="0" w:afterAutospacing="0" w:line="276" w:lineRule="auto"/>
              <w:jc w:val="center"/>
              <w:rPr>
                <w:sz w:val="20"/>
                <w:szCs w:val="20"/>
              </w:rPr>
            </w:pPr>
            <w:r>
              <w:rPr>
                <w:sz w:val="20"/>
                <w:szCs w:val="20"/>
              </w:rPr>
              <w:t>95.3</w:t>
            </w:r>
          </w:p>
          <w:p w14:paraId="75B50981" w14:textId="1FBBFB54" w:rsidR="00111BAE" w:rsidRPr="0001662D" w:rsidRDefault="00B64C8E" w:rsidP="002D4C9B">
            <w:pPr>
              <w:pStyle w:val="NormalWeb"/>
              <w:spacing w:before="0" w:beforeAutospacing="0" w:after="0" w:afterAutospacing="0" w:line="276" w:lineRule="auto"/>
              <w:jc w:val="center"/>
              <w:rPr>
                <w:sz w:val="20"/>
                <w:szCs w:val="20"/>
              </w:rPr>
            </w:pPr>
            <w:r>
              <w:rPr>
                <w:sz w:val="20"/>
                <w:szCs w:val="20"/>
              </w:rPr>
              <w:t>19.4</w:t>
            </w:r>
          </w:p>
          <w:p w14:paraId="3D3A871D" w14:textId="2AE831B2" w:rsidR="00111BAE" w:rsidRPr="0001662D" w:rsidRDefault="00111BAE" w:rsidP="002D4C9B">
            <w:pPr>
              <w:pStyle w:val="NormalWeb"/>
              <w:spacing w:before="0" w:beforeAutospacing="0" w:after="0" w:afterAutospacing="0" w:line="276" w:lineRule="auto"/>
              <w:jc w:val="center"/>
              <w:rPr>
                <w:sz w:val="20"/>
                <w:szCs w:val="20"/>
              </w:rPr>
            </w:pPr>
            <w:r w:rsidRPr="0001662D">
              <w:rPr>
                <w:sz w:val="20"/>
                <w:szCs w:val="20"/>
              </w:rPr>
              <w:t>80</w:t>
            </w:r>
            <w:r w:rsidR="00B64C8E">
              <w:rPr>
                <w:sz w:val="20"/>
                <w:szCs w:val="20"/>
              </w:rPr>
              <w:t>.6</w:t>
            </w:r>
          </w:p>
          <w:p w14:paraId="095E27A6" w14:textId="0AD0FB0E" w:rsidR="00111BAE" w:rsidRPr="0001662D" w:rsidRDefault="000B29A2" w:rsidP="002D4C9B">
            <w:pPr>
              <w:pStyle w:val="NormalWeb"/>
              <w:spacing w:before="0" w:beforeAutospacing="0" w:after="0" w:afterAutospacing="0" w:line="276" w:lineRule="auto"/>
              <w:jc w:val="center"/>
              <w:rPr>
                <w:sz w:val="20"/>
                <w:szCs w:val="20"/>
              </w:rPr>
            </w:pPr>
            <w:r>
              <w:rPr>
                <w:sz w:val="20"/>
                <w:szCs w:val="20"/>
              </w:rPr>
              <w:t>37.5</w:t>
            </w:r>
          </w:p>
          <w:p w14:paraId="7C23C30C" w14:textId="5DCC08F3" w:rsidR="00111BAE" w:rsidRPr="0001662D" w:rsidRDefault="000B29A2" w:rsidP="002D4C9B">
            <w:pPr>
              <w:pStyle w:val="NormalWeb"/>
              <w:spacing w:before="0" w:beforeAutospacing="0" w:after="0" w:afterAutospacing="0" w:line="276" w:lineRule="auto"/>
              <w:jc w:val="center"/>
              <w:rPr>
                <w:sz w:val="20"/>
                <w:szCs w:val="20"/>
              </w:rPr>
            </w:pPr>
            <w:r>
              <w:rPr>
                <w:sz w:val="20"/>
                <w:szCs w:val="20"/>
              </w:rPr>
              <w:t>53.2</w:t>
            </w:r>
          </w:p>
          <w:p w14:paraId="02FEA8F6" w14:textId="388EB1DF" w:rsidR="00111BAE" w:rsidRPr="0001662D" w:rsidRDefault="00B64C8E" w:rsidP="002D4C9B">
            <w:pPr>
              <w:pStyle w:val="NormalWeb"/>
              <w:spacing w:before="0" w:beforeAutospacing="0" w:after="0" w:afterAutospacing="0" w:line="276" w:lineRule="auto"/>
              <w:jc w:val="center"/>
              <w:rPr>
                <w:sz w:val="20"/>
                <w:szCs w:val="20"/>
              </w:rPr>
            </w:pPr>
            <w:r>
              <w:rPr>
                <w:sz w:val="20"/>
                <w:szCs w:val="20"/>
              </w:rPr>
              <w:t>9.7</w:t>
            </w:r>
          </w:p>
          <w:p w14:paraId="7283FA2F" w14:textId="6B3E1EE7" w:rsidR="00B64C8E" w:rsidRDefault="004E3BC7" w:rsidP="002D4C9B">
            <w:pPr>
              <w:pStyle w:val="NormalWeb"/>
              <w:spacing w:before="0" w:beforeAutospacing="0" w:after="0" w:afterAutospacing="0" w:line="276" w:lineRule="auto"/>
              <w:jc w:val="center"/>
              <w:rPr>
                <w:sz w:val="20"/>
                <w:szCs w:val="20"/>
              </w:rPr>
            </w:pPr>
            <w:r>
              <w:rPr>
                <w:sz w:val="20"/>
                <w:szCs w:val="20"/>
              </w:rPr>
              <w:t>1.26</w:t>
            </w:r>
          </w:p>
          <w:p w14:paraId="77A4C375" w14:textId="688B879A" w:rsidR="00B64C8E" w:rsidRPr="0001662D" w:rsidRDefault="00B64C8E" w:rsidP="002D4C9B">
            <w:pPr>
              <w:pStyle w:val="NormalWeb"/>
              <w:spacing w:before="0" w:beforeAutospacing="0" w:after="0" w:afterAutospacing="0" w:line="276" w:lineRule="auto"/>
              <w:jc w:val="center"/>
              <w:rPr>
                <w:sz w:val="20"/>
                <w:szCs w:val="20"/>
              </w:rPr>
            </w:pPr>
            <w:r>
              <w:rPr>
                <w:sz w:val="20"/>
                <w:szCs w:val="20"/>
              </w:rPr>
              <w:t>92.1</w:t>
            </w:r>
          </w:p>
          <w:p w14:paraId="7F44A7A9" w14:textId="7994EC3E" w:rsidR="00B64C8E" w:rsidRDefault="004E3BC7" w:rsidP="002D4C9B">
            <w:pPr>
              <w:pStyle w:val="NormalWeb"/>
              <w:spacing w:before="0" w:beforeAutospacing="0" w:after="0" w:afterAutospacing="0" w:line="276" w:lineRule="auto"/>
              <w:jc w:val="center"/>
              <w:rPr>
                <w:sz w:val="20"/>
                <w:szCs w:val="20"/>
              </w:rPr>
            </w:pPr>
            <w:r>
              <w:rPr>
                <w:sz w:val="20"/>
                <w:szCs w:val="20"/>
              </w:rPr>
              <w:t>1.26</w:t>
            </w:r>
          </w:p>
          <w:p w14:paraId="1204E817" w14:textId="68B68813" w:rsidR="00111BAE" w:rsidRDefault="004E3BC7" w:rsidP="002D4C9B">
            <w:pPr>
              <w:pStyle w:val="NormalWeb"/>
              <w:spacing w:before="0" w:beforeAutospacing="0" w:after="0" w:afterAutospacing="0" w:line="276" w:lineRule="auto"/>
              <w:jc w:val="center"/>
              <w:rPr>
                <w:sz w:val="20"/>
                <w:szCs w:val="20"/>
              </w:rPr>
            </w:pPr>
            <w:r>
              <w:rPr>
                <w:sz w:val="20"/>
                <w:szCs w:val="20"/>
              </w:rPr>
              <w:t>1.5</w:t>
            </w:r>
          </w:p>
          <w:p w14:paraId="5A22B164" w14:textId="77777777" w:rsidR="00B64C8E" w:rsidRDefault="00B64C8E" w:rsidP="002D4C9B">
            <w:pPr>
              <w:pStyle w:val="NormalWeb"/>
              <w:spacing w:before="0" w:beforeAutospacing="0" w:after="0" w:afterAutospacing="0" w:line="276" w:lineRule="auto"/>
              <w:jc w:val="center"/>
              <w:rPr>
                <w:sz w:val="20"/>
                <w:szCs w:val="20"/>
              </w:rPr>
            </w:pPr>
            <w:r>
              <w:rPr>
                <w:sz w:val="20"/>
                <w:szCs w:val="20"/>
              </w:rPr>
              <w:t>95.2</w:t>
            </w:r>
          </w:p>
          <w:p w14:paraId="7372CDC9" w14:textId="1DD8BAE7" w:rsidR="00B64C8E" w:rsidRPr="0001662D" w:rsidRDefault="0050787B" w:rsidP="002D4C9B">
            <w:pPr>
              <w:pStyle w:val="NormalWeb"/>
              <w:spacing w:before="0" w:beforeAutospacing="0" w:after="0" w:afterAutospacing="0" w:line="276" w:lineRule="auto"/>
              <w:jc w:val="center"/>
              <w:rPr>
                <w:sz w:val="20"/>
                <w:szCs w:val="20"/>
              </w:rPr>
            </w:pPr>
            <w:r>
              <w:rPr>
                <w:sz w:val="20"/>
                <w:szCs w:val="20"/>
              </w:rPr>
              <w:t>4.8</w:t>
            </w:r>
          </w:p>
        </w:tc>
      </w:tr>
    </w:tbl>
    <w:p w14:paraId="489D347E" w14:textId="16E4943D" w:rsidR="000820BD" w:rsidRDefault="004E3BC7" w:rsidP="004E3BC7">
      <w:pPr>
        <w:spacing w:line="240" w:lineRule="auto"/>
        <w:ind w:left="709" w:right="379" w:firstLine="284"/>
        <w:jc w:val="center"/>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2 :</w:t>
      </w:r>
      <w:proofErr w:type="gramEnd"/>
      <w:r>
        <w:rPr>
          <w:rFonts w:ascii="Times New Roman" w:hAnsi="Times New Roman" w:cs="Times New Roman"/>
          <w:sz w:val="24"/>
          <w:szCs w:val="24"/>
        </w:rPr>
        <w:t xml:space="preserve"> Demographic Detail</w:t>
      </w:r>
    </w:p>
    <w:p w14:paraId="5A17B39D" w14:textId="020C6292" w:rsidR="004E3BC7" w:rsidRDefault="004E3BC7" w:rsidP="008A5E1B">
      <w:pPr>
        <w:spacing w:line="240" w:lineRule="auto"/>
        <w:ind w:right="379" w:firstLine="284"/>
        <w:jc w:val="both"/>
        <w:rPr>
          <w:rFonts w:ascii="Times New Roman" w:hAnsi="Times New Roman" w:cs="Times New Roman"/>
        </w:rPr>
      </w:pPr>
      <w:r w:rsidRPr="004E3BC7">
        <w:rPr>
          <w:rFonts w:ascii="Times New Roman" w:hAnsi="Times New Roman" w:cs="Times New Roman"/>
        </w:rPr>
        <w:t xml:space="preserve">The </w:t>
      </w:r>
      <w:r>
        <w:rPr>
          <w:rFonts w:ascii="Times New Roman" w:hAnsi="Times New Roman" w:cs="Times New Roman"/>
        </w:rPr>
        <w:t xml:space="preserve">above tables show the reliability statistics and demographic detail from the preliminary findings of the study. </w:t>
      </w:r>
      <w:r w:rsidR="008A5E1B">
        <w:rPr>
          <w:rFonts w:ascii="Times New Roman" w:hAnsi="Times New Roman" w:cs="Times New Roman"/>
        </w:rPr>
        <w:t xml:space="preserve">The reliability coefficient exhibited a high level of internal consistency. The instruments are good to measure the variables and infer to population. </w:t>
      </w:r>
    </w:p>
    <w:p w14:paraId="302E1A23" w14:textId="1EA0FE5D" w:rsidR="008A5E1B" w:rsidRPr="004E3BC7" w:rsidRDefault="008A5E1B" w:rsidP="008A5E1B">
      <w:pPr>
        <w:spacing w:line="240" w:lineRule="auto"/>
        <w:ind w:right="379" w:firstLine="284"/>
        <w:jc w:val="both"/>
        <w:rPr>
          <w:rFonts w:ascii="Times New Roman" w:hAnsi="Times New Roman" w:cs="Times New Roman"/>
        </w:rPr>
      </w:pPr>
      <w:r>
        <w:rPr>
          <w:rFonts w:ascii="Times New Roman" w:hAnsi="Times New Roman" w:cs="Times New Roman"/>
        </w:rPr>
        <w:lastRenderedPageBreak/>
        <w:t xml:space="preserve">The </w:t>
      </w:r>
      <w:r w:rsidR="00EA5ED3">
        <w:rPr>
          <w:rFonts w:ascii="Times New Roman" w:hAnsi="Times New Roman" w:cs="Times New Roman"/>
        </w:rPr>
        <w:t>demographic</w:t>
      </w:r>
      <w:r>
        <w:rPr>
          <w:rFonts w:ascii="Times New Roman" w:hAnsi="Times New Roman" w:cs="Times New Roman"/>
        </w:rPr>
        <w:t xml:space="preserve"> </w:t>
      </w:r>
      <w:r w:rsidR="00EA5ED3">
        <w:rPr>
          <w:rFonts w:ascii="Times New Roman" w:hAnsi="Times New Roman" w:cs="Times New Roman"/>
        </w:rPr>
        <w:t>details</w:t>
      </w:r>
      <w:r>
        <w:rPr>
          <w:rFonts w:ascii="Times New Roman" w:hAnsi="Times New Roman" w:cs="Times New Roman"/>
        </w:rPr>
        <w:t xml:space="preserve"> </w:t>
      </w:r>
      <w:r w:rsidR="00EA5ED3">
        <w:rPr>
          <w:rFonts w:ascii="Times New Roman" w:hAnsi="Times New Roman" w:cs="Times New Roman"/>
        </w:rPr>
        <w:t xml:space="preserve">as in the table show the brief description of the respondents. However, the details should be more vary and distributed. For instance, the race and gender should be distributed among all races in TVET Education. While the instruments have an overall excellent internal consistency, this pilot study would pun more concern on </w:t>
      </w:r>
    </w:p>
    <w:p w14:paraId="51F3A35C" w14:textId="77777777" w:rsidR="000820BD" w:rsidRPr="006E08CC" w:rsidRDefault="000820BD" w:rsidP="000820BD">
      <w:pPr>
        <w:pStyle w:val="ListParagraph"/>
        <w:numPr>
          <w:ilvl w:val="0"/>
          <w:numId w:val="1"/>
        </w:numPr>
        <w:spacing w:line="240" w:lineRule="auto"/>
        <w:ind w:left="284" w:right="379" w:hanging="284"/>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14:paraId="0ACED53F" w14:textId="77777777" w:rsidR="000820BD" w:rsidRDefault="000820BD" w:rsidP="000820BD">
      <w:pPr>
        <w:spacing w:line="240" w:lineRule="auto"/>
        <w:ind w:left="709" w:right="379" w:firstLine="284"/>
        <w:jc w:val="both"/>
        <w:rPr>
          <w:rFonts w:ascii="Times New Roman" w:hAnsi="Times New Roman" w:cs="Times New Roman"/>
          <w:sz w:val="24"/>
          <w:szCs w:val="24"/>
        </w:rPr>
      </w:pPr>
    </w:p>
    <w:p w14:paraId="3BD776AD" w14:textId="747DCB46" w:rsidR="000820BD" w:rsidRPr="00316160" w:rsidRDefault="000820BD" w:rsidP="000820BD">
      <w:pPr>
        <w:spacing w:line="240" w:lineRule="auto"/>
        <w:ind w:right="379"/>
        <w:jc w:val="both"/>
        <w:rPr>
          <w:rFonts w:ascii="Times New Roman" w:hAnsi="Times New Roman" w:cs="Times New Roman"/>
        </w:rPr>
      </w:pPr>
      <w:r w:rsidRPr="00316160">
        <w:rPr>
          <w:rFonts w:ascii="Times New Roman" w:hAnsi="Times New Roman" w:cs="Times New Roman"/>
        </w:rPr>
        <w:t>Based on described development and validation of adapted instruments, this study</w:t>
      </w:r>
      <w:r w:rsidR="00EA5ED3">
        <w:rPr>
          <w:rFonts w:ascii="Times New Roman" w:hAnsi="Times New Roman" w:cs="Times New Roman"/>
        </w:rPr>
        <w:t xml:space="preserve"> </w:t>
      </w:r>
      <w:r w:rsidR="00CB41D4">
        <w:rPr>
          <w:rFonts w:ascii="Times New Roman" w:hAnsi="Times New Roman" w:cs="Times New Roman"/>
        </w:rPr>
        <w:t>utilized</w:t>
      </w:r>
      <w:r w:rsidRPr="00316160">
        <w:rPr>
          <w:rFonts w:ascii="Times New Roman" w:hAnsi="Times New Roman" w:cs="Times New Roman"/>
        </w:rPr>
        <w:t xml:space="preserve"> to measure sustainable learning consciousness among the TVET community in Malaysia. Consequently, these instruments will be used for the study of the community at large and would fill the gap of the unknowing state of consciousness towards sustainability. </w:t>
      </w:r>
    </w:p>
    <w:p w14:paraId="53F0ABCE" w14:textId="40C753A8" w:rsidR="000820BD" w:rsidRPr="00316160" w:rsidRDefault="000820BD" w:rsidP="000820BD">
      <w:pPr>
        <w:spacing w:after="0" w:line="240" w:lineRule="auto"/>
        <w:ind w:right="379"/>
        <w:jc w:val="both"/>
        <w:rPr>
          <w:rFonts w:ascii="Times New Roman" w:eastAsia="Times New Roman" w:hAnsi="Times New Roman" w:cs="Times New Roman"/>
          <w:color w:val="000000"/>
          <w:lang w:eastAsia="en-MY"/>
        </w:rPr>
      </w:pPr>
      <w:r w:rsidRPr="00316160">
        <w:rPr>
          <w:rFonts w:ascii="Times New Roman" w:eastAsia="Times New Roman" w:hAnsi="Times New Roman" w:cs="Times New Roman"/>
          <w:color w:val="000000"/>
          <w:lang w:eastAsia="en-MY"/>
        </w:rPr>
        <w:t>This study will utilize a cross-sectional quantitative study to measure Sustainable Learning and Sustainability Consciousness in TVET Education during Covid 19 Pandemic. It</w:t>
      </w:r>
      <w:r w:rsidR="00EA5ED3">
        <w:rPr>
          <w:rFonts w:ascii="Times New Roman" w:eastAsia="Times New Roman" w:hAnsi="Times New Roman" w:cs="Times New Roman"/>
          <w:color w:val="000000"/>
          <w:lang w:eastAsia="en-MY"/>
        </w:rPr>
        <w:t xml:space="preserve"> </w:t>
      </w:r>
      <w:r w:rsidR="00EA5ED3" w:rsidRPr="00316160">
        <w:rPr>
          <w:rFonts w:ascii="Times New Roman" w:eastAsia="Times New Roman" w:hAnsi="Times New Roman" w:cs="Times New Roman"/>
          <w:color w:val="000000"/>
          <w:lang w:eastAsia="en-MY"/>
        </w:rPr>
        <w:t>utilizes</w:t>
      </w:r>
      <w:r w:rsidRPr="00316160">
        <w:rPr>
          <w:rFonts w:ascii="Times New Roman" w:eastAsia="Times New Roman" w:hAnsi="Times New Roman" w:cs="Times New Roman"/>
          <w:color w:val="000000"/>
          <w:lang w:eastAsia="en-MY"/>
        </w:rPr>
        <w:t> simple random sampling and infer into the bigger TVET population. The</w:t>
      </w:r>
      <w:r w:rsidR="00CB41D4">
        <w:rPr>
          <w:rFonts w:ascii="Times New Roman" w:eastAsia="Times New Roman" w:hAnsi="Times New Roman" w:cs="Times New Roman"/>
          <w:color w:val="000000"/>
          <w:lang w:eastAsia="en-MY"/>
        </w:rPr>
        <w:t xml:space="preserve"> pilot </w:t>
      </w:r>
      <w:r w:rsidRPr="00316160">
        <w:rPr>
          <w:rFonts w:ascii="Times New Roman" w:eastAsia="Times New Roman" w:hAnsi="Times New Roman" w:cs="Times New Roman"/>
          <w:color w:val="000000"/>
          <w:lang w:eastAsia="en-MY"/>
        </w:rPr>
        <w:t>finding</w:t>
      </w:r>
      <w:r w:rsidR="00CB41D4">
        <w:rPr>
          <w:rFonts w:ascii="Times New Roman" w:eastAsia="Times New Roman" w:hAnsi="Times New Roman" w:cs="Times New Roman"/>
          <w:color w:val="000000"/>
          <w:lang w:eastAsia="en-MY"/>
        </w:rPr>
        <w:t xml:space="preserve"> </w:t>
      </w:r>
      <w:r w:rsidR="00CB41D4" w:rsidRPr="00316160">
        <w:rPr>
          <w:rFonts w:ascii="Times New Roman" w:eastAsia="Times New Roman" w:hAnsi="Times New Roman" w:cs="Times New Roman"/>
          <w:color w:val="000000"/>
          <w:lang w:eastAsia="en-MY"/>
        </w:rPr>
        <w:t>employs</w:t>
      </w:r>
      <w:r w:rsidRPr="00316160">
        <w:rPr>
          <w:rFonts w:ascii="Times New Roman" w:eastAsia="Times New Roman" w:hAnsi="Times New Roman" w:cs="Times New Roman"/>
          <w:color w:val="000000"/>
          <w:lang w:eastAsia="en-MY"/>
        </w:rPr>
        <w:t xml:space="preserve"> high-reliability sources of instruments which showed 0.9 of Cronbach Alpha value. The instrument </w:t>
      </w:r>
      <w:r w:rsidR="00CB41D4">
        <w:rPr>
          <w:rFonts w:ascii="Times New Roman" w:eastAsia="Times New Roman" w:hAnsi="Times New Roman" w:cs="Times New Roman"/>
          <w:color w:val="000000"/>
          <w:lang w:eastAsia="en-MY"/>
        </w:rPr>
        <w:t xml:space="preserve">have been </w:t>
      </w:r>
      <w:r w:rsidRPr="00316160">
        <w:rPr>
          <w:rFonts w:ascii="Times New Roman" w:eastAsia="Times New Roman" w:hAnsi="Times New Roman" w:cs="Times New Roman"/>
          <w:color w:val="000000"/>
          <w:lang w:eastAsia="en-MY"/>
        </w:rPr>
        <w:t xml:space="preserve">developed and adopted </w:t>
      </w:r>
      <w:proofErr w:type="gramStart"/>
      <w:r w:rsidRPr="00316160">
        <w:rPr>
          <w:rFonts w:ascii="Times New Roman" w:eastAsia="Times New Roman" w:hAnsi="Times New Roman" w:cs="Times New Roman"/>
          <w:color w:val="000000"/>
          <w:lang w:eastAsia="en-MY"/>
        </w:rPr>
        <w:t>which  have</w:t>
      </w:r>
      <w:proofErr w:type="gramEnd"/>
      <w:r w:rsidRPr="00316160">
        <w:rPr>
          <w:rFonts w:ascii="Times New Roman" w:eastAsia="Times New Roman" w:hAnsi="Times New Roman" w:cs="Times New Roman"/>
          <w:color w:val="000000"/>
          <w:lang w:eastAsia="en-MY"/>
        </w:rPr>
        <w:t xml:space="preserve"> four main construct and two screening and demographic detail section. The constructs would have more than three items to ensure high value of reliability measurement.   </w:t>
      </w:r>
    </w:p>
    <w:p w14:paraId="52FBD953" w14:textId="5002132C" w:rsidR="000820BD" w:rsidRPr="00316160" w:rsidRDefault="000820BD" w:rsidP="000820BD">
      <w:pPr>
        <w:spacing w:before="100" w:beforeAutospacing="1" w:after="100" w:afterAutospacing="1" w:line="240" w:lineRule="auto"/>
        <w:ind w:right="379"/>
        <w:jc w:val="both"/>
        <w:rPr>
          <w:rFonts w:ascii="Times New Roman" w:eastAsia="Times New Roman" w:hAnsi="Times New Roman" w:cs="Times New Roman"/>
          <w:color w:val="000000"/>
          <w:lang w:eastAsia="en-MY"/>
        </w:rPr>
      </w:pPr>
      <w:r w:rsidRPr="00316160">
        <w:rPr>
          <w:rFonts w:ascii="Times New Roman" w:eastAsia="Times New Roman" w:hAnsi="Times New Roman" w:cs="Times New Roman"/>
          <w:color w:val="000000"/>
          <w:lang w:eastAsia="en-MY"/>
        </w:rPr>
        <w:t xml:space="preserve">Sampling procedure will be followed </w:t>
      </w:r>
      <w:proofErr w:type="gramStart"/>
      <w:r w:rsidRPr="00316160">
        <w:rPr>
          <w:rFonts w:ascii="Times New Roman" w:eastAsia="Times New Roman" w:hAnsi="Times New Roman" w:cs="Times New Roman"/>
          <w:color w:val="000000"/>
          <w:lang w:eastAsia="en-MY"/>
        </w:rPr>
        <w:t>in order to</w:t>
      </w:r>
      <w:proofErr w:type="gramEnd"/>
      <w:r w:rsidRPr="00316160">
        <w:rPr>
          <w:rFonts w:ascii="Times New Roman" w:eastAsia="Times New Roman" w:hAnsi="Times New Roman" w:cs="Times New Roman"/>
          <w:color w:val="000000"/>
          <w:lang w:eastAsia="en-MY"/>
        </w:rPr>
        <w:t xml:space="preserve"> have robust result which can be successfully generalized. The result is hoped to contribute to TVET society at large using Theory of Reasoned Action which could significantly show the level of sustainability learning and consciousness. The findings could be used to integrate an appropriate sustainability plan and these inferential statistics using correlation and multiple regression would lead to factor identification of the dependent </w:t>
      </w:r>
      <w:proofErr w:type="gramStart"/>
      <w:r w:rsidRPr="00316160">
        <w:rPr>
          <w:rFonts w:ascii="Times New Roman" w:eastAsia="Times New Roman" w:hAnsi="Times New Roman" w:cs="Times New Roman"/>
          <w:color w:val="000000"/>
          <w:lang w:eastAsia="en-MY"/>
        </w:rPr>
        <w:t>variables;</w:t>
      </w:r>
      <w:proofErr w:type="gramEnd"/>
      <w:r w:rsidRPr="00316160">
        <w:rPr>
          <w:rFonts w:ascii="Times New Roman" w:eastAsia="Times New Roman" w:hAnsi="Times New Roman" w:cs="Times New Roman"/>
          <w:color w:val="000000"/>
          <w:lang w:eastAsia="en-MY"/>
        </w:rPr>
        <w:t xml:space="preserve"> sustainability </w:t>
      </w:r>
      <w:proofErr w:type="spellStart"/>
      <w:r w:rsidR="00CB41D4">
        <w:rPr>
          <w:rFonts w:ascii="Times New Roman" w:eastAsia="Times New Roman" w:hAnsi="Times New Roman" w:cs="Times New Roman"/>
          <w:color w:val="000000"/>
          <w:lang w:eastAsia="en-MY"/>
        </w:rPr>
        <w:t>behavior</w:t>
      </w:r>
      <w:proofErr w:type="spellEnd"/>
      <w:r w:rsidR="00CB41D4">
        <w:rPr>
          <w:rFonts w:ascii="Times New Roman" w:eastAsia="Times New Roman" w:hAnsi="Times New Roman" w:cs="Times New Roman"/>
          <w:color w:val="000000"/>
          <w:lang w:eastAsia="en-MY"/>
        </w:rPr>
        <w:t>.</w:t>
      </w:r>
    </w:p>
    <w:p w14:paraId="22CD16AD" w14:textId="162935E7" w:rsidR="000820BD" w:rsidRPr="00316160" w:rsidRDefault="00CB41D4" w:rsidP="000820BD">
      <w:pPr>
        <w:spacing w:before="100" w:beforeAutospacing="1" w:after="100" w:afterAutospacing="1" w:line="240" w:lineRule="auto"/>
        <w:ind w:right="379"/>
        <w:jc w:val="both"/>
        <w:rPr>
          <w:rFonts w:ascii="Arial" w:eastAsia="Times New Roman" w:hAnsi="Arial" w:cs="Arial"/>
          <w:color w:val="000000"/>
          <w:lang w:eastAsia="en-MY"/>
        </w:rPr>
      </w:pPr>
      <w:r>
        <w:rPr>
          <w:rFonts w:ascii="Times New Roman" w:eastAsia="Times New Roman" w:hAnsi="Times New Roman" w:cs="Times New Roman"/>
          <w:color w:val="000000"/>
          <w:lang w:eastAsia="en-MY"/>
        </w:rPr>
        <w:t xml:space="preserve">Sustainable </w:t>
      </w:r>
      <w:proofErr w:type="spellStart"/>
      <w:r>
        <w:rPr>
          <w:rFonts w:ascii="Times New Roman" w:eastAsia="Times New Roman" w:hAnsi="Times New Roman" w:cs="Times New Roman"/>
          <w:color w:val="000000"/>
          <w:lang w:eastAsia="en-MY"/>
        </w:rPr>
        <w:t>behavior</w:t>
      </w:r>
      <w:proofErr w:type="spellEnd"/>
      <w:r>
        <w:rPr>
          <w:rFonts w:ascii="Times New Roman" w:eastAsia="Times New Roman" w:hAnsi="Times New Roman" w:cs="Times New Roman"/>
          <w:color w:val="000000"/>
          <w:lang w:eastAsia="en-MY"/>
        </w:rPr>
        <w:t xml:space="preserve"> which will portray s</w:t>
      </w:r>
      <w:r w:rsidR="000820BD" w:rsidRPr="00316160">
        <w:rPr>
          <w:rFonts w:ascii="Times New Roman" w:eastAsia="Times New Roman" w:hAnsi="Times New Roman" w:cs="Times New Roman"/>
          <w:color w:val="000000"/>
          <w:lang w:eastAsia="en-MY"/>
        </w:rPr>
        <w:t>ustainability consciousness would be the first indicator to picture green and sustainability among youngsters in Malaysia. It should be taken into consideration that sustainability consciousness would hold valuable information on to escalate Malaysia in line to make this planet a better place for people </w:t>
      </w:r>
      <w:proofErr w:type="gramStart"/>
      <w:r w:rsidR="000820BD" w:rsidRPr="00316160">
        <w:rPr>
          <w:rFonts w:ascii="Times New Roman" w:eastAsia="Times New Roman" w:hAnsi="Times New Roman" w:cs="Times New Roman"/>
          <w:color w:val="000000"/>
          <w:lang w:eastAsia="en-MY"/>
        </w:rPr>
        <w:t>in order to</w:t>
      </w:r>
      <w:proofErr w:type="gramEnd"/>
      <w:r w:rsidR="000820BD" w:rsidRPr="00316160">
        <w:rPr>
          <w:rFonts w:ascii="Times New Roman" w:eastAsia="Times New Roman" w:hAnsi="Times New Roman" w:cs="Times New Roman"/>
          <w:color w:val="000000"/>
          <w:lang w:eastAsia="en-MY"/>
        </w:rPr>
        <w:t> live in prosperity.</w:t>
      </w:r>
    </w:p>
    <w:p w14:paraId="30EBB64D" w14:textId="77777777" w:rsidR="000820BD" w:rsidRPr="00316160" w:rsidRDefault="000820BD" w:rsidP="000820BD">
      <w:pPr>
        <w:shd w:val="clear" w:color="auto" w:fill="FFFFFF"/>
        <w:spacing w:before="100" w:beforeAutospacing="1" w:after="100" w:afterAutospacing="1" w:line="240" w:lineRule="auto"/>
        <w:rPr>
          <w:rFonts w:ascii="Helvetica" w:eastAsia="Times New Roman" w:hAnsi="Helvetica" w:cs="Times New Roman"/>
          <w:color w:val="595959"/>
          <w:spacing w:val="-1"/>
          <w:lang w:eastAsia="en-MY"/>
        </w:rPr>
      </w:pPr>
    </w:p>
    <w:p w14:paraId="5DBD7E70" w14:textId="77777777" w:rsidR="000820BD" w:rsidRDefault="000820BD" w:rsidP="000820BD">
      <w:pPr>
        <w:spacing w:line="240" w:lineRule="auto"/>
        <w:ind w:left="709" w:right="379" w:firstLine="284"/>
        <w:jc w:val="both"/>
        <w:rPr>
          <w:rFonts w:ascii="Times New Roman" w:hAnsi="Times New Roman" w:cs="Times New Roman"/>
          <w:b/>
          <w:sz w:val="24"/>
          <w:szCs w:val="24"/>
        </w:rPr>
      </w:pPr>
    </w:p>
    <w:p w14:paraId="49A8800E" w14:textId="77777777" w:rsidR="000820BD" w:rsidRDefault="000820BD" w:rsidP="000820BD">
      <w:pPr>
        <w:spacing w:line="240" w:lineRule="auto"/>
        <w:ind w:left="709" w:right="379" w:firstLine="284"/>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0456C1B" w14:textId="77777777" w:rsidR="000820BD" w:rsidRDefault="000820BD" w:rsidP="000820BD">
      <w:pPr>
        <w:spacing w:line="240" w:lineRule="auto"/>
        <w:ind w:right="379"/>
        <w:rPr>
          <w:rFonts w:ascii="Times New Roman" w:hAnsi="Times New Roman" w:cs="Times New Roman"/>
          <w:b/>
          <w:sz w:val="24"/>
          <w:szCs w:val="24"/>
        </w:rPr>
      </w:pPr>
      <w:r w:rsidRPr="00AA448D">
        <w:rPr>
          <w:rFonts w:ascii="Times New Roman" w:hAnsi="Times New Roman" w:cs="Times New Roman"/>
          <w:b/>
          <w:sz w:val="24"/>
          <w:szCs w:val="24"/>
        </w:rPr>
        <w:t>REFERENCES</w:t>
      </w:r>
    </w:p>
    <w:p w14:paraId="62512B89" w14:textId="77777777" w:rsidR="000820BD" w:rsidRPr="008C11F8"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8C11F8">
        <w:rPr>
          <w:rFonts w:ascii="Times New Roman" w:hAnsi="Times New Roman" w:cs="Times New Roman"/>
          <w:noProof/>
          <w:sz w:val="24"/>
          <w:szCs w:val="24"/>
        </w:rPr>
        <w:t xml:space="preserve">Ahmad, M. J., Jalani, N. H., Hasmori, A. A., Pendidikan, F., Tun, U., &amp; Onn, H. (2015). TEVT di Malaysia : Cabaran dan Harapan. In </w:t>
      </w:r>
      <w:r w:rsidRPr="008C11F8">
        <w:rPr>
          <w:rFonts w:ascii="Times New Roman" w:hAnsi="Times New Roman" w:cs="Times New Roman"/>
          <w:i/>
          <w:iCs/>
          <w:noProof/>
          <w:sz w:val="24"/>
          <w:szCs w:val="24"/>
        </w:rPr>
        <w:t>Seminar Kebangsaan Majlis Dekan Dekan Pendidikan Awam 2015</w:t>
      </w:r>
      <w:r w:rsidRPr="008C11F8">
        <w:rPr>
          <w:rFonts w:ascii="Times New Roman" w:hAnsi="Times New Roman" w:cs="Times New Roman"/>
          <w:noProof/>
          <w:sz w:val="24"/>
          <w:szCs w:val="24"/>
        </w:rPr>
        <w:t xml:space="preserve"> (pp. 340–346).</w:t>
      </w:r>
    </w:p>
    <w:p w14:paraId="5F001DE7"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sidRPr="00017D0D">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5144EC">
        <w:rPr>
          <w:rFonts w:ascii="Times New Roman" w:hAnsi="Times New Roman" w:cs="Times New Roman"/>
          <w:noProof/>
          <w:sz w:val="24"/>
          <w:szCs w:val="24"/>
        </w:rPr>
        <w:t xml:space="preserve">Ahmad, M. J., Jalani, N. H., Hasmori, A. A., Pendidikan, F., Tun, U., &amp; Onn, H. (2015). TEVT di Malaysia : Cabaran dan Harapan. In </w:t>
      </w:r>
      <w:r w:rsidRPr="005144EC">
        <w:rPr>
          <w:rFonts w:ascii="Times New Roman" w:hAnsi="Times New Roman" w:cs="Times New Roman"/>
          <w:i/>
          <w:iCs/>
          <w:noProof/>
          <w:sz w:val="24"/>
          <w:szCs w:val="24"/>
        </w:rPr>
        <w:t>Seminar Kebangsaan Majlis Dekan Dekan Pendidikan Awam 2015</w:t>
      </w:r>
      <w:r w:rsidRPr="005144EC">
        <w:rPr>
          <w:rFonts w:ascii="Times New Roman" w:hAnsi="Times New Roman" w:cs="Times New Roman"/>
          <w:noProof/>
          <w:sz w:val="24"/>
          <w:szCs w:val="24"/>
        </w:rPr>
        <w:t xml:space="preserve"> (pp. 340–346).</w:t>
      </w:r>
    </w:p>
    <w:p w14:paraId="22881FC8"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Ahmed, N. ., Motagno, R. V, &amp; Firenze, R. J. (1998). Oganizational Performance and Enviromental Consciousness: An empirical study. </w:t>
      </w:r>
      <w:r w:rsidRPr="005144EC">
        <w:rPr>
          <w:rFonts w:ascii="Times New Roman" w:hAnsi="Times New Roman" w:cs="Times New Roman"/>
          <w:i/>
          <w:iCs/>
          <w:noProof/>
          <w:sz w:val="24"/>
          <w:szCs w:val="24"/>
        </w:rPr>
        <w:t>Management Decision</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36</w:t>
      </w:r>
      <w:r w:rsidRPr="005144EC">
        <w:rPr>
          <w:rFonts w:ascii="Times New Roman" w:hAnsi="Times New Roman" w:cs="Times New Roman"/>
          <w:noProof/>
          <w:sz w:val="24"/>
          <w:szCs w:val="24"/>
        </w:rPr>
        <w:t>(2), 27–62.</w:t>
      </w:r>
    </w:p>
    <w:p w14:paraId="5B37EE9B"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Ben-Eliyahu, A. (2021). Sustainable learning in education. </w:t>
      </w:r>
      <w:r w:rsidRPr="005144EC">
        <w:rPr>
          <w:rFonts w:ascii="Times New Roman" w:hAnsi="Times New Roman" w:cs="Times New Roman"/>
          <w:i/>
          <w:iCs/>
          <w:noProof/>
          <w:sz w:val="24"/>
          <w:szCs w:val="24"/>
        </w:rPr>
        <w:t>Sustainability (Switzerland)</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13</w:t>
      </w:r>
      <w:r w:rsidRPr="005144EC">
        <w:rPr>
          <w:rFonts w:ascii="Times New Roman" w:hAnsi="Times New Roman" w:cs="Times New Roman"/>
          <w:noProof/>
          <w:sz w:val="24"/>
          <w:szCs w:val="24"/>
        </w:rPr>
        <w:t>(8). https://doi.org/10.3390/su13084250</w:t>
      </w:r>
    </w:p>
    <w:p w14:paraId="0BC99DEF"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Bosevska, J., &amp; Kriewaldt, J. (2020). Fostering a whole-school approach to sustainability: </w:t>
      </w:r>
      <w:r w:rsidRPr="005144EC">
        <w:rPr>
          <w:rFonts w:ascii="Times New Roman" w:hAnsi="Times New Roman" w:cs="Times New Roman"/>
          <w:noProof/>
          <w:sz w:val="24"/>
          <w:szCs w:val="24"/>
        </w:rPr>
        <w:lastRenderedPageBreak/>
        <w:t xml:space="preserve">learning from one school’s journey towards sustainable education. </w:t>
      </w:r>
      <w:r w:rsidRPr="005144EC">
        <w:rPr>
          <w:rFonts w:ascii="Times New Roman" w:hAnsi="Times New Roman" w:cs="Times New Roman"/>
          <w:i/>
          <w:iCs/>
          <w:noProof/>
          <w:sz w:val="24"/>
          <w:szCs w:val="24"/>
        </w:rPr>
        <w:t>International Research in Geographical and Environmental Education</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29</w:t>
      </w:r>
      <w:r w:rsidRPr="005144EC">
        <w:rPr>
          <w:rFonts w:ascii="Times New Roman" w:hAnsi="Times New Roman" w:cs="Times New Roman"/>
          <w:noProof/>
          <w:sz w:val="24"/>
          <w:szCs w:val="24"/>
        </w:rPr>
        <w:t>(1), 55–73. https://doi.org/10.1080/10382046.2019.1661127</w:t>
      </w:r>
    </w:p>
    <w:p w14:paraId="50BC8355"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Creswell, J. W., Miller, D. L., Creswell, J. W., &amp; Miller, D. L. (2016). </w:t>
      </w:r>
      <w:r w:rsidRPr="005144EC">
        <w:rPr>
          <w:rFonts w:ascii="Times New Roman" w:hAnsi="Times New Roman" w:cs="Times New Roman"/>
          <w:i/>
          <w:iCs/>
          <w:noProof/>
          <w:sz w:val="24"/>
          <w:szCs w:val="24"/>
        </w:rPr>
        <w:t>Determining validity in Qualitative Inquiry</w:t>
      </w:r>
      <w:r w:rsidRPr="005144EC">
        <w:rPr>
          <w:rFonts w:ascii="Times New Roman" w:hAnsi="Times New Roman" w:cs="Times New Roman"/>
          <w:noProof/>
          <w:sz w:val="24"/>
          <w:szCs w:val="24"/>
        </w:rPr>
        <w:t xml:space="preserve"> (Vol. 5841). https://doi.org/10.1207/s15430421tip3903</w:t>
      </w:r>
    </w:p>
    <w:p w14:paraId="6B0745D8"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Elkington, J. (2020). </w:t>
      </w:r>
      <w:r w:rsidRPr="005144EC">
        <w:rPr>
          <w:rFonts w:ascii="Times New Roman" w:hAnsi="Times New Roman" w:cs="Times New Roman"/>
          <w:i/>
          <w:iCs/>
          <w:noProof/>
          <w:sz w:val="24"/>
          <w:szCs w:val="24"/>
        </w:rPr>
        <w:t>Green Swans : The Coming Boom in Regenerative Capitalism</w:t>
      </w:r>
      <w:r w:rsidRPr="005144EC">
        <w:rPr>
          <w:rFonts w:ascii="Times New Roman" w:hAnsi="Times New Roman" w:cs="Times New Roman"/>
          <w:noProof/>
          <w:sz w:val="24"/>
          <w:szCs w:val="24"/>
        </w:rPr>
        <w:t>.</w:t>
      </w:r>
    </w:p>
    <w:p w14:paraId="110F53E0"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Figgener, C. (n.d.). Sustainabiliy Challenge, Raising Awareness. </w:t>
      </w:r>
      <w:r w:rsidRPr="005144EC">
        <w:rPr>
          <w:rFonts w:ascii="Times New Roman" w:hAnsi="Times New Roman" w:cs="Times New Roman"/>
          <w:i/>
          <w:iCs/>
          <w:noProof/>
          <w:sz w:val="24"/>
          <w:szCs w:val="24"/>
        </w:rPr>
        <w:t>Love The Ocean</w:t>
      </w:r>
      <w:r w:rsidRPr="005144EC">
        <w:rPr>
          <w:rFonts w:ascii="Times New Roman" w:hAnsi="Times New Roman" w:cs="Times New Roman"/>
          <w:noProof/>
          <w:sz w:val="24"/>
          <w:szCs w:val="24"/>
        </w:rPr>
        <w:t>. Retrieved from https://lovetheoceans.org/author/lovetheoceansorganisation/</w:t>
      </w:r>
    </w:p>
    <w:p w14:paraId="14117B24"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Fishbein, M., &amp; Ajzen, I. (2009). </w:t>
      </w:r>
      <w:r w:rsidRPr="005144EC">
        <w:rPr>
          <w:rFonts w:ascii="Times New Roman" w:hAnsi="Times New Roman" w:cs="Times New Roman"/>
          <w:i/>
          <w:iCs/>
          <w:noProof/>
          <w:sz w:val="24"/>
          <w:szCs w:val="24"/>
        </w:rPr>
        <w:t>Predicting Changing Behavior</w:t>
      </w:r>
      <w:r w:rsidRPr="005144EC">
        <w:rPr>
          <w:rFonts w:ascii="Times New Roman" w:hAnsi="Times New Roman" w:cs="Times New Roman"/>
          <w:noProof/>
          <w:sz w:val="24"/>
          <w:szCs w:val="24"/>
        </w:rPr>
        <w:t>. https://doi.org/Ihttps://doi.org/10.4324/9780203838020</w:t>
      </w:r>
    </w:p>
    <w:p w14:paraId="7DADC17B"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Gericke, N., Berglund, T., &amp; Olsson, D. (2018). The Sustainability Consciousness Questionnaire : The theoretical development and empirical validation of an evaluation instrument for stakeholders working with sustainable development. https://doi.org/10.1002/sd.1859</w:t>
      </w:r>
    </w:p>
    <w:p w14:paraId="0DE48EBD"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Hays, J., &amp; Reinders, H. (2020). Sustainable learning and education : A curriculum for the future. </w:t>
      </w:r>
      <w:r w:rsidRPr="005144EC">
        <w:rPr>
          <w:rFonts w:ascii="Times New Roman" w:hAnsi="Times New Roman" w:cs="Times New Roman"/>
          <w:i/>
          <w:iCs/>
          <w:noProof/>
          <w:sz w:val="24"/>
          <w:szCs w:val="24"/>
        </w:rPr>
        <w:t>International Review of Education</w:t>
      </w:r>
      <w:r w:rsidRPr="005144EC">
        <w:rPr>
          <w:rFonts w:ascii="Times New Roman" w:hAnsi="Times New Roman" w:cs="Times New Roman"/>
          <w:noProof/>
          <w:sz w:val="24"/>
          <w:szCs w:val="24"/>
        </w:rPr>
        <w:t>, (0123456789). https://doi.org/10.1007/s11159-020-09820-7</w:t>
      </w:r>
    </w:p>
    <w:p w14:paraId="1444904D"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Henry, A. D. (2009). The challenge of learning for sustainability: A prolegomenon to theory. </w:t>
      </w:r>
      <w:r w:rsidRPr="005144EC">
        <w:rPr>
          <w:rFonts w:ascii="Times New Roman" w:hAnsi="Times New Roman" w:cs="Times New Roman"/>
          <w:i/>
          <w:iCs/>
          <w:noProof/>
          <w:sz w:val="24"/>
          <w:szCs w:val="24"/>
        </w:rPr>
        <w:t>Human Ecology Review</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16</w:t>
      </w:r>
      <w:r w:rsidRPr="005144EC">
        <w:rPr>
          <w:rFonts w:ascii="Times New Roman" w:hAnsi="Times New Roman" w:cs="Times New Roman"/>
          <w:noProof/>
          <w:sz w:val="24"/>
          <w:szCs w:val="24"/>
        </w:rPr>
        <w:t>(2), 131–140.</w:t>
      </w:r>
    </w:p>
    <w:p w14:paraId="256090D2"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Krejcie, R. V, &amp; Morgan, D. W. (1970). Determining sample size for research activities. </w:t>
      </w:r>
      <w:r w:rsidRPr="005144EC">
        <w:rPr>
          <w:rFonts w:ascii="Times New Roman" w:hAnsi="Times New Roman" w:cs="Times New Roman"/>
          <w:i/>
          <w:iCs/>
          <w:noProof/>
          <w:sz w:val="24"/>
          <w:szCs w:val="24"/>
        </w:rPr>
        <w:t>Eductional and Psychological Measurement</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38</w:t>
      </w:r>
      <w:r w:rsidRPr="005144EC">
        <w:rPr>
          <w:rFonts w:ascii="Times New Roman" w:hAnsi="Times New Roman" w:cs="Times New Roman"/>
          <w:noProof/>
          <w:sz w:val="24"/>
          <w:szCs w:val="24"/>
        </w:rPr>
        <w:t>, 607–610.</w:t>
      </w:r>
    </w:p>
    <w:p w14:paraId="04A0A0A2"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Mahmud, S. N. D. (2017). Engaging head, heart and hands: Holistic learning approach for education for sustainable development. </w:t>
      </w:r>
      <w:r w:rsidRPr="005144EC">
        <w:rPr>
          <w:rFonts w:ascii="Times New Roman" w:hAnsi="Times New Roman" w:cs="Times New Roman"/>
          <w:i/>
          <w:iCs/>
          <w:noProof/>
          <w:sz w:val="24"/>
          <w:szCs w:val="24"/>
        </w:rPr>
        <w:t>International Journal of Learning and Teaching</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9</w:t>
      </w:r>
      <w:r w:rsidRPr="005144EC">
        <w:rPr>
          <w:rFonts w:ascii="Times New Roman" w:hAnsi="Times New Roman" w:cs="Times New Roman"/>
          <w:noProof/>
          <w:sz w:val="24"/>
          <w:szCs w:val="24"/>
        </w:rPr>
        <w:t>(2), 298–304. https://doi.org/10.18844/ijlt.v9i2.2039</w:t>
      </w:r>
    </w:p>
    <w:p w14:paraId="213F2040"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Michalos, A. C., Streicher-porte, M., Althaus, H. J., Swayze, N., Kahlke, P. M., Creech, H., … Buckler, C. (2011). </w:t>
      </w:r>
      <w:r w:rsidRPr="005144EC">
        <w:rPr>
          <w:rFonts w:ascii="Times New Roman" w:hAnsi="Times New Roman" w:cs="Times New Roman"/>
          <w:i/>
          <w:iCs/>
          <w:noProof/>
          <w:sz w:val="24"/>
          <w:szCs w:val="24"/>
        </w:rPr>
        <w:t>Measuring Knowledge , Attitudes China and Global Markets : and Behaviours Concerning Copper Supply Chain Sustainable Sustainable Development Among Development Tenth Grade Students in Manitoba A Life Cycle Assessment Study</w:t>
      </w:r>
      <w:r w:rsidRPr="005144EC">
        <w:rPr>
          <w:rFonts w:ascii="Times New Roman" w:hAnsi="Times New Roman" w:cs="Times New Roman"/>
          <w:noProof/>
          <w:sz w:val="24"/>
          <w:szCs w:val="24"/>
        </w:rPr>
        <w:t>.</w:t>
      </w:r>
    </w:p>
    <w:p w14:paraId="0DC4EFF9"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Purvis, B. (2018). Three pillars of sustainability : in search of conceptual origins. </w:t>
      </w:r>
      <w:r w:rsidRPr="005144EC">
        <w:rPr>
          <w:rFonts w:ascii="Times New Roman" w:hAnsi="Times New Roman" w:cs="Times New Roman"/>
          <w:i/>
          <w:iCs/>
          <w:noProof/>
          <w:sz w:val="24"/>
          <w:szCs w:val="24"/>
        </w:rPr>
        <w:t>Sustainability Science</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5</w:t>
      </w:r>
      <w:r w:rsidRPr="005144EC">
        <w:rPr>
          <w:rFonts w:ascii="Times New Roman" w:hAnsi="Times New Roman" w:cs="Times New Roman"/>
          <w:noProof/>
          <w:sz w:val="24"/>
          <w:szCs w:val="24"/>
        </w:rPr>
        <w:t>. https://doi.org/10.1007/s11625-018-0627-5</w:t>
      </w:r>
    </w:p>
    <w:p w14:paraId="5736EA30"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Risopoulos-Pichler, F., Daghofer, F., &amp; Steiner, G. (2020). Competences for solving complex problems: A cross-sectional survey on higher education for sustainability learning and transdisciplinarity. </w:t>
      </w:r>
      <w:r w:rsidRPr="005144EC">
        <w:rPr>
          <w:rFonts w:ascii="Times New Roman" w:hAnsi="Times New Roman" w:cs="Times New Roman"/>
          <w:i/>
          <w:iCs/>
          <w:noProof/>
          <w:sz w:val="24"/>
          <w:szCs w:val="24"/>
        </w:rPr>
        <w:t>Sustainability (Switzerland)</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12</w:t>
      </w:r>
      <w:r w:rsidRPr="005144EC">
        <w:rPr>
          <w:rFonts w:ascii="Times New Roman" w:hAnsi="Times New Roman" w:cs="Times New Roman"/>
          <w:noProof/>
          <w:sz w:val="24"/>
          <w:szCs w:val="24"/>
        </w:rPr>
        <w:t>(15), 1–15. https://doi.org/10.3390/su12156016</w:t>
      </w:r>
    </w:p>
    <w:p w14:paraId="70C31F42"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Rodríguez Aboytes, J. G., &amp; Barth, M. (2020). Transformative learning in the field of sustainability: a systematic literature review (1999-2019). </w:t>
      </w:r>
      <w:r w:rsidRPr="005144EC">
        <w:rPr>
          <w:rFonts w:ascii="Times New Roman" w:hAnsi="Times New Roman" w:cs="Times New Roman"/>
          <w:i/>
          <w:iCs/>
          <w:noProof/>
          <w:sz w:val="24"/>
          <w:szCs w:val="24"/>
        </w:rPr>
        <w:t>International Journal of Sustainability in Higher Education</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21</w:t>
      </w:r>
      <w:r w:rsidRPr="005144EC">
        <w:rPr>
          <w:rFonts w:ascii="Times New Roman" w:hAnsi="Times New Roman" w:cs="Times New Roman"/>
          <w:noProof/>
          <w:sz w:val="24"/>
          <w:szCs w:val="24"/>
        </w:rPr>
        <w:t>(5), 993–1013. https://doi.org/10.1108/IJSHE-05-2019-0168</w:t>
      </w:r>
    </w:p>
    <w:p w14:paraId="08930F6E"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t xml:space="preserve">Sarkis, J. (2021). Supply chain sustainability: learning from the COVID-19 pandemic. </w:t>
      </w:r>
      <w:r w:rsidRPr="005144EC">
        <w:rPr>
          <w:rFonts w:ascii="Times New Roman" w:hAnsi="Times New Roman" w:cs="Times New Roman"/>
          <w:i/>
          <w:iCs/>
          <w:noProof/>
          <w:sz w:val="24"/>
          <w:szCs w:val="24"/>
        </w:rPr>
        <w:t>International Journal of Operations and Production Management</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41</w:t>
      </w:r>
      <w:r w:rsidRPr="005144EC">
        <w:rPr>
          <w:rFonts w:ascii="Times New Roman" w:hAnsi="Times New Roman" w:cs="Times New Roman"/>
          <w:noProof/>
          <w:sz w:val="24"/>
          <w:szCs w:val="24"/>
        </w:rPr>
        <w:t>(1), 63–73. https://doi.org/10.1108/IJOPM-08-2020-0568</w:t>
      </w:r>
    </w:p>
    <w:p w14:paraId="0CC3AA88"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szCs w:val="24"/>
        </w:rPr>
      </w:pPr>
      <w:r w:rsidRPr="005144EC">
        <w:rPr>
          <w:rFonts w:ascii="Times New Roman" w:hAnsi="Times New Roman" w:cs="Times New Roman"/>
          <w:noProof/>
          <w:sz w:val="24"/>
          <w:szCs w:val="24"/>
        </w:rPr>
        <w:lastRenderedPageBreak/>
        <w:t>Technical and vocational education and training (TVET) in Malaysia. (2016).</w:t>
      </w:r>
    </w:p>
    <w:p w14:paraId="4971E664" w14:textId="77777777" w:rsidR="000820BD" w:rsidRPr="005144EC" w:rsidRDefault="000820BD" w:rsidP="000820BD">
      <w:pPr>
        <w:widowControl w:val="0"/>
        <w:autoSpaceDE w:val="0"/>
        <w:autoSpaceDN w:val="0"/>
        <w:adjustRightInd w:val="0"/>
        <w:spacing w:line="240" w:lineRule="auto"/>
        <w:ind w:left="480" w:hanging="480"/>
        <w:rPr>
          <w:rFonts w:ascii="Times New Roman" w:hAnsi="Times New Roman" w:cs="Times New Roman"/>
          <w:noProof/>
          <w:sz w:val="24"/>
        </w:rPr>
      </w:pPr>
      <w:r w:rsidRPr="005144EC">
        <w:rPr>
          <w:rFonts w:ascii="Times New Roman" w:hAnsi="Times New Roman" w:cs="Times New Roman"/>
          <w:noProof/>
          <w:sz w:val="24"/>
          <w:szCs w:val="24"/>
        </w:rPr>
        <w:t xml:space="preserve">Wijethilake, C., &amp; Upadhaya, B. (2020). Market drivers of sustainability and sustainability learning capabilities: The moderating role of sustainability control systems. </w:t>
      </w:r>
      <w:r w:rsidRPr="005144EC">
        <w:rPr>
          <w:rFonts w:ascii="Times New Roman" w:hAnsi="Times New Roman" w:cs="Times New Roman"/>
          <w:i/>
          <w:iCs/>
          <w:noProof/>
          <w:sz w:val="24"/>
          <w:szCs w:val="24"/>
        </w:rPr>
        <w:t>Business Strategy and the Environment</w:t>
      </w:r>
      <w:r w:rsidRPr="005144EC">
        <w:rPr>
          <w:rFonts w:ascii="Times New Roman" w:hAnsi="Times New Roman" w:cs="Times New Roman"/>
          <w:noProof/>
          <w:sz w:val="24"/>
          <w:szCs w:val="24"/>
        </w:rPr>
        <w:t xml:space="preserve">, </w:t>
      </w:r>
      <w:r w:rsidRPr="005144EC">
        <w:rPr>
          <w:rFonts w:ascii="Times New Roman" w:hAnsi="Times New Roman" w:cs="Times New Roman"/>
          <w:i/>
          <w:iCs/>
          <w:noProof/>
          <w:sz w:val="24"/>
          <w:szCs w:val="24"/>
        </w:rPr>
        <w:t>29</w:t>
      </w:r>
      <w:r w:rsidRPr="005144EC">
        <w:rPr>
          <w:rFonts w:ascii="Times New Roman" w:hAnsi="Times New Roman" w:cs="Times New Roman"/>
          <w:noProof/>
          <w:sz w:val="24"/>
          <w:szCs w:val="24"/>
        </w:rPr>
        <w:t>(6), 2297–2309. https://doi.org/10.1002/bse.2503</w:t>
      </w:r>
    </w:p>
    <w:p w14:paraId="31A07301" w14:textId="77777777" w:rsidR="000820BD" w:rsidRPr="00AA448D" w:rsidRDefault="000820BD" w:rsidP="000820BD">
      <w:pPr>
        <w:pStyle w:val="ListParagraph"/>
        <w:spacing w:line="240" w:lineRule="auto"/>
        <w:ind w:left="709" w:right="379" w:firstLine="284"/>
        <w:jc w:val="both"/>
        <w:rPr>
          <w:rFonts w:ascii="Times New Roman" w:hAnsi="Times New Roman" w:cs="Times New Roman"/>
          <w:sz w:val="24"/>
          <w:szCs w:val="24"/>
        </w:rPr>
      </w:pPr>
      <w:r>
        <w:rPr>
          <w:rFonts w:ascii="Times New Roman" w:hAnsi="Times New Roman" w:cs="Times New Roman"/>
          <w:sz w:val="24"/>
          <w:szCs w:val="24"/>
        </w:rPr>
        <w:fldChar w:fldCharType="end"/>
      </w:r>
    </w:p>
    <w:p w14:paraId="7FD0F73A" w14:textId="77777777" w:rsidR="00FD5DDE" w:rsidRDefault="00FD5DDE"/>
    <w:sectPr w:rsidR="00FD5DDE">
      <w:footerReference w:type="default" r:id="rId11"/>
      <w:pgSz w:w="11906" w:h="16838"/>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D930" w14:textId="77777777" w:rsidR="00C200A4" w:rsidRDefault="00C200A4">
      <w:pPr>
        <w:spacing w:after="0" w:line="240" w:lineRule="auto"/>
      </w:pPr>
      <w:r>
        <w:separator/>
      </w:r>
    </w:p>
  </w:endnote>
  <w:endnote w:type="continuationSeparator" w:id="0">
    <w:p w14:paraId="4AB4E0D8" w14:textId="77777777" w:rsidR="00C200A4" w:rsidRDefault="00C20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1FF2" w14:textId="382DDBEB" w:rsidR="005657A9" w:rsidRDefault="00BF77E9">
    <w:pPr>
      <w:pStyle w:val="Footer"/>
    </w:pPr>
    <w:r>
      <w:rPr>
        <w:noProof/>
      </w:rPr>
      <mc:AlternateContent>
        <mc:Choice Requires="wpg">
          <w:drawing>
            <wp:anchor distT="0" distB="0" distL="114300" distR="114300" simplePos="0" relativeHeight="251659264" behindDoc="0" locked="0" layoutInCell="1" allowOverlap="1" wp14:anchorId="525A890E" wp14:editId="7648D13F">
              <wp:simplePos x="0" y="0"/>
              <wp:positionH relativeFrom="page">
                <wp:align>left</wp:align>
              </wp:positionH>
              <wp:positionV relativeFrom="bottomMargin">
                <wp:align>center</wp:align>
              </wp:positionV>
              <wp:extent cx="5943600" cy="274320"/>
              <wp:effectExtent l="0" t="0" r="0" b="0"/>
              <wp:wrapNone/>
              <wp:docPr id="155" name="Group 155"/>
              <wp:cNvGraphicFramePr/>
              <a:graphic xmlns:a="http://schemas.openxmlformats.org/drawingml/2006/main">
                <a:graphicData uri="http://schemas.microsoft.com/office/word/2010/wordprocessingGroup">
                  <wpg:wgp>
                    <wpg:cNvGrpSpPr/>
                    <wpg:grpSpPr>
                      <a:xfrm>
                        <a:off x="0" y="0"/>
                        <a:ext cx="5943600" cy="274320"/>
                        <a:chOff x="0" y="0"/>
                        <a:chExt cx="5943600" cy="274320"/>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600" y="0"/>
                          <a:ext cx="535305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FB8534" w14:textId="5CDCC564" w:rsidR="00BF77E9" w:rsidRDefault="00BF77E9">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4F5FE5">
                                  <w:rPr>
                                    <w:color w:val="808080" w:themeColor="background1" w:themeShade="80"/>
                                    <w:sz w:val="20"/>
                                    <w:szCs w:val="20"/>
                                  </w:rPr>
                                  <w:t>rosmanizah@psis.edu.my</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4F5FE5">
                                  <w:rPr>
                                    <w:caps/>
                                    <w:color w:val="808080" w:themeColor="background1" w:themeShade="80"/>
                                    <w:sz w:val="20"/>
                                    <w:szCs w:val="20"/>
                                  </w:rPr>
                                  <w:t>0000-0002-9761-2075 POLITEKNIK SULTAN IDRIS SHAH</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525A890E" id="Group 155" o:spid="_x0000_s1026" style="position:absolute;margin-left:0;margin-top:0;width:468pt;height:21.6pt;z-index:251659264;mso-position-horizontal:left;mso-position-horizontal-relative:page;mso-position-vertical:center;mso-position-vertical-relative:bottom-margin-area" coordsize="59436,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">
              <v:rect id="Rectangle 156" o:spid="_x0000_s1027"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28" type="#_x0000_t202" style="position:absolute;left:2286;width:53530;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" filled="f" stroked="f" strokeweight=".5pt">
                <v:textbox style="mso-fit-shape-to-text:t" inset="0,,0">
                  <w:txbxContent>
                    <w:p w14:paraId="72FB8534" w14:textId="5CDCC564" w:rsidR="00BF77E9" w:rsidRDefault="00BF77E9">
                      <w:pPr>
                        <w:pStyle w:val="Footer"/>
                        <w:rPr>
                          <w:caps/>
                          <w:color w:val="808080" w:themeColor="background1" w:themeShade="80"/>
                          <w:sz w:val="20"/>
                          <w:szCs w:val="20"/>
                        </w:rPr>
                      </w:pPr>
                      <w:sdt>
                        <w:sdtPr>
                          <w:rPr>
                            <w:color w:val="808080" w:themeColor="background1" w:themeShade="80"/>
                            <w:sz w:val="20"/>
                            <w:szCs w:val="20"/>
                          </w:rPr>
                          <w:alias w:val="Author"/>
                          <w:tag w:val=""/>
                          <w:id w:val="-959653791"/>
                          <w:dataBinding w:prefixMappings="xmlns:ns0='http://purl.org/dc/elements/1.1/' xmlns:ns1='http://schemas.openxmlformats.org/package/2006/metadata/core-properties' " w:xpath="/ns1:coreProperties[1]/ns0:creator[1]" w:storeItemID="{6C3C8BC8-F283-45AE-878A-BAB7291924A1}"/>
                          <w:text/>
                        </w:sdtPr>
                        <w:sdtContent>
                          <w:r w:rsidR="004F5FE5">
                            <w:rPr>
                              <w:color w:val="808080" w:themeColor="background1" w:themeShade="80"/>
                              <w:sz w:val="20"/>
                              <w:szCs w:val="20"/>
                            </w:rPr>
                            <w:t>rosmanizah@psis.edu.my</w:t>
                          </w:r>
                        </w:sdtContent>
                      </w:sdt>
                      <w:r>
                        <w:rPr>
                          <w:caps/>
                          <w:color w:val="808080" w:themeColor="background1" w:themeShade="80"/>
                          <w:sz w:val="20"/>
                          <w:szCs w:val="20"/>
                        </w:rPr>
                        <w:t> | </w:t>
                      </w:r>
                      <w:sdt>
                        <w:sdtPr>
                          <w:rPr>
                            <w:caps/>
                            <w:color w:val="808080" w:themeColor="background1" w:themeShade="80"/>
                            <w:sz w:val="20"/>
                            <w:szCs w:val="20"/>
                          </w:rPr>
                          <w:alias w:val="School"/>
                          <w:tag w:val="School"/>
                          <w:id w:val="1660265181"/>
                          <w:dataBinding w:prefixMappings="xmlns:ns0='http://schemas.openxmlformats.org/officeDocument/2006/extended-properties' " w:xpath="/ns0:Properties[1]/ns0:Company[1]" w:storeItemID="{6668398D-A668-4E3E-A5EB-62B293D839F1}"/>
                          <w:text/>
                        </w:sdtPr>
                        <w:sdtContent>
                          <w:r w:rsidR="004F5FE5">
                            <w:rPr>
                              <w:caps/>
                              <w:color w:val="808080" w:themeColor="background1" w:themeShade="80"/>
                              <w:sz w:val="20"/>
                              <w:szCs w:val="20"/>
                            </w:rPr>
                            <w:t>0000-0002-9761-2075 POLITEKNIK SULTAN IDRIS SHAH</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AF53" w14:textId="77777777" w:rsidR="00C200A4" w:rsidRDefault="00C200A4">
      <w:pPr>
        <w:spacing w:after="0" w:line="240" w:lineRule="auto"/>
      </w:pPr>
      <w:r>
        <w:separator/>
      </w:r>
    </w:p>
  </w:footnote>
  <w:footnote w:type="continuationSeparator" w:id="0">
    <w:p w14:paraId="20154A4C" w14:textId="77777777" w:rsidR="00C200A4" w:rsidRDefault="00C200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E63A1"/>
    <w:multiLevelType w:val="hybridMultilevel"/>
    <w:tmpl w:val="4976BF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617055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0BD"/>
    <w:rsid w:val="000027A7"/>
    <w:rsid w:val="000820BD"/>
    <w:rsid w:val="000B29A2"/>
    <w:rsid w:val="00111BAE"/>
    <w:rsid w:val="001C1FCE"/>
    <w:rsid w:val="00316160"/>
    <w:rsid w:val="004E3BC7"/>
    <w:rsid w:val="004F3E41"/>
    <w:rsid w:val="004F5FE5"/>
    <w:rsid w:val="0050787B"/>
    <w:rsid w:val="00517079"/>
    <w:rsid w:val="005657A9"/>
    <w:rsid w:val="00646147"/>
    <w:rsid w:val="00846190"/>
    <w:rsid w:val="008A5E1B"/>
    <w:rsid w:val="009209A3"/>
    <w:rsid w:val="00A82AA7"/>
    <w:rsid w:val="00B64C8E"/>
    <w:rsid w:val="00BF77E9"/>
    <w:rsid w:val="00C200A4"/>
    <w:rsid w:val="00CB41D4"/>
    <w:rsid w:val="00EA5ED3"/>
    <w:rsid w:val="00FD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EA10A"/>
  <w15:docId w15:val="{5A65B5A9-7D47-44E5-AD5B-454C1BB06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0820BD"/>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0BD"/>
    <w:pPr>
      <w:ind w:left="720"/>
      <w:contextualSpacing/>
    </w:pPr>
  </w:style>
  <w:style w:type="character" w:styleId="Hyperlink">
    <w:name w:val="Hyperlink"/>
    <w:basedOn w:val="DefaultParagraphFont"/>
    <w:uiPriority w:val="99"/>
    <w:unhideWhenUsed/>
    <w:rsid w:val="000820BD"/>
    <w:rPr>
      <w:color w:val="0563C1" w:themeColor="hyperlink"/>
      <w:u w:val="single"/>
    </w:rPr>
  </w:style>
  <w:style w:type="paragraph" w:styleId="Footer">
    <w:name w:val="footer"/>
    <w:basedOn w:val="Normal"/>
    <w:link w:val="FooterChar"/>
    <w:uiPriority w:val="99"/>
    <w:unhideWhenUsed/>
    <w:rsid w:val="000820BD"/>
    <w:pPr>
      <w:spacing w:after="0" w:line="240" w:lineRule="auto"/>
    </w:pPr>
  </w:style>
  <w:style w:type="character" w:customStyle="1" w:styleId="FooterChar">
    <w:name w:val="Footer Char"/>
    <w:basedOn w:val="DefaultParagraphFont"/>
    <w:link w:val="Footer"/>
    <w:uiPriority w:val="99"/>
    <w:rsid w:val="000820BD"/>
    <w:rPr>
      <w:lang w:val="en-MY"/>
    </w:rPr>
  </w:style>
  <w:style w:type="table" w:styleId="TableGrid">
    <w:name w:val="Table Grid"/>
    <w:basedOn w:val="TableNormal"/>
    <w:uiPriority w:val="39"/>
    <w:rsid w:val="000820BD"/>
    <w:pPr>
      <w:spacing w:after="0" w:line="240" w:lineRule="auto"/>
    </w:pPr>
    <w:rPr>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20BD"/>
    <w:rPr>
      <w:sz w:val="16"/>
      <w:szCs w:val="16"/>
    </w:rPr>
  </w:style>
  <w:style w:type="paragraph" w:styleId="CommentText">
    <w:name w:val="annotation text"/>
    <w:basedOn w:val="Normal"/>
    <w:link w:val="CommentTextChar"/>
    <w:uiPriority w:val="99"/>
    <w:semiHidden/>
    <w:unhideWhenUsed/>
    <w:rsid w:val="000820BD"/>
    <w:pPr>
      <w:spacing w:line="240" w:lineRule="auto"/>
    </w:pPr>
    <w:rPr>
      <w:sz w:val="20"/>
      <w:szCs w:val="20"/>
    </w:rPr>
  </w:style>
  <w:style w:type="character" w:customStyle="1" w:styleId="CommentTextChar">
    <w:name w:val="Comment Text Char"/>
    <w:basedOn w:val="DefaultParagraphFont"/>
    <w:link w:val="CommentText"/>
    <w:uiPriority w:val="99"/>
    <w:semiHidden/>
    <w:rsid w:val="000820BD"/>
    <w:rPr>
      <w:sz w:val="20"/>
      <w:szCs w:val="20"/>
      <w:lang w:val="en-MY"/>
    </w:rPr>
  </w:style>
  <w:style w:type="paragraph" w:styleId="NormalWeb">
    <w:name w:val="Normal (Web)"/>
    <w:basedOn w:val="Normal"/>
    <w:uiPriority w:val="99"/>
    <w:unhideWhenUsed/>
    <w:rsid w:val="00111BA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BF77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7E9"/>
    <w:rPr>
      <w:lang w:val="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osmanizah@psis.edu.m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22AC-41E2-42F1-B888-EEF84E59C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0000-0002-9761-2075 POLITEKNIK SULTAN IDRIS SHAH</Company>
  <LinksUpToDate>false</LinksUpToDate>
  <CharactersWithSpaces>16181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rosmanizah@psis.edu.my</dc:creator>
  <cp:keywords/>
  <dc:description/>
  <cp:lastModifiedBy>Dr. Rosmanizah Bt. Derahman</cp:lastModifiedBy>
  <cp:revision>2</cp:revision>
  <dcterms:created xsi:type="dcterms:W3CDTF">2022-11-16T04:02:00Z</dcterms:created>
  <dcterms:modified xsi:type="dcterms:W3CDTF">2022-11-16T04:02:00Z</dcterms:modified>
</cp:coreProperties>
</file>