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067" w:rsidRPr="0097784A" w:rsidRDefault="002B0C7F" w:rsidP="00E25067">
      <w:pPr>
        <w:jc w:val="center"/>
        <w:rPr>
          <w:rFonts w:ascii="Times New Roman" w:hAnsi="Times New Roman" w:cs="Times New Roman"/>
          <w:b/>
          <w:bCs/>
          <w:color w:val="000000" w:themeColor="text1"/>
          <w:sz w:val="28"/>
          <w:szCs w:val="28"/>
          <w:lang w:val="en-US"/>
        </w:rPr>
      </w:pPr>
      <w:r w:rsidRPr="002B0C7F">
        <w:rPr>
          <w:rFonts w:ascii="Times New Roman" w:hAnsi="Times New Roman" w:cs="Times New Roman"/>
          <w:b/>
          <w:sz w:val="28"/>
          <w:szCs w:val="28"/>
        </w:rPr>
        <w:t xml:space="preserve">The </w:t>
      </w:r>
      <w:r>
        <w:rPr>
          <w:rFonts w:ascii="Times New Roman" w:hAnsi="Times New Roman" w:cs="Times New Roman"/>
          <w:b/>
          <w:sz w:val="28"/>
          <w:szCs w:val="28"/>
        </w:rPr>
        <w:t>u</w:t>
      </w:r>
      <w:r w:rsidRPr="002B0C7F">
        <w:rPr>
          <w:rFonts w:ascii="Times New Roman" w:hAnsi="Times New Roman" w:cs="Times New Roman"/>
          <w:b/>
          <w:sz w:val="28"/>
          <w:szCs w:val="28"/>
        </w:rPr>
        <w:t xml:space="preserve">se of </w:t>
      </w:r>
      <w:r w:rsidR="009A1BFC">
        <w:rPr>
          <w:rFonts w:ascii="Times New Roman" w:hAnsi="Times New Roman" w:cs="Times New Roman"/>
          <w:b/>
          <w:sz w:val="28"/>
          <w:szCs w:val="28"/>
        </w:rPr>
        <w:t>p</w:t>
      </w:r>
      <w:r w:rsidR="009A1BFC" w:rsidRPr="002B0C7F">
        <w:rPr>
          <w:rFonts w:ascii="Times New Roman" w:hAnsi="Times New Roman" w:cs="Times New Roman"/>
          <w:b/>
          <w:sz w:val="28"/>
          <w:szCs w:val="28"/>
        </w:rPr>
        <w:t xml:space="preserve">hase </w:t>
      </w:r>
      <w:r w:rsidR="009A1BFC">
        <w:rPr>
          <w:rFonts w:ascii="Times New Roman" w:hAnsi="Times New Roman" w:cs="Times New Roman"/>
          <w:b/>
          <w:sz w:val="28"/>
          <w:szCs w:val="28"/>
        </w:rPr>
        <w:t>c</w:t>
      </w:r>
      <w:r w:rsidR="009A1BFC" w:rsidRPr="002B0C7F">
        <w:rPr>
          <w:rFonts w:ascii="Times New Roman" w:hAnsi="Times New Roman" w:cs="Times New Roman"/>
          <w:b/>
          <w:sz w:val="28"/>
          <w:szCs w:val="28"/>
        </w:rPr>
        <w:t xml:space="preserve">hange </w:t>
      </w:r>
      <w:r w:rsidR="009A1BFC">
        <w:rPr>
          <w:rFonts w:ascii="Times New Roman" w:hAnsi="Times New Roman" w:cs="Times New Roman"/>
          <w:b/>
          <w:sz w:val="28"/>
          <w:szCs w:val="28"/>
        </w:rPr>
        <w:t>m</w:t>
      </w:r>
      <w:r w:rsidR="009A1BFC" w:rsidRPr="002B0C7F">
        <w:rPr>
          <w:rFonts w:ascii="Times New Roman" w:hAnsi="Times New Roman" w:cs="Times New Roman"/>
          <w:b/>
          <w:sz w:val="28"/>
          <w:szCs w:val="28"/>
        </w:rPr>
        <w:t xml:space="preserve">aterials </w:t>
      </w:r>
      <w:r w:rsidRPr="002B0C7F">
        <w:rPr>
          <w:rFonts w:ascii="Times New Roman" w:hAnsi="Times New Roman" w:cs="Times New Roman"/>
          <w:b/>
          <w:sz w:val="28"/>
          <w:szCs w:val="28"/>
        </w:rPr>
        <w:t xml:space="preserve">with </w:t>
      </w:r>
      <w:r w:rsidR="009A1BFC">
        <w:rPr>
          <w:rFonts w:ascii="Times New Roman" w:hAnsi="Times New Roman" w:cs="Times New Roman"/>
          <w:b/>
          <w:sz w:val="28"/>
          <w:szCs w:val="28"/>
        </w:rPr>
        <w:t>w</w:t>
      </w:r>
      <w:r w:rsidR="009A1BFC" w:rsidRPr="002B0C7F">
        <w:rPr>
          <w:rFonts w:ascii="Times New Roman" w:hAnsi="Times New Roman" w:cs="Times New Roman"/>
          <w:b/>
          <w:sz w:val="28"/>
          <w:szCs w:val="28"/>
        </w:rPr>
        <w:t xml:space="preserve">aste </w:t>
      </w:r>
      <w:r w:rsidR="009A1BFC">
        <w:rPr>
          <w:rFonts w:ascii="Times New Roman" w:hAnsi="Times New Roman" w:cs="Times New Roman"/>
          <w:b/>
          <w:sz w:val="28"/>
          <w:szCs w:val="28"/>
        </w:rPr>
        <w:t>m</w:t>
      </w:r>
      <w:r w:rsidR="009A1BFC" w:rsidRPr="002B0C7F">
        <w:rPr>
          <w:rFonts w:ascii="Times New Roman" w:hAnsi="Times New Roman" w:cs="Times New Roman"/>
          <w:b/>
          <w:sz w:val="28"/>
          <w:szCs w:val="28"/>
        </w:rPr>
        <w:t xml:space="preserve">aterials </w:t>
      </w:r>
      <w:r w:rsidRPr="002B0C7F">
        <w:rPr>
          <w:rFonts w:ascii="Times New Roman" w:hAnsi="Times New Roman" w:cs="Times New Roman"/>
          <w:b/>
          <w:sz w:val="28"/>
          <w:szCs w:val="28"/>
        </w:rPr>
        <w:t xml:space="preserve">for </w:t>
      </w:r>
      <w:r>
        <w:rPr>
          <w:rFonts w:ascii="Times New Roman" w:hAnsi="Times New Roman" w:cs="Times New Roman"/>
          <w:b/>
          <w:sz w:val="28"/>
          <w:szCs w:val="28"/>
        </w:rPr>
        <w:t>s</w:t>
      </w:r>
      <w:r w:rsidRPr="002B0C7F">
        <w:rPr>
          <w:rFonts w:ascii="Times New Roman" w:hAnsi="Times New Roman" w:cs="Times New Roman"/>
          <w:b/>
          <w:sz w:val="28"/>
          <w:szCs w:val="28"/>
        </w:rPr>
        <w:t xml:space="preserve">ustainable </w:t>
      </w:r>
      <w:r>
        <w:rPr>
          <w:rFonts w:ascii="Times New Roman" w:hAnsi="Times New Roman" w:cs="Times New Roman"/>
          <w:b/>
          <w:sz w:val="28"/>
          <w:szCs w:val="28"/>
        </w:rPr>
        <w:t>t</w:t>
      </w:r>
      <w:r w:rsidRPr="002B0C7F">
        <w:rPr>
          <w:rFonts w:ascii="Times New Roman" w:hAnsi="Times New Roman" w:cs="Times New Roman"/>
          <w:b/>
          <w:sz w:val="28"/>
          <w:szCs w:val="28"/>
        </w:rPr>
        <w:t xml:space="preserve">hermal </w:t>
      </w:r>
      <w:r>
        <w:rPr>
          <w:rFonts w:ascii="Times New Roman" w:hAnsi="Times New Roman" w:cs="Times New Roman"/>
          <w:b/>
          <w:sz w:val="28"/>
          <w:szCs w:val="28"/>
        </w:rPr>
        <w:t>e</w:t>
      </w:r>
      <w:r w:rsidRPr="002B0C7F">
        <w:rPr>
          <w:rFonts w:ascii="Times New Roman" w:hAnsi="Times New Roman" w:cs="Times New Roman"/>
          <w:b/>
          <w:sz w:val="28"/>
          <w:szCs w:val="28"/>
        </w:rPr>
        <w:t xml:space="preserve">nergy </w:t>
      </w:r>
      <w:r>
        <w:rPr>
          <w:rFonts w:ascii="Times New Roman" w:hAnsi="Times New Roman" w:cs="Times New Roman"/>
          <w:b/>
          <w:sz w:val="28"/>
          <w:szCs w:val="28"/>
        </w:rPr>
        <w:t>s</w:t>
      </w:r>
      <w:r w:rsidRPr="002B0C7F">
        <w:rPr>
          <w:rFonts w:ascii="Times New Roman" w:hAnsi="Times New Roman" w:cs="Times New Roman"/>
          <w:b/>
          <w:sz w:val="28"/>
          <w:szCs w:val="28"/>
        </w:rPr>
        <w:t xml:space="preserve">torage in </w:t>
      </w:r>
      <w:r>
        <w:rPr>
          <w:rFonts w:ascii="Times New Roman" w:hAnsi="Times New Roman" w:cs="Times New Roman"/>
          <w:b/>
          <w:sz w:val="28"/>
          <w:szCs w:val="28"/>
        </w:rPr>
        <w:t>b</w:t>
      </w:r>
      <w:r w:rsidRPr="002B0C7F">
        <w:rPr>
          <w:rFonts w:ascii="Times New Roman" w:hAnsi="Times New Roman" w:cs="Times New Roman"/>
          <w:b/>
          <w:sz w:val="28"/>
          <w:szCs w:val="28"/>
        </w:rPr>
        <w:t xml:space="preserve">uildings </w:t>
      </w:r>
    </w:p>
    <w:p w:rsidR="00E25067" w:rsidRPr="0097784A" w:rsidRDefault="00796B49" w:rsidP="00E25067">
      <w:pPr>
        <w:jc w:val="center"/>
        <w:rPr>
          <w:rFonts w:cstheme="minorHAnsi"/>
          <w:b/>
          <w:color w:val="000000" w:themeColor="text1"/>
          <w:vertAlign w:val="superscript"/>
        </w:rPr>
      </w:pPr>
      <w:r>
        <w:rPr>
          <w:rFonts w:ascii="Times New Roman" w:hAnsi="Times New Roman" w:cs="Times New Roman"/>
          <w:b/>
          <w:i/>
          <w:color w:val="000000" w:themeColor="text1"/>
        </w:rPr>
        <w:t>Ali KARAİPEKLİ</w:t>
      </w:r>
      <w:r w:rsidR="00E25067" w:rsidRPr="0097784A">
        <w:rPr>
          <w:rFonts w:ascii="Times New Roman" w:hAnsi="Times New Roman" w:cs="Times New Roman"/>
          <w:b/>
          <w:i/>
          <w:color w:val="000000" w:themeColor="text1"/>
          <w:vertAlign w:val="superscript"/>
        </w:rPr>
        <w:t>1,</w:t>
      </w:r>
      <w:r w:rsidR="00296EE9" w:rsidRPr="0097784A">
        <w:rPr>
          <w:rStyle w:val="DipnotBavurusu"/>
          <w:rFonts w:ascii="Times New Roman" w:hAnsi="Times New Roman"/>
          <w:b/>
          <w:i/>
          <w:color w:val="000000" w:themeColor="text1"/>
        </w:rPr>
        <w:footnoteReference w:customMarkFollows="1" w:id="1"/>
        <w:sym w:font="Symbol" w:char="F02A"/>
      </w:r>
      <w:r w:rsidR="00296EE9" w:rsidRPr="0097784A">
        <w:rPr>
          <w:rFonts w:ascii="Times New Roman" w:hAnsi="Times New Roman" w:cs="Times New Roman"/>
          <w:b/>
          <w:i/>
          <w:color w:val="000000" w:themeColor="text1"/>
          <w:vertAlign w:val="superscript"/>
        </w:rPr>
        <w:t xml:space="preserve"> </w:t>
      </w:r>
      <w:r w:rsidR="00E25067" w:rsidRPr="0097784A">
        <w:rPr>
          <w:rFonts w:ascii="Times New Roman" w:hAnsi="Times New Roman" w:cs="Times New Roman"/>
          <w:b/>
          <w:i/>
          <w:noProof/>
          <w:color w:val="000000" w:themeColor="text1"/>
          <w:lang w:eastAsia="tr-TR"/>
        </w:rPr>
        <w:drawing>
          <wp:inline distT="0" distB="0" distL="0" distR="0">
            <wp:extent cx="155575" cy="155575"/>
            <wp:effectExtent l="0" t="0" r="0" b="0"/>
            <wp:docPr id="10" name="Resim 10"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r w:rsidR="00E25067" w:rsidRPr="0097784A">
        <w:rPr>
          <w:rFonts w:cstheme="minorHAnsi"/>
          <w:b/>
          <w:i/>
          <w:color w:val="000000" w:themeColor="text1"/>
        </w:rPr>
        <w:t xml:space="preserve">, </w:t>
      </w:r>
      <w:r>
        <w:rPr>
          <w:rFonts w:ascii="Times New Roman" w:hAnsi="Times New Roman" w:cs="Times New Roman"/>
          <w:b/>
          <w:i/>
          <w:color w:val="000000" w:themeColor="text1"/>
          <w:u w:val="single"/>
        </w:rPr>
        <w:t>Fatma Burcu</w:t>
      </w:r>
      <w:r w:rsidR="00B11128">
        <w:rPr>
          <w:rFonts w:ascii="Times New Roman" w:hAnsi="Times New Roman" w:cs="Times New Roman"/>
          <w:b/>
          <w:i/>
          <w:color w:val="000000" w:themeColor="text1"/>
          <w:u w:val="single"/>
        </w:rPr>
        <w:t xml:space="preserve"> </w:t>
      </w:r>
      <w:r>
        <w:rPr>
          <w:rFonts w:ascii="Times New Roman" w:hAnsi="Times New Roman" w:cs="Times New Roman"/>
          <w:b/>
          <w:i/>
          <w:color w:val="000000" w:themeColor="text1"/>
          <w:u w:val="single"/>
        </w:rPr>
        <w:t>UZUNOĞLU</w:t>
      </w:r>
      <w:r w:rsidR="00E25067" w:rsidRPr="0031591A">
        <w:rPr>
          <w:rFonts w:ascii="Times New Roman" w:hAnsi="Times New Roman" w:cs="Times New Roman"/>
          <w:b/>
          <w:i/>
          <w:color w:val="000000" w:themeColor="text1"/>
          <w:vertAlign w:val="superscript"/>
        </w:rPr>
        <w:t>2</w:t>
      </w:r>
      <w:r w:rsidR="00E25067" w:rsidRPr="0097784A">
        <w:rPr>
          <w:rFonts w:ascii="Times New Roman" w:hAnsi="Times New Roman" w:cs="Times New Roman"/>
          <w:b/>
          <w:i/>
          <w:noProof/>
          <w:color w:val="000000" w:themeColor="text1"/>
          <w:lang w:eastAsia="tr-TR"/>
        </w:rPr>
        <w:drawing>
          <wp:inline distT="0" distB="0" distL="0" distR="0">
            <wp:extent cx="155575" cy="155575"/>
            <wp:effectExtent l="0" t="0" r="0" b="0"/>
            <wp:docPr id="12" name="Resim 12" descr="C:\Users\Abdullah\AppData\Local\Microsoft\Windows\INetCache\Content.Word\ORCID-iD_icon-16x16.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p>
    <w:p w:rsidR="00B11128" w:rsidRPr="006E46CE" w:rsidRDefault="00E25067" w:rsidP="00B11128">
      <w:pPr>
        <w:autoSpaceDE w:val="0"/>
        <w:autoSpaceDN w:val="0"/>
        <w:spacing w:before="120" w:after="0"/>
        <w:jc w:val="center"/>
        <w:rPr>
          <w:rFonts w:ascii="Times New Roman" w:hAnsi="Times New Roman" w:cs="Times New Roman"/>
          <w:b/>
          <w:i/>
          <w:sz w:val="18"/>
          <w:szCs w:val="18"/>
        </w:rPr>
      </w:pPr>
      <w:r w:rsidRPr="0097784A">
        <w:rPr>
          <w:rFonts w:ascii="Times New Roman" w:hAnsi="Times New Roman" w:cs="Times New Roman"/>
          <w:i/>
          <w:color w:val="000000" w:themeColor="text1"/>
          <w:sz w:val="18"/>
          <w:szCs w:val="18"/>
          <w:vertAlign w:val="superscript"/>
        </w:rPr>
        <w:t>1</w:t>
      </w:r>
      <w:r w:rsidR="00BF511D">
        <w:rPr>
          <w:rFonts w:ascii="Times New Roman" w:eastAsia="MS Mincho" w:hAnsi="Times New Roman" w:cs="Times New Roman"/>
          <w:i/>
          <w:iCs/>
          <w:sz w:val="18"/>
          <w:szCs w:val="18"/>
        </w:rPr>
        <w:t xml:space="preserve">Faculty of </w:t>
      </w:r>
      <w:r w:rsidR="004F0B7F" w:rsidRPr="004F0B7F">
        <w:rPr>
          <w:rFonts w:ascii="Times New Roman" w:eastAsia="MS Mincho" w:hAnsi="Times New Roman" w:cs="Times New Roman"/>
          <w:i/>
          <w:iCs/>
          <w:sz w:val="18"/>
          <w:szCs w:val="18"/>
        </w:rPr>
        <w:t>Science</w:t>
      </w:r>
      <w:r w:rsidR="00B11128" w:rsidRPr="001558FC">
        <w:rPr>
          <w:rFonts w:ascii="Times New Roman" w:eastAsia="MS Mincho" w:hAnsi="Times New Roman" w:cs="Times New Roman"/>
          <w:i/>
          <w:iCs/>
          <w:sz w:val="18"/>
          <w:szCs w:val="18"/>
        </w:rPr>
        <w:t>, Department</w:t>
      </w:r>
      <w:r w:rsidR="004F0B7F">
        <w:rPr>
          <w:rFonts w:ascii="Times New Roman" w:eastAsia="MS Mincho" w:hAnsi="Times New Roman" w:cs="Times New Roman"/>
          <w:i/>
          <w:iCs/>
          <w:sz w:val="18"/>
          <w:szCs w:val="18"/>
        </w:rPr>
        <w:t xml:space="preserve"> of Chemistry</w:t>
      </w:r>
      <w:r w:rsidR="00B11128" w:rsidRPr="001558FC">
        <w:rPr>
          <w:rFonts w:ascii="Times New Roman" w:eastAsia="MS Mincho" w:hAnsi="Times New Roman" w:cs="Times New Roman"/>
          <w:i/>
          <w:iCs/>
          <w:sz w:val="18"/>
          <w:szCs w:val="18"/>
        </w:rPr>
        <w:t xml:space="preserve">, </w:t>
      </w:r>
      <w:r w:rsidR="004F0B7F">
        <w:rPr>
          <w:rFonts w:ascii="Times New Roman" w:eastAsia="MS Mincho" w:hAnsi="Times New Roman" w:cs="Times New Roman"/>
          <w:i/>
          <w:iCs/>
          <w:sz w:val="18"/>
          <w:szCs w:val="18"/>
        </w:rPr>
        <w:t xml:space="preserve">Karatekin </w:t>
      </w:r>
      <w:r w:rsidR="00B11128" w:rsidRPr="001558FC">
        <w:rPr>
          <w:rFonts w:ascii="Times New Roman" w:eastAsia="MS Mincho" w:hAnsi="Times New Roman" w:cs="Times New Roman"/>
          <w:i/>
          <w:iCs/>
          <w:sz w:val="18"/>
          <w:szCs w:val="18"/>
        </w:rPr>
        <w:t xml:space="preserve">University, </w:t>
      </w:r>
      <w:r w:rsidR="004F0B7F">
        <w:rPr>
          <w:rFonts w:ascii="Times New Roman" w:eastAsia="MS Mincho" w:hAnsi="Times New Roman" w:cs="Times New Roman"/>
          <w:i/>
          <w:iCs/>
          <w:sz w:val="18"/>
          <w:szCs w:val="18"/>
        </w:rPr>
        <w:t>Çankırı</w:t>
      </w:r>
      <w:r w:rsidR="00B11128" w:rsidRPr="001558FC">
        <w:rPr>
          <w:rFonts w:ascii="Times New Roman" w:eastAsia="MS Mincho" w:hAnsi="Times New Roman" w:cs="Times New Roman"/>
          <w:i/>
          <w:iCs/>
          <w:sz w:val="18"/>
          <w:szCs w:val="18"/>
        </w:rPr>
        <w:t xml:space="preserve">, </w:t>
      </w:r>
      <w:r w:rsidR="004F0B7F">
        <w:rPr>
          <w:rFonts w:ascii="Times New Roman" w:eastAsia="MS Mincho" w:hAnsi="Times New Roman" w:cs="Times New Roman"/>
          <w:i/>
          <w:iCs/>
          <w:sz w:val="18"/>
          <w:szCs w:val="18"/>
        </w:rPr>
        <w:t>T</w:t>
      </w:r>
      <w:r w:rsidR="00E133DE">
        <w:rPr>
          <w:rFonts w:ascii="Times New Roman" w:eastAsia="MS Mincho" w:hAnsi="Times New Roman" w:cs="Times New Roman"/>
          <w:i/>
          <w:iCs/>
          <w:sz w:val="18"/>
          <w:szCs w:val="18"/>
        </w:rPr>
        <w:t>ü</w:t>
      </w:r>
      <w:r w:rsidR="004F0B7F">
        <w:rPr>
          <w:rFonts w:ascii="Times New Roman" w:eastAsia="MS Mincho" w:hAnsi="Times New Roman" w:cs="Times New Roman"/>
          <w:i/>
          <w:iCs/>
          <w:sz w:val="18"/>
          <w:szCs w:val="18"/>
        </w:rPr>
        <w:t>rkiye</w:t>
      </w:r>
      <w:r w:rsidR="00B11128">
        <w:rPr>
          <w:rFonts w:ascii="Times New Roman" w:hAnsi="Times New Roman" w:cs="Times New Roman"/>
          <w:sz w:val="18"/>
          <w:szCs w:val="18"/>
        </w:rPr>
        <w:t xml:space="preserve"> </w:t>
      </w:r>
      <w:r w:rsidR="00B11128" w:rsidRPr="00F07AEF">
        <w:rPr>
          <w:rFonts w:cstheme="minorHAnsi"/>
          <w:b/>
          <w:i/>
          <w:vertAlign w:val="superscript"/>
        </w:rPr>
        <w:t xml:space="preserve"> </w:t>
      </w:r>
    </w:p>
    <w:p w:rsidR="00B11128" w:rsidRPr="00B7076A" w:rsidRDefault="00B11128" w:rsidP="004F0B7F">
      <w:pPr>
        <w:autoSpaceDE w:val="0"/>
        <w:autoSpaceDN w:val="0"/>
        <w:spacing w:before="120" w:after="0"/>
        <w:jc w:val="center"/>
        <w:rPr>
          <w:rFonts w:ascii="Times New Roman" w:hAnsi="Times New Roman" w:cs="Times New Roman"/>
          <w:sz w:val="18"/>
          <w:szCs w:val="18"/>
        </w:rPr>
      </w:pPr>
      <w:r w:rsidRPr="006E46CE">
        <w:rPr>
          <w:rFonts w:ascii="Times New Roman" w:eastAsia="MS Mincho" w:hAnsi="Times New Roman" w:cs="Times New Roman"/>
          <w:i/>
          <w:iCs/>
          <w:sz w:val="18"/>
          <w:szCs w:val="18"/>
          <w:vertAlign w:val="superscript"/>
        </w:rPr>
        <w:t>2</w:t>
      </w:r>
      <w:r w:rsidR="004F0B7F" w:rsidRPr="004F0B7F">
        <w:rPr>
          <w:rFonts w:ascii="Times New Roman" w:eastAsia="MS Mincho" w:hAnsi="Times New Roman" w:cs="Times New Roman"/>
          <w:i/>
          <w:iCs/>
          <w:sz w:val="18"/>
          <w:szCs w:val="18"/>
        </w:rPr>
        <w:t>Graduate School of Natural and Applied Sciences</w:t>
      </w:r>
      <w:r w:rsidR="004F0B7F" w:rsidRPr="001558FC">
        <w:rPr>
          <w:rFonts w:ascii="Times New Roman" w:eastAsia="MS Mincho" w:hAnsi="Times New Roman" w:cs="Times New Roman"/>
          <w:i/>
          <w:iCs/>
          <w:sz w:val="18"/>
          <w:szCs w:val="18"/>
        </w:rPr>
        <w:t>, Department</w:t>
      </w:r>
      <w:r w:rsidR="004F0B7F">
        <w:rPr>
          <w:rFonts w:ascii="Times New Roman" w:eastAsia="MS Mincho" w:hAnsi="Times New Roman" w:cs="Times New Roman"/>
          <w:i/>
          <w:iCs/>
          <w:sz w:val="18"/>
          <w:szCs w:val="18"/>
        </w:rPr>
        <w:t xml:space="preserve"> of Chemistry</w:t>
      </w:r>
      <w:r w:rsidR="004F0B7F" w:rsidRPr="001558FC">
        <w:rPr>
          <w:rFonts w:ascii="Times New Roman" w:eastAsia="MS Mincho" w:hAnsi="Times New Roman" w:cs="Times New Roman"/>
          <w:i/>
          <w:iCs/>
          <w:sz w:val="18"/>
          <w:szCs w:val="18"/>
        </w:rPr>
        <w:t xml:space="preserve">, </w:t>
      </w:r>
      <w:r w:rsidR="004F0B7F">
        <w:rPr>
          <w:rFonts w:ascii="Times New Roman" w:eastAsia="MS Mincho" w:hAnsi="Times New Roman" w:cs="Times New Roman"/>
          <w:i/>
          <w:iCs/>
          <w:sz w:val="18"/>
          <w:szCs w:val="18"/>
        </w:rPr>
        <w:t xml:space="preserve">Karatekin </w:t>
      </w:r>
      <w:r w:rsidR="004F0B7F" w:rsidRPr="001558FC">
        <w:rPr>
          <w:rFonts w:ascii="Times New Roman" w:eastAsia="MS Mincho" w:hAnsi="Times New Roman" w:cs="Times New Roman"/>
          <w:i/>
          <w:iCs/>
          <w:sz w:val="18"/>
          <w:szCs w:val="18"/>
        </w:rPr>
        <w:t xml:space="preserve">University, </w:t>
      </w:r>
      <w:r w:rsidR="004F0B7F">
        <w:rPr>
          <w:rFonts w:ascii="Times New Roman" w:eastAsia="MS Mincho" w:hAnsi="Times New Roman" w:cs="Times New Roman"/>
          <w:i/>
          <w:iCs/>
          <w:sz w:val="18"/>
          <w:szCs w:val="18"/>
        </w:rPr>
        <w:t>Çankırı</w:t>
      </w:r>
      <w:r w:rsidR="004F0B7F" w:rsidRPr="001558FC">
        <w:rPr>
          <w:rFonts w:ascii="Times New Roman" w:eastAsia="MS Mincho" w:hAnsi="Times New Roman" w:cs="Times New Roman"/>
          <w:i/>
          <w:iCs/>
          <w:sz w:val="18"/>
          <w:szCs w:val="18"/>
        </w:rPr>
        <w:t xml:space="preserve">, </w:t>
      </w:r>
      <w:r w:rsidR="004F0B7F">
        <w:rPr>
          <w:rFonts w:ascii="Times New Roman" w:eastAsia="MS Mincho" w:hAnsi="Times New Roman" w:cs="Times New Roman"/>
          <w:i/>
          <w:iCs/>
          <w:sz w:val="18"/>
          <w:szCs w:val="18"/>
        </w:rPr>
        <w:t>T</w:t>
      </w:r>
      <w:r w:rsidR="00E133DE">
        <w:rPr>
          <w:rFonts w:ascii="Times New Roman" w:eastAsia="MS Mincho" w:hAnsi="Times New Roman" w:cs="Times New Roman"/>
          <w:i/>
          <w:iCs/>
          <w:sz w:val="18"/>
          <w:szCs w:val="18"/>
        </w:rPr>
        <w:t>ü</w:t>
      </w:r>
      <w:r w:rsidR="004F0B7F">
        <w:rPr>
          <w:rFonts w:ascii="Times New Roman" w:eastAsia="MS Mincho" w:hAnsi="Times New Roman" w:cs="Times New Roman"/>
          <w:i/>
          <w:iCs/>
          <w:sz w:val="18"/>
          <w:szCs w:val="18"/>
        </w:rPr>
        <w:t>rkiye</w:t>
      </w:r>
      <w:r w:rsidR="004F0B7F">
        <w:rPr>
          <w:rFonts w:ascii="Times New Roman" w:hAnsi="Times New Roman" w:cs="Times New Roman"/>
          <w:sz w:val="18"/>
          <w:szCs w:val="18"/>
        </w:rPr>
        <w:t xml:space="preserve"> </w:t>
      </w:r>
      <w:r w:rsidR="004F0B7F" w:rsidRPr="00F07AEF">
        <w:rPr>
          <w:rFonts w:cstheme="minorHAnsi"/>
          <w:b/>
          <w:i/>
          <w:vertAlign w:val="superscript"/>
        </w:rPr>
        <w:t xml:space="preserve"> </w:t>
      </w:r>
    </w:p>
    <w:p w:rsidR="00890B2E" w:rsidRPr="0097784A" w:rsidRDefault="00890B2E" w:rsidP="0059146B">
      <w:pPr>
        <w:spacing w:after="0"/>
        <w:jc w:val="center"/>
        <w:rPr>
          <w:rFonts w:ascii="Times New Roman" w:hAnsi="Times New Roman" w:cs="Times New Roman"/>
          <w:i/>
          <w:color w:val="000000" w:themeColor="text1"/>
          <w:sz w:val="20"/>
          <w:szCs w:val="20"/>
          <w:lang w:val="en-US"/>
        </w:rPr>
      </w:pPr>
    </w:p>
    <w:tbl>
      <w:tblPr>
        <w:tblStyle w:val="TabloKlavuzu"/>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150"/>
      </w:tblGrid>
      <w:tr w:rsidR="0097784A" w:rsidRPr="0097784A" w:rsidTr="00E76A06">
        <w:trPr>
          <w:trHeight w:val="1796"/>
        </w:trPr>
        <w:tc>
          <w:tcPr>
            <w:tcW w:w="10150" w:type="dxa"/>
            <w:shd w:val="clear" w:color="auto" w:fill="D9D9D9" w:themeFill="background1" w:themeFillShade="D9"/>
          </w:tcPr>
          <w:p w:rsidR="00A664CE" w:rsidRDefault="001558FC" w:rsidP="00A664CE">
            <w:pPr>
              <w:shd w:val="clear" w:color="auto" w:fill="D9D9D9" w:themeFill="background1" w:themeFillShade="D9"/>
              <w:ind w:right="-21"/>
              <w:rPr>
                <w:rFonts w:ascii="Times New Roman" w:hAnsi="Times New Roman" w:cs="Times New Roman"/>
                <w:b/>
                <w:bCs/>
                <w:color w:val="000000" w:themeColor="text1"/>
                <w:sz w:val="24"/>
                <w:szCs w:val="24"/>
              </w:rPr>
            </w:pPr>
            <w:r w:rsidRPr="0097784A">
              <w:rPr>
                <w:rFonts w:ascii="Times New Roman" w:hAnsi="Times New Roman" w:cs="Times New Roman"/>
                <w:b/>
                <w:bCs/>
                <w:color w:val="000000" w:themeColor="text1"/>
                <w:sz w:val="24"/>
                <w:szCs w:val="24"/>
              </w:rPr>
              <w:t>Abstract</w:t>
            </w:r>
            <w:r w:rsidR="00A664CE">
              <w:rPr>
                <w:rFonts w:ascii="Times New Roman" w:hAnsi="Times New Roman" w:cs="Times New Roman"/>
                <w:b/>
                <w:bCs/>
                <w:color w:val="000000" w:themeColor="text1"/>
                <w:sz w:val="24"/>
                <w:szCs w:val="24"/>
              </w:rPr>
              <w:t xml:space="preserve"> </w:t>
            </w:r>
          </w:p>
          <w:p w:rsidR="008E2B2F" w:rsidRPr="008E2B2F" w:rsidRDefault="008E2B2F" w:rsidP="008E2B2F">
            <w:pPr>
              <w:shd w:val="clear" w:color="auto" w:fill="D9D9D9" w:themeFill="background1" w:themeFillShade="D9"/>
              <w:ind w:right="-21"/>
              <w:jc w:val="both"/>
              <w:rPr>
                <w:rFonts w:ascii="Times New Roman" w:hAnsi="Times New Roman" w:cs="Times New Roman"/>
                <w:sz w:val="20"/>
                <w:szCs w:val="20"/>
                <w:lang w:val="tr-TR"/>
              </w:rPr>
            </w:pPr>
            <w:r w:rsidRPr="008E2B2F">
              <w:rPr>
                <w:rFonts w:ascii="Times New Roman" w:hAnsi="Times New Roman" w:cs="Times New Roman"/>
                <w:sz w:val="20"/>
                <w:szCs w:val="20"/>
                <w:lang w:val="tr-TR"/>
              </w:rPr>
              <w:t>This study provides an overview of the utilization of phase change materials (PCMs) with waste materials in buildings for thermal energy storage. PCMs, with their unique ability to absorb and release latent heat during phase transitions, present a revolutionary solution for mitigating temperature f</w:t>
            </w:r>
            <w:r>
              <w:rPr>
                <w:rFonts w:ascii="Times New Roman" w:hAnsi="Times New Roman" w:cs="Times New Roman"/>
                <w:sz w:val="20"/>
                <w:szCs w:val="20"/>
                <w:lang w:val="tr-TR"/>
              </w:rPr>
              <w:t xml:space="preserve">luctuations in diverse climates. </w:t>
            </w:r>
            <w:r w:rsidRPr="008E2B2F">
              <w:rPr>
                <w:rFonts w:ascii="Times New Roman" w:hAnsi="Times New Roman" w:cs="Times New Roman"/>
                <w:sz w:val="20"/>
                <w:szCs w:val="20"/>
                <w:lang w:val="tr-TR"/>
              </w:rPr>
              <w:t>However, some issues including leakage and stability need to be considered when integrating them into building materials. To prevent or minimize these issues, PCMs could be used with some carrier mediums such as capsules, shells, pou</w:t>
            </w:r>
            <w:r>
              <w:rPr>
                <w:rFonts w:ascii="Times New Roman" w:hAnsi="Times New Roman" w:cs="Times New Roman"/>
                <w:sz w:val="20"/>
                <w:szCs w:val="20"/>
                <w:lang w:val="tr-TR"/>
              </w:rPr>
              <w:t xml:space="preserve">ches, pipes or porous materials. </w:t>
            </w:r>
            <w:r w:rsidRPr="008E2B2F">
              <w:rPr>
                <w:rFonts w:ascii="Times New Roman" w:hAnsi="Times New Roman" w:cs="Times New Roman"/>
                <w:sz w:val="20"/>
                <w:szCs w:val="20"/>
                <w:lang w:val="tr-TR"/>
              </w:rPr>
              <w:t>The use of waste materials, particularly those with porous structures, has become the subject of research as they have a great potential to be used as carrier mediums of PCMs. Apart from these, repurposing industrial by-products, biomass, wood-derived materials and other kind of wastes offer economic feasibility and environmental benefits aligned with circular economy principles</w:t>
            </w:r>
            <w:r>
              <w:rPr>
                <w:rFonts w:ascii="Times New Roman" w:hAnsi="Times New Roman" w:cs="Times New Roman"/>
                <w:sz w:val="20"/>
                <w:szCs w:val="20"/>
                <w:lang w:val="tr-TR"/>
              </w:rPr>
              <w:t>.</w:t>
            </w:r>
          </w:p>
          <w:p w:rsidR="00EA15F5" w:rsidRPr="008E2B2F" w:rsidRDefault="008E2B2F" w:rsidP="003F1089">
            <w:pPr>
              <w:shd w:val="clear" w:color="auto" w:fill="D9D9D9" w:themeFill="background1" w:themeFillShade="D9"/>
              <w:ind w:right="-21"/>
              <w:jc w:val="both"/>
              <w:rPr>
                <w:rFonts w:ascii="Times New Roman" w:hAnsi="Times New Roman" w:cs="Times New Roman"/>
                <w:sz w:val="20"/>
                <w:szCs w:val="20"/>
                <w:lang w:val="tr-TR"/>
              </w:rPr>
            </w:pPr>
            <w:r w:rsidRPr="008E2B2F">
              <w:rPr>
                <w:rFonts w:ascii="Times New Roman" w:hAnsi="Times New Roman" w:cs="Times New Roman"/>
                <w:sz w:val="20"/>
                <w:szCs w:val="20"/>
                <w:lang w:val="tr-TR"/>
              </w:rPr>
              <w:t>While the benefits of PCM application in buildings have been recognized, there is still a paucity of studies specifically addressing their combination with waste materials. This study aims to inspire further research, innovation, and mainstream adoption of the use of PCMs with waste materials, driving progress toward energy-efficient and environmentally conscious buildings.</w:t>
            </w:r>
          </w:p>
        </w:tc>
      </w:tr>
      <w:tr w:rsidR="0097784A" w:rsidRPr="0097784A" w:rsidTr="00192C46">
        <w:trPr>
          <w:trHeight w:val="274"/>
        </w:trPr>
        <w:tc>
          <w:tcPr>
            <w:tcW w:w="10150" w:type="dxa"/>
            <w:shd w:val="clear" w:color="auto" w:fill="FFFFFF" w:themeFill="background1"/>
          </w:tcPr>
          <w:p w:rsidR="00192C46" w:rsidRPr="0097784A" w:rsidRDefault="00192C46" w:rsidP="007D49B8">
            <w:pPr>
              <w:pStyle w:val="keywords"/>
              <w:spacing w:after="0"/>
              <w:ind w:firstLine="0"/>
              <w:rPr>
                <w:rFonts w:eastAsia="MS Mincho"/>
                <w:color w:val="000000" w:themeColor="text1"/>
                <w:sz w:val="20"/>
                <w:szCs w:val="20"/>
                <w:lang w:val="tr-TR"/>
              </w:rPr>
            </w:pPr>
          </w:p>
          <w:p w:rsidR="007D49B8" w:rsidRPr="0097784A" w:rsidRDefault="001558FC" w:rsidP="007D49B8">
            <w:pPr>
              <w:pStyle w:val="keywords"/>
              <w:spacing w:after="0"/>
              <w:ind w:firstLine="0"/>
              <w:rPr>
                <w:rFonts w:eastAsia="MS Mincho"/>
                <w:b w:val="0"/>
                <w:bCs w:val="0"/>
                <w:color w:val="000000" w:themeColor="text1"/>
                <w:sz w:val="20"/>
                <w:szCs w:val="20"/>
                <w:lang w:val="tr-TR"/>
              </w:rPr>
            </w:pPr>
            <w:r w:rsidRPr="0097784A">
              <w:rPr>
                <w:rFonts w:eastAsia="MS Mincho"/>
                <w:color w:val="000000" w:themeColor="text1"/>
                <w:sz w:val="20"/>
                <w:szCs w:val="20"/>
                <w:lang w:val="tr-TR"/>
              </w:rPr>
              <w:t>Keywords</w:t>
            </w:r>
            <w:r w:rsidR="007D49B8" w:rsidRPr="0097784A">
              <w:rPr>
                <w:rFonts w:eastAsia="MS Mincho"/>
                <w:color w:val="000000" w:themeColor="text1"/>
                <w:sz w:val="20"/>
                <w:szCs w:val="20"/>
                <w:lang w:val="tr-TR"/>
              </w:rPr>
              <w:t xml:space="preserve">: </w:t>
            </w:r>
            <w:r w:rsidR="00132A11">
              <w:rPr>
                <w:rFonts w:eastAsia="MS Mincho"/>
                <w:b w:val="0"/>
                <w:bCs w:val="0"/>
                <w:sz w:val="20"/>
                <w:szCs w:val="20"/>
                <w:lang w:val="tr-TR"/>
              </w:rPr>
              <w:t>Phase change material</w:t>
            </w:r>
            <w:r w:rsidR="009131C2" w:rsidRPr="00766F99">
              <w:rPr>
                <w:rFonts w:eastAsia="MS Mincho"/>
                <w:b w:val="0"/>
                <w:bCs w:val="0"/>
                <w:sz w:val="20"/>
                <w:szCs w:val="20"/>
                <w:lang w:val="tr-TR"/>
              </w:rPr>
              <w:t>,</w:t>
            </w:r>
            <w:r w:rsidR="00BA5E67">
              <w:rPr>
                <w:rFonts w:eastAsia="MS Mincho"/>
                <w:sz w:val="20"/>
                <w:szCs w:val="20"/>
                <w:lang w:val="tr-TR"/>
              </w:rPr>
              <w:t xml:space="preserve"> </w:t>
            </w:r>
            <w:r w:rsidR="00132A11">
              <w:rPr>
                <w:rFonts w:eastAsia="MS Mincho"/>
                <w:b w:val="0"/>
                <w:bCs w:val="0"/>
                <w:sz w:val="20"/>
                <w:szCs w:val="20"/>
                <w:lang w:val="tr-TR"/>
              </w:rPr>
              <w:t>Thermal energy storage</w:t>
            </w:r>
            <w:r w:rsidR="009131C2" w:rsidRPr="00766F99">
              <w:rPr>
                <w:rFonts w:eastAsia="MS Mincho"/>
                <w:b w:val="0"/>
                <w:bCs w:val="0"/>
                <w:sz w:val="20"/>
                <w:szCs w:val="20"/>
                <w:lang w:val="tr-TR"/>
              </w:rPr>
              <w:t xml:space="preserve">, </w:t>
            </w:r>
            <w:r w:rsidR="00132A11">
              <w:rPr>
                <w:rFonts w:eastAsia="MS Mincho"/>
                <w:b w:val="0"/>
                <w:bCs w:val="0"/>
                <w:sz w:val="20"/>
                <w:szCs w:val="20"/>
                <w:lang w:val="tr-TR"/>
              </w:rPr>
              <w:t>Latent heat</w:t>
            </w:r>
            <w:r w:rsidR="009131C2" w:rsidRPr="00766F99">
              <w:rPr>
                <w:rFonts w:eastAsia="MS Mincho"/>
                <w:b w:val="0"/>
                <w:bCs w:val="0"/>
                <w:sz w:val="20"/>
                <w:szCs w:val="20"/>
                <w:lang w:val="tr-TR"/>
              </w:rPr>
              <w:t xml:space="preserve">, </w:t>
            </w:r>
            <w:r w:rsidR="00132A11">
              <w:rPr>
                <w:rFonts w:eastAsia="MS Mincho"/>
                <w:b w:val="0"/>
                <w:bCs w:val="0"/>
                <w:sz w:val="20"/>
                <w:szCs w:val="20"/>
                <w:lang w:val="tr-TR"/>
              </w:rPr>
              <w:t xml:space="preserve">Waste materials, Thermal energy </w:t>
            </w:r>
            <w:r w:rsidR="008E2B2F">
              <w:rPr>
                <w:rFonts w:eastAsia="MS Mincho"/>
                <w:b w:val="0"/>
                <w:bCs w:val="0"/>
                <w:sz w:val="20"/>
                <w:szCs w:val="20"/>
                <w:lang w:val="tr-TR"/>
              </w:rPr>
              <w:t>efficiency</w:t>
            </w:r>
            <w:r w:rsidR="00132A11">
              <w:rPr>
                <w:rFonts w:eastAsia="MS Mincho"/>
                <w:b w:val="0"/>
                <w:bCs w:val="0"/>
                <w:sz w:val="20"/>
                <w:szCs w:val="20"/>
                <w:lang w:val="tr-TR"/>
              </w:rPr>
              <w:t xml:space="preserve"> in buildings </w:t>
            </w:r>
          </w:p>
          <w:p w:rsidR="001558FC" w:rsidRPr="0097784A" w:rsidRDefault="001558FC" w:rsidP="00432B5A">
            <w:pPr>
              <w:pStyle w:val="TRANSAffiliation"/>
              <w:jc w:val="both"/>
              <w:rPr>
                <w:i/>
                <w:color w:val="000000" w:themeColor="text1"/>
                <w:sz w:val="20"/>
              </w:rPr>
            </w:pPr>
          </w:p>
        </w:tc>
      </w:tr>
    </w:tbl>
    <w:p w:rsidR="002B0C7F" w:rsidRPr="002B0C7F" w:rsidRDefault="00B2099A" w:rsidP="009131C2">
      <w:pPr>
        <w:pStyle w:val="ListeParagraf"/>
        <w:numPr>
          <w:ilvl w:val="0"/>
          <w:numId w:val="6"/>
        </w:numPr>
        <w:autoSpaceDE w:val="0"/>
        <w:autoSpaceDN w:val="0"/>
        <w:adjustRightInd w:val="0"/>
        <w:spacing w:before="120" w:after="0"/>
        <w:ind w:left="426" w:right="-59" w:hanging="426"/>
        <w:jc w:val="both"/>
        <w:rPr>
          <w:rFonts w:ascii="Times New Roman" w:hAnsi="Times New Roman" w:cs="Times New Roman"/>
          <w:noProof/>
          <w:color w:val="000000" w:themeColor="text1"/>
        </w:rPr>
      </w:pPr>
      <w:r w:rsidRPr="0097784A">
        <w:rPr>
          <w:rFonts w:ascii="Times New Roman" w:hAnsi="Times New Roman" w:cs="Times New Roman"/>
          <w:b/>
          <w:color w:val="000000" w:themeColor="text1"/>
          <w:sz w:val="24"/>
          <w:szCs w:val="24"/>
        </w:rPr>
        <w:t>Introduction</w:t>
      </w:r>
      <w:r w:rsidR="001558FC" w:rsidRPr="0097784A">
        <w:rPr>
          <w:rFonts w:ascii="Times New Roman" w:hAnsi="Times New Roman" w:cs="Times New Roman"/>
          <w:b/>
          <w:color w:val="000000" w:themeColor="text1"/>
          <w:sz w:val="24"/>
          <w:szCs w:val="24"/>
        </w:rPr>
        <w:t xml:space="preserve"> </w:t>
      </w:r>
    </w:p>
    <w:p w:rsidR="001E1F7B" w:rsidRPr="001E1F7B" w:rsidRDefault="001E1F7B" w:rsidP="001E1F7B">
      <w:pPr>
        <w:autoSpaceDE w:val="0"/>
        <w:autoSpaceDN w:val="0"/>
        <w:adjustRightInd w:val="0"/>
        <w:spacing w:before="120" w:after="0"/>
        <w:ind w:right="-59"/>
        <w:jc w:val="both"/>
        <w:rPr>
          <w:rFonts w:ascii="Times New Roman" w:hAnsi="Times New Roman" w:cs="Times New Roman"/>
          <w:noProof/>
          <w:color w:val="000000" w:themeColor="text1"/>
        </w:rPr>
      </w:pPr>
      <w:r w:rsidRPr="001E1F7B">
        <w:rPr>
          <w:rFonts w:ascii="Times New Roman" w:hAnsi="Times New Roman" w:cs="Times New Roman"/>
          <w:noProof/>
          <w:color w:val="000000" w:themeColor="text1"/>
        </w:rPr>
        <w:t>The use of waste materials, such as recycled-plastic waste, wood sawdust waste, and industrial and agricultural solid waste, has been explored for their potential to be integrated with phase change materials (PCMs)  to create building materials that offer improved thermal performance and reduced environmental impact. This approach presents an opportunity to repurpose and recycle waste, contributing to the circular economy principles in the construction industry.</w:t>
      </w:r>
    </w:p>
    <w:p w:rsidR="001E1F7B" w:rsidRPr="001E1F7B" w:rsidRDefault="001E1F7B" w:rsidP="001E1F7B">
      <w:pPr>
        <w:autoSpaceDE w:val="0"/>
        <w:autoSpaceDN w:val="0"/>
        <w:adjustRightInd w:val="0"/>
        <w:spacing w:before="120" w:after="0"/>
        <w:ind w:right="-59"/>
        <w:jc w:val="both"/>
        <w:rPr>
          <w:rFonts w:ascii="Times New Roman" w:hAnsi="Times New Roman" w:cs="Times New Roman"/>
          <w:noProof/>
          <w:color w:val="000000" w:themeColor="text1"/>
        </w:rPr>
      </w:pPr>
      <w:r w:rsidRPr="001E1F7B">
        <w:rPr>
          <w:rFonts w:ascii="Times New Roman" w:hAnsi="Times New Roman" w:cs="Times New Roman"/>
          <w:noProof/>
          <w:color w:val="000000" w:themeColor="text1"/>
        </w:rPr>
        <w:t>PCM is a type of material that is able to store and release thermal energy during phase change processes [1].  There are different types of PCM</w:t>
      </w:r>
      <w:r w:rsidR="003F1089">
        <w:rPr>
          <w:rFonts w:ascii="Times New Roman" w:hAnsi="Times New Roman" w:cs="Times New Roman"/>
          <w:noProof/>
          <w:color w:val="000000" w:themeColor="text1"/>
        </w:rPr>
        <w:t>s</w:t>
      </w:r>
      <w:r w:rsidRPr="001E1F7B">
        <w:rPr>
          <w:rFonts w:ascii="Times New Roman" w:hAnsi="Times New Roman" w:cs="Times New Roman"/>
          <w:noProof/>
          <w:color w:val="000000" w:themeColor="text1"/>
        </w:rPr>
        <w:t xml:space="preserve"> available, including organic PCMs and inorganic PCMs. Organic PCMs, such as paraffin and fatty acids, are characterized by high latent heat and chemical stability; however, they often have low thermal conductivity and high fluidity, which can limit their heat transfer efficiency [2]. On the other hand, inorganic PCMs, such as salt hydrates and metal alloys, have higher thermal conductivity but lower latent heat compared to organic PCMs [3]. The selection of PCMs for building integration is crucial to ensure effective thermal energy storage and regulation within the desired temperature range for energy savings and comfort. Organic PCMs have been found to have a melting temperature and heat of fusion ranging from 19°C to 29°C and from 120 kJ/kg to 280 kJ/kg, respectively, making them suitable for building applications within this temperature range [4].</w:t>
      </w:r>
    </w:p>
    <w:p w:rsidR="003F1089" w:rsidRDefault="001E1F7B" w:rsidP="001E1F7B">
      <w:pPr>
        <w:autoSpaceDE w:val="0"/>
        <w:autoSpaceDN w:val="0"/>
        <w:adjustRightInd w:val="0"/>
        <w:spacing w:before="120" w:after="0"/>
        <w:ind w:right="-59"/>
        <w:jc w:val="both"/>
        <w:rPr>
          <w:rFonts w:ascii="Times New Roman" w:hAnsi="Times New Roman" w:cs="Times New Roman"/>
          <w:noProof/>
          <w:color w:val="000000" w:themeColor="text1"/>
        </w:rPr>
      </w:pPr>
      <w:r w:rsidRPr="001E1F7B">
        <w:rPr>
          <w:rFonts w:ascii="Times New Roman" w:hAnsi="Times New Roman" w:cs="Times New Roman"/>
          <w:noProof/>
          <w:color w:val="000000" w:themeColor="text1"/>
        </w:rPr>
        <w:t xml:space="preserve">Incorporating PCMs into traditional building structures is an effective approach to reduce the mismatch between energy supply and demand, thereby minimizing energy consumption for cooling and heating purposes. The </w:t>
      </w:r>
      <w:r w:rsidR="003F1089">
        <w:rPr>
          <w:rFonts w:ascii="Times New Roman" w:hAnsi="Times New Roman" w:cs="Times New Roman"/>
          <w:noProof/>
          <w:color w:val="000000" w:themeColor="text1"/>
        </w:rPr>
        <w:t xml:space="preserve">application of PCMs in buildings </w:t>
      </w:r>
      <w:r w:rsidRPr="001E1F7B">
        <w:rPr>
          <w:rFonts w:ascii="Times New Roman" w:hAnsi="Times New Roman" w:cs="Times New Roman"/>
          <w:noProof/>
          <w:color w:val="000000" w:themeColor="text1"/>
        </w:rPr>
        <w:t>extends to various building elements, including structural materials, plaster, mortar, insulation, and concrete structures. Previous studies successfully integrated micro-encapsulated PCMs into these building materials, highlighting the versatility and potential applications of PCMs in the construction industry [5]. However, selection of the integration method of PCM as well as the waste materials to be used has to meet some criteria in order for them to be utilized efficiently together. To prevent  the leakage issue of PCM in liquid state and its interference with cement hydration and adverse effects on concrete's mechanical properties, many researchers have employed multiple materials such as porous materials, metal</w:t>
      </w:r>
      <w:r w:rsidR="003F1089">
        <w:rPr>
          <w:rFonts w:ascii="Times New Roman" w:hAnsi="Times New Roman" w:cs="Times New Roman"/>
          <w:noProof/>
          <w:color w:val="000000" w:themeColor="text1"/>
        </w:rPr>
        <w:t>lic</w:t>
      </w:r>
      <w:r w:rsidRPr="001E1F7B">
        <w:rPr>
          <w:rFonts w:ascii="Times New Roman" w:hAnsi="Times New Roman" w:cs="Times New Roman"/>
          <w:noProof/>
          <w:color w:val="000000" w:themeColor="text1"/>
        </w:rPr>
        <w:t xml:space="preserve"> materials and polymer materials as a carrier for PCM. </w:t>
      </w:r>
      <w:r w:rsidR="003F1089">
        <w:rPr>
          <w:rFonts w:ascii="Times New Roman" w:hAnsi="Times New Roman" w:cs="Times New Roman"/>
          <w:noProof/>
          <w:color w:val="000000" w:themeColor="text1"/>
        </w:rPr>
        <w:t>Nevertheless</w:t>
      </w:r>
      <w:r w:rsidRPr="001E1F7B">
        <w:rPr>
          <w:rFonts w:ascii="Times New Roman" w:hAnsi="Times New Roman" w:cs="Times New Roman"/>
          <w:noProof/>
          <w:color w:val="000000" w:themeColor="text1"/>
        </w:rPr>
        <w:t xml:space="preserve">, porous materials have been considered to be more advantageous owing to their low cost, high specific surface area, easy availability and light weight. </w:t>
      </w:r>
    </w:p>
    <w:p w:rsidR="001E1F7B" w:rsidRPr="009131C2" w:rsidRDefault="001E1F7B" w:rsidP="001E1F7B">
      <w:pPr>
        <w:autoSpaceDE w:val="0"/>
        <w:autoSpaceDN w:val="0"/>
        <w:adjustRightInd w:val="0"/>
        <w:spacing w:before="120" w:after="0"/>
        <w:ind w:right="-59"/>
        <w:jc w:val="both"/>
        <w:rPr>
          <w:rFonts w:ascii="Times New Roman" w:hAnsi="Times New Roman" w:cs="Times New Roman"/>
          <w:noProof/>
          <w:color w:val="000000" w:themeColor="text1"/>
        </w:rPr>
      </w:pPr>
      <w:r w:rsidRPr="001E1F7B">
        <w:rPr>
          <w:rFonts w:ascii="Times New Roman" w:hAnsi="Times New Roman" w:cs="Times New Roman"/>
          <w:noProof/>
          <w:color w:val="000000" w:themeColor="text1"/>
        </w:rPr>
        <w:lastRenderedPageBreak/>
        <w:t>This study serves as a resource for researchers interested in the intersection of waste materials, PCMs, and sustainable building technologies. The insights provided aim to stimulate further exploration, innovation, and the widespread implementation of waste material encapsulated PCMs, contributing to the realization of energ</w:t>
      </w:r>
      <w:r w:rsidR="003F1089">
        <w:rPr>
          <w:rFonts w:ascii="Times New Roman" w:hAnsi="Times New Roman" w:cs="Times New Roman"/>
          <w:noProof/>
          <w:color w:val="000000" w:themeColor="text1"/>
        </w:rPr>
        <w:t xml:space="preserve">y-efficient and environmentally-friendly </w:t>
      </w:r>
      <w:r w:rsidRPr="001E1F7B">
        <w:rPr>
          <w:rFonts w:ascii="Times New Roman" w:hAnsi="Times New Roman" w:cs="Times New Roman"/>
          <w:noProof/>
          <w:color w:val="000000" w:themeColor="text1"/>
        </w:rPr>
        <w:t>buildings in the future.</w:t>
      </w:r>
    </w:p>
    <w:p w:rsidR="00AC74D5" w:rsidRPr="0097784A" w:rsidRDefault="00AC74D5" w:rsidP="007D49B8">
      <w:pPr>
        <w:autoSpaceDE w:val="0"/>
        <w:autoSpaceDN w:val="0"/>
        <w:adjustRightInd w:val="0"/>
        <w:spacing w:before="120" w:after="0"/>
        <w:ind w:right="-59"/>
        <w:jc w:val="both"/>
        <w:rPr>
          <w:rFonts w:ascii="Times New Roman" w:hAnsi="Times New Roman" w:cs="Times New Roman"/>
          <w:noProof/>
          <w:color w:val="000000" w:themeColor="text1"/>
        </w:rPr>
      </w:pPr>
    </w:p>
    <w:p w:rsidR="007D49B8" w:rsidRPr="0097784A" w:rsidRDefault="00AC74D5" w:rsidP="003159D2">
      <w:pPr>
        <w:pStyle w:val="ListeParagraf"/>
        <w:numPr>
          <w:ilvl w:val="0"/>
          <w:numId w:val="6"/>
        </w:numPr>
        <w:autoSpaceDE w:val="0"/>
        <w:autoSpaceDN w:val="0"/>
        <w:adjustRightInd w:val="0"/>
        <w:spacing w:after="120" w:line="276"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sz w:val="24"/>
          <w:szCs w:val="24"/>
        </w:rPr>
        <w:t xml:space="preserve">Application of PCMs into Buildings </w:t>
      </w:r>
    </w:p>
    <w:p w:rsidR="001E1F7B" w:rsidRDefault="001E1F7B" w:rsidP="00AC74D5">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1E1F7B">
        <w:rPr>
          <w:rFonts w:ascii="Times New Roman" w:eastAsia="Times New Roman" w:hAnsi="Times New Roman" w:cs="Times New Roman"/>
          <w:color w:val="000000" w:themeColor="text1"/>
          <w:shd w:val="clear" w:color="auto" w:fill="FFFFFF"/>
          <w:lang w:val="en-US" w:eastAsia="tr-TR"/>
        </w:rPr>
        <w:t>PCMs absorb or release a significant amount of energy while maintaining a constant temperature during the phase change, which makes them valuable for achieving energy efficiency, thermal comfort, and sustainability</w:t>
      </w:r>
      <w:r w:rsidR="006D5F2B">
        <w:rPr>
          <w:rFonts w:ascii="Times New Roman" w:eastAsia="Times New Roman" w:hAnsi="Times New Roman" w:cs="Times New Roman"/>
          <w:color w:val="000000" w:themeColor="text1"/>
          <w:shd w:val="clear" w:color="auto" w:fill="FFFFFF"/>
          <w:lang w:val="en-US" w:eastAsia="tr-TR"/>
        </w:rPr>
        <w:t xml:space="preserve"> in the built environment.  Figure 1 </w:t>
      </w:r>
      <w:r w:rsidRPr="001E1F7B">
        <w:rPr>
          <w:rFonts w:ascii="Times New Roman" w:eastAsia="Times New Roman" w:hAnsi="Times New Roman" w:cs="Times New Roman"/>
          <w:color w:val="000000" w:themeColor="text1"/>
          <w:shd w:val="clear" w:color="auto" w:fill="FFFFFF"/>
          <w:lang w:val="en-US" w:eastAsia="tr-TR"/>
        </w:rPr>
        <w:t>shows the working principle of PCMs.</w:t>
      </w:r>
    </w:p>
    <w:p w:rsidR="001E1F7B" w:rsidRDefault="0000507F" w:rsidP="00AC74D5">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Pr>
          <w:rFonts w:ascii="Times New Roman" w:eastAsia="Times New Roman" w:hAnsi="Times New Roman" w:cs="Times New Roman"/>
          <w:noProof/>
          <w:color w:val="000000" w:themeColor="text1"/>
          <w:shd w:val="clear" w:color="auto" w:fill="FFFFFF"/>
          <w:lang w:eastAsia="tr-TR"/>
        </w:rPr>
        <w:drawing>
          <wp:inline distT="0" distB="0" distL="0" distR="0">
            <wp:extent cx="2278476" cy="1964658"/>
            <wp:effectExtent l="19050" t="0" r="7524" b="0"/>
            <wp:docPr id="2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279060" cy="1965162"/>
                    </a:xfrm>
                    <a:prstGeom prst="rect">
                      <a:avLst/>
                    </a:prstGeom>
                    <a:noFill/>
                    <a:ln w="9525">
                      <a:noFill/>
                      <a:miter lim="800000"/>
                      <a:headEnd/>
                      <a:tailEnd/>
                    </a:ln>
                  </pic:spPr>
                </pic:pic>
              </a:graphicData>
            </a:graphic>
          </wp:inline>
        </w:drawing>
      </w:r>
    </w:p>
    <w:p w:rsidR="006D5F2B" w:rsidRPr="006D5F2B" w:rsidRDefault="006D5F2B" w:rsidP="00AC74D5">
      <w:pPr>
        <w:autoSpaceDE w:val="0"/>
        <w:autoSpaceDN w:val="0"/>
        <w:adjustRightInd w:val="0"/>
        <w:jc w:val="both"/>
        <w:rPr>
          <w:rFonts w:ascii="Times New Roman" w:eastAsia="Times New Roman" w:hAnsi="Times New Roman" w:cs="Times New Roman"/>
          <w:color w:val="000000" w:themeColor="text1"/>
          <w:sz w:val="20"/>
          <w:shd w:val="clear" w:color="auto" w:fill="FFFFFF"/>
          <w:lang w:val="en-US" w:eastAsia="tr-TR"/>
        </w:rPr>
      </w:pPr>
      <w:r w:rsidRPr="006D5F2B">
        <w:rPr>
          <w:rFonts w:ascii="Times New Roman" w:eastAsia="Times New Roman" w:hAnsi="Times New Roman" w:cs="Times New Roman"/>
          <w:b/>
          <w:color w:val="000000" w:themeColor="text1"/>
          <w:sz w:val="20"/>
          <w:shd w:val="clear" w:color="auto" w:fill="FFFFFF"/>
          <w:lang w:val="en-US" w:eastAsia="tr-TR"/>
        </w:rPr>
        <w:t>Figure 1.</w:t>
      </w:r>
      <w:r w:rsidRPr="006D5F2B">
        <w:rPr>
          <w:rFonts w:ascii="Times New Roman" w:eastAsia="Times New Roman" w:hAnsi="Times New Roman" w:cs="Times New Roman"/>
          <w:color w:val="000000" w:themeColor="text1"/>
          <w:sz w:val="20"/>
          <w:shd w:val="clear" w:color="auto" w:fill="FFFFFF"/>
          <w:lang w:val="en-US" w:eastAsia="tr-TR"/>
        </w:rPr>
        <w:t xml:space="preserve"> Working principle of PCMs</w:t>
      </w:r>
    </w:p>
    <w:p w:rsidR="006D5F2B" w:rsidRDefault="006D5F2B" w:rsidP="00AC74D5">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p>
    <w:p w:rsidR="001E1F7B" w:rsidRDefault="001E1F7B" w:rsidP="00AC74D5">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1E1F7B">
        <w:rPr>
          <w:rFonts w:ascii="Times New Roman" w:eastAsia="Times New Roman" w:hAnsi="Times New Roman" w:cs="Times New Roman"/>
          <w:color w:val="000000" w:themeColor="text1"/>
          <w:shd w:val="clear" w:color="auto" w:fill="FFFFFF"/>
          <w:lang w:val="en-US" w:eastAsia="tr-TR"/>
        </w:rPr>
        <w:t>PCMs can be used in walls, wallboards, floors, ceilings, roofs, trombe walls, solar façades, insulation mater</w:t>
      </w:r>
      <w:r w:rsidR="006D5F2B">
        <w:rPr>
          <w:rFonts w:ascii="Times New Roman" w:eastAsia="Times New Roman" w:hAnsi="Times New Roman" w:cs="Times New Roman"/>
          <w:color w:val="000000" w:themeColor="text1"/>
          <w:shd w:val="clear" w:color="auto" w:fill="FFFFFF"/>
          <w:lang w:val="en-US" w:eastAsia="tr-TR"/>
        </w:rPr>
        <w:t xml:space="preserve">ials and plastering mortar. Figure 2 </w:t>
      </w:r>
      <w:r w:rsidRPr="001E1F7B">
        <w:rPr>
          <w:rFonts w:ascii="Times New Roman" w:eastAsia="Times New Roman" w:hAnsi="Times New Roman" w:cs="Times New Roman"/>
          <w:color w:val="000000" w:themeColor="text1"/>
          <w:shd w:val="clear" w:color="auto" w:fill="FFFFFF"/>
          <w:lang w:val="en-US" w:eastAsia="tr-TR"/>
        </w:rPr>
        <w:t>show an example for the use of PCMs in floors.</w:t>
      </w:r>
    </w:p>
    <w:p w:rsidR="001E1F7B" w:rsidRDefault="00812E74" w:rsidP="00AC74D5">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object w:dxaOrig="4320" w:dyaOrig="3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159pt" o:ole="">
            <v:imagedata r:id="rId12" o:title=""/>
          </v:shape>
          <o:OLEObject Type="Embed" ProgID="Paint.Picture.1" ShapeID="_x0000_i1025" DrawAspect="Content" ObjectID="_1764596584" r:id="rId13"/>
        </w:object>
      </w:r>
      <w:bookmarkStart w:id="0" w:name="_GoBack"/>
      <w:bookmarkEnd w:id="0"/>
    </w:p>
    <w:p w:rsidR="006D5F2B" w:rsidRPr="006D5F2B" w:rsidRDefault="006D5F2B" w:rsidP="006D5F2B">
      <w:pPr>
        <w:autoSpaceDE w:val="0"/>
        <w:autoSpaceDN w:val="0"/>
        <w:adjustRightInd w:val="0"/>
        <w:jc w:val="both"/>
        <w:rPr>
          <w:rFonts w:ascii="Times New Roman" w:eastAsia="Times New Roman" w:hAnsi="Times New Roman" w:cs="Times New Roman"/>
          <w:color w:val="000000" w:themeColor="text1"/>
          <w:sz w:val="20"/>
          <w:shd w:val="clear" w:color="auto" w:fill="FFFFFF"/>
          <w:lang w:val="en-US" w:eastAsia="tr-TR"/>
        </w:rPr>
      </w:pPr>
      <w:r w:rsidRPr="006D5F2B">
        <w:rPr>
          <w:rFonts w:ascii="Times New Roman" w:eastAsia="Times New Roman" w:hAnsi="Times New Roman" w:cs="Times New Roman"/>
          <w:b/>
          <w:color w:val="000000" w:themeColor="text1"/>
          <w:sz w:val="20"/>
          <w:shd w:val="clear" w:color="auto" w:fill="FFFFFF"/>
          <w:lang w:val="en-US" w:eastAsia="tr-TR"/>
        </w:rPr>
        <w:t xml:space="preserve">Figure </w:t>
      </w:r>
      <w:r>
        <w:rPr>
          <w:rFonts w:ascii="Times New Roman" w:eastAsia="Times New Roman" w:hAnsi="Times New Roman" w:cs="Times New Roman"/>
          <w:b/>
          <w:color w:val="000000" w:themeColor="text1"/>
          <w:sz w:val="20"/>
          <w:shd w:val="clear" w:color="auto" w:fill="FFFFFF"/>
          <w:lang w:val="en-US" w:eastAsia="tr-TR"/>
        </w:rPr>
        <w:t>2</w:t>
      </w:r>
      <w:r w:rsidRPr="006D5F2B">
        <w:rPr>
          <w:rFonts w:ascii="Times New Roman" w:eastAsia="Times New Roman" w:hAnsi="Times New Roman" w:cs="Times New Roman"/>
          <w:b/>
          <w:color w:val="000000" w:themeColor="text1"/>
          <w:sz w:val="20"/>
          <w:shd w:val="clear" w:color="auto" w:fill="FFFFFF"/>
          <w:lang w:val="en-US" w:eastAsia="tr-TR"/>
        </w:rPr>
        <w:t>.</w:t>
      </w:r>
      <w:r w:rsidRPr="006D5F2B">
        <w:rPr>
          <w:rFonts w:ascii="Times New Roman" w:eastAsia="Times New Roman" w:hAnsi="Times New Roman" w:cs="Times New Roman"/>
          <w:color w:val="000000" w:themeColor="text1"/>
          <w:sz w:val="20"/>
          <w:shd w:val="clear" w:color="auto" w:fill="FFFFFF"/>
          <w:lang w:val="en-US" w:eastAsia="tr-TR"/>
        </w:rPr>
        <w:t xml:space="preserve"> </w:t>
      </w:r>
      <w:r>
        <w:rPr>
          <w:rFonts w:ascii="Times New Roman" w:eastAsia="Times New Roman" w:hAnsi="Times New Roman" w:cs="Times New Roman"/>
          <w:color w:val="000000" w:themeColor="text1"/>
          <w:sz w:val="20"/>
          <w:shd w:val="clear" w:color="auto" w:fill="FFFFFF"/>
          <w:lang w:val="en-US" w:eastAsia="tr-TR"/>
        </w:rPr>
        <w:t>The use of PCMs in floors</w:t>
      </w:r>
    </w:p>
    <w:p w:rsidR="006D5F2B" w:rsidRDefault="006D5F2B" w:rsidP="00AC74D5">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p>
    <w:p w:rsidR="001E1F7B" w:rsidRPr="001E1F7B" w:rsidRDefault="001E1F7B" w:rsidP="001E1F7B">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1E1F7B">
        <w:rPr>
          <w:rFonts w:ascii="Times New Roman" w:eastAsia="Times New Roman" w:hAnsi="Times New Roman" w:cs="Times New Roman"/>
          <w:color w:val="000000" w:themeColor="text1"/>
          <w:shd w:val="clear" w:color="auto" w:fill="FFFFFF"/>
          <w:lang w:val="en-US" w:eastAsia="tr-TR"/>
        </w:rPr>
        <w:t>Practically, PCMs are incorporated into building components by four main methods: i) Direct inco</w:t>
      </w:r>
      <w:r w:rsidR="007802BC">
        <w:rPr>
          <w:rFonts w:ascii="Times New Roman" w:eastAsia="Times New Roman" w:hAnsi="Times New Roman" w:cs="Times New Roman"/>
          <w:color w:val="000000" w:themeColor="text1"/>
          <w:shd w:val="clear" w:color="auto" w:fill="FFFFFF"/>
          <w:lang w:val="en-US" w:eastAsia="tr-TR"/>
        </w:rPr>
        <w:t xml:space="preserve">rporation, ii) immersion, iii) </w:t>
      </w:r>
      <w:r w:rsidRPr="001E1F7B">
        <w:rPr>
          <w:rFonts w:ascii="Times New Roman" w:eastAsia="Times New Roman" w:hAnsi="Times New Roman" w:cs="Times New Roman"/>
          <w:color w:val="000000" w:themeColor="text1"/>
          <w:shd w:val="clear" w:color="auto" w:fill="FFFFFF"/>
          <w:lang w:val="en-US" w:eastAsia="tr-TR"/>
        </w:rPr>
        <w:t>Encapsulation, mi</w:t>
      </w:r>
      <w:r w:rsidR="001F236D">
        <w:rPr>
          <w:rFonts w:ascii="Times New Roman" w:eastAsia="Times New Roman" w:hAnsi="Times New Roman" w:cs="Times New Roman"/>
          <w:color w:val="000000" w:themeColor="text1"/>
          <w:shd w:val="clear" w:color="auto" w:fill="FFFFFF"/>
          <w:lang w:val="en-US" w:eastAsia="tr-TR"/>
        </w:rPr>
        <w:t>cro or macro encapsulation, iv)</w:t>
      </w:r>
      <w:r w:rsidRPr="001E1F7B">
        <w:rPr>
          <w:rFonts w:ascii="Times New Roman" w:eastAsia="Times New Roman" w:hAnsi="Times New Roman" w:cs="Times New Roman"/>
          <w:color w:val="000000" w:themeColor="text1"/>
          <w:shd w:val="clear" w:color="auto" w:fill="FFFFFF"/>
          <w:lang w:val="en-US" w:eastAsia="tr-TR"/>
        </w:rPr>
        <w:t xml:space="preserve">stabilization, shape stabilization or form stabilization [6]. </w:t>
      </w:r>
    </w:p>
    <w:p w:rsidR="001E1F7B" w:rsidRDefault="001E1F7B" w:rsidP="001E1F7B">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1E1F7B">
        <w:rPr>
          <w:rFonts w:ascii="Times New Roman" w:eastAsia="Times New Roman" w:hAnsi="Times New Roman" w:cs="Times New Roman"/>
          <w:color w:val="000000" w:themeColor="text1"/>
          <w:shd w:val="clear" w:color="auto" w:fill="FFFFFF"/>
          <w:lang w:val="en-US" w:eastAsia="tr-TR"/>
        </w:rPr>
        <w:t xml:space="preserve">The direct incorporation method involves adding PCMs in powder or liquid state directly to construction materials like gypsum mortar, cement mortar, and concrete mixture. This method is the easiest and most economical, as it does not require specialized expertise. </w:t>
      </w:r>
      <w:r w:rsidR="003F1089">
        <w:rPr>
          <w:rFonts w:ascii="Times New Roman" w:eastAsia="Times New Roman" w:hAnsi="Times New Roman" w:cs="Times New Roman"/>
          <w:color w:val="000000" w:themeColor="text1"/>
          <w:shd w:val="clear" w:color="auto" w:fill="FFFFFF"/>
          <w:lang w:val="en-US" w:eastAsia="tr-TR"/>
        </w:rPr>
        <w:t>Nonetheless</w:t>
      </w:r>
      <w:r w:rsidRPr="001E1F7B">
        <w:rPr>
          <w:rFonts w:ascii="Times New Roman" w:eastAsia="Times New Roman" w:hAnsi="Times New Roman" w:cs="Times New Roman"/>
          <w:color w:val="000000" w:themeColor="text1"/>
          <w:shd w:val="clear" w:color="auto" w:fill="FFFFFF"/>
          <w:lang w:val="en-US" w:eastAsia="tr-TR"/>
        </w:rPr>
        <w:t xml:space="preserve">, a major drawback is the potential leakage of PCM during the melting phase, leading to material incompatibility and an increased risk of fire, especially for flammable PCMs. On the other hand, the immersion method entails immersing a porous material into liquid PCM, which is then absorbed through capillarity. Drawbacks of this method include potential leakage, construction incompatibility, and corrosion of reinforced steel when incorporated with concrete elements, affecting their service life [7]. In contrast, encapsulation is a suitable method to address leakage issues of PCM </w:t>
      </w:r>
      <w:r w:rsidRPr="001E1F7B">
        <w:rPr>
          <w:rFonts w:ascii="Times New Roman" w:eastAsia="Times New Roman" w:hAnsi="Times New Roman" w:cs="Times New Roman"/>
          <w:color w:val="000000" w:themeColor="text1"/>
          <w:shd w:val="clear" w:color="auto" w:fill="FFFFFF"/>
          <w:lang w:val="en-US" w:eastAsia="tr-TR"/>
        </w:rPr>
        <w:lastRenderedPageBreak/>
        <w:t xml:space="preserve">and enhance its compatibility with building structures. This involves covering the PCM with a protective shell to prevent leakage and protect it from the external environment. PCM can be macroencapsulated using shells, spheres, tubes, channels, </w:t>
      </w:r>
      <w:r w:rsidR="006D5F2B">
        <w:rPr>
          <w:rFonts w:ascii="Times New Roman" w:eastAsia="Times New Roman" w:hAnsi="Times New Roman" w:cs="Times New Roman"/>
          <w:color w:val="000000" w:themeColor="text1"/>
          <w:shd w:val="clear" w:color="auto" w:fill="FFFFFF"/>
          <w:lang w:val="en-US" w:eastAsia="tr-TR"/>
        </w:rPr>
        <w:t>and thin plates, as shown in Figure 3</w:t>
      </w:r>
      <w:r w:rsidRPr="001E1F7B">
        <w:rPr>
          <w:rFonts w:ascii="Times New Roman" w:eastAsia="Times New Roman" w:hAnsi="Times New Roman" w:cs="Times New Roman"/>
          <w:color w:val="000000" w:themeColor="text1"/>
          <w:shd w:val="clear" w:color="auto" w:fill="FFFFFF"/>
          <w:lang w:val="en-US" w:eastAsia="tr-TR"/>
        </w:rPr>
        <w:t>, or microencapsulated when the microsized PCM is covered by a unique polymeric material.</w:t>
      </w:r>
    </w:p>
    <w:p w:rsidR="00AC74D5" w:rsidRDefault="00F61335" w:rsidP="00AC74D5">
      <w:pPr>
        <w:keepNext/>
        <w:autoSpaceDE w:val="0"/>
        <w:autoSpaceDN w:val="0"/>
        <w:adjustRightInd w:val="0"/>
        <w:spacing w:before="240" w:after="360"/>
        <w:rPr>
          <w:color w:val="000000" w:themeColor="text1"/>
        </w:rPr>
      </w:pPr>
      <w:r>
        <w:rPr>
          <w:rFonts w:ascii="Times New Roman" w:eastAsia="Times New Roman" w:hAnsi="Times New Roman" w:cs="Times New Roman"/>
          <w:noProof/>
          <w:color w:val="000000" w:themeColor="text1"/>
          <w:lang w:eastAsia="tr-TR"/>
        </w:rPr>
        <w:pict>
          <v:shapetype id="_x0000_t202" coordsize="21600,21600" o:spt="202" path="m,l,21600r21600,l21600,xe">
            <v:stroke joinstyle="miter"/>
            <v:path gradientshapeok="t" o:connecttype="rect"/>
          </v:shapetype>
          <v:shape id="_x0000_s1032" type="#_x0000_t202" style="position:absolute;margin-left:223pt;margin-top:9.55pt;width:18.6pt;height:20.4pt;z-index:251664384;mso-width-relative:margin;mso-height-relative:margin" fillcolor="#d8d8d8 [2732]" stroked="f">
            <v:textbox style="mso-next-textbox:#_x0000_s1032">
              <w:txbxContent>
                <w:p w:rsidR="00796EC2" w:rsidRDefault="00796EC2" w:rsidP="0000507F">
                  <w:r>
                    <w:t>d</w:t>
                  </w:r>
                </w:p>
              </w:txbxContent>
            </v:textbox>
          </v:shape>
        </w:pict>
      </w:r>
      <w:r>
        <w:rPr>
          <w:rFonts w:ascii="Times New Roman" w:eastAsia="Times New Roman" w:hAnsi="Times New Roman" w:cs="Times New Roman"/>
          <w:noProof/>
          <w:color w:val="000000" w:themeColor="text1"/>
          <w:lang w:eastAsia="tr-TR"/>
        </w:rPr>
        <w:pict>
          <v:shape id="_x0000_s1031" type="#_x0000_t202" style="position:absolute;margin-left:112.35pt;margin-top:9.55pt;width:18.6pt;height:20.4pt;z-index:251663360;mso-width-relative:margin;mso-height-relative:margin" fillcolor="#d8d8d8 [2732]" stroked="f">
            <v:textbox style="mso-next-textbox:#_x0000_s1031">
              <w:txbxContent>
                <w:p w:rsidR="00796EC2" w:rsidRDefault="00796EC2" w:rsidP="0000507F">
                  <w:r>
                    <w:t>c</w:t>
                  </w:r>
                </w:p>
              </w:txbxContent>
            </v:textbox>
          </v:shape>
        </w:pict>
      </w:r>
      <w:r>
        <w:rPr>
          <w:rFonts w:ascii="Times New Roman" w:eastAsia="Times New Roman" w:hAnsi="Times New Roman" w:cs="Times New Roman"/>
          <w:noProof/>
          <w:color w:val="000000" w:themeColor="text1"/>
          <w:lang w:eastAsia="tr-TR"/>
        </w:rPr>
        <w:pict>
          <v:shape id="_x0000_s1030" type="#_x0000_t202" style="position:absolute;margin-left:1.1pt;margin-top:7.8pt;width:18.6pt;height:20.4pt;z-index:251662336;mso-width-relative:margin;mso-height-relative:margin" fillcolor="#d8d8d8 [2732]" stroked="f">
            <v:textbox style="mso-next-textbox:#_x0000_s1030">
              <w:txbxContent>
                <w:p w:rsidR="00796EC2" w:rsidRDefault="00796EC2" w:rsidP="0000507F">
                  <w:r>
                    <w:t>b</w:t>
                  </w:r>
                </w:p>
              </w:txbxContent>
            </v:textbox>
          </v:shape>
        </w:pict>
      </w:r>
      <w:r>
        <w:rPr>
          <w:rFonts w:ascii="Times New Roman" w:eastAsia="Times New Roman" w:hAnsi="Times New Roman" w:cs="Times New Roman"/>
          <w:noProof/>
          <w:color w:val="000000" w:themeColor="text1"/>
          <w:shd w:val="clear" w:color="auto" w:fill="FFFFFF"/>
          <w:lang w:val="en-US" w:eastAsia="tr-TR"/>
        </w:rPr>
        <w:pict>
          <v:shape id="_x0000_s1029" type="#_x0000_t202" style="position:absolute;margin-left:-97.8pt;margin-top:7.8pt;width:18.6pt;height:20.4pt;z-index:251661312;mso-width-relative:margin;mso-height-relative:margin" fillcolor="#d8d8d8 [2732]" stroked="f">
            <v:textbox style="mso-next-textbox:#_x0000_s1029">
              <w:txbxContent>
                <w:p w:rsidR="00796EC2" w:rsidRDefault="00796EC2">
                  <w:r>
                    <w:t>a</w:t>
                  </w:r>
                </w:p>
              </w:txbxContent>
            </v:textbox>
          </v:shape>
        </w:pict>
      </w:r>
      <w:r w:rsidR="00AC74D5" w:rsidRPr="00AC74D5">
        <w:rPr>
          <w:noProof/>
          <w:color w:val="000000" w:themeColor="text1"/>
          <w:lang w:eastAsia="tr-TR"/>
        </w:rPr>
        <w:drawing>
          <wp:inline distT="0" distB="0" distL="0" distR="0">
            <wp:extent cx="1288194" cy="1125415"/>
            <wp:effectExtent l="19050" t="0" r="7206" b="0"/>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99036" cy="1134887"/>
                    </a:xfrm>
                    <a:prstGeom prst="rect">
                      <a:avLst/>
                    </a:prstGeom>
                    <a:noFill/>
                    <a:ln w="9525">
                      <a:noFill/>
                      <a:miter lim="800000"/>
                      <a:headEnd/>
                      <a:tailEnd/>
                    </a:ln>
                  </pic:spPr>
                </pic:pic>
              </a:graphicData>
            </a:graphic>
          </wp:inline>
        </w:drawing>
      </w:r>
      <w:bookmarkStart w:id="1" w:name="f1"/>
      <w:r w:rsidR="0000507F">
        <w:rPr>
          <w:noProof/>
          <w:color w:val="000000" w:themeColor="text1"/>
          <w:lang w:eastAsia="tr-TR"/>
        </w:rPr>
        <w:t xml:space="preserve">   </w:t>
      </w:r>
      <w:r w:rsidR="001E1F7B" w:rsidRPr="001E1F7B">
        <w:rPr>
          <w:noProof/>
          <w:color w:val="000000" w:themeColor="text1"/>
          <w:lang w:eastAsia="tr-TR"/>
        </w:rPr>
        <w:drawing>
          <wp:inline distT="0" distB="0" distL="0" distR="0">
            <wp:extent cx="1284458" cy="1115367"/>
            <wp:effectExtent l="1905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295106" cy="1124614"/>
                    </a:xfrm>
                    <a:prstGeom prst="rect">
                      <a:avLst/>
                    </a:prstGeom>
                    <a:noFill/>
                    <a:ln w="9525">
                      <a:noFill/>
                      <a:miter lim="800000"/>
                      <a:headEnd/>
                      <a:tailEnd/>
                    </a:ln>
                  </pic:spPr>
                </pic:pic>
              </a:graphicData>
            </a:graphic>
          </wp:inline>
        </w:drawing>
      </w:r>
      <w:r w:rsidR="0000507F">
        <w:rPr>
          <w:noProof/>
          <w:color w:val="000000" w:themeColor="text1"/>
          <w:lang w:eastAsia="tr-TR"/>
        </w:rPr>
        <w:t xml:space="preserve">   </w:t>
      </w:r>
      <w:r w:rsidR="001E1F7B" w:rsidRPr="001E1F7B">
        <w:rPr>
          <w:noProof/>
          <w:color w:val="000000" w:themeColor="text1"/>
          <w:lang w:eastAsia="tr-TR"/>
        </w:rPr>
        <w:drawing>
          <wp:inline distT="0" distB="0" distL="0" distR="0">
            <wp:extent cx="1450943" cy="1112704"/>
            <wp:effectExtent l="19050" t="0" r="0" b="0"/>
            <wp:docPr id="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460560" cy="1120079"/>
                    </a:xfrm>
                    <a:prstGeom prst="rect">
                      <a:avLst/>
                    </a:prstGeom>
                    <a:noFill/>
                    <a:ln w="9525">
                      <a:noFill/>
                      <a:miter lim="800000"/>
                      <a:headEnd/>
                      <a:tailEnd/>
                    </a:ln>
                  </pic:spPr>
                </pic:pic>
              </a:graphicData>
            </a:graphic>
          </wp:inline>
        </w:drawing>
      </w:r>
      <w:r w:rsidR="0000507F" w:rsidRPr="0000507F">
        <w:rPr>
          <w:noProof/>
          <w:color w:val="000000" w:themeColor="text1"/>
          <w:lang w:eastAsia="tr-TR"/>
        </w:rPr>
        <w:t xml:space="preserve"> </w:t>
      </w:r>
      <w:r w:rsidR="0000507F" w:rsidRPr="0000507F">
        <w:rPr>
          <w:noProof/>
          <w:color w:val="000000" w:themeColor="text1"/>
          <w:lang w:eastAsia="tr-TR"/>
        </w:rPr>
        <w:drawing>
          <wp:anchor distT="0" distB="0" distL="114300" distR="114300" simplePos="0" relativeHeight="251659264" behindDoc="0" locked="0" layoutInCell="1" allowOverlap="1">
            <wp:simplePos x="0" y="0"/>
            <wp:positionH relativeFrom="column">
              <wp:posOffset>215959</wp:posOffset>
            </wp:positionH>
            <wp:positionV relativeFrom="paragraph">
              <wp:posOffset>105741</wp:posOffset>
            </wp:positionV>
            <wp:extent cx="1125871" cy="1121869"/>
            <wp:effectExtent l="19050" t="0" r="0" b="0"/>
            <wp:wrapSquare wrapText="bothSides"/>
            <wp:docPr id="22" name="Resim 2" descr="C:\Users\BurCu\Desktop\Clay-bricks-including-PCM-macrocapsule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Cu\Desktop\Clay-bricks-including-PCM-macrocapsules-41.png"/>
                    <pic:cNvPicPr>
                      <a:picLocks noChangeAspect="1" noChangeArrowheads="1"/>
                    </pic:cNvPicPr>
                  </pic:nvPicPr>
                  <pic:blipFill>
                    <a:blip r:embed="rId17" cstate="print"/>
                    <a:srcRect/>
                    <a:stretch>
                      <a:fillRect/>
                    </a:stretch>
                  </pic:blipFill>
                  <pic:spPr bwMode="auto">
                    <a:xfrm>
                      <a:off x="0" y="0"/>
                      <a:ext cx="1125871" cy="1121869"/>
                    </a:xfrm>
                    <a:prstGeom prst="rect">
                      <a:avLst/>
                    </a:prstGeom>
                    <a:noFill/>
                    <a:ln w="9525">
                      <a:noFill/>
                      <a:miter lim="800000"/>
                      <a:headEnd/>
                      <a:tailEnd/>
                    </a:ln>
                  </pic:spPr>
                </pic:pic>
              </a:graphicData>
            </a:graphic>
          </wp:anchor>
        </w:drawing>
      </w:r>
    </w:p>
    <w:p w:rsidR="00C00D5F" w:rsidRPr="006D5F2B" w:rsidRDefault="007D49B8" w:rsidP="00AC74D5">
      <w:pPr>
        <w:keepNext/>
        <w:autoSpaceDE w:val="0"/>
        <w:autoSpaceDN w:val="0"/>
        <w:adjustRightInd w:val="0"/>
        <w:spacing w:before="240" w:after="360"/>
        <w:rPr>
          <w:rFonts w:ascii="Times New Roman" w:hAnsi="Times New Roman" w:cs="Times New Roman"/>
          <w:color w:val="FF0000"/>
          <w:sz w:val="20"/>
          <w:szCs w:val="20"/>
        </w:rPr>
      </w:pPr>
      <w:r w:rsidRPr="006D5F2B">
        <w:rPr>
          <w:rFonts w:ascii="Times New Roman" w:hAnsi="Times New Roman" w:cs="Times New Roman"/>
          <w:b/>
          <w:color w:val="000000" w:themeColor="text1"/>
          <w:sz w:val="20"/>
          <w:szCs w:val="20"/>
        </w:rPr>
        <w:t xml:space="preserve">Figure </w:t>
      </w:r>
      <w:r w:rsidR="006D5F2B" w:rsidRPr="006D5F2B">
        <w:rPr>
          <w:rFonts w:ascii="Times New Roman" w:hAnsi="Times New Roman" w:cs="Times New Roman"/>
          <w:b/>
          <w:noProof/>
          <w:color w:val="000000" w:themeColor="text1"/>
          <w:sz w:val="20"/>
          <w:szCs w:val="20"/>
        </w:rPr>
        <w:t>3</w:t>
      </w:r>
      <w:r w:rsidR="0097784A" w:rsidRPr="006D5F2B">
        <w:rPr>
          <w:rFonts w:ascii="Times New Roman" w:hAnsi="Times New Roman" w:cs="Times New Roman"/>
          <w:b/>
          <w:noProof/>
          <w:color w:val="000000" w:themeColor="text1"/>
          <w:sz w:val="20"/>
          <w:szCs w:val="20"/>
        </w:rPr>
        <w:t>.</w:t>
      </w:r>
      <w:r w:rsidRPr="006D5F2B">
        <w:rPr>
          <w:rFonts w:ascii="Times New Roman" w:hAnsi="Times New Roman" w:cs="Times New Roman"/>
          <w:color w:val="000000" w:themeColor="text1"/>
          <w:sz w:val="20"/>
          <w:szCs w:val="20"/>
        </w:rPr>
        <w:t xml:space="preserve"> </w:t>
      </w:r>
      <w:bookmarkEnd w:id="1"/>
      <w:r w:rsidR="001E1F7B" w:rsidRPr="006D5F2B">
        <w:rPr>
          <w:rFonts w:ascii="Times New Roman" w:hAnsi="Times New Roman" w:cs="Times New Roman"/>
          <w:color w:val="000000" w:themeColor="text1"/>
          <w:sz w:val="20"/>
          <w:szCs w:val="20"/>
        </w:rPr>
        <w:t xml:space="preserve">Some macro-encapsulation forms used in buildings </w:t>
      </w:r>
      <w:r w:rsidR="00660606">
        <w:rPr>
          <w:rFonts w:ascii="Times New Roman" w:hAnsi="Times New Roman" w:cs="Times New Roman"/>
          <w:color w:val="000000" w:themeColor="text1"/>
          <w:sz w:val="20"/>
          <w:szCs w:val="20"/>
        </w:rPr>
        <w:t>a</w:t>
      </w:r>
      <w:r w:rsidR="001E1F7B" w:rsidRPr="006D5F2B">
        <w:rPr>
          <w:rFonts w:ascii="Times New Roman" w:hAnsi="Times New Roman" w:cs="Times New Roman"/>
          <w:color w:val="000000" w:themeColor="text1"/>
          <w:sz w:val="20"/>
          <w:szCs w:val="20"/>
        </w:rPr>
        <w:t>) PCM brick [8]</w:t>
      </w:r>
      <w:r w:rsidR="006D5F2B">
        <w:rPr>
          <w:rFonts w:ascii="Times New Roman" w:hAnsi="Times New Roman" w:cs="Times New Roman"/>
          <w:color w:val="000000" w:themeColor="text1"/>
          <w:sz w:val="20"/>
          <w:szCs w:val="20"/>
        </w:rPr>
        <w:t>,</w:t>
      </w:r>
      <w:r w:rsidR="001E1F7B" w:rsidRPr="006D5F2B">
        <w:rPr>
          <w:rFonts w:ascii="Times New Roman" w:hAnsi="Times New Roman" w:cs="Times New Roman"/>
          <w:color w:val="000000" w:themeColor="text1"/>
          <w:sz w:val="20"/>
          <w:szCs w:val="20"/>
        </w:rPr>
        <w:t xml:space="preserve"> b) </w:t>
      </w:r>
      <w:r w:rsidR="006D5F2B">
        <w:rPr>
          <w:rFonts w:ascii="Times New Roman" w:hAnsi="Times New Roman" w:cs="Times New Roman"/>
          <w:color w:val="000000" w:themeColor="text1"/>
          <w:sz w:val="20"/>
          <w:szCs w:val="20"/>
        </w:rPr>
        <w:t xml:space="preserve">wooden panel with PCM pouch [9], </w:t>
      </w:r>
      <w:r w:rsidR="001E1F7B" w:rsidRPr="006D5F2B">
        <w:rPr>
          <w:rFonts w:ascii="Times New Roman" w:hAnsi="Times New Roman" w:cs="Times New Roman"/>
          <w:color w:val="000000" w:themeColor="text1"/>
          <w:sz w:val="20"/>
          <w:szCs w:val="20"/>
        </w:rPr>
        <w:t>c) PCM in pipes [10]</w:t>
      </w:r>
      <w:r w:rsidR="006D5F2B">
        <w:rPr>
          <w:rFonts w:ascii="Times New Roman" w:hAnsi="Times New Roman" w:cs="Times New Roman"/>
          <w:color w:val="000000" w:themeColor="text1"/>
          <w:sz w:val="20"/>
          <w:szCs w:val="20"/>
        </w:rPr>
        <w:t xml:space="preserve">, </w:t>
      </w:r>
      <w:r w:rsidR="001E1F7B" w:rsidRPr="006D5F2B">
        <w:rPr>
          <w:rFonts w:ascii="Times New Roman" w:hAnsi="Times New Roman" w:cs="Times New Roman"/>
          <w:color w:val="000000" w:themeColor="text1"/>
          <w:sz w:val="20"/>
          <w:szCs w:val="20"/>
        </w:rPr>
        <w:t xml:space="preserve">d) PCM pouch </w:t>
      </w:r>
      <w:r w:rsidR="006D5F2B">
        <w:rPr>
          <w:rFonts w:ascii="Times New Roman" w:hAnsi="Times New Roman" w:cs="Times New Roman"/>
          <w:color w:val="000000" w:themeColor="text1"/>
          <w:sz w:val="20"/>
          <w:szCs w:val="20"/>
        </w:rPr>
        <w:t>in</w:t>
      </w:r>
      <w:r w:rsidR="001E1F7B" w:rsidRPr="006D5F2B">
        <w:rPr>
          <w:rFonts w:ascii="Times New Roman" w:hAnsi="Times New Roman" w:cs="Times New Roman"/>
          <w:color w:val="000000" w:themeColor="text1"/>
          <w:sz w:val="20"/>
          <w:szCs w:val="20"/>
        </w:rPr>
        <w:t xml:space="preserve"> the ceiling [11]</w:t>
      </w:r>
      <w:r w:rsidR="00D80DD5" w:rsidRPr="006D5F2B">
        <w:rPr>
          <w:rFonts w:ascii="Times New Roman" w:hAnsi="Times New Roman" w:cs="Times New Roman"/>
          <w:color w:val="000000" w:themeColor="text1"/>
          <w:sz w:val="20"/>
          <w:szCs w:val="20"/>
        </w:rPr>
        <w:t xml:space="preserve"> </w:t>
      </w:r>
      <w:r w:rsidR="001E1F7B" w:rsidRPr="006D5F2B">
        <w:rPr>
          <w:rFonts w:ascii="Times New Roman" w:hAnsi="Times New Roman" w:cs="Times New Roman"/>
          <w:color w:val="000000" w:themeColor="text1"/>
          <w:sz w:val="20"/>
          <w:szCs w:val="20"/>
        </w:rPr>
        <w:t xml:space="preserve"> </w:t>
      </w:r>
    </w:p>
    <w:p w:rsidR="001E1F7B" w:rsidRDefault="001E1F7B" w:rsidP="00AC74D5">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1E1F7B">
        <w:rPr>
          <w:rFonts w:ascii="Times New Roman" w:eastAsia="Times New Roman" w:hAnsi="Times New Roman" w:cs="Times New Roman"/>
          <w:color w:val="000000" w:themeColor="text1"/>
          <w:shd w:val="clear" w:color="auto" w:fill="FFFFFF"/>
          <w:lang w:val="en-US" w:eastAsia="tr-TR"/>
        </w:rPr>
        <w:t>Microencapsulation, on the other hand, involves enclosing micron-sized particles of solids or droplets of liquids or gases in an inert shell, as shown in Fig</w:t>
      </w:r>
      <w:r w:rsidR="006D5F2B">
        <w:rPr>
          <w:rFonts w:ascii="Times New Roman" w:eastAsia="Times New Roman" w:hAnsi="Times New Roman" w:cs="Times New Roman"/>
          <w:color w:val="000000" w:themeColor="text1"/>
          <w:shd w:val="clear" w:color="auto" w:fill="FFFFFF"/>
          <w:lang w:val="en-US" w:eastAsia="tr-TR"/>
        </w:rPr>
        <w:t>ure 4</w:t>
      </w:r>
      <w:r w:rsidRPr="001E1F7B">
        <w:rPr>
          <w:rFonts w:ascii="Times New Roman" w:eastAsia="Times New Roman" w:hAnsi="Times New Roman" w:cs="Times New Roman"/>
          <w:color w:val="000000" w:themeColor="text1"/>
          <w:shd w:val="clear" w:color="auto" w:fill="FFFFFF"/>
          <w:lang w:val="en-US" w:eastAsia="tr-TR"/>
        </w:rPr>
        <w:t xml:space="preserve">, providing protection and isolation from the external environment. This method is widely used in building applications </w:t>
      </w:r>
      <w:r w:rsidR="003F1089">
        <w:rPr>
          <w:rFonts w:ascii="Times New Roman" w:eastAsia="Times New Roman" w:hAnsi="Times New Roman" w:cs="Times New Roman"/>
          <w:color w:val="000000" w:themeColor="text1"/>
          <w:shd w:val="clear" w:color="auto" w:fill="FFFFFF"/>
          <w:lang w:val="en-US" w:eastAsia="tr-TR"/>
        </w:rPr>
        <w:t xml:space="preserve">in order </w:t>
      </w:r>
      <w:r w:rsidRPr="001E1F7B">
        <w:rPr>
          <w:rFonts w:ascii="Times New Roman" w:eastAsia="Times New Roman" w:hAnsi="Times New Roman" w:cs="Times New Roman"/>
          <w:color w:val="000000" w:themeColor="text1"/>
          <w:shd w:val="clear" w:color="auto" w:fill="FFFFFF"/>
          <w:lang w:val="en-US" w:eastAsia="tr-TR"/>
        </w:rPr>
        <w:t>to increase heat transfer areas, reduce reactivity of PCMs towards the outside environment, and prevent unwanted volume changes.</w:t>
      </w:r>
    </w:p>
    <w:p w:rsidR="00F61F05" w:rsidRDefault="00F61F05" w:rsidP="00AC74D5">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p>
    <w:p w:rsidR="00AC74D5" w:rsidRDefault="00F61335" w:rsidP="00AC74D5">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Pr>
          <w:rFonts w:ascii="Times New Roman" w:eastAsia="Times New Roman" w:hAnsi="Times New Roman" w:cs="Times New Roman"/>
          <w:noProof/>
          <w:color w:val="000000" w:themeColor="text1"/>
          <w:lang w:eastAsia="tr-TR"/>
        </w:rPr>
        <w:pict>
          <v:shape id="_x0000_s1037" type="#_x0000_t202" style="position:absolute;left:0;text-align:left;margin-left:138.5pt;margin-top:2.05pt;width:18.6pt;height:20.4pt;z-index:251666432;mso-width-relative:margin;mso-height-relative:margin" fillcolor="#d8d8d8 [2732]" stroked="f">
            <v:textbox>
              <w:txbxContent>
                <w:p w:rsidR="00796EC2" w:rsidRDefault="00796EC2" w:rsidP="0000507F">
                  <w:r>
                    <w:t>b</w:t>
                  </w:r>
                </w:p>
              </w:txbxContent>
            </v:textbox>
          </v:shape>
        </w:pict>
      </w:r>
      <w:r>
        <w:rPr>
          <w:rFonts w:ascii="Times New Roman" w:eastAsia="Times New Roman" w:hAnsi="Times New Roman" w:cs="Times New Roman"/>
          <w:noProof/>
          <w:color w:val="000000" w:themeColor="text1"/>
          <w:lang w:eastAsia="tr-TR"/>
        </w:rPr>
        <w:pict>
          <v:shape id="_x0000_s1035" type="#_x0000_t202" style="position:absolute;left:0;text-align:left;margin-left:4.35pt;margin-top:2.05pt;width:18.6pt;height:20.4pt;z-index:251665408;mso-width-relative:margin;mso-height-relative:margin" fillcolor="#d8d8d8 [2732]" stroked="f">
            <v:textbox style="mso-next-textbox:#_x0000_s1035">
              <w:txbxContent>
                <w:p w:rsidR="00796EC2" w:rsidRDefault="00796EC2" w:rsidP="0000507F">
                  <w:r>
                    <w:t>a</w:t>
                  </w:r>
                </w:p>
              </w:txbxContent>
            </v:textbox>
          </v:shape>
        </w:pict>
      </w:r>
      <w:r w:rsidR="0000507F">
        <w:rPr>
          <w:rFonts w:ascii="Times New Roman" w:eastAsia="Times New Roman" w:hAnsi="Times New Roman" w:cs="Times New Roman"/>
          <w:noProof/>
          <w:color w:val="000000" w:themeColor="text1"/>
          <w:shd w:val="clear" w:color="auto" w:fill="FFFFFF"/>
          <w:lang w:eastAsia="tr-TR"/>
        </w:rPr>
        <w:drawing>
          <wp:inline distT="0" distB="0" distL="0" distR="0">
            <wp:extent cx="1670050" cy="1485638"/>
            <wp:effectExtent l="19050" t="0" r="6350" b="0"/>
            <wp:docPr id="2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670354" cy="1485908"/>
                    </a:xfrm>
                    <a:prstGeom prst="rect">
                      <a:avLst/>
                    </a:prstGeom>
                    <a:noFill/>
                    <a:ln w="9525">
                      <a:noFill/>
                      <a:miter lim="800000"/>
                      <a:headEnd/>
                      <a:tailEnd/>
                    </a:ln>
                  </pic:spPr>
                </pic:pic>
              </a:graphicData>
            </a:graphic>
          </wp:inline>
        </w:drawing>
      </w:r>
      <w:r w:rsidR="00D80DD5" w:rsidRPr="00D80DD5">
        <w:rPr>
          <w:rFonts w:ascii="Times New Roman" w:eastAsia="Times New Roman" w:hAnsi="Times New Roman" w:cs="Times New Roman"/>
          <w:noProof/>
          <w:color w:val="000000" w:themeColor="text1"/>
          <w:shd w:val="clear" w:color="auto" w:fill="FFFFFF"/>
          <w:lang w:eastAsia="tr-TR"/>
        </w:rPr>
        <w:drawing>
          <wp:inline distT="0" distB="0" distL="0" distR="0">
            <wp:extent cx="2177989" cy="1485900"/>
            <wp:effectExtent l="1905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73860" cy="1483083"/>
                    </a:xfrm>
                    <a:prstGeom prst="rect">
                      <a:avLst/>
                    </a:prstGeom>
                    <a:noFill/>
                    <a:ln w="9525">
                      <a:noFill/>
                      <a:miter lim="800000"/>
                      <a:headEnd/>
                      <a:tailEnd/>
                    </a:ln>
                  </pic:spPr>
                </pic:pic>
              </a:graphicData>
            </a:graphic>
          </wp:inline>
        </w:drawing>
      </w:r>
    </w:p>
    <w:p w:rsidR="00D80DD5" w:rsidRDefault="006D5F2B" w:rsidP="00AC74D5">
      <w:pPr>
        <w:autoSpaceDE w:val="0"/>
        <w:autoSpaceDN w:val="0"/>
        <w:adjustRightInd w:val="0"/>
        <w:jc w:val="both"/>
        <w:rPr>
          <w:rFonts w:ascii="Times New Roman" w:hAnsi="Times New Roman" w:cs="Times New Roman"/>
          <w:color w:val="000000" w:themeColor="text1"/>
          <w:sz w:val="20"/>
        </w:rPr>
      </w:pPr>
      <w:r w:rsidRPr="006D5F2B">
        <w:rPr>
          <w:rFonts w:ascii="Times New Roman" w:hAnsi="Times New Roman" w:cs="Times New Roman"/>
          <w:b/>
          <w:color w:val="000000" w:themeColor="text1"/>
          <w:sz w:val="20"/>
        </w:rPr>
        <w:t>Figure 4.</w:t>
      </w:r>
      <w:r w:rsidRPr="006D5F2B">
        <w:rPr>
          <w:rFonts w:ascii="Times New Roman" w:hAnsi="Times New Roman" w:cs="Times New Roman"/>
          <w:color w:val="000000" w:themeColor="text1"/>
          <w:sz w:val="20"/>
        </w:rPr>
        <w:t xml:space="preserve"> T</w:t>
      </w:r>
      <w:r w:rsidR="00D80DD5" w:rsidRPr="006D5F2B">
        <w:rPr>
          <w:rFonts w:ascii="Times New Roman" w:hAnsi="Times New Roman" w:cs="Times New Roman"/>
          <w:color w:val="000000" w:themeColor="text1"/>
          <w:sz w:val="20"/>
        </w:rPr>
        <w:t>he scheme of PCM microcapsules</w:t>
      </w:r>
      <w:r w:rsidR="00660606">
        <w:rPr>
          <w:rFonts w:ascii="Times New Roman" w:hAnsi="Times New Roman" w:cs="Times New Roman"/>
          <w:color w:val="000000" w:themeColor="text1"/>
          <w:sz w:val="20"/>
        </w:rPr>
        <w:t xml:space="preserve"> a),</w:t>
      </w:r>
      <w:r w:rsidRPr="006D5F2B">
        <w:rPr>
          <w:rFonts w:ascii="Times New Roman" w:hAnsi="Times New Roman" w:cs="Times New Roman"/>
          <w:color w:val="000000" w:themeColor="text1"/>
          <w:sz w:val="20"/>
        </w:rPr>
        <w:t xml:space="preserve"> </w:t>
      </w:r>
      <w:r w:rsidR="00D80DD5" w:rsidRPr="006D5F2B">
        <w:rPr>
          <w:rFonts w:ascii="Times New Roman" w:hAnsi="Times New Roman" w:cs="Times New Roman"/>
          <w:color w:val="000000" w:themeColor="text1"/>
          <w:sz w:val="20"/>
        </w:rPr>
        <w:t xml:space="preserve"> silvernanoparticles PCM microcapsules</w:t>
      </w:r>
      <w:r w:rsidRPr="006D5F2B">
        <w:rPr>
          <w:rFonts w:ascii="Times New Roman" w:hAnsi="Times New Roman" w:cs="Times New Roman"/>
          <w:color w:val="000000" w:themeColor="text1"/>
          <w:sz w:val="20"/>
        </w:rPr>
        <w:t xml:space="preserve"> b)</w:t>
      </w:r>
      <w:r w:rsidR="00D80DD5" w:rsidRPr="006D5F2B">
        <w:rPr>
          <w:rFonts w:ascii="Times New Roman" w:hAnsi="Times New Roman" w:cs="Times New Roman"/>
          <w:color w:val="000000" w:themeColor="text1"/>
          <w:sz w:val="20"/>
        </w:rPr>
        <w:t xml:space="preserve"> [12].  </w:t>
      </w:r>
    </w:p>
    <w:p w:rsidR="00F61F05" w:rsidRPr="006D5F2B" w:rsidRDefault="00F61F05" w:rsidP="00AC74D5">
      <w:pPr>
        <w:autoSpaceDE w:val="0"/>
        <w:autoSpaceDN w:val="0"/>
        <w:adjustRightInd w:val="0"/>
        <w:jc w:val="both"/>
        <w:rPr>
          <w:rFonts w:ascii="Times New Roman" w:hAnsi="Times New Roman" w:cs="Times New Roman"/>
          <w:color w:val="000000" w:themeColor="text1"/>
          <w:sz w:val="20"/>
        </w:rPr>
      </w:pPr>
    </w:p>
    <w:p w:rsidR="00AC74D5" w:rsidRDefault="00D80DD5" w:rsidP="00AC74D5">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D80DD5">
        <w:rPr>
          <w:rFonts w:ascii="Times New Roman" w:eastAsia="Times New Roman" w:hAnsi="Times New Roman" w:cs="Times New Roman"/>
          <w:color w:val="000000" w:themeColor="text1"/>
          <w:shd w:val="clear" w:color="auto" w:fill="FFFFFF"/>
          <w:lang w:val="en-US" w:eastAsia="tr-TR"/>
        </w:rPr>
        <w:t>The concept of shape-stabilized PCMs (ss-PCMs), or form-stable PCMs (FSPCMs), involves incorporating the PCM into a supporting matrix or structure, which can be organic, inorganic, or a combination of both, to prevent the PCM from leaking or changing shape during the phase transition. This is achieved through various methods such as encapsulation, composite formation, or impregnation, where the PCM is immobilized within the matrix, thereby maintaining its form stability. The supporting matrix provides mechanical strength and containment for the PCM, allowing it to retain its shape and structural integrity. Fig</w:t>
      </w:r>
      <w:r w:rsidR="006D5F2B">
        <w:rPr>
          <w:rFonts w:ascii="Times New Roman" w:eastAsia="Times New Roman" w:hAnsi="Times New Roman" w:cs="Times New Roman"/>
          <w:color w:val="000000" w:themeColor="text1"/>
          <w:shd w:val="clear" w:color="auto" w:fill="FFFFFF"/>
          <w:lang w:val="en-US" w:eastAsia="tr-TR"/>
        </w:rPr>
        <w:t xml:space="preserve">ure 5 </w:t>
      </w:r>
      <w:r w:rsidRPr="00D80DD5">
        <w:rPr>
          <w:rFonts w:ascii="Times New Roman" w:eastAsia="Times New Roman" w:hAnsi="Times New Roman" w:cs="Times New Roman"/>
          <w:color w:val="000000" w:themeColor="text1"/>
          <w:shd w:val="clear" w:color="auto" w:fill="FFFFFF"/>
          <w:lang w:val="en-US" w:eastAsia="tr-TR"/>
        </w:rPr>
        <w:t>re</w:t>
      </w:r>
      <w:r>
        <w:rPr>
          <w:rFonts w:ascii="Times New Roman" w:eastAsia="Times New Roman" w:hAnsi="Times New Roman" w:cs="Times New Roman"/>
          <w:color w:val="000000" w:themeColor="text1"/>
          <w:shd w:val="clear" w:color="auto" w:fill="FFFFFF"/>
          <w:lang w:val="en-US" w:eastAsia="tr-TR"/>
        </w:rPr>
        <w:t>presents an example for ss-PCMs</w:t>
      </w:r>
      <w:r w:rsidR="00AC74D5" w:rsidRPr="00AC74D5">
        <w:rPr>
          <w:rFonts w:ascii="Times New Roman" w:eastAsia="Times New Roman" w:hAnsi="Times New Roman" w:cs="Times New Roman"/>
          <w:color w:val="000000" w:themeColor="text1"/>
          <w:shd w:val="clear" w:color="auto" w:fill="FFFFFF"/>
          <w:lang w:val="en-US" w:eastAsia="tr-TR"/>
        </w:rPr>
        <w:t>.</w:t>
      </w:r>
    </w:p>
    <w:p w:rsidR="003F1089" w:rsidRDefault="00F61335" w:rsidP="00AC74D5">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Pr>
          <w:rFonts w:ascii="Times New Roman" w:eastAsia="Times New Roman" w:hAnsi="Times New Roman" w:cs="Times New Roman"/>
          <w:noProof/>
          <w:color w:val="000000" w:themeColor="text1"/>
          <w:lang w:eastAsia="tr-TR"/>
        </w:rPr>
        <w:pict>
          <v:shape id="_x0000_s1038" type="#_x0000_t202" style="position:absolute;left:0;text-align:left;margin-left:4.35pt;margin-top:14.8pt;width:18.6pt;height:20.4pt;z-index:251667456;mso-width-relative:margin;mso-height-relative:margin" fillcolor="#d8d8d8 [2732]" stroked="f">
            <v:textbox style="mso-next-textbox:#_x0000_s1038">
              <w:txbxContent>
                <w:p w:rsidR="00796EC2" w:rsidRDefault="00796EC2" w:rsidP="0000507F">
                  <w:r>
                    <w:t>a</w:t>
                  </w:r>
                </w:p>
              </w:txbxContent>
            </v:textbox>
          </v:shape>
        </w:pict>
      </w:r>
    </w:p>
    <w:p w:rsidR="00AC74D5" w:rsidRPr="00AC74D5" w:rsidRDefault="00F61335" w:rsidP="00AC74D5">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Pr>
          <w:noProof/>
          <w:lang w:eastAsia="tr-TR"/>
        </w:rPr>
        <w:pict>
          <v:shape id="_x0000_s1039" type="#_x0000_t202" style="position:absolute;left:0;text-align:left;margin-left:171pt;margin-top:2.9pt;width:18.6pt;height:20.4pt;z-index:251668480;mso-width-relative:margin;mso-height-relative:margin" fillcolor="#d8d8d8 [2732]" stroked="f">
            <v:textbox style="mso-next-textbox:#_x0000_s1039">
              <w:txbxContent>
                <w:p w:rsidR="00796EC2" w:rsidRDefault="00796EC2" w:rsidP="00F61F05">
                  <w:r>
                    <w:t>b</w:t>
                  </w:r>
                </w:p>
              </w:txbxContent>
            </v:textbox>
          </v:shape>
        </w:pict>
      </w:r>
      <w:r w:rsidR="0000507F" w:rsidRPr="0000507F">
        <w:t xml:space="preserve"> </w:t>
      </w:r>
      <w:r w:rsidR="00F61F05">
        <w:rPr>
          <w:noProof/>
          <w:lang w:eastAsia="tr-TR"/>
        </w:rPr>
        <w:drawing>
          <wp:inline distT="0" distB="0" distL="0" distR="0">
            <wp:extent cx="4119814" cy="1699044"/>
            <wp:effectExtent l="19050" t="0" r="0" b="0"/>
            <wp:docPr id="2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4132396" cy="1704233"/>
                    </a:xfrm>
                    <a:prstGeom prst="rect">
                      <a:avLst/>
                    </a:prstGeom>
                    <a:noFill/>
                    <a:ln w="9525">
                      <a:noFill/>
                      <a:miter lim="800000"/>
                      <a:headEnd/>
                      <a:tailEnd/>
                    </a:ln>
                  </pic:spPr>
                </pic:pic>
              </a:graphicData>
            </a:graphic>
          </wp:inline>
        </w:drawing>
      </w:r>
    </w:p>
    <w:p w:rsidR="00D74789" w:rsidRDefault="00D80DD5" w:rsidP="00AC74D5">
      <w:pPr>
        <w:autoSpaceDE w:val="0"/>
        <w:autoSpaceDN w:val="0"/>
        <w:adjustRightInd w:val="0"/>
        <w:jc w:val="both"/>
        <w:rPr>
          <w:rFonts w:ascii="Times New Roman" w:hAnsi="Times New Roman" w:cs="Times New Roman"/>
          <w:color w:val="000000" w:themeColor="text1"/>
          <w:sz w:val="20"/>
        </w:rPr>
      </w:pPr>
      <w:r w:rsidRPr="006D5F2B">
        <w:rPr>
          <w:rFonts w:ascii="Times New Roman" w:hAnsi="Times New Roman" w:cs="Times New Roman"/>
          <w:b/>
          <w:color w:val="000000" w:themeColor="text1"/>
          <w:sz w:val="20"/>
        </w:rPr>
        <w:t>Fig</w:t>
      </w:r>
      <w:r w:rsidR="006D5F2B" w:rsidRPr="006D5F2B">
        <w:rPr>
          <w:rFonts w:ascii="Times New Roman" w:hAnsi="Times New Roman" w:cs="Times New Roman"/>
          <w:b/>
          <w:color w:val="000000" w:themeColor="text1"/>
          <w:sz w:val="20"/>
        </w:rPr>
        <w:t>ure 5.</w:t>
      </w:r>
      <w:r w:rsidR="0000507F">
        <w:rPr>
          <w:rFonts w:ascii="Times New Roman" w:hAnsi="Times New Roman" w:cs="Times New Roman"/>
          <w:color w:val="000000" w:themeColor="text1"/>
          <w:sz w:val="20"/>
        </w:rPr>
        <w:t xml:space="preserve"> Shape-stabilized PCM plate, a) image of the plate, </w:t>
      </w:r>
      <w:r w:rsidRPr="006D5F2B">
        <w:rPr>
          <w:rFonts w:ascii="Times New Roman" w:hAnsi="Times New Roman" w:cs="Times New Roman"/>
          <w:color w:val="000000" w:themeColor="text1"/>
          <w:sz w:val="20"/>
        </w:rPr>
        <w:t>b) SEM image of the PCM plate [13]</w:t>
      </w:r>
      <w:r w:rsidR="008F20E4" w:rsidRPr="006D5F2B">
        <w:rPr>
          <w:rFonts w:ascii="Times New Roman" w:hAnsi="Times New Roman" w:cs="Times New Roman"/>
          <w:color w:val="000000" w:themeColor="text1"/>
          <w:sz w:val="20"/>
        </w:rPr>
        <w:t xml:space="preserve"> </w:t>
      </w:r>
    </w:p>
    <w:p w:rsidR="008F20E4" w:rsidRPr="008F20E4" w:rsidRDefault="008F20E4" w:rsidP="00AC74D5">
      <w:pPr>
        <w:pStyle w:val="ListeParagraf"/>
        <w:numPr>
          <w:ilvl w:val="0"/>
          <w:numId w:val="6"/>
        </w:numPr>
        <w:autoSpaceDE w:val="0"/>
        <w:autoSpaceDN w:val="0"/>
        <w:adjustRightInd w:val="0"/>
        <w:spacing w:after="120" w:line="276" w:lineRule="auto"/>
        <w:jc w:val="both"/>
        <w:rPr>
          <w:rFonts w:ascii="Times New Roman" w:hAnsi="Times New Roman" w:cs="Times New Roman"/>
          <w:b/>
          <w:color w:val="000000" w:themeColor="text1"/>
          <w:sz w:val="24"/>
          <w:szCs w:val="24"/>
          <w:lang w:val="en-GB"/>
        </w:rPr>
      </w:pPr>
      <w:r>
        <w:rPr>
          <w:rFonts w:ascii="Times New Roman" w:hAnsi="Times New Roman" w:cs="Times New Roman"/>
          <w:b/>
          <w:sz w:val="24"/>
          <w:szCs w:val="24"/>
        </w:rPr>
        <w:lastRenderedPageBreak/>
        <w:t>The Use of Waste Materials with PCMs</w:t>
      </w:r>
      <w:r w:rsidR="00CA318B">
        <w:rPr>
          <w:rFonts w:ascii="Times New Roman" w:hAnsi="Times New Roman" w:cs="Times New Roman"/>
          <w:b/>
          <w:sz w:val="24"/>
          <w:szCs w:val="24"/>
        </w:rPr>
        <w:t xml:space="preserve"> </w:t>
      </w:r>
    </w:p>
    <w:p w:rsidR="008F20E4" w:rsidRPr="008F20E4" w:rsidRDefault="008F20E4" w:rsidP="008F20E4">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8F20E4">
        <w:rPr>
          <w:rFonts w:ascii="Times New Roman" w:eastAsia="Times New Roman" w:hAnsi="Times New Roman" w:cs="Times New Roman"/>
          <w:color w:val="000000" w:themeColor="text1"/>
          <w:shd w:val="clear" w:color="auto" w:fill="FFFFFF"/>
          <w:lang w:val="en-US" w:eastAsia="tr-TR"/>
        </w:rPr>
        <w:t xml:space="preserve">The integration of waste materials </w:t>
      </w:r>
      <w:r w:rsidR="00B64258">
        <w:rPr>
          <w:rFonts w:ascii="Times New Roman" w:eastAsia="Times New Roman" w:hAnsi="Times New Roman" w:cs="Times New Roman"/>
          <w:color w:val="000000" w:themeColor="text1"/>
          <w:shd w:val="clear" w:color="auto" w:fill="FFFFFF"/>
          <w:lang w:val="en-US" w:eastAsia="tr-TR"/>
        </w:rPr>
        <w:t>with</w:t>
      </w:r>
      <w:r w:rsidRPr="008F20E4">
        <w:rPr>
          <w:rFonts w:ascii="Times New Roman" w:eastAsia="Times New Roman" w:hAnsi="Times New Roman" w:cs="Times New Roman"/>
          <w:color w:val="000000" w:themeColor="text1"/>
          <w:shd w:val="clear" w:color="auto" w:fill="FFFFFF"/>
          <w:lang w:val="en-US" w:eastAsia="tr-TR"/>
        </w:rPr>
        <w:t xml:space="preserve"> PCMs has been explored in various applications, including building materials, concrete, and energy-efficient room cooling systems [14]. These applications demonstrate the versatility and potential of waste materials in enhancing the performance of PCMs for thermal energy storage. Economically, the utilization of waste materials for PCM encapsulation offers opportunities for cost-effective and sustainable solutions in thermal energy storage applications. Additionally, the environmental advantages of utilizing waste materials for PCM encapsulation are significant. This approach </w:t>
      </w:r>
      <w:r w:rsidR="00B64258">
        <w:rPr>
          <w:rFonts w:ascii="Times New Roman" w:eastAsia="Times New Roman" w:hAnsi="Times New Roman" w:cs="Times New Roman"/>
          <w:color w:val="000000" w:themeColor="text1"/>
          <w:shd w:val="clear" w:color="auto" w:fill="FFFFFF"/>
          <w:lang w:val="en-US" w:eastAsia="tr-TR"/>
        </w:rPr>
        <w:t>is in line with</w:t>
      </w:r>
      <w:r w:rsidRPr="008F20E4">
        <w:rPr>
          <w:rFonts w:ascii="Times New Roman" w:eastAsia="Times New Roman" w:hAnsi="Times New Roman" w:cs="Times New Roman"/>
          <w:color w:val="000000" w:themeColor="text1"/>
          <w:shd w:val="clear" w:color="auto" w:fill="FFFFFF"/>
          <w:lang w:val="en-US" w:eastAsia="tr-TR"/>
        </w:rPr>
        <w:t xml:space="preserve"> the principles of circular economy, waste reduction, and sustainable resource management, thereby contributing to environmental sustainability and mitigating the environmental impact of waste materials.</w:t>
      </w:r>
    </w:p>
    <w:p w:rsidR="008F20E4" w:rsidRPr="008F20E4" w:rsidRDefault="008F20E4" w:rsidP="008F20E4">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8F20E4">
        <w:rPr>
          <w:rFonts w:ascii="Times New Roman" w:eastAsia="Times New Roman" w:hAnsi="Times New Roman" w:cs="Times New Roman"/>
          <w:color w:val="000000" w:themeColor="text1"/>
          <w:shd w:val="clear" w:color="auto" w:fill="FFFFFF"/>
          <w:lang w:val="en-US" w:eastAsia="tr-TR"/>
        </w:rPr>
        <w:t xml:space="preserve">The usage of waste materials derived from particularly biomass and wood-based products have been the subject of a number of studies due to their porous structure, which has the potential to prevent leakage and thermal conductivity issues providing a shape-stable matrix for the PCM.  </w:t>
      </w:r>
    </w:p>
    <w:p w:rsidR="008F20E4" w:rsidRPr="008F20E4" w:rsidRDefault="008F20E4" w:rsidP="008F20E4">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8F20E4">
        <w:rPr>
          <w:rFonts w:ascii="Times New Roman" w:eastAsia="Times New Roman" w:hAnsi="Times New Roman" w:cs="Times New Roman"/>
          <w:color w:val="000000" w:themeColor="text1"/>
          <w:shd w:val="clear" w:color="auto" w:fill="FFFFFF"/>
          <w:lang w:val="en-US" w:eastAsia="tr-TR"/>
        </w:rPr>
        <w:t xml:space="preserve">Biochar, the residual product of biomass pyrolysis, is a carbon-rich material with a fine-grained black appearance. It is formed through a thermochemical decomposition process at moderate temperatures under oxygen-limiting conditions, resulting in a porous structure with a large specific surface area and strong adsorption capacity. Due to its mesoporous framework, biochar has been utilized to design ss-PCMs. By encapsulating the liquid phases of PCMs within its pores, biochar overcomes the leakage problem associated with PCMs [15]. </w:t>
      </w:r>
    </w:p>
    <w:p w:rsidR="008F20E4" w:rsidRPr="008F20E4" w:rsidRDefault="008F20E4" w:rsidP="008F20E4">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8F20E4">
        <w:rPr>
          <w:rFonts w:ascii="Times New Roman" w:eastAsia="Times New Roman" w:hAnsi="Times New Roman" w:cs="Times New Roman"/>
          <w:color w:val="000000" w:themeColor="text1"/>
          <w:shd w:val="clear" w:color="auto" w:fill="FFFFFF"/>
          <w:lang w:val="en-US" w:eastAsia="tr-TR"/>
        </w:rPr>
        <w:t>A number of studies have focused on the use of carbonized biomass materials such as wood, cotton, fungi, potato and corn cob</w:t>
      </w:r>
      <w:r w:rsidR="00F61F05">
        <w:rPr>
          <w:rFonts w:ascii="Times New Roman" w:eastAsia="Times New Roman" w:hAnsi="Times New Roman" w:cs="Times New Roman"/>
          <w:color w:val="000000" w:themeColor="text1"/>
          <w:shd w:val="clear" w:color="auto" w:fill="FFFFFF"/>
          <w:lang w:val="en-US" w:eastAsia="tr-TR"/>
        </w:rPr>
        <w:t xml:space="preserve"> and so on [16]. For instance, </w:t>
      </w:r>
      <w:r w:rsidRPr="008F20E4">
        <w:rPr>
          <w:rFonts w:ascii="Times New Roman" w:eastAsia="Times New Roman" w:hAnsi="Times New Roman" w:cs="Times New Roman"/>
          <w:color w:val="000000" w:themeColor="text1"/>
          <w:shd w:val="clear" w:color="auto" w:fill="FFFFFF"/>
          <w:lang w:val="en-US" w:eastAsia="tr-TR"/>
        </w:rPr>
        <w:t xml:space="preserve">Zheng et al. [17] studied the effect of paraffin wax incorporated carbonized rice husks (CRHs) in wood plastic composites (WPCs) and reported that the thermal conductivity of paraffin improved by the addition of CRHs. Abdulmunem et al. [18] reported that incorporating 75% of recycled waste paper with PCM into PVC panels resulted in reductions of 19% in the required cooling load and 16.3% in electricity cost, as compared to panels filled solely with PCM. Chen et al. [19] investigated the thermal efficiency of carbonized wood and graphite coated n-octadecane. The authors reported that  carbonized wood's porous structure physically absorbs the organic PCM n-octadecane, and a thin graphite coating encases the exterior of the wood structure to prevent n-octadecane leakage and that it not only stabilizes the form of n-octadecane during phase change but also boosts its thermal conductivity by 143% while retaining 87% of its latent heat. Zheng et al. [17] prepared ss-PCMs incorporating polyethylene glycol (PEG) into porous carbonized bamboo parenchyma cells (CPC) with carbon nanotubes(CNTs). They reported that the thermal conductivity of PEG/CPC-CNTs increases by 128% comparing to pure PEG. </w:t>
      </w:r>
    </w:p>
    <w:p w:rsidR="00754E61" w:rsidRDefault="008F20E4" w:rsidP="008F20E4">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8F20E4">
        <w:rPr>
          <w:rFonts w:ascii="Times New Roman" w:eastAsia="Times New Roman" w:hAnsi="Times New Roman" w:cs="Times New Roman"/>
          <w:color w:val="000000" w:themeColor="text1"/>
          <w:shd w:val="clear" w:color="auto" w:fill="FFFFFF"/>
          <w:lang w:val="en-US" w:eastAsia="tr-TR"/>
        </w:rPr>
        <w:t xml:space="preserve">Liu et al. [20] prepared a hybrid PCM with palmitic acid (PA) and hybrid multivariate typical solid wastes (MTSW) composed of biomass solid wastes (BSW), iron tailings (IT) </w:t>
      </w:r>
      <w:r w:rsidR="006D5F2B">
        <w:rPr>
          <w:rFonts w:ascii="Times New Roman" w:eastAsia="Times New Roman" w:hAnsi="Times New Roman" w:cs="Times New Roman"/>
          <w:color w:val="000000" w:themeColor="text1"/>
          <w:shd w:val="clear" w:color="auto" w:fill="FFFFFF"/>
          <w:lang w:val="en-US" w:eastAsia="tr-TR"/>
        </w:rPr>
        <w:t>and diatomite (DT), shown in Figure 6</w:t>
      </w:r>
      <w:r w:rsidRPr="008F20E4">
        <w:rPr>
          <w:rFonts w:ascii="Times New Roman" w:eastAsia="Times New Roman" w:hAnsi="Times New Roman" w:cs="Times New Roman"/>
          <w:color w:val="000000" w:themeColor="text1"/>
          <w:shd w:val="clear" w:color="auto" w:fill="FFFFFF"/>
          <w:lang w:val="en-US" w:eastAsia="tr-TR"/>
        </w:rPr>
        <w:t>. The authors stated that MTSW can adsorb 30 wt% PA without any PA leakage and the composites can keep form-stable.</w:t>
      </w:r>
    </w:p>
    <w:p w:rsidR="008F20E4" w:rsidRPr="00AC74D5" w:rsidRDefault="00F61335" w:rsidP="008F20E4">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Pr>
          <w:rFonts w:ascii="Times New Roman" w:eastAsia="Times New Roman" w:hAnsi="Times New Roman" w:cs="Times New Roman"/>
          <w:noProof/>
          <w:color w:val="00B050"/>
          <w:lang w:eastAsia="tr-TR"/>
        </w:rPr>
        <w:pict>
          <v:shape id="_x0000_s1047" type="#_x0000_t202" style="position:absolute;left:0;text-align:left;margin-left:16.8pt;margin-top:63.25pt;width:38.6pt;height:16.4pt;z-index:251676672;mso-width-relative:margin;mso-height-relative:margin" fillcolor="#7f7f7f [1612]" stroked="f">
            <v:textbox style="mso-next-textbox:#_x0000_s1047">
              <w:txbxContent>
                <w:p w:rsidR="00796EC2" w:rsidRPr="00132A11" w:rsidRDefault="00796EC2" w:rsidP="00132A11">
                  <w:pPr>
                    <w:rPr>
                      <w:rFonts w:ascii="Times New Roman" w:hAnsi="Times New Roman" w:cs="Times New Roman"/>
                      <w:color w:val="FFFFFF" w:themeColor="background1"/>
                      <w:sz w:val="18"/>
                    </w:rPr>
                  </w:pPr>
                  <w:r w:rsidRPr="00132A11">
                    <w:rPr>
                      <w:rFonts w:ascii="Times New Roman" w:hAnsi="Times New Roman" w:cs="Times New Roman"/>
                      <w:color w:val="FFFFFF" w:themeColor="background1"/>
                      <w:sz w:val="18"/>
                    </w:rPr>
                    <w:t>BSW</w:t>
                  </w:r>
                </w:p>
                <w:p w:rsidR="00796EC2" w:rsidRDefault="00796EC2" w:rsidP="00132A11"/>
              </w:txbxContent>
            </v:textbox>
          </v:shape>
        </w:pict>
      </w:r>
      <w:r>
        <w:rPr>
          <w:rFonts w:ascii="Times New Roman" w:eastAsia="Times New Roman" w:hAnsi="Times New Roman" w:cs="Times New Roman"/>
          <w:noProof/>
          <w:color w:val="00B050"/>
          <w:lang w:eastAsia="tr-TR"/>
        </w:rPr>
        <w:pict>
          <v:shape id="_x0000_s1048" type="#_x0000_t202" style="position:absolute;left:0;text-align:left;margin-left:107.35pt;margin-top:32.6pt;width:27.65pt;height:16.4pt;z-index:251677696;mso-width-relative:margin;mso-height-relative:margin" fillcolor="#7f7f7f [1612]" stroked="f">
            <v:textbox style="mso-next-textbox:#_x0000_s1048">
              <w:txbxContent>
                <w:p w:rsidR="00796EC2" w:rsidRPr="00132A11" w:rsidRDefault="00796EC2" w:rsidP="00132A11">
                  <w:pPr>
                    <w:rPr>
                      <w:rFonts w:ascii="Times New Roman" w:hAnsi="Times New Roman" w:cs="Times New Roman"/>
                      <w:color w:val="FFFFFF" w:themeColor="background1"/>
                      <w:sz w:val="18"/>
                    </w:rPr>
                  </w:pPr>
                  <w:r w:rsidRPr="00132A11">
                    <w:rPr>
                      <w:rFonts w:ascii="Times New Roman" w:hAnsi="Times New Roman" w:cs="Times New Roman"/>
                      <w:color w:val="FFFFFF" w:themeColor="background1"/>
                      <w:sz w:val="18"/>
                    </w:rPr>
                    <w:t>DTT</w:t>
                  </w:r>
                </w:p>
                <w:p w:rsidR="00796EC2" w:rsidRDefault="00796EC2" w:rsidP="00132A11"/>
              </w:txbxContent>
            </v:textbox>
          </v:shape>
        </w:pict>
      </w:r>
      <w:r>
        <w:rPr>
          <w:rFonts w:ascii="Times New Roman" w:hAnsi="Times New Roman" w:cs="Times New Roman"/>
          <w:b/>
          <w:noProof/>
          <w:color w:val="000000" w:themeColor="text1"/>
          <w:sz w:val="20"/>
          <w:lang w:eastAsia="tr-TR"/>
        </w:rPr>
        <w:pict>
          <v:shape id="_x0000_s1049" type="#_x0000_t202" style="position:absolute;left:0;text-align:left;margin-left:66.65pt;margin-top:7.85pt;width:27.65pt;height:16.4pt;z-index:251678720;mso-width-relative:margin;mso-height-relative:margin" fillcolor="#7f7f7f [1612]" stroked="f">
            <v:textbox style="mso-next-textbox:#_x0000_s1049">
              <w:txbxContent>
                <w:p w:rsidR="00796EC2" w:rsidRPr="00132A11" w:rsidRDefault="00796EC2" w:rsidP="00132A11">
                  <w:pPr>
                    <w:rPr>
                      <w:rFonts w:ascii="Times New Roman" w:hAnsi="Times New Roman" w:cs="Times New Roman"/>
                      <w:color w:val="FFFFFF" w:themeColor="background1"/>
                      <w:sz w:val="20"/>
                    </w:rPr>
                  </w:pPr>
                  <w:r w:rsidRPr="00132A11">
                    <w:rPr>
                      <w:rFonts w:ascii="Times New Roman" w:hAnsi="Times New Roman" w:cs="Times New Roman"/>
                      <w:color w:val="FFFFFF" w:themeColor="background1"/>
                      <w:sz w:val="20"/>
                    </w:rPr>
                    <w:t>IT</w:t>
                  </w:r>
                </w:p>
                <w:p w:rsidR="00796EC2" w:rsidRDefault="00796EC2" w:rsidP="00132A11"/>
              </w:txbxContent>
            </v:textbox>
          </v:shape>
        </w:pict>
      </w:r>
      <w:r>
        <w:rPr>
          <w:rFonts w:ascii="Times New Roman" w:eastAsia="Times New Roman" w:hAnsi="Times New Roman" w:cs="Times New Roman"/>
          <w:noProof/>
          <w:color w:val="00B050"/>
          <w:lang w:eastAsia="tr-TR"/>
        </w:rPr>
        <w:pict>
          <v:shapetype id="_x0000_t32" coordsize="21600,21600" o:spt="32" o:oned="t" path="m,l21600,21600e" filled="f">
            <v:path arrowok="t" fillok="f" o:connecttype="none"/>
            <o:lock v:ext="edit" shapetype="t"/>
          </v:shapetype>
          <v:shape id="_x0000_s1046" type="#_x0000_t32" style="position:absolute;left:0;text-align:left;margin-left:55.4pt;margin-top:71.45pt;width:25.35pt;height:2.4pt;z-index:251675648" o:connectortype="straight" strokecolor="red">
            <v:stroke endarrow="block"/>
          </v:shape>
        </w:pict>
      </w:r>
      <w:r>
        <w:rPr>
          <w:rFonts w:ascii="Times New Roman" w:eastAsia="Times New Roman" w:hAnsi="Times New Roman" w:cs="Times New Roman"/>
          <w:noProof/>
          <w:color w:val="00B050"/>
          <w:lang w:eastAsia="tr-TR"/>
        </w:rPr>
        <w:pict>
          <v:shape id="_x0000_s1045" type="#_x0000_t32" style="position:absolute;left:0;text-align:left;margin-left:94.3pt;margin-top:16.15pt;width:26.65pt;height:0;z-index:251674624" o:connectortype="straight" strokecolor="#00b0f0">
            <v:stroke endarrow="block"/>
          </v:shape>
        </w:pict>
      </w:r>
      <w:r>
        <w:rPr>
          <w:rFonts w:ascii="Times New Roman" w:eastAsia="Times New Roman" w:hAnsi="Times New Roman" w:cs="Times New Roman"/>
          <w:noProof/>
          <w:color w:val="00B050"/>
          <w:lang w:eastAsia="tr-TR"/>
        </w:rPr>
        <w:pict>
          <v:shape id="_x0000_s1044" type="#_x0000_t32" style="position:absolute;left:0;text-align:left;margin-left:107pt;margin-top:49pt;width:13.95pt;height:44.7pt;flip:x;z-index:251673600" o:connectortype="straight" strokecolor="#6f3">
            <v:stroke endarrow="block"/>
          </v:shape>
        </w:pict>
      </w:r>
      <w:r>
        <w:rPr>
          <w:rFonts w:ascii="Times New Roman" w:eastAsia="Times New Roman" w:hAnsi="Times New Roman" w:cs="Times New Roman"/>
          <w:noProof/>
          <w:color w:val="000000" w:themeColor="text1"/>
          <w:lang w:eastAsia="tr-TR"/>
        </w:rPr>
        <w:pict>
          <v:shape id="_x0000_s1040" type="#_x0000_t32" style="position:absolute;left:0;text-align:left;margin-left:124.75pt;margin-top:79.65pt;width:4.05pt;height:59pt;flip:y;z-index:251669504" o:connectortype="straight" strokecolor="yellow">
            <v:stroke endarrow="block"/>
          </v:shape>
        </w:pict>
      </w:r>
      <w:r>
        <w:rPr>
          <w:rFonts w:ascii="Times New Roman" w:eastAsia="Times New Roman" w:hAnsi="Times New Roman" w:cs="Times New Roman"/>
          <w:noProof/>
          <w:color w:val="000000" w:themeColor="text1"/>
          <w:lang w:eastAsia="tr-TR"/>
        </w:rPr>
        <w:pict>
          <v:shape id="_x0000_s1043" type="#_x0000_t32" style="position:absolute;left:0;text-align:left;margin-left:80.75pt;margin-top:93.7pt;width:30.25pt;height:47.7pt;flip:x y;z-index:251672576" o:connectortype="straight" strokecolor="yellow">
            <v:stroke endarrow="block"/>
          </v:shape>
        </w:pict>
      </w:r>
      <w:r>
        <w:rPr>
          <w:rFonts w:ascii="Times New Roman" w:eastAsia="Times New Roman" w:hAnsi="Times New Roman" w:cs="Times New Roman"/>
          <w:noProof/>
          <w:color w:val="000000" w:themeColor="text1"/>
          <w:lang w:eastAsia="tr-TR"/>
        </w:rPr>
        <w:pict>
          <v:shape id="_x0000_s1042" type="#_x0000_t202" style="position:absolute;left:0;text-align:left;margin-left:111pt;margin-top:138.65pt;width:27.65pt;height:16.4pt;z-index:251671552;mso-width-relative:margin;mso-height-relative:margin" fillcolor="#7f7f7f [1612]" stroked="f">
            <v:textbox style="mso-next-textbox:#_x0000_s1042">
              <w:txbxContent>
                <w:p w:rsidR="00796EC2" w:rsidRPr="00132A11" w:rsidRDefault="00796EC2">
                  <w:pPr>
                    <w:rPr>
                      <w:rFonts w:ascii="Times New Roman" w:hAnsi="Times New Roman" w:cs="Times New Roman"/>
                      <w:color w:val="FFFFFF" w:themeColor="background1"/>
                      <w:sz w:val="18"/>
                    </w:rPr>
                  </w:pPr>
                  <w:r w:rsidRPr="00132A11">
                    <w:rPr>
                      <w:rFonts w:ascii="Times New Roman" w:hAnsi="Times New Roman" w:cs="Times New Roman"/>
                      <w:color w:val="FFFFFF" w:themeColor="background1"/>
                      <w:sz w:val="18"/>
                    </w:rPr>
                    <w:t>PA</w:t>
                  </w:r>
                </w:p>
                <w:p w:rsidR="00796EC2" w:rsidRDefault="00796EC2"/>
              </w:txbxContent>
            </v:textbox>
          </v:shape>
        </w:pict>
      </w:r>
      <w:r w:rsidR="008F20E4" w:rsidRPr="008F20E4">
        <w:rPr>
          <w:rFonts w:ascii="Times New Roman" w:eastAsia="Times New Roman" w:hAnsi="Times New Roman" w:cs="Times New Roman"/>
          <w:noProof/>
          <w:color w:val="000000" w:themeColor="text1"/>
          <w:shd w:val="clear" w:color="auto" w:fill="FFFFFF"/>
          <w:lang w:eastAsia="tr-TR"/>
        </w:rPr>
        <w:drawing>
          <wp:inline distT="0" distB="0" distL="0" distR="0">
            <wp:extent cx="2343150" cy="2567908"/>
            <wp:effectExtent l="19050" t="0" r="0" b="0"/>
            <wp:docPr id="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343993" cy="2568832"/>
                    </a:xfrm>
                    <a:prstGeom prst="rect">
                      <a:avLst/>
                    </a:prstGeom>
                    <a:noFill/>
                    <a:ln w="9525">
                      <a:noFill/>
                      <a:miter lim="800000"/>
                      <a:headEnd/>
                      <a:tailEnd/>
                    </a:ln>
                  </pic:spPr>
                </pic:pic>
              </a:graphicData>
            </a:graphic>
          </wp:inline>
        </w:drawing>
      </w:r>
    </w:p>
    <w:p w:rsidR="00D20B9C" w:rsidRPr="006D5F2B" w:rsidRDefault="008F20E4" w:rsidP="008F20E4">
      <w:pPr>
        <w:autoSpaceDE w:val="0"/>
        <w:autoSpaceDN w:val="0"/>
        <w:adjustRightInd w:val="0"/>
        <w:jc w:val="both"/>
        <w:rPr>
          <w:rFonts w:ascii="Times New Roman" w:eastAsia="Times New Roman" w:hAnsi="Times New Roman" w:cs="Times New Roman"/>
          <w:color w:val="000000" w:themeColor="text1"/>
          <w:shd w:val="clear" w:color="auto" w:fill="FFFFFF"/>
          <w:lang w:val="en-US" w:eastAsia="tr-TR"/>
        </w:rPr>
      </w:pPr>
      <w:r w:rsidRPr="006D5F2B">
        <w:rPr>
          <w:rFonts w:ascii="Times New Roman" w:hAnsi="Times New Roman" w:cs="Times New Roman"/>
          <w:b/>
          <w:color w:val="000000" w:themeColor="text1"/>
          <w:sz w:val="20"/>
        </w:rPr>
        <w:t>Fig</w:t>
      </w:r>
      <w:r w:rsidR="006D5F2B" w:rsidRPr="006D5F2B">
        <w:rPr>
          <w:rFonts w:ascii="Times New Roman" w:hAnsi="Times New Roman" w:cs="Times New Roman"/>
          <w:b/>
          <w:color w:val="000000" w:themeColor="text1"/>
          <w:sz w:val="20"/>
        </w:rPr>
        <w:t>ure 6.</w:t>
      </w:r>
      <w:r w:rsidRPr="006D5F2B">
        <w:rPr>
          <w:rFonts w:ascii="Times New Roman" w:hAnsi="Times New Roman" w:cs="Times New Roman"/>
          <w:color w:val="000000" w:themeColor="text1"/>
          <w:sz w:val="20"/>
        </w:rPr>
        <w:t xml:space="preserve"> SEM photographs of PA/MTSW </w:t>
      </w:r>
      <w:r w:rsidRPr="00820A43">
        <w:rPr>
          <w:rFonts w:ascii="Times New Roman" w:eastAsia="Times New Roman" w:hAnsi="Times New Roman" w:cs="Times New Roman"/>
          <w:color w:val="000000" w:themeColor="text1"/>
          <w:sz w:val="20"/>
          <w:shd w:val="clear" w:color="auto" w:fill="FFFFFF"/>
          <w:lang w:val="en-US" w:eastAsia="tr-TR"/>
        </w:rPr>
        <w:t>[20]</w:t>
      </w:r>
    </w:p>
    <w:p w:rsidR="00D74789" w:rsidRDefault="00D74789" w:rsidP="00D74789">
      <w:pPr>
        <w:autoSpaceDE w:val="0"/>
        <w:autoSpaceDN w:val="0"/>
        <w:adjustRightInd w:val="0"/>
        <w:spacing w:before="240" w:after="360"/>
        <w:contextualSpacing/>
        <w:jc w:val="both"/>
        <w:rPr>
          <w:rFonts w:ascii="Times New Roman" w:eastAsia="Times New Roman" w:hAnsi="Times New Roman" w:cs="Times New Roman"/>
          <w:color w:val="000000" w:themeColor="text1"/>
          <w:shd w:val="clear" w:color="auto" w:fill="FFFFFF"/>
          <w:lang w:val="en-US" w:eastAsia="tr-TR"/>
        </w:rPr>
      </w:pPr>
      <w:r w:rsidRPr="00D74789">
        <w:rPr>
          <w:rFonts w:ascii="Times New Roman" w:eastAsia="Times New Roman" w:hAnsi="Times New Roman" w:cs="Times New Roman"/>
          <w:color w:val="000000" w:themeColor="text1"/>
          <w:shd w:val="clear" w:color="auto" w:fill="FFFFFF"/>
          <w:lang w:val="en-US" w:eastAsia="tr-TR"/>
        </w:rPr>
        <w:lastRenderedPageBreak/>
        <w:t>Anagnostopoulos et al. [21] prepared a composite PCM with red mud, an industrial waste of the aluminum industry, and nitrate salt. The authors reported that the PCM was thermally stable with a maximum latent heat of 58 J/g and a maximum energy storage density of 1396 MJ/m3.</w:t>
      </w:r>
    </w:p>
    <w:p w:rsidR="00252B7A" w:rsidRDefault="00252B7A" w:rsidP="00D74789">
      <w:pPr>
        <w:autoSpaceDE w:val="0"/>
        <w:autoSpaceDN w:val="0"/>
        <w:adjustRightInd w:val="0"/>
        <w:spacing w:before="240" w:after="360"/>
        <w:contextualSpacing/>
        <w:jc w:val="both"/>
        <w:rPr>
          <w:rFonts w:ascii="Times New Roman" w:eastAsia="Times New Roman" w:hAnsi="Times New Roman" w:cs="Times New Roman"/>
          <w:color w:val="000000" w:themeColor="text1"/>
          <w:shd w:val="clear" w:color="auto" w:fill="FFFFFF"/>
          <w:lang w:val="en-US" w:eastAsia="tr-TR"/>
        </w:rPr>
      </w:pPr>
    </w:p>
    <w:p w:rsidR="00966D9C" w:rsidRDefault="00252B7A" w:rsidP="00252B7A">
      <w:pPr>
        <w:shd w:val="clear" w:color="auto" w:fill="FFFFFF"/>
        <w:spacing w:after="0"/>
        <w:jc w:val="both"/>
        <w:rPr>
          <w:rStyle w:val="fontstyle01"/>
          <w:sz w:val="22"/>
        </w:rPr>
      </w:pPr>
      <w:r w:rsidRPr="00252B7A">
        <w:rPr>
          <w:rFonts w:ascii="Times New Roman" w:eastAsia="Times New Roman" w:hAnsi="Times New Roman" w:cs="Times New Roman"/>
          <w:color w:val="000000" w:themeColor="text1"/>
          <w:shd w:val="clear" w:color="auto" w:fill="FFFFFF"/>
          <w:lang w:val="en-US" w:eastAsia="tr-TR"/>
        </w:rPr>
        <w:t xml:space="preserve">Moreover, the study of Jeo et al. [22] </w:t>
      </w:r>
      <w:r w:rsidR="00966D9C">
        <w:rPr>
          <w:rFonts w:ascii="Times New Roman" w:eastAsia="Times New Roman" w:hAnsi="Times New Roman" w:cs="Times New Roman"/>
          <w:color w:val="000000" w:themeColor="text1"/>
          <w:shd w:val="clear" w:color="auto" w:fill="FFFFFF"/>
          <w:lang w:val="en-US" w:eastAsia="tr-TR"/>
        </w:rPr>
        <w:t xml:space="preserve">showed that composite PCMs made of </w:t>
      </w:r>
      <w:r w:rsidR="00966D9C" w:rsidRPr="00252B7A">
        <w:rPr>
          <w:rFonts w:ascii="Times New Roman" w:eastAsia="Times New Roman" w:hAnsi="Times New Roman" w:cs="Times New Roman"/>
          <w:color w:val="000000" w:themeColor="text1"/>
          <w:shd w:val="clear" w:color="auto" w:fill="FFFFFF"/>
          <w:lang w:val="en-US" w:eastAsia="tr-TR"/>
        </w:rPr>
        <w:t>rice husk biochar and soy wax</w:t>
      </w:r>
      <w:r w:rsidR="00966D9C">
        <w:rPr>
          <w:rFonts w:ascii="Times New Roman" w:eastAsia="Times New Roman" w:hAnsi="Times New Roman" w:cs="Times New Roman"/>
          <w:color w:val="000000" w:themeColor="text1"/>
          <w:shd w:val="clear" w:color="auto" w:fill="FFFFFF"/>
          <w:lang w:val="en-US" w:eastAsia="tr-TR"/>
        </w:rPr>
        <w:t xml:space="preserve"> can be used in buildings. The results obtained by the authors </w:t>
      </w:r>
      <w:r w:rsidR="00D20B9C">
        <w:rPr>
          <w:rFonts w:ascii="Times New Roman" w:eastAsia="Times New Roman" w:hAnsi="Times New Roman" w:cs="Times New Roman"/>
          <w:color w:val="000000" w:themeColor="text1"/>
          <w:shd w:val="clear" w:color="auto" w:fill="FFFFFF"/>
          <w:lang w:val="en-US" w:eastAsia="tr-TR"/>
        </w:rPr>
        <w:t>revealed</w:t>
      </w:r>
      <w:r w:rsidR="00966D9C">
        <w:rPr>
          <w:rFonts w:ascii="Times New Roman" w:eastAsia="Times New Roman" w:hAnsi="Times New Roman" w:cs="Times New Roman"/>
          <w:color w:val="000000" w:themeColor="text1"/>
          <w:shd w:val="clear" w:color="auto" w:fill="FFFFFF"/>
          <w:lang w:val="en-US" w:eastAsia="tr-TR"/>
        </w:rPr>
        <w:t xml:space="preserve"> that </w:t>
      </w:r>
      <w:r w:rsidR="00966D9C" w:rsidRPr="00966D9C">
        <w:rPr>
          <w:rStyle w:val="fontstyle01"/>
          <w:sz w:val="22"/>
        </w:rPr>
        <w:t xml:space="preserve">reduction in the building energy consumption </w:t>
      </w:r>
      <w:r w:rsidR="00966D9C">
        <w:rPr>
          <w:rStyle w:val="fontstyle01"/>
          <w:sz w:val="22"/>
        </w:rPr>
        <w:t xml:space="preserve">is </w:t>
      </w:r>
      <w:r w:rsidR="00966D9C" w:rsidRPr="00966D9C">
        <w:rPr>
          <w:rStyle w:val="fontstyle01"/>
          <w:sz w:val="22"/>
        </w:rPr>
        <w:t>531.31 kWh</w:t>
      </w:r>
      <w:r w:rsidR="00966D9C">
        <w:rPr>
          <w:rStyle w:val="fontstyle01"/>
          <w:sz w:val="22"/>
        </w:rPr>
        <w:t>/year</w:t>
      </w:r>
      <w:r w:rsidR="00966D9C" w:rsidRPr="00966D9C">
        <w:rPr>
          <w:rStyle w:val="fontstyle01"/>
          <w:sz w:val="22"/>
        </w:rPr>
        <w:t xml:space="preserve"> </w:t>
      </w:r>
      <w:r w:rsidR="00966D9C">
        <w:rPr>
          <w:rStyle w:val="fontstyle01"/>
          <w:sz w:val="22"/>
        </w:rPr>
        <w:t>after the incorporation of rice husk biochar/soy wax</w:t>
      </w:r>
      <w:r w:rsidR="00966D9C" w:rsidRPr="00966D9C">
        <w:rPr>
          <w:rStyle w:val="fontstyle01"/>
          <w:sz w:val="22"/>
        </w:rPr>
        <w:t xml:space="preserve"> into the interior of the building’s outer wall.</w:t>
      </w:r>
      <w:r w:rsidR="00966D9C">
        <w:rPr>
          <w:rStyle w:val="fontstyle01"/>
          <w:sz w:val="22"/>
        </w:rPr>
        <w:t xml:space="preserve"> Moreover, the monitored SEM images of the composite PCMs</w:t>
      </w:r>
      <w:r w:rsidR="00D20B9C">
        <w:rPr>
          <w:rStyle w:val="fontstyle01"/>
          <w:sz w:val="22"/>
        </w:rPr>
        <w:t>, Figure 7,</w:t>
      </w:r>
      <w:r w:rsidR="00966D9C">
        <w:rPr>
          <w:rStyle w:val="fontstyle01"/>
          <w:sz w:val="22"/>
        </w:rPr>
        <w:t xml:space="preserve"> </w:t>
      </w:r>
      <w:r w:rsidR="00D20B9C">
        <w:rPr>
          <w:rStyle w:val="fontstyle01"/>
          <w:sz w:val="22"/>
        </w:rPr>
        <w:t>showed that soy wax was succusfully penetrated into the porous structure of rice husk biochar, as desired.</w:t>
      </w:r>
    </w:p>
    <w:p w:rsidR="00D20B9C" w:rsidRDefault="00D20B9C" w:rsidP="00252B7A">
      <w:pPr>
        <w:shd w:val="clear" w:color="auto" w:fill="FFFFFF"/>
        <w:spacing w:after="0"/>
        <w:jc w:val="both"/>
        <w:rPr>
          <w:rFonts w:ascii="Times New Roman" w:eastAsia="Times New Roman" w:hAnsi="Times New Roman" w:cs="Times New Roman"/>
          <w:color w:val="000000" w:themeColor="text1"/>
          <w:shd w:val="clear" w:color="auto" w:fill="FFFFFF"/>
          <w:lang w:val="en-US" w:eastAsia="tr-TR"/>
        </w:rPr>
      </w:pPr>
    </w:p>
    <w:p w:rsidR="00B15135" w:rsidRPr="00D20B9C" w:rsidRDefault="00F61335" w:rsidP="00A664CE">
      <w:pPr>
        <w:shd w:val="clear" w:color="auto" w:fill="FFFFFF"/>
        <w:spacing w:after="0"/>
        <w:jc w:val="both"/>
        <w:rPr>
          <w:rFonts w:ascii="Times New Roman" w:eastAsia="Times New Roman" w:hAnsi="Times New Roman" w:cs="Times New Roman"/>
          <w:color w:val="000000" w:themeColor="text1"/>
          <w:shd w:val="clear" w:color="auto" w:fill="FFFFFF"/>
          <w:lang w:val="en-US" w:eastAsia="tr-TR"/>
        </w:rPr>
      </w:pPr>
      <w:r>
        <w:rPr>
          <w:rFonts w:ascii="Times New Roman" w:eastAsia="Times New Roman" w:hAnsi="Times New Roman" w:cs="Times New Roman"/>
          <w:noProof/>
          <w:color w:val="000000" w:themeColor="text1"/>
          <w:lang w:eastAsia="tr-TR"/>
        </w:rPr>
        <w:pict>
          <v:shape id="_x0000_s1055" type="#_x0000_t202" style="position:absolute;left:0;text-align:left;margin-left:319.95pt;margin-top:88.55pt;width:103.25pt;height:21.65pt;z-index:251684864;mso-width-relative:margin;mso-height-relative:margin" fillcolor="#a5a5a5 [2092]" stroked="f">
            <v:fill opacity="54395f"/>
            <v:textbox style="mso-next-textbox:#_x0000_s1055">
              <w:txbxContent>
                <w:p w:rsidR="00FB0071" w:rsidRPr="00FB0071" w:rsidRDefault="00FB0071" w:rsidP="00FB0071">
                  <w:pPr>
                    <w:rPr>
                      <w:rFonts w:ascii="Times New Roman" w:hAnsi="Times New Roman" w:cs="Times New Roman"/>
                      <w:b/>
                      <w:color w:val="FFFF00"/>
                    </w:rPr>
                  </w:pPr>
                  <w:r w:rsidRPr="00FB0071">
                    <w:rPr>
                      <w:rFonts w:ascii="Times New Roman" w:hAnsi="Times New Roman" w:cs="Times New Roman"/>
                      <w:b/>
                      <w:color w:val="FFFF00"/>
                    </w:rPr>
                    <w:t>PCM impregnated</w:t>
                  </w:r>
                </w:p>
                <w:p w:rsidR="00FB0071" w:rsidRDefault="00FB0071" w:rsidP="00FB0071"/>
              </w:txbxContent>
            </v:textbox>
          </v:shape>
        </w:pict>
      </w:r>
      <w:r>
        <w:rPr>
          <w:rFonts w:ascii="Times New Roman" w:eastAsia="Times New Roman" w:hAnsi="Times New Roman" w:cs="Times New Roman"/>
          <w:noProof/>
          <w:color w:val="000000" w:themeColor="text1"/>
          <w:lang w:eastAsia="tr-TR"/>
        </w:rPr>
        <w:pict>
          <v:shape id="_x0000_s1053" type="#_x0000_t202" style="position:absolute;left:0;text-align:left;margin-left:66.65pt;margin-top:74.45pt;width:44.35pt;height:23pt;z-index:251682816;mso-width-relative:margin;mso-height-relative:margin" filled="f" fillcolor="#7f7f7f [1612]" stroked="f">
            <v:textbox style="mso-next-textbox:#_x0000_s1053">
              <w:txbxContent>
                <w:p w:rsidR="00FB0071" w:rsidRPr="00FB0071" w:rsidRDefault="00FB0071" w:rsidP="00FB0071">
                  <w:pPr>
                    <w:rPr>
                      <w:rFonts w:ascii="Times New Roman" w:hAnsi="Times New Roman" w:cs="Times New Roman"/>
                      <w:b/>
                      <w:color w:val="FFFF00"/>
                    </w:rPr>
                  </w:pPr>
                  <w:r w:rsidRPr="00FB0071">
                    <w:rPr>
                      <w:rFonts w:ascii="Times New Roman" w:hAnsi="Times New Roman" w:cs="Times New Roman"/>
                      <w:b/>
                      <w:color w:val="FFFF00"/>
                    </w:rPr>
                    <w:t>Pores</w:t>
                  </w:r>
                </w:p>
                <w:p w:rsidR="00FB0071" w:rsidRDefault="00FB0071" w:rsidP="00FB0071"/>
              </w:txbxContent>
            </v:textbox>
          </v:shape>
        </w:pict>
      </w:r>
      <w:r>
        <w:rPr>
          <w:rFonts w:ascii="Times New Roman" w:eastAsia="Times New Roman" w:hAnsi="Times New Roman" w:cs="Times New Roman"/>
          <w:noProof/>
          <w:color w:val="000000" w:themeColor="text1"/>
          <w:lang w:eastAsia="tr-TR"/>
        </w:rPr>
        <w:pict>
          <v:rect id="_x0000_s1054" style="position:absolute;left:0;text-align:left;margin-left:340.35pt;margin-top:13.35pt;width:62.25pt;height:70.55pt;z-index:251683840" filled="f" strokecolor="yellow" strokeweight="1.5pt"/>
        </w:pict>
      </w:r>
      <w:r>
        <w:rPr>
          <w:rFonts w:ascii="Times New Roman" w:eastAsia="Times New Roman" w:hAnsi="Times New Roman" w:cs="Times New Roman"/>
          <w:noProof/>
          <w:color w:val="000000" w:themeColor="text1"/>
          <w:lang w:eastAsia="tr-TR"/>
        </w:rPr>
        <w:pict>
          <v:oval id="_x0000_s1052" style="position:absolute;left:0;text-align:left;margin-left:103.5pt;margin-top:65.9pt;width:45.4pt;height:36.3pt;z-index:251681792" filled="f" strokecolor="yellow" strokeweight="1.5pt"/>
        </w:pict>
      </w:r>
      <w:r>
        <w:rPr>
          <w:rFonts w:ascii="Times New Roman" w:eastAsia="Times New Roman" w:hAnsi="Times New Roman" w:cs="Times New Roman"/>
          <w:noProof/>
          <w:color w:val="000000" w:themeColor="text1"/>
          <w:lang w:eastAsia="tr-TR"/>
        </w:rPr>
        <w:pict>
          <v:shape id="_x0000_s1051" type="#_x0000_t202" style="position:absolute;left:0;text-align:left;margin-left:231.05pt;margin-top:1.15pt;width:18.6pt;height:20.4pt;z-index:251680768;mso-width-relative:margin;mso-height-relative:margin" fillcolor="#d8d8d8 [2732]" stroked="f">
            <v:textbox style="mso-next-textbox:#_x0000_s1051">
              <w:txbxContent>
                <w:p w:rsidR="00F06ECC" w:rsidRDefault="00F06ECC" w:rsidP="00F06ECC">
                  <w:r>
                    <w:t>b</w:t>
                  </w:r>
                </w:p>
              </w:txbxContent>
            </v:textbox>
          </v:shape>
        </w:pict>
      </w:r>
      <w:r>
        <w:rPr>
          <w:rFonts w:ascii="Times New Roman" w:eastAsia="Times New Roman" w:hAnsi="Times New Roman" w:cs="Times New Roman"/>
          <w:noProof/>
          <w:color w:val="000000" w:themeColor="text1"/>
          <w:lang w:eastAsia="tr-TR"/>
        </w:rPr>
        <w:pict>
          <v:shape id="_x0000_s1050" type="#_x0000_t202" style="position:absolute;left:0;text-align:left;margin-left:2.45pt;margin-top:1.15pt;width:18.6pt;height:20.4pt;z-index:251679744;mso-width-relative:margin;mso-height-relative:margin" fillcolor="#d8d8d8 [2732]" stroked="f">
            <v:textbox style="mso-next-textbox:#_x0000_s1050">
              <w:txbxContent>
                <w:p w:rsidR="00F06ECC" w:rsidRDefault="00F06ECC" w:rsidP="00F06ECC">
                  <w:r>
                    <w:t>a</w:t>
                  </w:r>
                </w:p>
              </w:txbxContent>
            </v:textbox>
          </v:shape>
        </w:pict>
      </w:r>
      <w:r w:rsidR="00D20B9C">
        <w:rPr>
          <w:rFonts w:ascii="Times New Roman" w:eastAsia="Times New Roman" w:hAnsi="Times New Roman" w:cs="Times New Roman"/>
          <w:noProof/>
          <w:color w:val="000000" w:themeColor="text1"/>
          <w:shd w:val="clear" w:color="auto" w:fill="FFFFFF"/>
          <w:lang w:eastAsia="tr-TR"/>
        </w:rPr>
        <w:drawing>
          <wp:inline distT="0" distB="0" distL="0" distR="0">
            <wp:extent cx="2866969" cy="2001653"/>
            <wp:effectExtent l="19050" t="0" r="0" b="0"/>
            <wp:docPr id="3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2870923" cy="2004414"/>
                    </a:xfrm>
                    <a:prstGeom prst="rect">
                      <a:avLst/>
                    </a:prstGeom>
                    <a:noFill/>
                    <a:ln w="9525">
                      <a:noFill/>
                      <a:miter lim="800000"/>
                      <a:headEnd/>
                      <a:tailEnd/>
                    </a:ln>
                  </pic:spPr>
                </pic:pic>
              </a:graphicData>
            </a:graphic>
          </wp:inline>
        </w:drawing>
      </w:r>
      <w:r w:rsidR="00D20B9C">
        <w:rPr>
          <w:rFonts w:ascii="Times New Roman" w:eastAsia="Times New Roman" w:hAnsi="Times New Roman" w:cs="Times New Roman"/>
          <w:noProof/>
          <w:color w:val="000000" w:themeColor="text1"/>
          <w:shd w:val="clear" w:color="auto" w:fill="FFFFFF"/>
          <w:lang w:eastAsia="tr-TR"/>
        </w:rPr>
        <w:drawing>
          <wp:inline distT="0" distB="0" distL="0" distR="0">
            <wp:extent cx="2617146" cy="2002479"/>
            <wp:effectExtent l="19050" t="0" r="0" b="0"/>
            <wp:docPr id="3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2623011" cy="2006967"/>
                    </a:xfrm>
                    <a:prstGeom prst="rect">
                      <a:avLst/>
                    </a:prstGeom>
                    <a:noFill/>
                    <a:ln w="9525">
                      <a:noFill/>
                      <a:miter lim="800000"/>
                      <a:headEnd/>
                      <a:tailEnd/>
                    </a:ln>
                  </pic:spPr>
                </pic:pic>
              </a:graphicData>
            </a:graphic>
          </wp:inline>
        </w:drawing>
      </w:r>
    </w:p>
    <w:p w:rsidR="00754E61" w:rsidRPr="00D20B9C" w:rsidRDefault="00754E61" w:rsidP="00A664CE">
      <w:pPr>
        <w:shd w:val="clear" w:color="auto" w:fill="FFFFFF"/>
        <w:spacing w:after="0"/>
        <w:jc w:val="both"/>
        <w:rPr>
          <w:rStyle w:val="fontstyle01"/>
          <w:sz w:val="20"/>
        </w:rPr>
      </w:pPr>
      <w:r w:rsidRPr="00D20B9C">
        <w:rPr>
          <w:rStyle w:val="fontstyle01"/>
          <w:b/>
          <w:sz w:val="20"/>
        </w:rPr>
        <w:t xml:space="preserve">Figure </w:t>
      </w:r>
      <w:r w:rsidR="00D20B9C" w:rsidRPr="00D20B9C">
        <w:rPr>
          <w:rStyle w:val="fontstyle01"/>
          <w:b/>
          <w:sz w:val="20"/>
        </w:rPr>
        <w:t>7</w:t>
      </w:r>
      <w:r w:rsidRPr="00D20B9C">
        <w:rPr>
          <w:rStyle w:val="fontstyle01"/>
          <w:b/>
          <w:sz w:val="20"/>
        </w:rPr>
        <w:t>.</w:t>
      </w:r>
      <w:r w:rsidRPr="00D20B9C">
        <w:rPr>
          <w:rStyle w:val="fontstyle01"/>
          <w:sz w:val="20"/>
        </w:rPr>
        <w:t xml:space="preserve"> SEM images of </w:t>
      </w:r>
      <w:r w:rsidR="00D20B9C">
        <w:rPr>
          <w:rStyle w:val="fontstyle01"/>
          <w:sz w:val="20"/>
        </w:rPr>
        <w:t xml:space="preserve">a) rice husk biochar, b) </w:t>
      </w:r>
      <w:r w:rsidR="00A711DD" w:rsidRPr="00D20B9C">
        <w:rPr>
          <w:rStyle w:val="fontstyle01"/>
          <w:sz w:val="20"/>
        </w:rPr>
        <w:t xml:space="preserve">rice husk </w:t>
      </w:r>
      <w:r w:rsidR="00D20B9C">
        <w:rPr>
          <w:rStyle w:val="fontstyle01"/>
          <w:sz w:val="20"/>
        </w:rPr>
        <w:t xml:space="preserve">biochar/soy wax </w:t>
      </w:r>
      <w:r w:rsidR="00D20B9C" w:rsidRPr="00D20B9C">
        <w:rPr>
          <w:rStyle w:val="fontstyle01"/>
          <w:sz w:val="20"/>
        </w:rPr>
        <w:t>[22]</w:t>
      </w:r>
    </w:p>
    <w:p w:rsidR="00754E61" w:rsidRDefault="00754E61" w:rsidP="00A664CE">
      <w:pPr>
        <w:shd w:val="clear" w:color="auto" w:fill="FFFFFF"/>
        <w:spacing w:after="0"/>
        <w:jc w:val="both"/>
        <w:rPr>
          <w:rFonts w:ascii="Times New Roman" w:hAnsi="Times New Roman"/>
          <w:sz w:val="20"/>
          <w:szCs w:val="20"/>
          <w:lang w:val="en-GB"/>
        </w:rPr>
      </w:pPr>
    </w:p>
    <w:p w:rsidR="00E910FB" w:rsidRPr="00F25C16" w:rsidRDefault="00E910FB" w:rsidP="00CA318B">
      <w:pPr>
        <w:numPr>
          <w:ilvl w:val="0"/>
          <w:numId w:val="6"/>
        </w:numPr>
        <w:autoSpaceDE w:val="0"/>
        <w:autoSpaceDN w:val="0"/>
        <w:adjustRightInd w:val="0"/>
        <w:spacing w:before="240" w:after="360"/>
        <w:contextualSpacing/>
        <w:jc w:val="both"/>
        <w:rPr>
          <w:rFonts w:ascii="Times New Roman" w:hAnsi="Times New Roman" w:cs="Times New Roman"/>
          <w:b/>
          <w:color w:val="000000" w:themeColor="text1"/>
          <w:sz w:val="24"/>
          <w:szCs w:val="24"/>
        </w:rPr>
      </w:pPr>
      <w:r w:rsidRPr="00F25C16">
        <w:rPr>
          <w:rFonts w:ascii="Times New Roman" w:hAnsi="Times New Roman" w:cs="Times New Roman"/>
          <w:b/>
          <w:color w:val="000000" w:themeColor="text1"/>
          <w:sz w:val="24"/>
          <w:szCs w:val="24"/>
        </w:rPr>
        <w:t>Conclusion</w:t>
      </w:r>
      <w:r w:rsidR="00F25C16" w:rsidRPr="00F25C16">
        <w:rPr>
          <w:rFonts w:ascii="Times New Roman" w:hAnsi="Times New Roman" w:cs="Times New Roman"/>
          <w:b/>
          <w:color w:val="000000" w:themeColor="text1"/>
          <w:sz w:val="24"/>
          <w:szCs w:val="24"/>
        </w:rPr>
        <w:t xml:space="preserve"> </w:t>
      </w:r>
    </w:p>
    <w:p w:rsidR="00E910FB" w:rsidRPr="0097784A" w:rsidRDefault="00E910FB" w:rsidP="00F25C16">
      <w:pPr>
        <w:autoSpaceDE w:val="0"/>
        <w:autoSpaceDN w:val="0"/>
        <w:adjustRightInd w:val="0"/>
        <w:spacing w:before="240" w:after="360"/>
        <w:contextualSpacing/>
        <w:jc w:val="both"/>
        <w:rPr>
          <w:rFonts w:ascii="Times New Roman" w:hAnsi="Times New Roman" w:cs="Times New Roman"/>
          <w:b/>
          <w:color w:val="000000" w:themeColor="text1"/>
        </w:rPr>
      </w:pPr>
    </w:p>
    <w:p w:rsidR="00182331" w:rsidRDefault="00FB0071" w:rsidP="00182331">
      <w:pPr>
        <w:autoSpaceDE w:val="0"/>
        <w:autoSpaceDN w:val="0"/>
        <w:adjustRightInd w:val="0"/>
        <w:spacing w:after="0"/>
        <w:jc w:val="both"/>
        <w:rPr>
          <w:rFonts w:ascii="Times New Roman" w:eastAsia="Times New Roman" w:hAnsi="Times New Roman" w:cs="Times New Roman"/>
          <w:color w:val="000000" w:themeColor="text1"/>
          <w:shd w:val="clear" w:color="auto" w:fill="FFFFFF"/>
          <w:lang w:val="en-US" w:eastAsia="tr-TR"/>
        </w:rPr>
      </w:pPr>
      <w:r w:rsidRPr="00FB0071">
        <w:rPr>
          <w:rFonts w:ascii="Times New Roman" w:eastAsia="Times New Roman" w:hAnsi="Times New Roman" w:cs="Times New Roman"/>
          <w:color w:val="000000" w:themeColor="text1"/>
          <w:shd w:val="clear" w:color="auto" w:fill="FFFFFF"/>
          <w:lang w:val="en-US" w:eastAsia="tr-TR"/>
        </w:rPr>
        <w:t>The use of waste materials as carriers for PCM introduc</w:t>
      </w:r>
      <w:r w:rsidR="0030559E">
        <w:rPr>
          <w:rFonts w:ascii="Times New Roman" w:eastAsia="Times New Roman" w:hAnsi="Times New Roman" w:cs="Times New Roman"/>
          <w:color w:val="000000" w:themeColor="text1"/>
          <w:shd w:val="clear" w:color="auto" w:fill="FFFFFF"/>
          <w:lang w:val="en-US" w:eastAsia="tr-TR"/>
        </w:rPr>
        <w:t xml:space="preserve">es economic and environmental </w:t>
      </w:r>
      <w:r w:rsidRPr="00FB0071">
        <w:rPr>
          <w:rFonts w:ascii="Times New Roman" w:eastAsia="Times New Roman" w:hAnsi="Times New Roman" w:cs="Times New Roman"/>
          <w:color w:val="000000" w:themeColor="text1"/>
          <w:shd w:val="clear" w:color="auto" w:fill="FFFFFF"/>
          <w:lang w:val="en-US" w:eastAsia="tr-TR"/>
        </w:rPr>
        <w:t xml:space="preserve">benefits. The versatility of waste materials, particularly those derived from biomass and wood-based products, has been harnessed to prevent PCM leakage and </w:t>
      </w:r>
      <w:r w:rsidR="009C1595">
        <w:rPr>
          <w:rFonts w:ascii="Times New Roman" w:eastAsia="Times New Roman" w:hAnsi="Times New Roman" w:cs="Times New Roman"/>
          <w:color w:val="000000" w:themeColor="text1"/>
          <w:shd w:val="clear" w:color="auto" w:fill="FFFFFF"/>
          <w:lang w:val="en-US" w:eastAsia="tr-TR"/>
        </w:rPr>
        <w:t>improve</w:t>
      </w:r>
      <w:r w:rsidRPr="00FB0071">
        <w:rPr>
          <w:rFonts w:ascii="Times New Roman" w:eastAsia="Times New Roman" w:hAnsi="Times New Roman" w:cs="Times New Roman"/>
          <w:color w:val="000000" w:themeColor="text1"/>
          <w:shd w:val="clear" w:color="auto" w:fill="FFFFFF"/>
          <w:lang w:val="en-US" w:eastAsia="tr-TR"/>
        </w:rPr>
        <w:t xml:space="preserve"> thermal </w:t>
      </w:r>
      <w:r w:rsidR="009C1595">
        <w:rPr>
          <w:rFonts w:ascii="Times New Roman" w:eastAsia="Times New Roman" w:hAnsi="Times New Roman" w:cs="Times New Roman"/>
          <w:color w:val="000000" w:themeColor="text1"/>
          <w:shd w:val="clear" w:color="auto" w:fill="FFFFFF"/>
          <w:lang w:val="en-US" w:eastAsia="tr-TR"/>
        </w:rPr>
        <w:t>efficiency</w:t>
      </w:r>
      <w:r w:rsidRPr="00FB0071">
        <w:rPr>
          <w:rFonts w:ascii="Times New Roman" w:eastAsia="Times New Roman" w:hAnsi="Times New Roman" w:cs="Times New Roman"/>
          <w:color w:val="000000" w:themeColor="text1"/>
          <w:shd w:val="clear" w:color="auto" w:fill="FFFFFF"/>
          <w:lang w:val="en-US" w:eastAsia="tr-TR"/>
        </w:rPr>
        <w:t xml:space="preserve">. Biochar, </w:t>
      </w:r>
      <w:r w:rsidR="0030559E">
        <w:rPr>
          <w:rFonts w:ascii="Times New Roman" w:eastAsia="Times New Roman" w:hAnsi="Times New Roman" w:cs="Times New Roman"/>
          <w:color w:val="000000" w:themeColor="text1"/>
          <w:shd w:val="clear" w:color="auto" w:fill="FFFFFF"/>
          <w:lang w:val="en-US" w:eastAsia="tr-TR"/>
        </w:rPr>
        <w:t>the</w:t>
      </w:r>
      <w:r w:rsidRPr="00FB0071">
        <w:rPr>
          <w:rFonts w:ascii="Times New Roman" w:eastAsia="Times New Roman" w:hAnsi="Times New Roman" w:cs="Times New Roman"/>
          <w:color w:val="000000" w:themeColor="text1"/>
          <w:shd w:val="clear" w:color="auto" w:fill="FFFFFF"/>
          <w:lang w:val="en-US" w:eastAsia="tr-TR"/>
        </w:rPr>
        <w:t xml:space="preserve"> by</w:t>
      </w:r>
      <w:r w:rsidR="0030559E">
        <w:rPr>
          <w:rFonts w:ascii="Times New Roman" w:eastAsia="Times New Roman" w:hAnsi="Times New Roman" w:cs="Times New Roman"/>
          <w:color w:val="000000" w:themeColor="text1"/>
          <w:shd w:val="clear" w:color="auto" w:fill="FFFFFF"/>
          <w:lang w:val="en-US" w:eastAsia="tr-TR"/>
        </w:rPr>
        <w:t>-</w:t>
      </w:r>
      <w:r w:rsidRPr="00FB0071">
        <w:rPr>
          <w:rFonts w:ascii="Times New Roman" w:eastAsia="Times New Roman" w:hAnsi="Times New Roman" w:cs="Times New Roman"/>
          <w:color w:val="000000" w:themeColor="text1"/>
          <w:shd w:val="clear" w:color="auto" w:fill="FFFFFF"/>
          <w:lang w:val="en-US" w:eastAsia="tr-TR"/>
        </w:rPr>
        <w:t>product of biomass pyrolysis, stands out for its porous structure, making it an effective carrier for PCM.</w:t>
      </w:r>
      <w:r w:rsidRPr="00FB0071">
        <w:t xml:space="preserve"> </w:t>
      </w:r>
      <w:r w:rsidRPr="00FB0071">
        <w:rPr>
          <w:rFonts w:ascii="Times New Roman" w:eastAsia="Times New Roman" w:hAnsi="Times New Roman" w:cs="Times New Roman"/>
          <w:color w:val="000000" w:themeColor="text1"/>
          <w:shd w:val="clear" w:color="auto" w:fill="FFFFFF"/>
          <w:lang w:val="en-US" w:eastAsia="tr-TR"/>
        </w:rPr>
        <w:t>Despite the promising results presented in the existing studies</w:t>
      </w:r>
      <w:r w:rsidR="0030559E">
        <w:rPr>
          <w:rFonts w:ascii="Times New Roman" w:eastAsia="Times New Roman" w:hAnsi="Times New Roman" w:cs="Times New Roman"/>
          <w:color w:val="000000" w:themeColor="text1"/>
          <w:shd w:val="clear" w:color="auto" w:fill="FFFFFF"/>
          <w:lang w:val="en-US" w:eastAsia="tr-TR"/>
        </w:rPr>
        <w:t xml:space="preserve"> in literature</w:t>
      </w:r>
      <w:r w:rsidRPr="00FB0071">
        <w:rPr>
          <w:rFonts w:ascii="Times New Roman" w:eastAsia="Times New Roman" w:hAnsi="Times New Roman" w:cs="Times New Roman"/>
          <w:color w:val="000000" w:themeColor="text1"/>
          <w:shd w:val="clear" w:color="auto" w:fill="FFFFFF"/>
          <w:lang w:val="en-US" w:eastAsia="tr-TR"/>
        </w:rPr>
        <w:t>, it is noteworthy that there is still a limited body of research specifically addressing the integration of waste materials with PCMs.</w:t>
      </w:r>
      <w:r w:rsidR="00A24852">
        <w:rPr>
          <w:rFonts w:ascii="Times New Roman" w:eastAsia="Times New Roman" w:hAnsi="Times New Roman" w:cs="Times New Roman"/>
          <w:color w:val="000000" w:themeColor="text1"/>
          <w:shd w:val="clear" w:color="auto" w:fill="FFFFFF"/>
          <w:lang w:val="en-US" w:eastAsia="tr-TR"/>
        </w:rPr>
        <w:t xml:space="preserve"> </w:t>
      </w:r>
      <w:r w:rsidR="0030559E" w:rsidRPr="0030559E">
        <w:rPr>
          <w:rFonts w:ascii="Times New Roman" w:eastAsia="Times New Roman" w:hAnsi="Times New Roman" w:cs="Times New Roman"/>
          <w:color w:val="000000" w:themeColor="text1"/>
          <w:shd w:val="clear" w:color="auto" w:fill="FFFFFF"/>
          <w:lang w:val="en-US" w:eastAsia="tr-TR"/>
        </w:rPr>
        <w:t xml:space="preserve">The information presented here intends to encourage additional research, creativity, and the extensive use of </w:t>
      </w:r>
      <w:r w:rsidR="009C1595">
        <w:rPr>
          <w:rFonts w:ascii="Times New Roman" w:eastAsia="Times New Roman" w:hAnsi="Times New Roman" w:cs="Times New Roman"/>
          <w:color w:val="000000" w:themeColor="text1"/>
          <w:shd w:val="clear" w:color="auto" w:fill="FFFFFF"/>
          <w:lang w:val="en-US" w:eastAsia="tr-TR"/>
        </w:rPr>
        <w:t>PCMs together with waste materials</w:t>
      </w:r>
      <w:r w:rsidR="0030559E">
        <w:rPr>
          <w:rFonts w:ascii="Times New Roman" w:eastAsia="Times New Roman" w:hAnsi="Times New Roman" w:cs="Times New Roman"/>
          <w:color w:val="000000" w:themeColor="text1"/>
          <w:shd w:val="clear" w:color="auto" w:fill="FFFFFF"/>
          <w:lang w:val="en-US" w:eastAsia="tr-TR"/>
        </w:rPr>
        <w:t xml:space="preserve">, </w:t>
      </w:r>
      <w:r w:rsidR="0030559E" w:rsidRPr="0030559E">
        <w:rPr>
          <w:rFonts w:ascii="Times New Roman" w:eastAsia="Times New Roman" w:hAnsi="Times New Roman" w:cs="Times New Roman"/>
          <w:color w:val="000000" w:themeColor="text1"/>
          <w:shd w:val="clear" w:color="auto" w:fill="FFFFFF"/>
          <w:lang w:val="en-US" w:eastAsia="tr-TR"/>
        </w:rPr>
        <w:t>making a contribution to the achievement of energy-efficient and environmentally friendly buildings in the coming years.</w:t>
      </w:r>
    </w:p>
    <w:p w:rsidR="00FB0071" w:rsidRDefault="00FB0071" w:rsidP="00182331">
      <w:pPr>
        <w:autoSpaceDE w:val="0"/>
        <w:autoSpaceDN w:val="0"/>
        <w:adjustRightInd w:val="0"/>
        <w:spacing w:after="0"/>
        <w:jc w:val="both"/>
        <w:rPr>
          <w:rFonts w:ascii="Times New Roman" w:eastAsia="Calibri" w:hAnsi="Times New Roman" w:cs="Times New Roman"/>
          <w:lang w:val="en-GB"/>
        </w:rPr>
      </w:pPr>
    </w:p>
    <w:p w:rsidR="00F25C16" w:rsidRPr="00C84AD4" w:rsidRDefault="00F25C16" w:rsidP="00F25C16">
      <w:pPr>
        <w:spacing w:after="0" w:line="23" w:lineRule="atLeast"/>
        <w:jc w:val="both"/>
        <w:rPr>
          <w:rFonts w:ascii="Times New Roman" w:eastAsia="Times New Roman" w:hAnsi="Times New Roman" w:cs="Times New Roman"/>
          <w:color w:val="FF0000"/>
          <w:sz w:val="24"/>
          <w:szCs w:val="24"/>
          <w:shd w:val="clear" w:color="auto" w:fill="FFFFFF"/>
          <w:lang w:val="en-US" w:eastAsia="tr-TR"/>
        </w:rPr>
      </w:pPr>
      <w:r w:rsidRPr="00182331">
        <w:rPr>
          <w:rFonts w:ascii="Times New Roman" w:hAnsi="Times New Roman" w:cs="Times New Roman"/>
          <w:b/>
          <w:sz w:val="24"/>
          <w:szCs w:val="24"/>
          <w:lang w:val="en-US" w:eastAsia="tr-TR"/>
        </w:rPr>
        <w:t xml:space="preserve">References </w:t>
      </w:r>
      <w:r w:rsidRPr="00182331">
        <w:rPr>
          <w:rFonts w:ascii="Times New Roman" w:hAnsi="Times New Roman" w:cs="Times New Roman"/>
          <w:b/>
          <w:color w:val="FF0000"/>
          <w:sz w:val="24"/>
          <w:szCs w:val="24"/>
          <w:lang w:val="en-US" w:eastAsia="tr-TR"/>
        </w:rPr>
        <w:t xml:space="preserve"> </w:t>
      </w:r>
    </w:p>
    <w:p w:rsidR="008F20E4" w:rsidRDefault="008F20E4" w:rsidP="008F20E4">
      <w:pPr>
        <w:pStyle w:val="ListeParagraf"/>
        <w:widowControl w:val="0"/>
        <w:shd w:val="clear" w:color="auto" w:fill="FFFFFF"/>
        <w:tabs>
          <w:tab w:val="left" w:pos="426"/>
        </w:tabs>
        <w:suppressAutoHyphens/>
        <w:spacing w:after="0"/>
        <w:ind w:left="426" w:hanging="426"/>
        <w:contextualSpacing w:val="0"/>
        <w:jc w:val="both"/>
        <w:rPr>
          <w:rFonts w:ascii="Times New Roman" w:eastAsia="Times New Roman" w:hAnsi="Times New Roman" w:cs="Times New Roman"/>
          <w:color w:val="333333"/>
          <w:lang w:eastAsia="tr-TR"/>
        </w:rPr>
      </w:pPr>
    </w:p>
    <w:p w:rsidR="004027D0" w:rsidRPr="004027D0" w:rsidRDefault="003B14B5" w:rsidP="004027D0">
      <w:pPr>
        <w:pStyle w:val="EndNoteBibliography"/>
        <w:ind w:left="426" w:hanging="426"/>
        <w:rPr>
          <w:sz w:val="22"/>
          <w:szCs w:val="22"/>
        </w:rPr>
      </w:pPr>
      <w:r w:rsidRPr="004027D0">
        <w:rPr>
          <w:sz w:val="22"/>
          <w:szCs w:val="22"/>
        </w:rPr>
        <w:fldChar w:fldCharType="begin"/>
      </w:r>
      <w:r w:rsidR="004027D0" w:rsidRPr="004027D0">
        <w:rPr>
          <w:sz w:val="22"/>
          <w:szCs w:val="22"/>
        </w:rPr>
        <w:instrText xml:space="preserve"> ADDIN EN.REFLIST </w:instrText>
      </w:r>
      <w:r w:rsidRPr="004027D0">
        <w:rPr>
          <w:sz w:val="22"/>
          <w:szCs w:val="22"/>
        </w:rPr>
        <w:fldChar w:fldCharType="separate"/>
      </w:r>
      <w:r w:rsidR="004027D0" w:rsidRPr="004027D0">
        <w:rPr>
          <w:sz w:val="22"/>
          <w:szCs w:val="22"/>
        </w:rPr>
        <w:t>[1] Wang, R., Kang, Y., Lei, T., Li, S., Zhou, Z., and Xiao, Y. (2021) Microcapsules Composed of Stearic Acid Core and Polyethylene Glycol</w:t>
      </w:r>
      <w:r w:rsidR="004027D0">
        <w:rPr>
          <w:sz w:val="22"/>
          <w:szCs w:val="22"/>
        </w:rPr>
        <w:t>-</w:t>
      </w:r>
      <w:r w:rsidR="004027D0" w:rsidRPr="004027D0">
        <w:rPr>
          <w:sz w:val="22"/>
          <w:szCs w:val="22"/>
        </w:rPr>
        <w:t xml:space="preserve">based Shell as a Microcapsule Phase Change Material, </w:t>
      </w:r>
      <w:r w:rsidR="004027D0" w:rsidRPr="004027D0">
        <w:rPr>
          <w:i/>
          <w:sz w:val="22"/>
          <w:szCs w:val="22"/>
        </w:rPr>
        <w:t>International Journal of Energy Research</w:t>
      </w:r>
      <w:r w:rsidR="004027D0" w:rsidRPr="004027D0">
        <w:rPr>
          <w:sz w:val="22"/>
          <w:szCs w:val="22"/>
        </w:rPr>
        <w:t>.</w:t>
      </w:r>
    </w:p>
    <w:p w:rsidR="004027D0" w:rsidRPr="004027D0" w:rsidRDefault="004027D0" w:rsidP="004027D0">
      <w:pPr>
        <w:pStyle w:val="EndNoteBibliography"/>
        <w:ind w:left="426" w:hanging="426"/>
        <w:rPr>
          <w:sz w:val="22"/>
          <w:szCs w:val="22"/>
        </w:rPr>
      </w:pPr>
      <w:r w:rsidRPr="004027D0">
        <w:rPr>
          <w:sz w:val="22"/>
          <w:szCs w:val="22"/>
        </w:rPr>
        <w:t xml:space="preserve">[2] Zhao, J., Zhang, W., Gao, C., and Yin, D. (2020) Shape Stabilization of Phase Change Material by Polymerized High Internal Phase Emulsion for Thermal Energy Storage, </w:t>
      </w:r>
      <w:r w:rsidRPr="004027D0">
        <w:rPr>
          <w:i/>
          <w:sz w:val="22"/>
          <w:szCs w:val="22"/>
        </w:rPr>
        <w:t>International Journal of Energy Research</w:t>
      </w:r>
      <w:r w:rsidRPr="004027D0">
        <w:rPr>
          <w:sz w:val="22"/>
          <w:szCs w:val="22"/>
        </w:rPr>
        <w:t>.</w:t>
      </w:r>
    </w:p>
    <w:p w:rsidR="004027D0" w:rsidRPr="004027D0" w:rsidRDefault="004027D0" w:rsidP="004027D0">
      <w:pPr>
        <w:pStyle w:val="EndNoteBibliography"/>
        <w:ind w:left="426" w:hanging="426"/>
        <w:rPr>
          <w:sz w:val="22"/>
          <w:szCs w:val="22"/>
        </w:rPr>
      </w:pPr>
      <w:r w:rsidRPr="004027D0">
        <w:rPr>
          <w:sz w:val="22"/>
          <w:szCs w:val="22"/>
        </w:rPr>
        <w:t xml:space="preserve">[3] Galazutdinova, Y., Al-Hallaj, S., Grágeda, M., and Ushak, S. (2019) Development of the Inorganic Composite Phase Change Materials for Passive Thermal Management of Li‐ion Batteries: Material Characterization, </w:t>
      </w:r>
      <w:r w:rsidRPr="004027D0">
        <w:rPr>
          <w:i/>
          <w:sz w:val="22"/>
          <w:szCs w:val="22"/>
        </w:rPr>
        <w:t>International Journal of Energy Research</w:t>
      </w:r>
      <w:r w:rsidRPr="004027D0">
        <w:rPr>
          <w:sz w:val="22"/>
          <w:szCs w:val="22"/>
        </w:rPr>
        <w:t>.</w:t>
      </w:r>
    </w:p>
    <w:p w:rsidR="004027D0" w:rsidRPr="004027D0" w:rsidRDefault="004027D0" w:rsidP="004027D0">
      <w:pPr>
        <w:pStyle w:val="EndNoteBibliography"/>
        <w:ind w:left="426" w:hanging="426"/>
        <w:rPr>
          <w:sz w:val="22"/>
          <w:szCs w:val="22"/>
        </w:rPr>
      </w:pPr>
      <w:r w:rsidRPr="004027D0">
        <w:rPr>
          <w:sz w:val="22"/>
          <w:szCs w:val="22"/>
        </w:rPr>
        <w:t xml:space="preserve">[4] Cui, Y., Xie, J., Liu, J., Wang, J., and Chen, S. (2017) A Review on Phase Change Material Application in Building, </w:t>
      </w:r>
      <w:r w:rsidRPr="004027D0">
        <w:rPr>
          <w:i/>
          <w:sz w:val="22"/>
          <w:szCs w:val="22"/>
        </w:rPr>
        <w:t>Advances in Mechanical Engineering</w:t>
      </w:r>
      <w:r w:rsidRPr="004027D0">
        <w:rPr>
          <w:sz w:val="22"/>
          <w:szCs w:val="22"/>
        </w:rPr>
        <w:t>.</w:t>
      </w:r>
    </w:p>
    <w:p w:rsidR="004027D0" w:rsidRPr="004027D0" w:rsidRDefault="004027D0" w:rsidP="004027D0">
      <w:pPr>
        <w:pStyle w:val="EndNoteBibliography"/>
        <w:ind w:left="426" w:hanging="426"/>
        <w:rPr>
          <w:sz w:val="22"/>
          <w:szCs w:val="22"/>
        </w:rPr>
      </w:pPr>
      <w:r w:rsidRPr="004027D0">
        <w:rPr>
          <w:sz w:val="22"/>
          <w:szCs w:val="22"/>
        </w:rPr>
        <w:t xml:space="preserve">[5] Kumar, D., Alam, M., and Sanjayan, J. (2021) Retrofitting Building Envelope Using Phase Change Materials and Aerogel Render for Adaptation to Extreme Heatwave: A Multi-Objective Analysis Considering Heat Stress, Energy, Environment, and Cost, </w:t>
      </w:r>
      <w:r w:rsidRPr="004027D0">
        <w:rPr>
          <w:i/>
          <w:sz w:val="22"/>
          <w:szCs w:val="22"/>
        </w:rPr>
        <w:t>Sustainability</w:t>
      </w:r>
      <w:r w:rsidRPr="004027D0">
        <w:rPr>
          <w:sz w:val="22"/>
          <w:szCs w:val="22"/>
        </w:rPr>
        <w:t>.</w:t>
      </w:r>
    </w:p>
    <w:p w:rsidR="004027D0" w:rsidRPr="004027D0" w:rsidRDefault="004027D0" w:rsidP="004027D0">
      <w:pPr>
        <w:pStyle w:val="EndNoteBibliography"/>
        <w:ind w:left="426" w:hanging="426"/>
        <w:rPr>
          <w:sz w:val="22"/>
          <w:szCs w:val="22"/>
        </w:rPr>
      </w:pPr>
      <w:r w:rsidRPr="004027D0">
        <w:rPr>
          <w:sz w:val="22"/>
          <w:szCs w:val="22"/>
        </w:rPr>
        <w:t xml:space="preserve">[6] Al-Yasiri, Q., and Szabó, M. (2021) Incorporation of phase change materials into building envelope for thermal comfort and energy saving: A comprehensive analysis, </w:t>
      </w:r>
      <w:r w:rsidRPr="004027D0">
        <w:rPr>
          <w:i/>
          <w:sz w:val="22"/>
          <w:szCs w:val="22"/>
        </w:rPr>
        <w:t>Journal of Building Engineering</w:t>
      </w:r>
      <w:r w:rsidRPr="004027D0">
        <w:rPr>
          <w:sz w:val="22"/>
          <w:szCs w:val="22"/>
        </w:rPr>
        <w:t xml:space="preserve"> </w:t>
      </w:r>
      <w:r w:rsidRPr="004027D0">
        <w:rPr>
          <w:i/>
          <w:sz w:val="22"/>
          <w:szCs w:val="22"/>
        </w:rPr>
        <w:t>36</w:t>
      </w:r>
      <w:r w:rsidRPr="004027D0">
        <w:rPr>
          <w:sz w:val="22"/>
          <w:szCs w:val="22"/>
        </w:rPr>
        <w:t>, 102122.</w:t>
      </w:r>
    </w:p>
    <w:p w:rsidR="004027D0" w:rsidRPr="004027D0" w:rsidRDefault="004027D0" w:rsidP="004027D0">
      <w:pPr>
        <w:pStyle w:val="EndNoteBibliography"/>
        <w:ind w:left="426" w:hanging="426"/>
        <w:rPr>
          <w:sz w:val="22"/>
          <w:szCs w:val="22"/>
        </w:rPr>
      </w:pPr>
      <w:r w:rsidRPr="004027D0">
        <w:rPr>
          <w:sz w:val="22"/>
          <w:szCs w:val="22"/>
        </w:rPr>
        <w:lastRenderedPageBreak/>
        <w:t xml:space="preserve">[7] Frigione, M., Lettieri, M., and Sarcinella, A. (2019) Phase Change Materials for Energy Efficiency in Buildings and Their Use in Mortars, </w:t>
      </w:r>
      <w:r w:rsidRPr="004027D0">
        <w:rPr>
          <w:i/>
          <w:sz w:val="22"/>
          <w:szCs w:val="22"/>
        </w:rPr>
        <w:t>Materials</w:t>
      </w:r>
      <w:r w:rsidRPr="004027D0">
        <w:rPr>
          <w:sz w:val="22"/>
          <w:szCs w:val="22"/>
        </w:rPr>
        <w:t xml:space="preserve"> </w:t>
      </w:r>
      <w:r w:rsidRPr="004027D0">
        <w:rPr>
          <w:i/>
          <w:sz w:val="22"/>
          <w:szCs w:val="22"/>
        </w:rPr>
        <w:t>12</w:t>
      </w:r>
      <w:r w:rsidRPr="004027D0">
        <w:rPr>
          <w:sz w:val="22"/>
          <w:szCs w:val="22"/>
        </w:rPr>
        <w:t>, 1260.</w:t>
      </w:r>
    </w:p>
    <w:p w:rsidR="004027D0" w:rsidRPr="004027D0" w:rsidRDefault="004027D0" w:rsidP="004027D0">
      <w:pPr>
        <w:pStyle w:val="EndNoteBibliography"/>
        <w:ind w:left="426" w:hanging="426"/>
        <w:rPr>
          <w:sz w:val="22"/>
          <w:szCs w:val="22"/>
        </w:rPr>
      </w:pPr>
      <w:r w:rsidRPr="004027D0">
        <w:rPr>
          <w:sz w:val="22"/>
          <w:szCs w:val="22"/>
        </w:rPr>
        <w:t xml:space="preserve">[8] Silva, T., Vicente, R., Soares, N., and Ferreira, V. (2012) Experimental testing and numerical modelling of masonry wall solution with PCM incorporation: A passive construction solution, </w:t>
      </w:r>
      <w:r w:rsidRPr="004027D0">
        <w:rPr>
          <w:i/>
          <w:sz w:val="22"/>
          <w:szCs w:val="22"/>
        </w:rPr>
        <w:t>Energy and Buildings</w:t>
      </w:r>
      <w:r w:rsidRPr="004027D0">
        <w:rPr>
          <w:sz w:val="22"/>
          <w:szCs w:val="22"/>
        </w:rPr>
        <w:t xml:space="preserve"> </w:t>
      </w:r>
      <w:r w:rsidRPr="004027D0">
        <w:rPr>
          <w:i/>
          <w:sz w:val="22"/>
          <w:szCs w:val="22"/>
        </w:rPr>
        <w:t>49</w:t>
      </w:r>
      <w:r w:rsidRPr="004027D0">
        <w:rPr>
          <w:sz w:val="22"/>
          <w:szCs w:val="22"/>
        </w:rPr>
        <w:t>, 235-245.</w:t>
      </w:r>
    </w:p>
    <w:p w:rsidR="004027D0" w:rsidRPr="004027D0" w:rsidRDefault="004027D0" w:rsidP="004027D0">
      <w:pPr>
        <w:pStyle w:val="EndNoteBibliography"/>
        <w:ind w:left="426" w:hanging="426"/>
        <w:rPr>
          <w:sz w:val="22"/>
          <w:szCs w:val="22"/>
        </w:rPr>
      </w:pPr>
      <w:r w:rsidRPr="004027D0">
        <w:rPr>
          <w:sz w:val="22"/>
          <w:szCs w:val="22"/>
        </w:rPr>
        <w:t xml:space="preserve">[9] Mahis, D., Blanchet, P., Landry, V., and Lagière, P. (2018) Thermal characterization of bio-based phase changing materials in decorative wood-based panels for thermal energy storage, </w:t>
      </w:r>
      <w:r w:rsidRPr="004027D0">
        <w:rPr>
          <w:i/>
          <w:sz w:val="22"/>
          <w:szCs w:val="22"/>
        </w:rPr>
        <w:t>Green Energy &amp; Environment</w:t>
      </w:r>
      <w:r w:rsidRPr="004027D0">
        <w:rPr>
          <w:sz w:val="22"/>
          <w:szCs w:val="22"/>
        </w:rPr>
        <w:t xml:space="preserve"> </w:t>
      </w:r>
      <w:r w:rsidRPr="004027D0">
        <w:rPr>
          <w:i/>
          <w:sz w:val="22"/>
          <w:szCs w:val="22"/>
        </w:rPr>
        <w:t>4</w:t>
      </w:r>
      <w:r w:rsidRPr="004027D0">
        <w:rPr>
          <w:sz w:val="22"/>
          <w:szCs w:val="22"/>
        </w:rPr>
        <w:t>.</w:t>
      </w:r>
    </w:p>
    <w:p w:rsidR="004027D0" w:rsidRPr="004027D0" w:rsidRDefault="004027D0" w:rsidP="004027D0">
      <w:pPr>
        <w:pStyle w:val="EndNoteBibliography"/>
        <w:ind w:left="426" w:hanging="426"/>
        <w:rPr>
          <w:sz w:val="22"/>
          <w:szCs w:val="22"/>
        </w:rPr>
      </w:pPr>
      <w:r w:rsidRPr="004027D0">
        <w:rPr>
          <w:sz w:val="22"/>
          <w:szCs w:val="22"/>
        </w:rPr>
        <w:t xml:space="preserve">[10] Sun, X., Medina, M. A., and Zhang, Y. (2019) Potential Thermal Enhancement of Lightweight Building Walls Derived From Using Phase Change Materials (PCMs), </w:t>
      </w:r>
      <w:r w:rsidRPr="004027D0">
        <w:rPr>
          <w:i/>
          <w:sz w:val="22"/>
          <w:szCs w:val="22"/>
        </w:rPr>
        <w:t>Frontiers in Energy Research</w:t>
      </w:r>
      <w:r w:rsidRPr="004027D0">
        <w:rPr>
          <w:sz w:val="22"/>
          <w:szCs w:val="22"/>
        </w:rPr>
        <w:t xml:space="preserve"> </w:t>
      </w:r>
      <w:r w:rsidRPr="004027D0">
        <w:rPr>
          <w:i/>
          <w:sz w:val="22"/>
          <w:szCs w:val="22"/>
        </w:rPr>
        <w:t>7</w:t>
      </w:r>
      <w:r w:rsidRPr="004027D0">
        <w:rPr>
          <w:sz w:val="22"/>
          <w:szCs w:val="22"/>
        </w:rPr>
        <w:t>.</w:t>
      </w:r>
    </w:p>
    <w:p w:rsidR="004027D0" w:rsidRPr="004027D0" w:rsidRDefault="004027D0" w:rsidP="004027D0">
      <w:pPr>
        <w:pStyle w:val="EndNoteBibliography"/>
        <w:ind w:left="426" w:hanging="426"/>
        <w:rPr>
          <w:sz w:val="22"/>
          <w:szCs w:val="22"/>
        </w:rPr>
      </w:pPr>
      <w:r w:rsidRPr="004027D0">
        <w:rPr>
          <w:sz w:val="22"/>
          <w:szCs w:val="22"/>
        </w:rPr>
        <w:t>[11] Yordanova, R. (2012) Low-energy buildings. Why and How? Bachelor of Architectural Technology and Construction Management, November 2012.</w:t>
      </w:r>
    </w:p>
    <w:p w:rsidR="004027D0" w:rsidRPr="004027D0" w:rsidRDefault="004027D0" w:rsidP="004027D0">
      <w:pPr>
        <w:pStyle w:val="EndNoteBibliography"/>
        <w:ind w:left="426" w:hanging="426"/>
        <w:rPr>
          <w:sz w:val="22"/>
          <w:szCs w:val="22"/>
        </w:rPr>
      </w:pPr>
      <w:r w:rsidRPr="004027D0">
        <w:rPr>
          <w:sz w:val="22"/>
          <w:szCs w:val="22"/>
        </w:rPr>
        <w:t xml:space="preserve">[12] Li, W., Song, G., Tang, G., Chu, X., Ma, S., and Liu, C. (2011) Morphology, structure and thermal stability of microencapsulated phase change material with copolymer shell, </w:t>
      </w:r>
      <w:r w:rsidRPr="004027D0">
        <w:rPr>
          <w:i/>
          <w:sz w:val="22"/>
          <w:szCs w:val="22"/>
        </w:rPr>
        <w:t>Energy</w:t>
      </w:r>
      <w:r w:rsidRPr="004027D0">
        <w:rPr>
          <w:sz w:val="22"/>
          <w:szCs w:val="22"/>
        </w:rPr>
        <w:t xml:space="preserve"> </w:t>
      </w:r>
      <w:r w:rsidRPr="004027D0">
        <w:rPr>
          <w:i/>
          <w:sz w:val="22"/>
          <w:szCs w:val="22"/>
        </w:rPr>
        <w:t>36</w:t>
      </w:r>
      <w:r w:rsidRPr="004027D0">
        <w:rPr>
          <w:sz w:val="22"/>
          <w:szCs w:val="22"/>
        </w:rPr>
        <w:t>, 785-791.</w:t>
      </w:r>
    </w:p>
    <w:p w:rsidR="004027D0" w:rsidRPr="004027D0" w:rsidRDefault="004027D0" w:rsidP="004027D0">
      <w:pPr>
        <w:pStyle w:val="EndNoteBibliography"/>
        <w:ind w:left="426" w:hanging="426"/>
        <w:rPr>
          <w:sz w:val="22"/>
          <w:szCs w:val="22"/>
        </w:rPr>
      </w:pPr>
      <w:r w:rsidRPr="004027D0">
        <w:rPr>
          <w:sz w:val="22"/>
          <w:szCs w:val="22"/>
        </w:rPr>
        <w:t xml:space="preserve">[13] Mavrigiannaki, A., and Ampatzi, E. (2016) Latent heat storage in building elements: A systematic review on properties and contextual performance factors, </w:t>
      </w:r>
      <w:r w:rsidRPr="004027D0">
        <w:rPr>
          <w:i/>
          <w:sz w:val="22"/>
          <w:szCs w:val="22"/>
        </w:rPr>
        <w:t>Renewable and Sustainable Energy Reviews</w:t>
      </w:r>
      <w:r w:rsidRPr="004027D0">
        <w:rPr>
          <w:sz w:val="22"/>
          <w:szCs w:val="22"/>
        </w:rPr>
        <w:t xml:space="preserve"> </w:t>
      </w:r>
      <w:r w:rsidRPr="004027D0">
        <w:rPr>
          <w:i/>
          <w:sz w:val="22"/>
          <w:szCs w:val="22"/>
        </w:rPr>
        <w:t>60</w:t>
      </w:r>
      <w:r w:rsidRPr="004027D0">
        <w:rPr>
          <w:sz w:val="22"/>
          <w:szCs w:val="22"/>
        </w:rPr>
        <w:t>, 852-866.</w:t>
      </w:r>
    </w:p>
    <w:p w:rsidR="004027D0" w:rsidRPr="004027D0" w:rsidRDefault="004027D0" w:rsidP="004027D0">
      <w:pPr>
        <w:pStyle w:val="EndNoteBibliography"/>
        <w:ind w:left="426" w:hanging="426"/>
        <w:rPr>
          <w:sz w:val="22"/>
          <w:szCs w:val="22"/>
        </w:rPr>
      </w:pPr>
      <w:r w:rsidRPr="004027D0">
        <w:rPr>
          <w:sz w:val="22"/>
          <w:szCs w:val="22"/>
        </w:rPr>
        <w:t xml:space="preserve">[14] Ghani, S. A. A., Jamari, S. S., and Abidin, S. Z. (2021) Waste materials as the potential phase change material substitute in thermal energy storage system: a review, </w:t>
      </w:r>
      <w:r w:rsidRPr="004027D0">
        <w:rPr>
          <w:i/>
          <w:sz w:val="22"/>
          <w:szCs w:val="22"/>
        </w:rPr>
        <w:t>Chemical Engineering Communications</w:t>
      </w:r>
      <w:r w:rsidRPr="004027D0">
        <w:rPr>
          <w:sz w:val="22"/>
          <w:szCs w:val="22"/>
        </w:rPr>
        <w:t xml:space="preserve"> </w:t>
      </w:r>
      <w:r w:rsidRPr="004027D0">
        <w:rPr>
          <w:i/>
          <w:sz w:val="22"/>
          <w:szCs w:val="22"/>
        </w:rPr>
        <w:t>208</w:t>
      </w:r>
      <w:r w:rsidRPr="004027D0">
        <w:rPr>
          <w:sz w:val="22"/>
          <w:szCs w:val="22"/>
        </w:rPr>
        <w:t>, 687-707.</w:t>
      </w:r>
    </w:p>
    <w:p w:rsidR="004027D0" w:rsidRPr="004027D0" w:rsidRDefault="004027D0" w:rsidP="004027D0">
      <w:pPr>
        <w:pStyle w:val="EndNoteBibliography"/>
        <w:ind w:left="426" w:hanging="426"/>
        <w:rPr>
          <w:sz w:val="22"/>
          <w:szCs w:val="22"/>
        </w:rPr>
      </w:pPr>
      <w:r w:rsidRPr="004027D0">
        <w:rPr>
          <w:sz w:val="22"/>
          <w:szCs w:val="22"/>
        </w:rPr>
        <w:t xml:space="preserve">[15] Sparavigna, A. C. (2021) Phase-Change Materials and Biochar: Some New Composite Materials in Recent Literature, </w:t>
      </w:r>
      <w:r w:rsidRPr="004027D0">
        <w:rPr>
          <w:i/>
          <w:sz w:val="22"/>
          <w:szCs w:val="22"/>
        </w:rPr>
        <w:t>SSRN Electronic Journal</w:t>
      </w:r>
      <w:r w:rsidRPr="004027D0">
        <w:rPr>
          <w:sz w:val="22"/>
          <w:szCs w:val="22"/>
        </w:rPr>
        <w:t>.</w:t>
      </w:r>
    </w:p>
    <w:p w:rsidR="004027D0" w:rsidRPr="004027D0" w:rsidRDefault="004027D0" w:rsidP="004027D0">
      <w:pPr>
        <w:pStyle w:val="EndNoteBibliography"/>
        <w:ind w:left="426" w:hanging="426"/>
        <w:rPr>
          <w:sz w:val="22"/>
          <w:szCs w:val="22"/>
        </w:rPr>
      </w:pPr>
      <w:r w:rsidRPr="004027D0">
        <w:rPr>
          <w:sz w:val="22"/>
          <w:szCs w:val="22"/>
        </w:rPr>
        <w:t xml:space="preserve">[16] Chen, X., Cheng, P., Tang, Z., Xu, X., Gao, H., and Wang, G. (2021) Carbon-Based Composite Phase Change Materials for Thermal Energy Storage, Transfer, and Conversion, </w:t>
      </w:r>
      <w:r w:rsidRPr="004027D0">
        <w:rPr>
          <w:i/>
          <w:sz w:val="22"/>
          <w:szCs w:val="22"/>
        </w:rPr>
        <w:t>Adv Sci (Weinh)</w:t>
      </w:r>
      <w:r w:rsidRPr="004027D0">
        <w:rPr>
          <w:sz w:val="22"/>
          <w:szCs w:val="22"/>
        </w:rPr>
        <w:t xml:space="preserve"> </w:t>
      </w:r>
      <w:r w:rsidRPr="004027D0">
        <w:rPr>
          <w:i/>
          <w:sz w:val="22"/>
          <w:szCs w:val="22"/>
        </w:rPr>
        <w:t>8</w:t>
      </w:r>
      <w:r w:rsidRPr="004027D0">
        <w:rPr>
          <w:sz w:val="22"/>
          <w:szCs w:val="22"/>
        </w:rPr>
        <w:t>, 2001274.</w:t>
      </w:r>
    </w:p>
    <w:p w:rsidR="004027D0" w:rsidRPr="004027D0" w:rsidRDefault="004027D0" w:rsidP="004027D0">
      <w:pPr>
        <w:pStyle w:val="EndNoteBibliography"/>
        <w:ind w:left="426" w:hanging="426"/>
        <w:rPr>
          <w:sz w:val="22"/>
          <w:szCs w:val="22"/>
        </w:rPr>
      </w:pPr>
      <w:r w:rsidRPr="004027D0">
        <w:rPr>
          <w:sz w:val="22"/>
          <w:szCs w:val="22"/>
        </w:rPr>
        <w:t xml:space="preserve">[17] Zheng, C., Zhang, H., Xu, L., and Xu, F. (2022) Carbonized bamboo parenchyma cells loaded with functional carbon nanotubes for preparation composite phase change materials with superior thermal conductivity and photo-thermal conversion efficiency, </w:t>
      </w:r>
      <w:r w:rsidRPr="004027D0">
        <w:rPr>
          <w:i/>
          <w:sz w:val="22"/>
          <w:szCs w:val="22"/>
        </w:rPr>
        <w:t>Journal of Building Engineering</w:t>
      </w:r>
      <w:r w:rsidRPr="004027D0">
        <w:rPr>
          <w:sz w:val="22"/>
          <w:szCs w:val="22"/>
        </w:rPr>
        <w:t xml:space="preserve"> </w:t>
      </w:r>
      <w:r w:rsidRPr="004027D0">
        <w:rPr>
          <w:i/>
          <w:sz w:val="22"/>
          <w:szCs w:val="22"/>
        </w:rPr>
        <w:t>56</w:t>
      </w:r>
      <w:r w:rsidRPr="004027D0">
        <w:rPr>
          <w:sz w:val="22"/>
          <w:szCs w:val="22"/>
        </w:rPr>
        <w:t>, 104749.</w:t>
      </w:r>
    </w:p>
    <w:p w:rsidR="004027D0" w:rsidRPr="004027D0" w:rsidRDefault="004027D0" w:rsidP="004027D0">
      <w:pPr>
        <w:pStyle w:val="EndNoteBibliography"/>
        <w:ind w:left="426" w:hanging="426"/>
        <w:rPr>
          <w:sz w:val="22"/>
          <w:szCs w:val="22"/>
        </w:rPr>
      </w:pPr>
      <w:r w:rsidRPr="004027D0">
        <w:rPr>
          <w:sz w:val="22"/>
          <w:szCs w:val="22"/>
        </w:rPr>
        <w:t xml:space="preserve">[18] Abdulmunem, A. R., Hussein, N. F., Samin, P. M., Sopian, K., Hussien, H. A., and Ghazali, H. (2023) Integration of recycled waste paper with phase change material in building enclosure, </w:t>
      </w:r>
      <w:r w:rsidRPr="004027D0">
        <w:rPr>
          <w:i/>
          <w:sz w:val="22"/>
          <w:szCs w:val="22"/>
        </w:rPr>
        <w:t>Journal of Energy Storage</w:t>
      </w:r>
      <w:r w:rsidRPr="004027D0">
        <w:rPr>
          <w:sz w:val="22"/>
          <w:szCs w:val="22"/>
        </w:rPr>
        <w:t xml:space="preserve"> </w:t>
      </w:r>
      <w:r w:rsidRPr="004027D0">
        <w:rPr>
          <w:i/>
          <w:sz w:val="22"/>
          <w:szCs w:val="22"/>
        </w:rPr>
        <w:t>64</w:t>
      </w:r>
      <w:r w:rsidRPr="004027D0">
        <w:rPr>
          <w:sz w:val="22"/>
          <w:szCs w:val="22"/>
        </w:rPr>
        <w:t>, 107140.</w:t>
      </w:r>
    </w:p>
    <w:p w:rsidR="004027D0" w:rsidRPr="004027D0" w:rsidRDefault="004027D0" w:rsidP="004027D0">
      <w:pPr>
        <w:pStyle w:val="EndNoteBibliography"/>
        <w:ind w:left="426" w:hanging="426"/>
        <w:rPr>
          <w:sz w:val="22"/>
          <w:szCs w:val="22"/>
        </w:rPr>
      </w:pPr>
      <w:r w:rsidRPr="004027D0">
        <w:rPr>
          <w:sz w:val="22"/>
          <w:szCs w:val="22"/>
        </w:rPr>
        <w:t xml:space="preserve">[19] Chen, B., Han, M., Zhang, B., Ouyang, G., Shafei, B., Wang, X., and Hu, S. (2019) Efficient Solar-to-Thermal Energy Conversion and Storage with High-Thermal-Conductivity and Form-Stabilized Phase Change Composite Based on Wood-Derived Scaffolds, In </w:t>
      </w:r>
      <w:r w:rsidRPr="004027D0">
        <w:rPr>
          <w:i/>
          <w:sz w:val="22"/>
          <w:szCs w:val="22"/>
        </w:rPr>
        <w:t>Energies</w:t>
      </w:r>
      <w:r w:rsidRPr="004027D0">
        <w:rPr>
          <w:sz w:val="22"/>
          <w:szCs w:val="22"/>
        </w:rPr>
        <w:t>.</w:t>
      </w:r>
    </w:p>
    <w:p w:rsidR="004027D0" w:rsidRPr="004027D0" w:rsidRDefault="004027D0" w:rsidP="004027D0">
      <w:pPr>
        <w:pStyle w:val="EndNoteBibliography"/>
        <w:ind w:left="426" w:hanging="426"/>
        <w:rPr>
          <w:sz w:val="22"/>
          <w:szCs w:val="22"/>
        </w:rPr>
      </w:pPr>
      <w:r w:rsidRPr="004027D0">
        <w:rPr>
          <w:sz w:val="22"/>
          <w:szCs w:val="22"/>
        </w:rPr>
        <w:t xml:space="preserve">[20] Liu, P., Zhang, Z., Gu, X., Rao, J., Shi, J., and Bian, L. (2020) Fabrication of a novel shape-stabilized composite phase change material based on multivariate supporting materials by using typical solid wastes, </w:t>
      </w:r>
      <w:r w:rsidRPr="004027D0">
        <w:rPr>
          <w:i/>
          <w:sz w:val="22"/>
          <w:szCs w:val="22"/>
        </w:rPr>
        <w:t>Construction and Building Materials</w:t>
      </w:r>
      <w:r w:rsidRPr="004027D0">
        <w:rPr>
          <w:sz w:val="22"/>
          <w:szCs w:val="22"/>
        </w:rPr>
        <w:t xml:space="preserve"> </w:t>
      </w:r>
      <w:r w:rsidRPr="004027D0">
        <w:rPr>
          <w:i/>
          <w:sz w:val="22"/>
          <w:szCs w:val="22"/>
        </w:rPr>
        <w:t>240</w:t>
      </w:r>
      <w:r w:rsidRPr="004027D0">
        <w:rPr>
          <w:sz w:val="22"/>
          <w:szCs w:val="22"/>
        </w:rPr>
        <w:t>.</w:t>
      </w:r>
    </w:p>
    <w:p w:rsidR="004027D0" w:rsidRDefault="004027D0" w:rsidP="004027D0">
      <w:pPr>
        <w:pStyle w:val="EndNoteBibliography"/>
        <w:ind w:left="426" w:hanging="426"/>
        <w:rPr>
          <w:sz w:val="22"/>
          <w:szCs w:val="22"/>
        </w:rPr>
      </w:pPr>
      <w:r w:rsidRPr="004027D0">
        <w:rPr>
          <w:sz w:val="22"/>
          <w:szCs w:val="22"/>
        </w:rPr>
        <w:t xml:space="preserve">[21] Anagnostopoulos, A., Navarro, M. E., Stefanidou, M., Ding, Y., and Gaidajis, G. (2021) Red mud-molten salt composites for medium-high temperature thermal energy storage and waste heat recovery applications, </w:t>
      </w:r>
      <w:r w:rsidRPr="004027D0">
        <w:rPr>
          <w:i/>
          <w:sz w:val="22"/>
          <w:szCs w:val="22"/>
        </w:rPr>
        <w:t>Journal of Hazardous Materials</w:t>
      </w:r>
      <w:r w:rsidRPr="004027D0">
        <w:rPr>
          <w:sz w:val="22"/>
          <w:szCs w:val="22"/>
        </w:rPr>
        <w:t xml:space="preserve"> </w:t>
      </w:r>
      <w:r w:rsidRPr="004027D0">
        <w:rPr>
          <w:i/>
          <w:sz w:val="22"/>
          <w:szCs w:val="22"/>
        </w:rPr>
        <w:t>413</w:t>
      </w:r>
      <w:r w:rsidRPr="004027D0">
        <w:rPr>
          <w:sz w:val="22"/>
          <w:szCs w:val="22"/>
        </w:rPr>
        <w:t>, 125407.</w:t>
      </w:r>
    </w:p>
    <w:p w:rsidR="00D20B9C" w:rsidRPr="00815BF7" w:rsidRDefault="00D20B9C" w:rsidP="00D20B9C">
      <w:pPr>
        <w:pStyle w:val="EndNoteBibliography"/>
        <w:ind w:left="720" w:hanging="720"/>
        <w:rPr>
          <w:sz w:val="22"/>
        </w:rPr>
      </w:pPr>
      <w:r w:rsidRPr="00815BF7">
        <w:rPr>
          <w:sz w:val="22"/>
        </w:rPr>
        <w:t xml:space="preserve">[22] Jeon, J., Park, J. H., Wi, S., Yang, S., Ok, Y. S., and Kim, S. (2019) Latent heat storage biocomposites of phase change material-biochar as feasible eco-friendly building materials, </w:t>
      </w:r>
      <w:r w:rsidRPr="00815BF7">
        <w:rPr>
          <w:i/>
          <w:sz w:val="22"/>
        </w:rPr>
        <w:t>Environmental Research</w:t>
      </w:r>
      <w:r w:rsidRPr="00815BF7">
        <w:rPr>
          <w:sz w:val="22"/>
        </w:rPr>
        <w:t xml:space="preserve"> </w:t>
      </w:r>
      <w:r w:rsidRPr="00815BF7">
        <w:rPr>
          <w:i/>
          <w:sz w:val="22"/>
        </w:rPr>
        <w:t>172</w:t>
      </w:r>
      <w:r w:rsidRPr="00815BF7">
        <w:rPr>
          <w:sz w:val="22"/>
        </w:rPr>
        <w:t>, 637-648.</w:t>
      </w:r>
    </w:p>
    <w:p w:rsidR="00D20B9C" w:rsidRPr="004027D0" w:rsidRDefault="00D20B9C" w:rsidP="004027D0">
      <w:pPr>
        <w:pStyle w:val="EndNoteBibliography"/>
        <w:ind w:left="426" w:hanging="426"/>
        <w:rPr>
          <w:sz w:val="22"/>
          <w:szCs w:val="22"/>
        </w:rPr>
      </w:pPr>
    </w:p>
    <w:p w:rsidR="008F20E4" w:rsidRPr="00540509" w:rsidRDefault="003B14B5" w:rsidP="004027D0">
      <w:pPr>
        <w:pStyle w:val="ListeParagraf"/>
        <w:widowControl w:val="0"/>
        <w:shd w:val="clear" w:color="auto" w:fill="FFFFFF"/>
        <w:tabs>
          <w:tab w:val="left" w:pos="426"/>
        </w:tabs>
        <w:suppressAutoHyphens/>
        <w:spacing w:after="0" w:line="23" w:lineRule="atLeast"/>
        <w:ind w:left="426" w:hanging="426"/>
        <w:contextualSpacing w:val="0"/>
        <w:jc w:val="both"/>
        <w:rPr>
          <w:rFonts w:ascii="Times New Roman" w:eastAsia="Times New Roman" w:hAnsi="Times New Roman" w:cs="Times New Roman"/>
          <w:color w:val="333333"/>
          <w:lang w:eastAsia="tr-TR"/>
        </w:rPr>
      </w:pPr>
      <w:r w:rsidRPr="004027D0">
        <w:rPr>
          <w:rFonts w:ascii="Times New Roman" w:hAnsi="Times New Roman" w:cs="Times New Roman"/>
        </w:rPr>
        <w:fldChar w:fldCharType="end"/>
      </w:r>
    </w:p>
    <w:p w:rsidR="00E25067" w:rsidRPr="0097784A" w:rsidRDefault="00E25067" w:rsidP="00E25067">
      <w:pPr>
        <w:pStyle w:val="ListeParagraf"/>
        <w:widowControl w:val="0"/>
        <w:shd w:val="clear" w:color="auto" w:fill="FFFFFF"/>
        <w:suppressAutoHyphens/>
        <w:spacing w:after="0" w:line="23" w:lineRule="atLeast"/>
        <w:ind w:left="284"/>
        <w:contextualSpacing w:val="0"/>
        <w:jc w:val="both"/>
        <w:rPr>
          <w:rFonts w:ascii="Times New Roman" w:eastAsia="Times New Roman" w:hAnsi="Times New Roman" w:cs="Times New Roman"/>
          <w:color w:val="000000" w:themeColor="text1"/>
          <w:lang w:eastAsia="tr-TR"/>
        </w:rPr>
      </w:pPr>
    </w:p>
    <w:p w:rsidR="0007224B" w:rsidRPr="004F0667" w:rsidRDefault="0007224B" w:rsidP="00F803B1">
      <w:pPr>
        <w:jc w:val="both"/>
        <w:rPr>
          <w:rFonts w:ascii="Times New Roman" w:hAnsi="Times New Roman" w:cs="Times New Roman"/>
          <w:b/>
          <w:color w:val="FF0000"/>
          <w:highlight w:val="yellow"/>
          <w:lang w:val="en-US" w:eastAsia="tr-TR"/>
        </w:rPr>
      </w:pPr>
    </w:p>
    <w:sectPr w:rsidR="0007224B" w:rsidRPr="004F0667" w:rsidSect="008E75EF">
      <w:footerReference w:type="first" r:id="rId24"/>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335" w:rsidRDefault="00F61335" w:rsidP="00A86FE2">
      <w:pPr>
        <w:spacing w:after="0"/>
      </w:pPr>
      <w:r>
        <w:separator/>
      </w:r>
    </w:p>
  </w:endnote>
  <w:endnote w:type="continuationSeparator" w:id="0">
    <w:p w:rsidR="00F61335" w:rsidRDefault="00F61335"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685998"/>
      <w:docPartObj>
        <w:docPartGallery w:val="Page Numbers (Bottom of Page)"/>
        <w:docPartUnique/>
      </w:docPartObj>
    </w:sdtPr>
    <w:sdtEndPr/>
    <w:sdtContent>
      <w:p w:rsidR="00796EC2" w:rsidRDefault="00AE2E87">
        <w:pPr>
          <w:pStyle w:val="Altbilgi"/>
          <w:jc w:val="center"/>
        </w:pPr>
        <w:r>
          <w:rPr>
            <w:noProof/>
          </w:rPr>
          <w:fldChar w:fldCharType="begin"/>
        </w:r>
        <w:r>
          <w:rPr>
            <w:noProof/>
          </w:rPr>
          <w:instrText>PAGE   \* MERGEFORMAT</w:instrText>
        </w:r>
        <w:r>
          <w:rPr>
            <w:noProof/>
          </w:rPr>
          <w:fldChar w:fldCharType="separate"/>
        </w:r>
        <w:r w:rsidR="00812E74">
          <w:rPr>
            <w:noProof/>
          </w:rPr>
          <w:t>1</w:t>
        </w:r>
        <w:r>
          <w:rPr>
            <w:noProof/>
          </w:rPr>
          <w:fldChar w:fldCharType="end"/>
        </w:r>
      </w:p>
    </w:sdtContent>
  </w:sdt>
  <w:p w:rsidR="00796EC2" w:rsidRDefault="00796EC2"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335" w:rsidRDefault="00F61335" w:rsidP="00A86FE2">
      <w:pPr>
        <w:spacing w:after="0"/>
      </w:pPr>
      <w:r>
        <w:separator/>
      </w:r>
    </w:p>
  </w:footnote>
  <w:footnote w:type="continuationSeparator" w:id="0">
    <w:p w:rsidR="00F61335" w:rsidRDefault="00F61335" w:rsidP="00A86FE2">
      <w:pPr>
        <w:spacing w:after="0"/>
      </w:pPr>
      <w:r>
        <w:continuationSeparator/>
      </w:r>
    </w:p>
  </w:footnote>
  <w:footnote w:id="1">
    <w:p w:rsidR="00796EC2" w:rsidRPr="00296EE9" w:rsidRDefault="00796EC2" w:rsidP="006E46CE">
      <w:pPr>
        <w:pStyle w:val="DipnotMetni"/>
        <w:ind w:firstLine="0"/>
        <w:rPr>
          <w:lang w:val="tr-TR"/>
        </w:rPr>
      </w:pPr>
      <w:r>
        <w:rPr>
          <w:lang w:val="tr-TR"/>
        </w:rPr>
        <w:t>*</w:t>
      </w:r>
      <w:r w:rsidRPr="00296EE9">
        <w:rPr>
          <w:rFonts w:ascii="Times New Roman" w:hAnsi="Times New Roman"/>
          <w:color w:val="000000" w:themeColor="text1"/>
          <w:sz w:val="16"/>
          <w:szCs w:val="16"/>
        </w:rPr>
        <w:t xml:space="preserve"> </w:t>
      </w:r>
      <w:r w:rsidRPr="00073776">
        <w:rPr>
          <w:rFonts w:ascii="Times New Roman" w:hAnsi="Times New Roman"/>
          <w:color w:val="000000" w:themeColor="text1"/>
          <w:sz w:val="16"/>
          <w:szCs w:val="16"/>
        </w:rPr>
        <w:t xml:space="preserve">Corresponding author. </w:t>
      </w:r>
      <w:r>
        <w:rPr>
          <w:rFonts w:ascii="Times New Roman" w:hAnsi="Times New Roman"/>
          <w:i/>
          <w:color w:val="000000" w:themeColor="text1"/>
          <w:sz w:val="16"/>
          <w:szCs w:val="16"/>
        </w:rPr>
        <w:t>e-</w:t>
      </w:r>
      <w:r w:rsidRPr="00073776">
        <w:rPr>
          <w:rFonts w:ascii="Times New Roman" w:hAnsi="Times New Roman"/>
          <w:i/>
          <w:color w:val="000000" w:themeColor="text1"/>
          <w:sz w:val="16"/>
          <w:szCs w:val="16"/>
        </w:rPr>
        <w:t>mail address</w:t>
      </w:r>
      <w:r>
        <w:rPr>
          <w:rFonts w:ascii="Times New Roman" w:hAnsi="Times New Roman"/>
          <w:i/>
          <w:color w:val="000000" w:themeColor="text1"/>
          <w:sz w:val="16"/>
          <w:szCs w:val="16"/>
        </w:rPr>
        <w:t xml:space="preserve">: </w:t>
      </w:r>
      <w:r w:rsidR="00DA5FAA">
        <w:rPr>
          <w:rFonts w:ascii="Times New Roman" w:hAnsi="Times New Roman"/>
          <w:i/>
          <w:color w:val="000000" w:themeColor="text1"/>
          <w:sz w:val="16"/>
          <w:szCs w:val="16"/>
        </w:rPr>
        <w:t>akaraipekli</w:t>
      </w:r>
      <w:r w:rsidRPr="0061355D">
        <w:rPr>
          <w:rFonts w:ascii="Times New Roman" w:hAnsi="Times New Roman"/>
          <w:i/>
          <w:color w:val="000000" w:themeColor="text1"/>
          <w:sz w:val="16"/>
          <w:szCs w:val="16"/>
        </w:rPr>
        <w:t>@</w:t>
      </w:r>
      <w:r w:rsidR="00DA5FAA">
        <w:rPr>
          <w:rFonts w:ascii="Times New Roman" w:hAnsi="Times New Roman"/>
          <w:i/>
          <w:color w:val="000000" w:themeColor="text1"/>
          <w:sz w:val="16"/>
          <w:szCs w:val="16"/>
        </w:rPr>
        <w:t>karatekin.edu.tr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0"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70E12D32"/>
    <w:multiLevelType w:val="hybridMultilevel"/>
    <w:tmpl w:val="2398DBD6"/>
    <w:lvl w:ilvl="0" w:tplc="F386FF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abstractNumId w:val="17"/>
  </w:num>
  <w:num w:numId="2">
    <w:abstractNumId w:val="11"/>
  </w:num>
  <w:num w:numId="3">
    <w:abstractNumId w:val="8"/>
  </w:num>
  <w:num w:numId="4">
    <w:abstractNumId w:val="0"/>
  </w:num>
  <w:num w:numId="5">
    <w:abstractNumId w:val="31"/>
  </w:num>
  <w:num w:numId="6">
    <w:abstractNumId w:val="10"/>
  </w:num>
  <w:num w:numId="7">
    <w:abstractNumId w:val="4"/>
  </w:num>
  <w:num w:numId="8">
    <w:abstractNumId w:val="18"/>
  </w:num>
  <w:num w:numId="9">
    <w:abstractNumId w:val="26"/>
  </w:num>
  <w:num w:numId="10">
    <w:abstractNumId w:val="22"/>
  </w:num>
  <w:num w:numId="11">
    <w:abstractNumId w:val="12"/>
  </w:num>
  <w:num w:numId="12">
    <w:abstractNumId w:val="3"/>
  </w:num>
  <w:num w:numId="13">
    <w:abstractNumId w:val="23"/>
  </w:num>
  <w:num w:numId="14">
    <w:abstractNumId w:val="32"/>
  </w:num>
  <w:num w:numId="15">
    <w:abstractNumId w:val="34"/>
  </w:num>
  <w:num w:numId="16">
    <w:abstractNumId w:val="36"/>
  </w:num>
  <w:num w:numId="17">
    <w:abstractNumId w:val="13"/>
  </w:num>
  <w:num w:numId="18">
    <w:abstractNumId w:val="28"/>
  </w:num>
  <w:num w:numId="19">
    <w:abstractNumId w:val="30"/>
  </w:num>
  <w:num w:numId="20">
    <w:abstractNumId w:val="9"/>
  </w:num>
  <w:num w:numId="21">
    <w:abstractNumId w:val="19"/>
  </w:num>
  <w:num w:numId="22">
    <w:abstractNumId w:val="6"/>
  </w:num>
  <w:num w:numId="23">
    <w:abstractNumId w:val="25"/>
  </w:num>
  <w:num w:numId="24">
    <w:abstractNumId w:val="2"/>
  </w:num>
  <w:num w:numId="25">
    <w:abstractNumId w:val="7"/>
  </w:num>
  <w:num w:numId="26">
    <w:abstractNumId w:val="16"/>
  </w:num>
  <w:num w:numId="27">
    <w:abstractNumId w:val="15"/>
  </w:num>
  <w:num w:numId="28">
    <w:abstractNumId w:val="29"/>
  </w:num>
  <w:num w:numId="29">
    <w:abstractNumId w:val="33"/>
  </w:num>
  <w:num w:numId="30">
    <w:abstractNumId w:val="20"/>
  </w:num>
  <w:num w:numId="31">
    <w:abstractNumId w:val="2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5"/>
  </w:num>
  <w:num w:numId="35">
    <w:abstractNumId w:val="24"/>
  </w:num>
  <w:num w:numId="36">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oNotDisplayPageBoundaries/>
  <w:hideSpellingErrors/>
  <w:documentProtection w:edit="readOnly" w:formatting="1" w:enforcement="0"/>
  <w:defaultTabStop w:val="708"/>
  <w:hyphenationZone w:val="425"/>
  <w:characterSpacingControl w:val="doNotCompress"/>
  <w:hdrShapeDefaults>
    <o:shapedefaults v:ext="edit" spidmax="2049">
      <o:colormru v:ext="edit" colors="#6f3"/>
    </o:shapedefaults>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0NDexNDMyMTKzNDExMbVQ0lEKTi0uzszPAykwqwUA3LsxpSwAAAA="/>
    <w:docVar w:name="EN.Layout" w:val="&lt;ENLayout&gt;&lt;Style&gt;Biochemistr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fftrarnsvwr6epzf8xs5wewd5fxpw9ed92&quot;&gt;My EndNote Library&lt;record-ids&gt;&lt;item&gt;1114&lt;/item&gt;&lt;/record-ids&gt;&lt;/item&gt;&lt;/Libraries&gt;"/>
  </w:docVars>
  <w:rsids>
    <w:rsidRoot w:val="00A71ABA"/>
    <w:rsid w:val="0000116C"/>
    <w:rsid w:val="000028EC"/>
    <w:rsid w:val="00002EBF"/>
    <w:rsid w:val="00004AD1"/>
    <w:rsid w:val="0000507F"/>
    <w:rsid w:val="00005506"/>
    <w:rsid w:val="00012A16"/>
    <w:rsid w:val="00013D56"/>
    <w:rsid w:val="00014982"/>
    <w:rsid w:val="00016F9D"/>
    <w:rsid w:val="00017B9A"/>
    <w:rsid w:val="00021EC6"/>
    <w:rsid w:val="000226CA"/>
    <w:rsid w:val="0002363F"/>
    <w:rsid w:val="00023EFE"/>
    <w:rsid w:val="0002436F"/>
    <w:rsid w:val="000261CE"/>
    <w:rsid w:val="00027BBC"/>
    <w:rsid w:val="000305BF"/>
    <w:rsid w:val="0003074F"/>
    <w:rsid w:val="00032FFA"/>
    <w:rsid w:val="0003318E"/>
    <w:rsid w:val="00034276"/>
    <w:rsid w:val="000409ED"/>
    <w:rsid w:val="00041319"/>
    <w:rsid w:val="00041D68"/>
    <w:rsid w:val="000463DA"/>
    <w:rsid w:val="000469B2"/>
    <w:rsid w:val="0005510B"/>
    <w:rsid w:val="00055500"/>
    <w:rsid w:val="0005653D"/>
    <w:rsid w:val="000611FF"/>
    <w:rsid w:val="000617AA"/>
    <w:rsid w:val="00061A8B"/>
    <w:rsid w:val="00061C07"/>
    <w:rsid w:val="00061E30"/>
    <w:rsid w:val="0006225B"/>
    <w:rsid w:val="0006297B"/>
    <w:rsid w:val="00062BE6"/>
    <w:rsid w:val="00064BBD"/>
    <w:rsid w:val="000655C6"/>
    <w:rsid w:val="000662B9"/>
    <w:rsid w:val="00066659"/>
    <w:rsid w:val="000707A9"/>
    <w:rsid w:val="00071C0A"/>
    <w:rsid w:val="0007224B"/>
    <w:rsid w:val="00072722"/>
    <w:rsid w:val="00074338"/>
    <w:rsid w:val="000757B9"/>
    <w:rsid w:val="00077FCF"/>
    <w:rsid w:val="000817CC"/>
    <w:rsid w:val="000823EB"/>
    <w:rsid w:val="00086B35"/>
    <w:rsid w:val="00090326"/>
    <w:rsid w:val="00091775"/>
    <w:rsid w:val="000934B8"/>
    <w:rsid w:val="000942D5"/>
    <w:rsid w:val="0009646C"/>
    <w:rsid w:val="000A14DB"/>
    <w:rsid w:val="000A3157"/>
    <w:rsid w:val="000A40EE"/>
    <w:rsid w:val="000A67B2"/>
    <w:rsid w:val="000B0C6C"/>
    <w:rsid w:val="000B367E"/>
    <w:rsid w:val="000C06AC"/>
    <w:rsid w:val="000C0A92"/>
    <w:rsid w:val="000C347D"/>
    <w:rsid w:val="000C3A09"/>
    <w:rsid w:val="000C6B1B"/>
    <w:rsid w:val="000C7C60"/>
    <w:rsid w:val="000D0BEA"/>
    <w:rsid w:val="000D0EB5"/>
    <w:rsid w:val="000D2A70"/>
    <w:rsid w:val="000D3738"/>
    <w:rsid w:val="000D3BFA"/>
    <w:rsid w:val="000D49E3"/>
    <w:rsid w:val="000D5B95"/>
    <w:rsid w:val="000D5D76"/>
    <w:rsid w:val="000D6D50"/>
    <w:rsid w:val="000E3B9F"/>
    <w:rsid w:val="000E3BA5"/>
    <w:rsid w:val="000E3D1B"/>
    <w:rsid w:val="000E404A"/>
    <w:rsid w:val="000E43D9"/>
    <w:rsid w:val="000E48B2"/>
    <w:rsid w:val="000E621C"/>
    <w:rsid w:val="000F0B84"/>
    <w:rsid w:val="000F47E8"/>
    <w:rsid w:val="000F70EE"/>
    <w:rsid w:val="000F785A"/>
    <w:rsid w:val="000F7DEA"/>
    <w:rsid w:val="0010259C"/>
    <w:rsid w:val="001031D3"/>
    <w:rsid w:val="001041BF"/>
    <w:rsid w:val="001046EF"/>
    <w:rsid w:val="001129EB"/>
    <w:rsid w:val="00116DC2"/>
    <w:rsid w:val="001173DB"/>
    <w:rsid w:val="001205BA"/>
    <w:rsid w:val="00120CD6"/>
    <w:rsid w:val="00124A89"/>
    <w:rsid w:val="001260BA"/>
    <w:rsid w:val="00126A73"/>
    <w:rsid w:val="00132A11"/>
    <w:rsid w:val="0013468E"/>
    <w:rsid w:val="00135B74"/>
    <w:rsid w:val="001363CF"/>
    <w:rsid w:val="001402EB"/>
    <w:rsid w:val="00141D05"/>
    <w:rsid w:val="00141F50"/>
    <w:rsid w:val="00142D7D"/>
    <w:rsid w:val="00143506"/>
    <w:rsid w:val="001468FF"/>
    <w:rsid w:val="00150A43"/>
    <w:rsid w:val="001558FC"/>
    <w:rsid w:val="00156DA2"/>
    <w:rsid w:val="00161B9E"/>
    <w:rsid w:val="001634B1"/>
    <w:rsid w:val="00166435"/>
    <w:rsid w:val="001723FD"/>
    <w:rsid w:val="00176329"/>
    <w:rsid w:val="001772E4"/>
    <w:rsid w:val="001816E1"/>
    <w:rsid w:val="00182331"/>
    <w:rsid w:val="00183830"/>
    <w:rsid w:val="00185A1E"/>
    <w:rsid w:val="001869AE"/>
    <w:rsid w:val="0019128E"/>
    <w:rsid w:val="0019173F"/>
    <w:rsid w:val="00191E60"/>
    <w:rsid w:val="00192C46"/>
    <w:rsid w:val="00194791"/>
    <w:rsid w:val="00194CD5"/>
    <w:rsid w:val="00195FFD"/>
    <w:rsid w:val="001961A0"/>
    <w:rsid w:val="001A13FF"/>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3D2D"/>
    <w:rsid w:val="001D4475"/>
    <w:rsid w:val="001D6477"/>
    <w:rsid w:val="001E1F7B"/>
    <w:rsid w:val="001E2285"/>
    <w:rsid w:val="001E4578"/>
    <w:rsid w:val="001E4647"/>
    <w:rsid w:val="001F0C15"/>
    <w:rsid w:val="001F236D"/>
    <w:rsid w:val="001F2869"/>
    <w:rsid w:val="001F2D29"/>
    <w:rsid w:val="001F3C5C"/>
    <w:rsid w:val="001F4149"/>
    <w:rsid w:val="001F4C7D"/>
    <w:rsid w:val="001F5AFE"/>
    <w:rsid w:val="001F62CD"/>
    <w:rsid w:val="001F740F"/>
    <w:rsid w:val="002017F8"/>
    <w:rsid w:val="00205835"/>
    <w:rsid w:val="00206EBB"/>
    <w:rsid w:val="002139A7"/>
    <w:rsid w:val="00217ABE"/>
    <w:rsid w:val="00220893"/>
    <w:rsid w:val="002219E7"/>
    <w:rsid w:val="0022604D"/>
    <w:rsid w:val="0023543B"/>
    <w:rsid w:val="00235FE5"/>
    <w:rsid w:val="002373CF"/>
    <w:rsid w:val="00242AF0"/>
    <w:rsid w:val="00243410"/>
    <w:rsid w:val="002435CE"/>
    <w:rsid w:val="002446C7"/>
    <w:rsid w:val="0024620B"/>
    <w:rsid w:val="002509A3"/>
    <w:rsid w:val="00252028"/>
    <w:rsid w:val="00252B7A"/>
    <w:rsid w:val="00253396"/>
    <w:rsid w:val="00255408"/>
    <w:rsid w:val="002621A5"/>
    <w:rsid w:val="0026305A"/>
    <w:rsid w:val="00265ED2"/>
    <w:rsid w:val="0027049F"/>
    <w:rsid w:val="002712C9"/>
    <w:rsid w:val="00274257"/>
    <w:rsid w:val="00275134"/>
    <w:rsid w:val="00277681"/>
    <w:rsid w:val="00282922"/>
    <w:rsid w:val="00283697"/>
    <w:rsid w:val="00283C2A"/>
    <w:rsid w:val="00283F06"/>
    <w:rsid w:val="002843D1"/>
    <w:rsid w:val="002849DA"/>
    <w:rsid w:val="0028552F"/>
    <w:rsid w:val="0029647A"/>
    <w:rsid w:val="00296EE9"/>
    <w:rsid w:val="002A041C"/>
    <w:rsid w:val="002A0598"/>
    <w:rsid w:val="002A198A"/>
    <w:rsid w:val="002A1C50"/>
    <w:rsid w:val="002A49B9"/>
    <w:rsid w:val="002A5C3A"/>
    <w:rsid w:val="002B0527"/>
    <w:rsid w:val="002B0C7F"/>
    <w:rsid w:val="002B1A50"/>
    <w:rsid w:val="002B2A8A"/>
    <w:rsid w:val="002B3A67"/>
    <w:rsid w:val="002B5660"/>
    <w:rsid w:val="002B5B23"/>
    <w:rsid w:val="002B6939"/>
    <w:rsid w:val="002C018E"/>
    <w:rsid w:val="002C223B"/>
    <w:rsid w:val="002C2A1B"/>
    <w:rsid w:val="002C5284"/>
    <w:rsid w:val="002C58E9"/>
    <w:rsid w:val="002C7A08"/>
    <w:rsid w:val="002D563D"/>
    <w:rsid w:val="002D5AFE"/>
    <w:rsid w:val="002D6005"/>
    <w:rsid w:val="002D7D05"/>
    <w:rsid w:val="002D7D21"/>
    <w:rsid w:val="002E0A62"/>
    <w:rsid w:val="002E3230"/>
    <w:rsid w:val="002E45FC"/>
    <w:rsid w:val="002E5C5B"/>
    <w:rsid w:val="002E7AA4"/>
    <w:rsid w:val="002F4D18"/>
    <w:rsid w:val="002F4EF5"/>
    <w:rsid w:val="002F5562"/>
    <w:rsid w:val="002F6ACD"/>
    <w:rsid w:val="00304BED"/>
    <w:rsid w:val="00305082"/>
    <w:rsid w:val="0030559E"/>
    <w:rsid w:val="003102CB"/>
    <w:rsid w:val="00310FEF"/>
    <w:rsid w:val="00313B5E"/>
    <w:rsid w:val="0031591A"/>
    <w:rsid w:val="003159D2"/>
    <w:rsid w:val="0031782F"/>
    <w:rsid w:val="00320AAB"/>
    <w:rsid w:val="003244FC"/>
    <w:rsid w:val="003268E5"/>
    <w:rsid w:val="003317C2"/>
    <w:rsid w:val="0033611C"/>
    <w:rsid w:val="00337C37"/>
    <w:rsid w:val="00342CCA"/>
    <w:rsid w:val="00342EAB"/>
    <w:rsid w:val="003436EF"/>
    <w:rsid w:val="003449F0"/>
    <w:rsid w:val="00345C8C"/>
    <w:rsid w:val="00353047"/>
    <w:rsid w:val="0035383D"/>
    <w:rsid w:val="00354B4D"/>
    <w:rsid w:val="00355CAE"/>
    <w:rsid w:val="003644DB"/>
    <w:rsid w:val="00364E03"/>
    <w:rsid w:val="00365A2E"/>
    <w:rsid w:val="003660B6"/>
    <w:rsid w:val="00367661"/>
    <w:rsid w:val="00371B57"/>
    <w:rsid w:val="00371ED6"/>
    <w:rsid w:val="00371EE5"/>
    <w:rsid w:val="00372D5A"/>
    <w:rsid w:val="00380946"/>
    <w:rsid w:val="003809DE"/>
    <w:rsid w:val="003811A1"/>
    <w:rsid w:val="00382649"/>
    <w:rsid w:val="003829A0"/>
    <w:rsid w:val="003832F7"/>
    <w:rsid w:val="00386535"/>
    <w:rsid w:val="003872A6"/>
    <w:rsid w:val="00390CFF"/>
    <w:rsid w:val="0039131A"/>
    <w:rsid w:val="00394F02"/>
    <w:rsid w:val="00395ECD"/>
    <w:rsid w:val="003A09DA"/>
    <w:rsid w:val="003A283B"/>
    <w:rsid w:val="003A3D9A"/>
    <w:rsid w:val="003A567B"/>
    <w:rsid w:val="003A59A7"/>
    <w:rsid w:val="003A79B6"/>
    <w:rsid w:val="003B1029"/>
    <w:rsid w:val="003B14B5"/>
    <w:rsid w:val="003B1C96"/>
    <w:rsid w:val="003B41DF"/>
    <w:rsid w:val="003B5F92"/>
    <w:rsid w:val="003C3FDC"/>
    <w:rsid w:val="003C74B9"/>
    <w:rsid w:val="003C7CC2"/>
    <w:rsid w:val="003D223F"/>
    <w:rsid w:val="003D304F"/>
    <w:rsid w:val="003D3818"/>
    <w:rsid w:val="003D73E6"/>
    <w:rsid w:val="003E3010"/>
    <w:rsid w:val="003E5758"/>
    <w:rsid w:val="003E70C9"/>
    <w:rsid w:val="003F1089"/>
    <w:rsid w:val="003F1FCB"/>
    <w:rsid w:val="003F27B9"/>
    <w:rsid w:val="003F6A44"/>
    <w:rsid w:val="003F6BB3"/>
    <w:rsid w:val="003F6CB6"/>
    <w:rsid w:val="003F7099"/>
    <w:rsid w:val="004020EB"/>
    <w:rsid w:val="004021CF"/>
    <w:rsid w:val="004027D0"/>
    <w:rsid w:val="004050E8"/>
    <w:rsid w:val="004051C9"/>
    <w:rsid w:val="00407EEA"/>
    <w:rsid w:val="004116D0"/>
    <w:rsid w:val="00413652"/>
    <w:rsid w:val="00413C80"/>
    <w:rsid w:val="00413FA7"/>
    <w:rsid w:val="004155D5"/>
    <w:rsid w:val="00416553"/>
    <w:rsid w:val="00416674"/>
    <w:rsid w:val="00416E14"/>
    <w:rsid w:val="00417C09"/>
    <w:rsid w:val="00420D55"/>
    <w:rsid w:val="00422135"/>
    <w:rsid w:val="00422658"/>
    <w:rsid w:val="00424CF1"/>
    <w:rsid w:val="00426EAE"/>
    <w:rsid w:val="00430B3C"/>
    <w:rsid w:val="0043126F"/>
    <w:rsid w:val="00432432"/>
    <w:rsid w:val="00432B5A"/>
    <w:rsid w:val="00432CE6"/>
    <w:rsid w:val="004331E7"/>
    <w:rsid w:val="004342E3"/>
    <w:rsid w:val="00434DEA"/>
    <w:rsid w:val="00442A74"/>
    <w:rsid w:val="004453C1"/>
    <w:rsid w:val="004474BE"/>
    <w:rsid w:val="00453183"/>
    <w:rsid w:val="00456919"/>
    <w:rsid w:val="00460252"/>
    <w:rsid w:val="00465385"/>
    <w:rsid w:val="00465F1E"/>
    <w:rsid w:val="00470461"/>
    <w:rsid w:val="0047110A"/>
    <w:rsid w:val="00471EA6"/>
    <w:rsid w:val="00475581"/>
    <w:rsid w:val="00480284"/>
    <w:rsid w:val="00480593"/>
    <w:rsid w:val="00482EB4"/>
    <w:rsid w:val="0048670B"/>
    <w:rsid w:val="004868B8"/>
    <w:rsid w:val="004907F1"/>
    <w:rsid w:val="004920FD"/>
    <w:rsid w:val="00493A62"/>
    <w:rsid w:val="00495871"/>
    <w:rsid w:val="004A0AAF"/>
    <w:rsid w:val="004A4C36"/>
    <w:rsid w:val="004B03AE"/>
    <w:rsid w:val="004B3504"/>
    <w:rsid w:val="004B5DD7"/>
    <w:rsid w:val="004C280E"/>
    <w:rsid w:val="004C3D0B"/>
    <w:rsid w:val="004C4B76"/>
    <w:rsid w:val="004C4BF6"/>
    <w:rsid w:val="004C6E45"/>
    <w:rsid w:val="004C751B"/>
    <w:rsid w:val="004D27D7"/>
    <w:rsid w:val="004D3CD6"/>
    <w:rsid w:val="004D4FA4"/>
    <w:rsid w:val="004D5227"/>
    <w:rsid w:val="004E02A8"/>
    <w:rsid w:val="004E5A55"/>
    <w:rsid w:val="004E5E59"/>
    <w:rsid w:val="004E7E58"/>
    <w:rsid w:val="004F0667"/>
    <w:rsid w:val="004F0B7F"/>
    <w:rsid w:val="004F1277"/>
    <w:rsid w:val="004F253D"/>
    <w:rsid w:val="004F2FA0"/>
    <w:rsid w:val="004F5B28"/>
    <w:rsid w:val="004F6821"/>
    <w:rsid w:val="004F6A3A"/>
    <w:rsid w:val="004F7DBB"/>
    <w:rsid w:val="00500F83"/>
    <w:rsid w:val="005012E5"/>
    <w:rsid w:val="00503BC9"/>
    <w:rsid w:val="005056EC"/>
    <w:rsid w:val="005062E2"/>
    <w:rsid w:val="0051203B"/>
    <w:rsid w:val="00514D93"/>
    <w:rsid w:val="00515455"/>
    <w:rsid w:val="005277F7"/>
    <w:rsid w:val="00530C66"/>
    <w:rsid w:val="00531227"/>
    <w:rsid w:val="00533E13"/>
    <w:rsid w:val="005352D8"/>
    <w:rsid w:val="00537DFA"/>
    <w:rsid w:val="00540509"/>
    <w:rsid w:val="00541C4A"/>
    <w:rsid w:val="005434BD"/>
    <w:rsid w:val="00544AD5"/>
    <w:rsid w:val="00547545"/>
    <w:rsid w:val="005528B7"/>
    <w:rsid w:val="00553D2A"/>
    <w:rsid w:val="005646EB"/>
    <w:rsid w:val="00566747"/>
    <w:rsid w:val="00570F7E"/>
    <w:rsid w:val="00574293"/>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4189"/>
    <w:rsid w:val="005A48B5"/>
    <w:rsid w:val="005A63DA"/>
    <w:rsid w:val="005A6DE3"/>
    <w:rsid w:val="005A76D1"/>
    <w:rsid w:val="005B0B20"/>
    <w:rsid w:val="005B1FE7"/>
    <w:rsid w:val="005B2675"/>
    <w:rsid w:val="005B38AD"/>
    <w:rsid w:val="005C08A1"/>
    <w:rsid w:val="005C23CF"/>
    <w:rsid w:val="005D4955"/>
    <w:rsid w:val="005D5963"/>
    <w:rsid w:val="005E0BA1"/>
    <w:rsid w:val="005E2170"/>
    <w:rsid w:val="005E509C"/>
    <w:rsid w:val="005E5971"/>
    <w:rsid w:val="005E6455"/>
    <w:rsid w:val="005E6C0B"/>
    <w:rsid w:val="005E6E3E"/>
    <w:rsid w:val="005F0644"/>
    <w:rsid w:val="005F3CE3"/>
    <w:rsid w:val="005F4BC4"/>
    <w:rsid w:val="005F6C64"/>
    <w:rsid w:val="006004E2"/>
    <w:rsid w:val="006011E1"/>
    <w:rsid w:val="006021BE"/>
    <w:rsid w:val="006079D3"/>
    <w:rsid w:val="00607FE8"/>
    <w:rsid w:val="00610A15"/>
    <w:rsid w:val="00610C1C"/>
    <w:rsid w:val="00611247"/>
    <w:rsid w:val="0061355D"/>
    <w:rsid w:val="006137A8"/>
    <w:rsid w:val="00617004"/>
    <w:rsid w:val="00617C1A"/>
    <w:rsid w:val="006208C6"/>
    <w:rsid w:val="0062147C"/>
    <w:rsid w:val="006218C8"/>
    <w:rsid w:val="00621D92"/>
    <w:rsid w:val="00622E23"/>
    <w:rsid w:val="00623372"/>
    <w:rsid w:val="006246B1"/>
    <w:rsid w:val="006246F8"/>
    <w:rsid w:val="00626DB8"/>
    <w:rsid w:val="0063102C"/>
    <w:rsid w:val="00631E69"/>
    <w:rsid w:val="006335B2"/>
    <w:rsid w:val="006353DD"/>
    <w:rsid w:val="006378EC"/>
    <w:rsid w:val="006420AA"/>
    <w:rsid w:val="006469F5"/>
    <w:rsid w:val="00646AB3"/>
    <w:rsid w:val="00651CE0"/>
    <w:rsid w:val="00652B2B"/>
    <w:rsid w:val="006535C7"/>
    <w:rsid w:val="00653E62"/>
    <w:rsid w:val="006578D9"/>
    <w:rsid w:val="00660606"/>
    <w:rsid w:val="006637E4"/>
    <w:rsid w:val="0066401F"/>
    <w:rsid w:val="00665E35"/>
    <w:rsid w:val="00667C07"/>
    <w:rsid w:val="006716E0"/>
    <w:rsid w:val="00673F24"/>
    <w:rsid w:val="0067546F"/>
    <w:rsid w:val="00676032"/>
    <w:rsid w:val="006762DF"/>
    <w:rsid w:val="00685B8B"/>
    <w:rsid w:val="00685C58"/>
    <w:rsid w:val="00692461"/>
    <w:rsid w:val="0069654D"/>
    <w:rsid w:val="00697A35"/>
    <w:rsid w:val="006A2D9C"/>
    <w:rsid w:val="006A4277"/>
    <w:rsid w:val="006B2143"/>
    <w:rsid w:val="006B4093"/>
    <w:rsid w:val="006B6D80"/>
    <w:rsid w:val="006B6E69"/>
    <w:rsid w:val="006C022E"/>
    <w:rsid w:val="006C0327"/>
    <w:rsid w:val="006C552F"/>
    <w:rsid w:val="006C6A54"/>
    <w:rsid w:val="006C7EB9"/>
    <w:rsid w:val="006D17CC"/>
    <w:rsid w:val="006D5F2B"/>
    <w:rsid w:val="006D709A"/>
    <w:rsid w:val="006E11E5"/>
    <w:rsid w:val="006E15DF"/>
    <w:rsid w:val="006E3380"/>
    <w:rsid w:val="006E43E3"/>
    <w:rsid w:val="006E46CE"/>
    <w:rsid w:val="006E4B22"/>
    <w:rsid w:val="006E4BCC"/>
    <w:rsid w:val="006E4F11"/>
    <w:rsid w:val="006E5424"/>
    <w:rsid w:val="006F03E6"/>
    <w:rsid w:val="006F16E6"/>
    <w:rsid w:val="006F1C46"/>
    <w:rsid w:val="006F2B55"/>
    <w:rsid w:val="006F5E99"/>
    <w:rsid w:val="0070184A"/>
    <w:rsid w:val="007022BB"/>
    <w:rsid w:val="00702B4B"/>
    <w:rsid w:val="007044C2"/>
    <w:rsid w:val="00704D09"/>
    <w:rsid w:val="00705974"/>
    <w:rsid w:val="007073D6"/>
    <w:rsid w:val="00713484"/>
    <w:rsid w:val="00717E99"/>
    <w:rsid w:val="007217A8"/>
    <w:rsid w:val="00724581"/>
    <w:rsid w:val="00724D87"/>
    <w:rsid w:val="00737083"/>
    <w:rsid w:val="00737FD0"/>
    <w:rsid w:val="00740061"/>
    <w:rsid w:val="007466C7"/>
    <w:rsid w:val="007475D4"/>
    <w:rsid w:val="00753C67"/>
    <w:rsid w:val="007547D2"/>
    <w:rsid w:val="00754E61"/>
    <w:rsid w:val="007550F6"/>
    <w:rsid w:val="007563BE"/>
    <w:rsid w:val="007575CE"/>
    <w:rsid w:val="00757F6D"/>
    <w:rsid w:val="007664D5"/>
    <w:rsid w:val="007704A2"/>
    <w:rsid w:val="00771441"/>
    <w:rsid w:val="007802BC"/>
    <w:rsid w:val="00790211"/>
    <w:rsid w:val="00790946"/>
    <w:rsid w:val="007920CE"/>
    <w:rsid w:val="0079379D"/>
    <w:rsid w:val="00794F14"/>
    <w:rsid w:val="00795576"/>
    <w:rsid w:val="00796B49"/>
    <w:rsid w:val="00796EC2"/>
    <w:rsid w:val="007A0337"/>
    <w:rsid w:val="007A13CD"/>
    <w:rsid w:val="007A26D2"/>
    <w:rsid w:val="007A33D4"/>
    <w:rsid w:val="007A3474"/>
    <w:rsid w:val="007A3B69"/>
    <w:rsid w:val="007A3C47"/>
    <w:rsid w:val="007A7A2B"/>
    <w:rsid w:val="007A7EB7"/>
    <w:rsid w:val="007B2325"/>
    <w:rsid w:val="007B3240"/>
    <w:rsid w:val="007B369A"/>
    <w:rsid w:val="007B47CE"/>
    <w:rsid w:val="007B7C36"/>
    <w:rsid w:val="007C0293"/>
    <w:rsid w:val="007C3AA1"/>
    <w:rsid w:val="007D05D7"/>
    <w:rsid w:val="007D0DCC"/>
    <w:rsid w:val="007D3D0A"/>
    <w:rsid w:val="007D49B8"/>
    <w:rsid w:val="007E3FDB"/>
    <w:rsid w:val="007E647F"/>
    <w:rsid w:val="007E75C3"/>
    <w:rsid w:val="007F2498"/>
    <w:rsid w:val="007F3721"/>
    <w:rsid w:val="007F5C18"/>
    <w:rsid w:val="007F5C3B"/>
    <w:rsid w:val="007F7E87"/>
    <w:rsid w:val="0080349B"/>
    <w:rsid w:val="00806F69"/>
    <w:rsid w:val="00807439"/>
    <w:rsid w:val="00812E74"/>
    <w:rsid w:val="008145E6"/>
    <w:rsid w:val="00815BF7"/>
    <w:rsid w:val="008162E0"/>
    <w:rsid w:val="00820A43"/>
    <w:rsid w:val="00821662"/>
    <w:rsid w:val="00823241"/>
    <w:rsid w:val="008247FE"/>
    <w:rsid w:val="00825379"/>
    <w:rsid w:val="00825BB9"/>
    <w:rsid w:val="00826A4E"/>
    <w:rsid w:val="00826AB4"/>
    <w:rsid w:val="00830561"/>
    <w:rsid w:val="00832850"/>
    <w:rsid w:val="00833927"/>
    <w:rsid w:val="008407DF"/>
    <w:rsid w:val="0084219B"/>
    <w:rsid w:val="008421FA"/>
    <w:rsid w:val="00842581"/>
    <w:rsid w:val="00843360"/>
    <w:rsid w:val="0084363D"/>
    <w:rsid w:val="00847B34"/>
    <w:rsid w:val="00851BA3"/>
    <w:rsid w:val="00855BC4"/>
    <w:rsid w:val="008564C0"/>
    <w:rsid w:val="00860B75"/>
    <w:rsid w:val="00860E25"/>
    <w:rsid w:val="00862AC4"/>
    <w:rsid w:val="00863695"/>
    <w:rsid w:val="008657DB"/>
    <w:rsid w:val="00871B0F"/>
    <w:rsid w:val="0087228C"/>
    <w:rsid w:val="00872384"/>
    <w:rsid w:val="00872CEE"/>
    <w:rsid w:val="008737FB"/>
    <w:rsid w:val="008744C5"/>
    <w:rsid w:val="00874985"/>
    <w:rsid w:val="008766BA"/>
    <w:rsid w:val="008801C3"/>
    <w:rsid w:val="008835DD"/>
    <w:rsid w:val="00885DC9"/>
    <w:rsid w:val="00890B2E"/>
    <w:rsid w:val="00896140"/>
    <w:rsid w:val="008A185F"/>
    <w:rsid w:val="008A2DB4"/>
    <w:rsid w:val="008A6108"/>
    <w:rsid w:val="008A7AFF"/>
    <w:rsid w:val="008B3D1C"/>
    <w:rsid w:val="008C0D74"/>
    <w:rsid w:val="008C2AD1"/>
    <w:rsid w:val="008C347E"/>
    <w:rsid w:val="008C355E"/>
    <w:rsid w:val="008C5FCE"/>
    <w:rsid w:val="008D1B4F"/>
    <w:rsid w:val="008D2A6D"/>
    <w:rsid w:val="008D62E7"/>
    <w:rsid w:val="008E09F7"/>
    <w:rsid w:val="008E1A70"/>
    <w:rsid w:val="008E1FF1"/>
    <w:rsid w:val="008E2B2F"/>
    <w:rsid w:val="008E4634"/>
    <w:rsid w:val="008E75EF"/>
    <w:rsid w:val="008E7D53"/>
    <w:rsid w:val="008F11A6"/>
    <w:rsid w:val="008F20E4"/>
    <w:rsid w:val="008F3DBD"/>
    <w:rsid w:val="009052C0"/>
    <w:rsid w:val="009059B4"/>
    <w:rsid w:val="00906B48"/>
    <w:rsid w:val="009072A7"/>
    <w:rsid w:val="00907C17"/>
    <w:rsid w:val="009131C2"/>
    <w:rsid w:val="009132C3"/>
    <w:rsid w:val="00914531"/>
    <w:rsid w:val="00915143"/>
    <w:rsid w:val="00915340"/>
    <w:rsid w:val="00916440"/>
    <w:rsid w:val="00916DCB"/>
    <w:rsid w:val="0092030C"/>
    <w:rsid w:val="00920D83"/>
    <w:rsid w:val="009211F0"/>
    <w:rsid w:val="00923187"/>
    <w:rsid w:val="009243C1"/>
    <w:rsid w:val="009262C7"/>
    <w:rsid w:val="00933F2F"/>
    <w:rsid w:val="009345DA"/>
    <w:rsid w:val="00934825"/>
    <w:rsid w:val="00936091"/>
    <w:rsid w:val="00936C67"/>
    <w:rsid w:val="009402AF"/>
    <w:rsid w:val="00940FBA"/>
    <w:rsid w:val="00941134"/>
    <w:rsid w:val="00942657"/>
    <w:rsid w:val="0094570A"/>
    <w:rsid w:val="00946D5D"/>
    <w:rsid w:val="009541C9"/>
    <w:rsid w:val="00955BF0"/>
    <w:rsid w:val="009568A4"/>
    <w:rsid w:val="0096626A"/>
    <w:rsid w:val="00966D9C"/>
    <w:rsid w:val="00967D1C"/>
    <w:rsid w:val="00972025"/>
    <w:rsid w:val="00973568"/>
    <w:rsid w:val="00975B9D"/>
    <w:rsid w:val="009776D9"/>
    <w:rsid w:val="0097784A"/>
    <w:rsid w:val="00980517"/>
    <w:rsid w:val="009812A7"/>
    <w:rsid w:val="0098513F"/>
    <w:rsid w:val="00986F68"/>
    <w:rsid w:val="00992AA4"/>
    <w:rsid w:val="00992DCA"/>
    <w:rsid w:val="009946DD"/>
    <w:rsid w:val="00996E18"/>
    <w:rsid w:val="009A1BFC"/>
    <w:rsid w:val="009A5040"/>
    <w:rsid w:val="009A61C7"/>
    <w:rsid w:val="009A6452"/>
    <w:rsid w:val="009A6660"/>
    <w:rsid w:val="009A723A"/>
    <w:rsid w:val="009B0D45"/>
    <w:rsid w:val="009B13BA"/>
    <w:rsid w:val="009B2255"/>
    <w:rsid w:val="009B234A"/>
    <w:rsid w:val="009B29ED"/>
    <w:rsid w:val="009B2CE0"/>
    <w:rsid w:val="009B453D"/>
    <w:rsid w:val="009B6CA3"/>
    <w:rsid w:val="009B6DD2"/>
    <w:rsid w:val="009B7A32"/>
    <w:rsid w:val="009C07A6"/>
    <w:rsid w:val="009C1595"/>
    <w:rsid w:val="009C18DB"/>
    <w:rsid w:val="009C3DF5"/>
    <w:rsid w:val="009C52FC"/>
    <w:rsid w:val="009C5321"/>
    <w:rsid w:val="009D0710"/>
    <w:rsid w:val="009D7734"/>
    <w:rsid w:val="009E205B"/>
    <w:rsid w:val="009E4E8F"/>
    <w:rsid w:val="009E72AB"/>
    <w:rsid w:val="009F270C"/>
    <w:rsid w:val="009F4DD3"/>
    <w:rsid w:val="009F53D9"/>
    <w:rsid w:val="009F6DEF"/>
    <w:rsid w:val="009F71D1"/>
    <w:rsid w:val="00A0007F"/>
    <w:rsid w:val="00A10842"/>
    <w:rsid w:val="00A12F8A"/>
    <w:rsid w:val="00A14CF7"/>
    <w:rsid w:val="00A219F5"/>
    <w:rsid w:val="00A24852"/>
    <w:rsid w:val="00A3233F"/>
    <w:rsid w:val="00A32C29"/>
    <w:rsid w:val="00A330F8"/>
    <w:rsid w:val="00A34914"/>
    <w:rsid w:val="00A36302"/>
    <w:rsid w:val="00A36D7C"/>
    <w:rsid w:val="00A4005A"/>
    <w:rsid w:val="00A42C6A"/>
    <w:rsid w:val="00A4562B"/>
    <w:rsid w:val="00A56606"/>
    <w:rsid w:val="00A57AAA"/>
    <w:rsid w:val="00A57E35"/>
    <w:rsid w:val="00A60C92"/>
    <w:rsid w:val="00A6301E"/>
    <w:rsid w:val="00A64ADC"/>
    <w:rsid w:val="00A65C64"/>
    <w:rsid w:val="00A6615E"/>
    <w:rsid w:val="00A664CE"/>
    <w:rsid w:val="00A66F08"/>
    <w:rsid w:val="00A67DDD"/>
    <w:rsid w:val="00A700A3"/>
    <w:rsid w:val="00A711DD"/>
    <w:rsid w:val="00A71ABA"/>
    <w:rsid w:val="00A74F8F"/>
    <w:rsid w:val="00A7544C"/>
    <w:rsid w:val="00A82329"/>
    <w:rsid w:val="00A85A31"/>
    <w:rsid w:val="00A86FE2"/>
    <w:rsid w:val="00A937C1"/>
    <w:rsid w:val="00A93FBE"/>
    <w:rsid w:val="00A94A60"/>
    <w:rsid w:val="00A95134"/>
    <w:rsid w:val="00AA0698"/>
    <w:rsid w:val="00AA160C"/>
    <w:rsid w:val="00AA17C3"/>
    <w:rsid w:val="00AA4126"/>
    <w:rsid w:val="00AA57DE"/>
    <w:rsid w:val="00AA712A"/>
    <w:rsid w:val="00AA7B67"/>
    <w:rsid w:val="00AB0FE8"/>
    <w:rsid w:val="00AB2C51"/>
    <w:rsid w:val="00AC1177"/>
    <w:rsid w:val="00AC167A"/>
    <w:rsid w:val="00AC1FBA"/>
    <w:rsid w:val="00AC248A"/>
    <w:rsid w:val="00AC322C"/>
    <w:rsid w:val="00AC5421"/>
    <w:rsid w:val="00AC5DA3"/>
    <w:rsid w:val="00AC5ED3"/>
    <w:rsid w:val="00AC74D5"/>
    <w:rsid w:val="00AD0E1F"/>
    <w:rsid w:val="00AD1149"/>
    <w:rsid w:val="00AD25A2"/>
    <w:rsid w:val="00AD405B"/>
    <w:rsid w:val="00AD41FA"/>
    <w:rsid w:val="00AD4421"/>
    <w:rsid w:val="00AD6331"/>
    <w:rsid w:val="00AD7795"/>
    <w:rsid w:val="00AD7C8F"/>
    <w:rsid w:val="00AE2E87"/>
    <w:rsid w:val="00AF062F"/>
    <w:rsid w:val="00AF2747"/>
    <w:rsid w:val="00AF3424"/>
    <w:rsid w:val="00AF3867"/>
    <w:rsid w:val="00B00E26"/>
    <w:rsid w:val="00B01DAC"/>
    <w:rsid w:val="00B04156"/>
    <w:rsid w:val="00B04BE4"/>
    <w:rsid w:val="00B05A6F"/>
    <w:rsid w:val="00B06340"/>
    <w:rsid w:val="00B104E4"/>
    <w:rsid w:val="00B11128"/>
    <w:rsid w:val="00B12F60"/>
    <w:rsid w:val="00B14BC6"/>
    <w:rsid w:val="00B14D9B"/>
    <w:rsid w:val="00B15135"/>
    <w:rsid w:val="00B16D35"/>
    <w:rsid w:val="00B16D97"/>
    <w:rsid w:val="00B2099A"/>
    <w:rsid w:val="00B21F96"/>
    <w:rsid w:val="00B24197"/>
    <w:rsid w:val="00B27341"/>
    <w:rsid w:val="00B27E4D"/>
    <w:rsid w:val="00B36BFC"/>
    <w:rsid w:val="00B37277"/>
    <w:rsid w:val="00B407D3"/>
    <w:rsid w:val="00B428CC"/>
    <w:rsid w:val="00B52B8D"/>
    <w:rsid w:val="00B605CD"/>
    <w:rsid w:val="00B61528"/>
    <w:rsid w:val="00B64258"/>
    <w:rsid w:val="00B65BCA"/>
    <w:rsid w:val="00B65F5C"/>
    <w:rsid w:val="00B6606C"/>
    <w:rsid w:val="00B66322"/>
    <w:rsid w:val="00B6722F"/>
    <w:rsid w:val="00B67892"/>
    <w:rsid w:val="00B7076A"/>
    <w:rsid w:val="00B72052"/>
    <w:rsid w:val="00B74918"/>
    <w:rsid w:val="00B816E3"/>
    <w:rsid w:val="00B82756"/>
    <w:rsid w:val="00B8440E"/>
    <w:rsid w:val="00B85FEA"/>
    <w:rsid w:val="00B86F73"/>
    <w:rsid w:val="00B87247"/>
    <w:rsid w:val="00B9116C"/>
    <w:rsid w:val="00B96939"/>
    <w:rsid w:val="00B976E8"/>
    <w:rsid w:val="00B97B18"/>
    <w:rsid w:val="00BA29D0"/>
    <w:rsid w:val="00BA37CA"/>
    <w:rsid w:val="00BA518C"/>
    <w:rsid w:val="00BA5E67"/>
    <w:rsid w:val="00BA5F5F"/>
    <w:rsid w:val="00BA6BEF"/>
    <w:rsid w:val="00BB0A22"/>
    <w:rsid w:val="00BB4DBF"/>
    <w:rsid w:val="00BC005C"/>
    <w:rsid w:val="00BC3B30"/>
    <w:rsid w:val="00BD0AA3"/>
    <w:rsid w:val="00BD233F"/>
    <w:rsid w:val="00BD2ADD"/>
    <w:rsid w:val="00BD3351"/>
    <w:rsid w:val="00BD39B5"/>
    <w:rsid w:val="00BD39CA"/>
    <w:rsid w:val="00BD3C25"/>
    <w:rsid w:val="00BD3CDD"/>
    <w:rsid w:val="00BD4395"/>
    <w:rsid w:val="00BD57D7"/>
    <w:rsid w:val="00BD6D85"/>
    <w:rsid w:val="00BD6FC3"/>
    <w:rsid w:val="00BD79DA"/>
    <w:rsid w:val="00BE05BF"/>
    <w:rsid w:val="00BE0964"/>
    <w:rsid w:val="00BE3856"/>
    <w:rsid w:val="00BE446F"/>
    <w:rsid w:val="00BE4EDD"/>
    <w:rsid w:val="00BE6CEC"/>
    <w:rsid w:val="00BE6EF9"/>
    <w:rsid w:val="00BF36AC"/>
    <w:rsid w:val="00BF44F4"/>
    <w:rsid w:val="00BF4832"/>
    <w:rsid w:val="00BF4DBC"/>
    <w:rsid w:val="00BF511D"/>
    <w:rsid w:val="00BF5D90"/>
    <w:rsid w:val="00BF6FE4"/>
    <w:rsid w:val="00C00D5F"/>
    <w:rsid w:val="00C02A5C"/>
    <w:rsid w:val="00C05C4B"/>
    <w:rsid w:val="00C1086C"/>
    <w:rsid w:val="00C112CA"/>
    <w:rsid w:val="00C17BD4"/>
    <w:rsid w:val="00C17FB7"/>
    <w:rsid w:val="00C20C4B"/>
    <w:rsid w:val="00C23118"/>
    <w:rsid w:val="00C245B2"/>
    <w:rsid w:val="00C26C86"/>
    <w:rsid w:val="00C3080E"/>
    <w:rsid w:val="00C34762"/>
    <w:rsid w:val="00C375BC"/>
    <w:rsid w:val="00C40CDB"/>
    <w:rsid w:val="00C41B53"/>
    <w:rsid w:val="00C421E6"/>
    <w:rsid w:val="00C42E90"/>
    <w:rsid w:val="00C4392E"/>
    <w:rsid w:val="00C47142"/>
    <w:rsid w:val="00C50E9D"/>
    <w:rsid w:val="00C53D14"/>
    <w:rsid w:val="00C63986"/>
    <w:rsid w:val="00C63FE3"/>
    <w:rsid w:val="00C64DA3"/>
    <w:rsid w:val="00C7136C"/>
    <w:rsid w:val="00C733B1"/>
    <w:rsid w:val="00C73E23"/>
    <w:rsid w:val="00C7752B"/>
    <w:rsid w:val="00C80005"/>
    <w:rsid w:val="00C82905"/>
    <w:rsid w:val="00C84723"/>
    <w:rsid w:val="00C84AD4"/>
    <w:rsid w:val="00C87D13"/>
    <w:rsid w:val="00C922AF"/>
    <w:rsid w:val="00C93311"/>
    <w:rsid w:val="00C93863"/>
    <w:rsid w:val="00C9468E"/>
    <w:rsid w:val="00C94EF9"/>
    <w:rsid w:val="00C95A71"/>
    <w:rsid w:val="00C96228"/>
    <w:rsid w:val="00C972E3"/>
    <w:rsid w:val="00CA29D5"/>
    <w:rsid w:val="00CA318B"/>
    <w:rsid w:val="00CA4510"/>
    <w:rsid w:val="00CA7405"/>
    <w:rsid w:val="00CB2179"/>
    <w:rsid w:val="00CB36FD"/>
    <w:rsid w:val="00CC2F7E"/>
    <w:rsid w:val="00CC74A1"/>
    <w:rsid w:val="00CC7F79"/>
    <w:rsid w:val="00CD3262"/>
    <w:rsid w:val="00CD6512"/>
    <w:rsid w:val="00CD7918"/>
    <w:rsid w:val="00CE00F0"/>
    <w:rsid w:val="00CE0309"/>
    <w:rsid w:val="00CE16A0"/>
    <w:rsid w:val="00CE5895"/>
    <w:rsid w:val="00CF0059"/>
    <w:rsid w:val="00CF0522"/>
    <w:rsid w:val="00CF1F7C"/>
    <w:rsid w:val="00CF58C0"/>
    <w:rsid w:val="00CF7803"/>
    <w:rsid w:val="00D01262"/>
    <w:rsid w:val="00D04677"/>
    <w:rsid w:val="00D05762"/>
    <w:rsid w:val="00D109BE"/>
    <w:rsid w:val="00D137BB"/>
    <w:rsid w:val="00D20B9C"/>
    <w:rsid w:val="00D228CB"/>
    <w:rsid w:val="00D23ED3"/>
    <w:rsid w:val="00D26B60"/>
    <w:rsid w:val="00D33D98"/>
    <w:rsid w:val="00D3524E"/>
    <w:rsid w:val="00D358AC"/>
    <w:rsid w:val="00D35B8E"/>
    <w:rsid w:val="00D35F06"/>
    <w:rsid w:val="00D43E57"/>
    <w:rsid w:val="00D44B42"/>
    <w:rsid w:val="00D456F0"/>
    <w:rsid w:val="00D45951"/>
    <w:rsid w:val="00D46340"/>
    <w:rsid w:val="00D47BAE"/>
    <w:rsid w:val="00D5503B"/>
    <w:rsid w:val="00D5551F"/>
    <w:rsid w:val="00D56853"/>
    <w:rsid w:val="00D57E91"/>
    <w:rsid w:val="00D61EDD"/>
    <w:rsid w:val="00D62CCB"/>
    <w:rsid w:val="00D63A79"/>
    <w:rsid w:val="00D64F2C"/>
    <w:rsid w:val="00D65A7C"/>
    <w:rsid w:val="00D709D8"/>
    <w:rsid w:val="00D71128"/>
    <w:rsid w:val="00D73843"/>
    <w:rsid w:val="00D74253"/>
    <w:rsid w:val="00D74598"/>
    <w:rsid w:val="00D74789"/>
    <w:rsid w:val="00D76431"/>
    <w:rsid w:val="00D769FA"/>
    <w:rsid w:val="00D778D5"/>
    <w:rsid w:val="00D80DD5"/>
    <w:rsid w:val="00D819F7"/>
    <w:rsid w:val="00D825D7"/>
    <w:rsid w:val="00D82848"/>
    <w:rsid w:val="00D82C20"/>
    <w:rsid w:val="00D860C2"/>
    <w:rsid w:val="00D87278"/>
    <w:rsid w:val="00D87799"/>
    <w:rsid w:val="00D96BA4"/>
    <w:rsid w:val="00DA2394"/>
    <w:rsid w:val="00DA43EE"/>
    <w:rsid w:val="00DA5FAA"/>
    <w:rsid w:val="00DA63AC"/>
    <w:rsid w:val="00DA73CC"/>
    <w:rsid w:val="00DA75A6"/>
    <w:rsid w:val="00DA762A"/>
    <w:rsid w:val="00DA7F5D"/>
    <w:rsid w:val="00DB0AE9"/>
    <w:rsid w:val="00DB2F69"/>
    <w:rsid w:val="00DB6529"/>
    <w:rsid w:val="00DC14F4"/>
    <w:rsid w:val="00DC22B1"/>
    <w:rsid w:val="00DC257E"/>
    <w:rsid w:val="00DC309B"/>
    <w:rsid w:val="00DC4A22"/>
    <w:rsid w:val="00DC5524"/>
    <w:rsid w:val="00DD278A"/>
    <w:rsid w:val="00DE3224"/>
    <w:rsid w:val="00DE3666"/>
    <w:rsid w:val="00DE6D3F"/>
    <w:rsid w:val="00E00261"/>
    <w:rsid w:val="00E00BDA"/>
    <w:rsid w:val="00E01158"/>
    <w:rsid w:val="00E0309D"/>
    <w:rsid w:val="00E03299"/>
    <w:rsid w:val="00E04391"/>
    <w:rsid w:val="00E05494"/>
    <w:rsid w:val="00E05BB6"/>
    <w:rsid w:val="00E133DE"/>
    <w:rsid w:val="00E21D99"/>
    <w:rsid w:val="00E235CD"/>
    <w:rsid w:val="00E2379E"/>
    <w:rsid w:val="00E25067"/>
    <w:rsid w:val="00E26969"/>
    <w:rsid w:val="00E26C4D"/>
    <w:rsid w:val="00E313E3"/>
    <w:rsid w:val="00E328AD"/>
    <w:rsid w:val="00E34448"/>
    <w:rsid w:val="00E35991"/>
    <w:rsid w:val="00E376B5"/>
    <w:rsid w:val="00E37BAA"/>
    <w:rsid w:val="00E41248"/>
    <w:rsid w:val="00E4195A"/>
    <w:rsid w:val="00E43183"/>
    <w:rsid w:val="00E43496"/>
    <w:rsid w:val="00E4734C"/>
    <w:rsid w:val="00E4785A"/>
    <w:rsid w:val="00E47A1C"/>
    <w:rsid w:val="00E52EAF"/>
    <w:rsid w:val="00E5533B"/>
    <w:rsid w:val="00E55B23"/>
    <w:rsid w:val="00E56787"/>
    <w:rsid w:val="00E5724B"/>
    <w:rsid w:val="00E574E0"/>
    <w:rsid w:val="00E57898"/>
    <w:rsid w:val="00E6048F"/>
    <w:rsid w:val="00E63B43"/>
    <w:rsid w:val="00E72823"/>
    <w:rsid w:val="00E73155"/>
    <w:rsid w:val="00E76A06"/>
    <w:rsid w:val="00E80682"/>
    <w:rsid w:val="00E849C9"/>
    <w:rsid w:val="00E910FB"/>
    <w:rsid w:val="00E92988"/>
    <w:rsid w:val="00E92E9A"/>
    <w:rsid w:val="00E93676"/>
    <w:rsid w:val="00E93E6D"/>
    <w:rsid w:val="00E966CE"/>
    <w:rsid w:val="00EA15F5"/>
    <w:rsid w:val="00EA20E3"/>
    <w:rsid w:val="00EA21BC"/>
    <w:rsid w:val="00EA4E26"/>
    <w:rsid w:val="00EA5EB0"/>
    <w:rsid w:val="00EA6D74"/>
    <w:rsid w:val="00EA6E0E"/>
    <w:rsid w:val="00EB0460"/>
    <w:rsid w:val="00EB1608"/>
    <w:rsid w:val="00EB47E4"/>
    <w:rsid w:val="00EB48E4"/>
    <w:rsid w:val="00EB558E"/>
    <w:rsid w:val="00EB5E5A"/>
    <w:rsid w:val="00EB60A7"/>
    <w:rsid w:val="00EB71F0"/>
    <w:rsid w:val="00EB7BFA"/>
    <w:rsid w:val="00EC15AB"/>
    <w:rsid w:val="00EC1C7D"/>
    <w:rsid w:val="00EC253A"/>
    <w:rsid w:val="00EC4A68"/>
    <w:rsid w:val="00EC4C7A"/>
    <w:rsid w:val="00EC59DB"/>
    <w:rsid w:val="00EC5B69"/>
    <w:rsid w:val="00ED07D8"/>
    <w:rsid w:val="00ED153C"/>
    <w:rsid w:val="00EE374D"/>
    <w:rsid w:val="00EE526A"/>
    <w:rsid w:val="00EE7B0B"/>
    <w:rsid w:val="00EF069F"/>
    <w:rsid w:val="00EF4E9E"/>
    <w:rsid w:val="00EF4F57"/>
    <w:rsid w:val="00EF68D7"/>
    <w:rsid w:val="00F01FCA"/>
    <w:rsid w:val="00F035A5"/>
    <w:rsid w:val="00F05AF0"/>
    <w:rsid w:val="00F05D7E"/>
    <w:rsid w:val="00F06ECC"/>
    <w:rsid w:val="00F1021D"/>
    <w:rsid w:val="00F10805"/>
    <w:rsid w:val="00F16963"/>
    <w:rsid w:val="00F25C16"/>
    <w:rsid w:val="00F30776"/>
    <w:rsid w:val="00F30DDD"/>
    <w:rsid w:val="00F31B01"/>
    <w:rsid w:val="00F31B8F"/>
    <w:rsid w:val="00F33455"/>
    <w:rsid w:val="00F34D25"/>
    <w:rsid w:val="00F362F2"/>
    <w:rsid w:val="00F42088"/>
    <w:rsid w:val="00F42A83"/>
    <w:rsid w:val="00F4316D"/>
    <w:rsid w:val="00F45CA1"/>
    <w:rsid w:val="00F47322"/>
    <w:rsid w:val="00F50CC2"/>
    <w:rsid w:val="00F53EC5"/>
    <w:rsid w:val="00F56331"/>
    <w:rsid w:val="00F574B3"/>
    <w:rsid w:val="00F601E5"/>
    <w:rsid w:val="00F60CCC"/>
    <w:rsid w:val="00F61335"/>
    <w:rsid w:val="00F61F05"/>
    <w:rsid w:val="00F63979"/>
    <w:rsid w:val="00F67EAC"/>
    <w:rsid w:val="00F73BFB"/>
    <w:rsid w:val="00F8020A"/>
    <w:rsid w:val="00F803B1"/>
    <w:rsid w:val="00F82C0C"/>
    <w:rsid w:val="00F85871"/>
    <w:rsid w:val="00F86D26"/>
    <w:rsid w:val="00F91590"/>
    <w:rsid w:val="00F93F85"/>
    <w:rsid w:val="00F94473"/>
    <w:rsid w:val="00F976C5"/>
    <w:rsid w:val="00FA4525"/>
    <w:rsid w:val="00FA54B4"/>
    <w:rsid w:val="00FA5C1E"/>
    <w:rsid w:val="00FB0071"/>
    <w:rsid w:val="00FB04A9"/>
    <w:rsid w:val="00FB170E"/>
    <w:rsid w:val="00FB35BC"/>
    <w:rsid w:val="00FB3892"/>
    <w:rsid w:val="00FB5A95"/>
    <w:rsid w:val="00FB6E0F"/>
    <w:rsid w:val="00FB717E"/>
    <w:rsid w:val="00FB73F4"/>
    <w:rsid w:val="00FB7EF6"/>
    <w:rsid w:val="00FC03E1"/>
    <w:rsid w:val="00FC2F7C"/>
    <w:rsid w:val="00FC3E46"/>
    <w:rsid w:val="00FD085D"/>
    <w:rsid w:val="00FE49FE"/>
    <w:rsid w:val="00FE5783"/>
    <w:rsid w:val="00FF0467"/>
    <w:rsid w:val="00FF27E4"/>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f3"/>
    </o:shapedefaults>
    <o:shapelayout v:ext="edit">
      <o:idmap v:ext="edit" data="1"/>
      <o:rules v:ext="edit">
        <o:r id="V:Rule1" type="connector" idref="#_x0000_s1040"/>
        <o:r id="V:Rule2" type="connector" idref="#_x0000_s1046"/>
        <o:r id="V:Rule3" type="connector" idref="#_x0000_s1045"/>
        <o:r id="V:Rule4" type="connector" idref="#_x0000_s1043"/>
        <o:r id="V:Rule5" type="connector" idref="#_x0000_s1044"/>
      </o:rules>
    </o:shapelayout>
  </w:shapeDefaults>
  <w:decimalSymbol w:val=","/>
  <w:listSeparator w:val=";"/>
  <w15:docId w15:val="{53C37D5B-7675-4976-B2FD-7190CB0CC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1"/>
    <w:uiPriority w:val="99"/>
    <w:unhideWhenUsed/>
    <w:rsid w:val="00A86FE2"/>
    <w:pPr>
      <w:tabs>
        <w:tab w:val="center" w:pos="4703"/>
        <w:tab w:val="right" w:pos="9406"/>
      </w:tabs>
      <w:spacing w:after="0"/>
    </w:pPr>
  </w:style>
  <w:style w:type="character" w:customStyle="1" w:styleId="stbilgiChar1">
    <w:name w:val="Üstbilgi Char1"/>
    <w:basedOn w:val="VarsaylanParagrafYazTipi"/>
    <w:link w:val="stbilgi"/>
    <w:uiPriority w:val="99"/>
    <w:rsid w:val="00A86FE2"/>
  </w:style>
  <w:style w:type="paragraph" w:styleId="Altbilgi">
    <w:name w:val="footer"/>
    <w:basedOn w:val="Normal"/>
    <w:link w:val="AltbilgiChar1"/>
    <w:uiPriority w:val="99"/>
    <w:unhideWhenUsed/>
    <w:rsid w:val="00A86FE2"/>
    <w:pPr>
      <w:tabs>
        <w:tab w:val="center" w:pos="4703"/>
        <w:tab w:val="right" w:pos="9406"/>
      </w:tabs>
      <w:spacing w:after="0"/>
    </w:pPr>
  </w:style>
  <w:style w:type="character" w:customStyle="1" w:styleId="AltbilgiChar1">
    <w:name w:val="Altbilgi Char1"/>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yaz"/>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yaz">
    <w:name w:val="Subtitle"/>
    <w:basedOn w:val="Normal"/>
    <w:next w:val="Normal"/>
    <w:link w:val="AltyazChar1"/>
    <w:uiPriority w:val="11"/>
    <w:qFormat/>
    <w:rsid w:val="00C63986"/>
    <w:pPr>
      <w:numPr>
        <w:ilvl w:val="1"/>
      </w:numPr>
      <w:spacing w:after="160"/>
    </w:pPr>
    <w:rPr>
      <w:rFonts w:eastAsiaTheme="minorEastAsia"/>
      <w:color w:val="5A5A5A" w:themeColor="text1" w:themeTint="A5"/>
      <w:spacing w:val="15"/>
    </w:rPr>
  </w:style>
  <w:style w:type="character" w:customStyle="1" w:styleId="AltyazChar1">
    <w:name w:val="Altyazı Char1"/>
    <w:basedOn w:val="VarsaylanParagrafYazTipi"/>
    <w:link w:val="Altyaz"/>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24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customStyle="1" w:styleId="AkGlgeleme1">
    <w:name w:val="Açık Gölgeleme1"/>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UnresolvedMention">
    <w:name w:val="Unresolved Mention"/>
    <w:basedOn w:val="VarsaylanParagrafYazTipi"/>
    <w:uiPriority w:val="99"/>
    <w:semiHidden/>
    <w:unhideWhenUsed/>
    <w:rsid w:val="00413C80"/>
    <w:rPr>
      <w:color w:val="605E5C"/>
      <w:shd w:val="clear" w:color="auto" w:fill="E1DFDD"/>
    </w:rPr>
  </w:style>
  <w:style w:type="paragraph" w:customStyle="1" w:styleId="EndNoteBibliographyTitle">
    <w:name w:val="EndNote Bibliography Title"/>
    <w:basedOn w:val="Normal"/>
    <w:link w:val="EndNoteBibliographyTitleChar"/>
    <w:rsid w:val="004027D0"/>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EndNoteBibliographyChar"/>
    <w:link w:val="EndNoteBibliographyTitle"/>
    <w:rsid w:val="004027D0"/>
    <w:rPr>
      <w:rFonts w:ascii="Times New Roman" w:eastAsia="Calibri" w:hAnsi="Times New Roman" w:cs="Times New Roman"/>
      <w:noProof/>
      <w:sz w:val="24"/>
      <w:szCs w:val="20"/>
      <w:lang w:val="en-US"/>
    </w:rPr>
  </w:style>
  <w:style w:type="character" w:customStyle="1" w:styleId="fontstyle01">
    <w:name w:val="fontstyle01"/>
    <w:basedOn w:val="VarsaylanParagrafYazTipi"/>
    <w:rsid w:val="00754E61"/>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463546745">
      <w:bodyDiv w:val="1"/>
      <w:marLeft w:val="0"/>
      <w:marRight w:val="0"/>
      <w:marTop w:val="0"/>
      <w:marBottom w:val="0"/>
      <w:divBdr>
        <w:top w:val="none" w:sz="0" w:space="0" w:color="auto"/>
        <w:left w:val="none" w:sz="0" w:space="0" w:color="auto"/>
        <w:bottom w:val="none" w:sz="0" w:space="0" w:color="auto"/>
        <w:right w:val="none" w:sz="0" w:space="0" w:color="auto"/>
      </w:divBdr>
      <w:divsChild>
        <w:div w:id="1116558262">
          <w:marLeft w:val="0"/>
          <w:marRight w:val="0"/>
          <w:marTop w:val="0"/>
          <w:marBottom w:val="0"/>
          <w:divBdr>
            <w:top w:val="none" w:sz="0" w:space="0" w:color="auto"/>
            <w:left w:val="none" w:sz="0" w:space="0" w:color="auto"/>
            <w:bottom w:val="none" w:sz="0" w:space="0" w:color="auto"/>
            <w:right w:val="none" w:sz="0" w:space="0" w:color="auto"/>
          </w:divBdr>
        </w:div>
      </w:divsChild>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388411449">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851-5284" TargetMode="External"/><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orcid.org/0000-0002-4197-785X"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03E92ED0-8880-4E9A-82A3-BE265ECC6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6</Pages>
  <Words>2765</Words>
  <Characters>15764</Characters>
  <Application>Microsoft Office Word</Application>
  <DocSecurity>0</DocSecurity>
  <Lines>131</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_HP</cp:lastModifiedBy>
  <cp:revision>23</cp:revision>
  <cp:lastPrinted>2022-10-06T12:06:00Z</cp:lastPrinted>
  <dcterms:created xsi:type="dcterms:W3CDTF">2023-12-08T13:53:00Z</dcterms:created>
  <dcterms:modified xsi:type="dcterms:W3CDTF">2023-12-20T13:57:00Z</dcterms:modified>
</cp:coreProperties>
</file>