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9AA" w:rsidRPr="00EE5D01" w:rsidRDefault="00FA415E" w:rsidP="00EE5D01">
      <w:pPr>
        <w:pStyle w:val="Balk11"/>
        <w:spacing w:line="480" w:lineRule="auto"/>
        <w:rPr>
          <w:rFonts w:asciiTheme="majorBidi" w:hAnsiTheme="majorBidi" w:cstheme="majorBidi"/>
          <w:b/>
          <w:bCs/>
          <w:sz w:val="28"/>
          <w:szCs w:val="28"/>
          <w:lang w:eastAsia="tr-TR"/>
        </w:rPr>
      </w:pPr>
      <w:r w:rsidRPr="00EE5D01">
        <w:rPr>
          <w:rFonts w:asciiTheme="majorBidi" w:hAnsiTheme="majorBidi" w:cstheme="majorBidi"/>
          <w:b/>
          <w:bCs/>
          <w:lang w:eastAsia="tr-TR"/>
        </w:rPr>
        <w:t xml:space="preserve">               </w:t>
      </w:r>
      <w:r w:rsidR="000079AA" w:rsidRPr="00EE5D01">
        <w:rPr>
          <w:rFonts w:asciiTheme="majorBidi" w:hAnsiTheme="majorBidi" w:cstheme="majorBidi"/>
          <w:b/>
          <w:bCs/>
          <w:sz w:val="28"/>
          <w:szCs w:val="28"/>
          <w:lang w:eastAsia="tr-TR"/>
        </w:rPr>
        <w:t xml:space="preserve">ÇANKIRI KARATEKİN </w:t>
      </w:r>
      <w:r w:rsidRPr="00EE5D01">
        <w:rPr>
          <w:rFonts w:asciiTheme="majorBidi" w:hAnsiTheme="majorBidi" w:cstheme="majorBidi"/>
          <w:b/>
          <w:bCs/>
          <w:sz w:val="28"/>
          <w:szCs w:val="28"/>
          <w:lang w:eastAsia="tr-TR"/>
        </w:rPr>
        <w:t>U</w:t>
      </w:r>
      <w:r w:rsidR="000079AA" w:rsidRPr="00EE5D01">
        <w:rPr>
          <w:rFonts w:asciiTheme="majorBidi" w:hAnsiTheme="majorBidi" w:cstheme="majorBidi"/>
          <w:b/>
          <w:bCs/>
          <w:sz w:val="28"/>
          <w:szCs w:val="28"/>
          <w:lang w:eastAsia="tr-TR"/>
        </w:rPr>
        <w:t>N</w:t>
      </w:r>
      <w:r w:rsidRPr="00EE5D01">
        <w:rPr>
          <w:rFonts w:asciiTheme="majorBidi" w:hAnsiTheme="majorBidi" w:cstheme="majorBidi"/>
          <w:b/>
          <w:bCs/>
          <w:sz w:val="28"/>
          <w:szCs w:val="28"/>
          <w:lang w:eastAsia="tr-TR"/>
        </w:rPr>
        <w:t>I</w:t>
      </w:r>
      <w:r w:rsidR="000079AA" w:rsidRPr="00EE5D01">
        <w:rPr>
          <w:rFonts w:asciiTheme="majorBidi" w:hAnsiTheme="majorBidi" w:cstheme="majorBidi"/>
          <w:b/>
          <w:bCs/>
          <w:sz w:val="28"/>
          <w:szCs w:val="28"/>
          <w:lang w:eastAsia="tr-TR"/>
        </w:rPr>
        <w:t>VERS</w:t>
      </w:r>
      <w:r w:rsidRPr="00EE5D01">
        <w:rPr>
          <w:rFonts w:asciiTheme="majorBidi" w:hAnsiTheme="majorBidi" w:cstheme="majorBidi"/>
          <w:b/>
          <w:bCs/>
          <w:sz w:val="28"/>
          <w:szCs w:val="28"/>
          <w:lang w:eastAsia="tr-TR"/>
        </w:rPr>
        <w:t>I</w:t>
      </w:r>
      <w:r w:rsidR="000079AA" w:rsidRPr="00EE5D01">
        <w:rPr>
          <w:rFonts w:asciiTheme="majorBidi" w:hAnsiTheme="majorBidi" w:cstheme="majorBidi"/>
          <w:b/>
          <w:bCs/>
          <w:sz w:val="28"/>
          <w:szCs w:val="28"/>
          <w:lang w:eastAsia="tr-TR"/>
        </w:rPr>
        <w:t>T</w:t>
      </w:r>
      <w:r w:rsidRPr="00EE5D01">
        <w:rPr>
          <w:rFonts w:asciiTheme="majorBidi" w:hAnsiTheme="majorBidi" w:cstheme="majorBidi"/>
          <w:b/>
          <w:bCs/>
          <w:sz w:val="28"/>
          <w:szCs w:val="28"/>
          <w:lang w:eastAsia="tr-TR"/>
        </w:rPr>
        <w:t>Y</w:t>
      </w:r>
    </w:p>
    <w:p w:rsidR="000079AA" w:rsidRPr="00EE5D01" w:rsidRDefault="00025159" w:rsidP="00EE5D01">
      <w:pPr>
        <w:spacing w:after="0" w:line="480" w:lineRule="auto"/>
        <w:jc w:val="center"/>
        <w:rPr>
          <w:rFonts w:eastAsia="Times New Roman" w:cs="Times New Roman"/>
          <w:b/>
          <w:sz w:val="28"/>
          <w:szCs w:val="28"/>
          <w:lang w:eastAsia="tr-TR"/>
        </w:rPr>
      </w:pPr>
      <w:r w:rsidRPr="00EE5D01">
        <w:rPr>
          <w:rFonts w:eastAsia="Times New Roman" w:cs="Times New Roman"/>
          <w:b/>
          <w:sz w:val="28"/>
          <w:szCs w:val="28"/>
          <w:lang w:eastAsia="tr-TR"/>
        </w:rPr>
        <w:t>SCIENCE INSTITUTE</w:t>
      </w:r>
    </w:p>
    <w:p w:rsidR="000079AA" w:rsidRPr="00EE5D01" w:rsidRDefault="00025159" w:rsidP="00EE5D01">
      <w:pPr>
        <w:spacing w:after="100" w:afterAutospacing="1" w:line="480" w:lineRule="auto"/>
        <w:jc w:val="center"/>
        <w:rPr>
          <w:rFonts w:eastAsia="Times New Roman" w:cs="Times New Roman"/>
          <w:b/>
          <w:sz w:val="28"/>
          <w:szCs w:val="28"/>
          <w:lang w:eastAsia="tr-TR"/>
        </w:rPr>
      </w:pPr>
      <w:r w:rsidRPr="00EE5D01">
        <w:rPr>
          <w:rFonts w:eastAsia="Times New Roman" w:cs="Times New Roman"/>
          <w:b/>
          <w:sz w:val="28"/>
          <w:szCs w:val="28"/>
          <w:lang w:eastAsia="tr-TR"/>
        </w:rPr>
        <w:t>MASTER'S THESIS</w:t>
      </w:r>
    </w:p>
    <w:p w:rsidR="002E0C8A" w:rsidRPr="00824D58" w:rsidRDefault="002E0C8A" w:rsidP="000079AA">
      <w:pPr>
        <w:spacing w:after="0"/>
        <w:jc w:val="center"/>
        <w:rPr>
          <w:rFonts w:eastAsia="Times New Roman" w:cs="Times New Roman"/>
          <w:b/>
          <w:sz w:val="28"/>
          <w:szCs w:val="28"/>
          <w:lang w:eastAsia="tr-TR"/>
        </w:rPr>
      </w:pPr>
      <w:r w:rsidRPr="00824D58">
        <w:rPr>
          <w:rFonts w:eastAsia="Times New Roman" w:cs="Times New Roman"/>
          <w:b/>
          <w:noProof/>
          <w:sz w:val="28"/>
          <w:szCs w:val="28"/>
        </w:rPr>
        <w:drawing>
          <wp:inline distT="0" distB="0" distL="0" distR="0" wp14:anchorId="2F6563B2" wp14:editId="5FAE6F44">
            <wp:extent cx="1923746" cy="1954761"/>
            <wp:effectExtent l="0" t="0" r="635" b="7620"/>
            <wp:docPr id="13" name="Resim 16" descr="http://www.karatekin.edu.tr/dosyalar/od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http://www.karatekin.edu.tr/dosyalar/odul.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933844" cy="1965022"/>
                    </a:xfrm>
                    <a:prstGeom prst="rect">
                      <a:avLst/>
                    </a:prstGeom>
                    <a:noFill/>
                  </pic:spPr>
                </pic:pic>
              </a:graphicData>
            </a:graphic>
          </wp:inline>
        </w:drawing>
      </w:r>
    </w:p>
    <w:p w:rsidR="00282A25" w:rsidRPr="00824D58" w:rsidRDefault="00282A25" w:rsidP="003B6408">
      <w:pPr>
        <w:spacing w:line="240" w:lineRule="auto"/>
        <w:jc w:val="center"/>
        <w:rPr>
          <w:b/>
          <w:bCs/>
          <w:sz w:val="28"/>
          <w:szCs w:val="28"/>
        </w:rPr>
      </w:pPr>
      <w:r w:rsidRPr="00824D58">
        <w:rPr>
          <w:b/>
          <w:bCs/>
          <w:sz w:val="28"/>
          <w:szCs w:val="28"/>
        </w:rPr>
        <w:t>STUDY OF RELATIONSHIP BETWEEN LEVELS OF HEPCIDINE HORMONE AND GDF15 FOR PATIENTS WITH PROSTATIC CANCER AND THEIR CLINICAL IMPORTANCE</w:t>
      </w:r>
    </w:p>
    <w:p w:rsidR="000079AA" w:rsidRPr="00824D58" w:rsidRDefault="000079AA" w:rsidP="000079AA">
      <w:pPr>
        <w:spacing w:after="0"/>
        <w:jc w:val="center"/>
        <w:rPr>
          <w:rFonts w:eastAsia="Times New Roman" w:cs="Times New Roman"/>
          <w:b/>
          <w:sz w:val="28"/>
          <w:szCs w:val="28"/>
          <w:lang w:eastAsia="tr-TR"/>
        </w:rPr>
      </w:pPr>
    </w:p>
    <w:p w:rsidR="00512422" w:rsidRDefault="002B4968" w:rsidP="00512422">
      <w:pPr>
        <w:spacing w:after="0"/>
        <w:jc w:val="center"/>
        <w:rPr>
          <w:b/>
          <w:bCs/>
          <w:sz w:val="28"/>
          <w:szCs w:val="28"/>
          <w:rtl/>
        </w:rPr>
      </w:pPr>
      <w:r w:rsidRPr="002B4968">
        <w:rPr>
          <w:b/>
          <w:bCs/>
          <w:sz w:val="28"/>
          <w:szCs w:val="28"/>
        </w:rPr>
        <w:t>Omer Zedan Khalaf  KHALAF</w:t>
      </w:r>
    </w:p>
    <w:p w:rsidR="00025159" w:rsidRPr="00824D58" w:rsidRDefault="00025159" w:rsidP="00512422">
      <w:pPr>
        <w:spacing w:after="0"/>
        <w:jc w:val="center"/>
        <w:rPr>
          <w:b/>
          <w:bCs/>
          <w:sz w:val="28"/>
          <w:szCs w:val="28"/>
        </w:rPr>
      </w:pPr>
    </w:p>
    <w:p w:rsidR="00512422" w:rsidRPr="00824D58" w:rsidRDefault="00282A25" w:rsidP="00512422">
      <w:pPr>
        <w:spacing w:line="240" w:lineRule="auto"/>
        <w:jc w:val="center"/>
        <w:rPr>
          <w:b/>
          <w:bCs/>
          <w:sz w:val="28"/>
          <w:szCs w:val="28"/>
        </w:rPr>
      </w:pPr>
      <w:bookmarkStart w:id="0" w:name="_Toc41407885"/>
      <w:bookmarkStart w:id="1" w:name="_Toc48488263"/>
      <w:bookmarkStart w:id="2" w:name="_Toc48488848"/>
      <w:bookmarkStart w:id="3" w:name="_Toc48496645"/>
      <w:bookmarkStart w:id="4" w:name="_Toc49067568"/>
      <w:bookmarkStart w:id="5" w:name="_Toc49067834"/>
      <w:bookmarkStart w:id="6" w:name="_Toc49068739"/>
      <w:bookmarkStart w:id="7" w:name="_Toc49068977"/>
      <w:r w:rsidRPr="00824D58">
        <w:rPr>
          <w:b/>
          <w:bCs/>
          <w:sz w:val="28"/>
          <w:szCs w:val="28"/>
        </w:rPr>
        <w:t>Supervisors</w:t>
      </w:r>
      <w:bookmarkEnd w:id="0"/>
    </w:p>
    <w:p w:rsidR="00282A25" w:rsidRPr="00824D58" w:rsidRDefault="00570670" w:rsidP="00512422">
      <w:pPr>
        <w:spacing w:line="240" w:lineRule="auto"/>
        <w:jc w:val="center"/>
        <w:rPr>
          <w:b/>
          <w:bCs/>
          <w:sz w:val="28"/>
          <w:szCs w:val="28"/>
        </w:rPr>
      </w:pPr>
      <w:r w:rsidRPr="00824D58">
        <w:rPr>
          <w:b/>
          <w:bCs/>
          <w:sz w:val="28"/>
          <w:szCs w:val="28"/>
        </w:rPr>
        <w:t xml:space="preserve">Prof. </w:t>
      </w:r>
      <w:r w:rsidR="00282A25" w:rsidRPr="00824D58">
        <w:rPr>
          <w:b/>
          <w:bCs/>
          <w:sz w:val="28"/>
          <w:szCs w:val="28"/>
        </w:rPr>
        <w:t>Dr. Ayşe Şahin YAĞLIOĞLU</w:t>
      </w:r>
      <w:bookmarkEnd w:id="1"/>
      <w:bookmarkEnd w:id="2"/>
      <w:bookmarkEnd w:id="3"/>
      <w:bookmarkEnd w:id="4"/>
      <w:bookmarkEnd w:id="5"/>
      <w:bookmarkEnd w:id="6"/>
      <w:bookmarkEnd w:id="7"/>
    </w:p>
    <w:p w:rsidR="00512422" w:rsidRPr="00824D58" w:rsidRDefault="00512422" w:rsidP="00512422">
      <w:pPr>
        <w:spacing w:line="240" w:lineRule="auto"/>
        <w:jc w:val="center"/>
        <w:rPr>
          <w:b/>
          <w:bCs/>
          <w:sz w:val="28"/>
          <w:szCs w:val="28"/>
        </w:rPr>
      </w:pPr>
    </w:p>
    <w:p w:rsidR="00512422" w:rsidRPr="00824D58" w:rsidRDefault="00512422" w:rsidP="00512422">
      <w:pPr>
        <w:spacing w:line="240" w:lineRule="auto"/>
        <w:jc w:val="center"/>
        <w:rPr>
          <w:b/>
          <w:bCs/>
          <w:sz w:val="28"/>
          <w:szCs w:val="28"/>
        </w:rPr>
      </w:pPr>
      <w:r w:rsidRPr="00824D58">
        <w:rPr>
          <w:b/>
          <w:bCs/>
          <w:sz w:val="28"/>
          <w:szCs w:val="28"/>
        </w:rPr>
        <w:t>CO- Supervisors</w:t>
      </w:r>
    </w:p>
    <w:p w:rsidR="00512422" w:rsidRPr="00824D58" w:rsidRDefault="00512422" w:rsidP="00512422">
      <w:pPr>
        <w:jc w:val="center"/>
        <w:rPr>
          <w:b/>
          <w:bCs/>
          <w:sz w:val="28"/>
          <w:szCs w:val="28"/>
        </w:rPr>
      </w:pPr>
      <w:r w:rsidRPr="00824D58">
        <w:rPr>
          <w:b/>
          <w:bCs/>
          <w:sz w:val="28"/>
          <w:szCs w:val="28"/>
        </w:rPr>
        <w:t>Prof. Dr. Maysaa JALAL MAJEED</w:t>
      </w:r>
    </w:p>
    <w:p w:rsidR="00512422" w:rsidRPr="00824D58" w:rsidRDefault="00512422" w:rsidP="00512422">
      <w:pPr>
        <w:spacing w:after="0" w:line="240" w:lineRule="auto"/>
        <w:jc w:val="center"/>
        <w:rPr>
          <w:b/>
          <w:bCs/>
          <w:sz w:val="28"/>
          <w:szCs w:val="28"/>
        </w:rPr>
      </w:pPr>
    </w:p>
    <w:p w:rsidR="000079AA" w:rsidRPr="00824D58" w:rsidRDefault="00893350" w:rsidP="000079AA">
      <w:pPr>
        <w:tabs>
          <w:tab w:val="left" w:pos="5280"/>
        </w:tabs>
        <w:spacing w:after="0"/>
        <w:jc w:val="center"/>
        <w:rPr>
          <w:rFonts w:eastAsia="Times New Roman" w:cs="Times New Roman"/>
          <w:b/>
          <w:sz w:val="28"/>
          <w:szCs w:val="28"/>
          <w:u w:val="single"/>
          <w:lang w:eastAsia="tr-TR"/>
        </w:rPr>
      </w:pPr>
      <w:r w:rsidRPr="00893350">
        <w:rPr>
          <w:b/>
          <w:bCs/>
          <w:sz w:val="28"/>
          <w:szCs w:val="28"/>
        </w:rPr>
        <w:t>BIOCHEMISTRY /CHEMISTRY DEPARTMENT</w:t>
      </w:r>
      <w:r w:rsidR="000079AA" w:rsidRPr="00824D58">
        <w:rPr>
          <w:rFonts w:eastAsia="Times New Roman" w:cs="Times New Roman"/>
          <w:b/>
          <w:sz w:val="28"/>
          <w:szCs w:val="28"/>
          <w:u w:val="single"/>
          <w:lang w:eastAsia="tr-TR"/>
        </w:rPr>
        <w:t xml:space="preserve">    </w:t>
      </w:r>
    </w:p>
    <w:p w:rsidR="000079AA" w:rsidRPr="00824D58" w:rsidRDefault="000079AA" w:rsidP="000079AA">
      <w:pPr>
        <w:tabs>
          <w:tab w:val="left" w:pos="5280"/>
        </w:tabs>
        <w:spacing w:after="0"/>
        <w:jc w:val="center"/>
        <w:rPr>
          <w:rFonts w:eastAsia="Times New Roman" w:cs="Times New Roman"/>
          <w:b/>
          <w:u w:val="single"/>
          <w:lang w:eastAsia="tr-TR"/>
        </w:rPr>
      </w:pPr>
    </w:p>
    <w:p w:rsidR="000079AA" w:rsidRPr="00824D58" w:rsidRDefault="000079AA" w:rsidP="000079AA">
      <w:pPr>
        <w:tabs>
          <w:tab w:val="left" w:pos="5280"/>
        </w:tabs>
        <w:spacing w:after="0"/>
        <w:jc w:val="center"/>
        <w:rPr>
          <w:rFonts w:eastAsia="Times New Roman" w:cs="Times New Roman"/>
          <w:b/>
          <w:lang w:eastAsia="tr-TR"/>
        </w:rPr>
      </w:pPr>
      <w:r w:rsidRPr="00824D58">
        <w:rPr>
          <w:rFonts w:eastAsia="Times New Roman" w:cs="Times New Roman"/>
          <w:b/>
          <w:u w:val="single"/>
          <w:lang w:eastAsia="tr-TR"/>
        </w:rPr>
        <w:t xml:space="preserve">ÇANKIRI </w:t>
      </w:r>
    </w:p>
    <w:p w:rsidR="000079AA" w:rsidRPr="00824D58" w:rsidRDefault="000079AA" w:rsidP="00025159">
      <w:pPr>
        <w:tabs>
          <w:tab w:val="left" w:pos="5280"/>
        </w:tabs>
        <w:spacing w:after="0"/>
        <w:jc w:val="center"/>
        <w:rPr>
          <w:rFonts w:eastAsia="Times New Roman" w:cs="Times New Roman"/>
          <w:b/>
          <w:bCs/>
          <w:lang w:eastAsia="tr-TR"/>
        </w:rPr>
      </w:pPr>
      <w:r w:rsidRPr="00824D58">
        <w:rPr>
          <w:rFonts w:eastAsia="Times New Roman" w:cs="Times New Roman"/>
          <w:b/>
          <w:lang w:eastAsia="tr-TR"/>
        </w:rPr>
        <w:t>202</w:t>
      </w:r>
      <w:r w:rsidR="00025159">
        <w:rPr>
          <w:rFonts w:eastAsia="Times New Roman" w:cs="Times New Roman" w:hint="cs"/>
          <w:b/>
          <w:rtl/>
          <w:lang w:eastAsia="tr-TR"/>
        </w:rPr>
        <w:t>1</w:t>
      </w:r>
    </w:p>
    <w:p w:rsidR="004D4C64" w:rsidRPr="00824D58" w:rsidRDefault="004D4C64" w:rsidP="000079AA">
      <w:pPr>
        <w:tabs>
          <w:tab w:val="left" w:pos="5280"/>
        </w:tabs>
        <w:spacing w:after="0"/>
        <w:jc w:val="center"/>
        <w:rPr>
          <w:rFonts w:eastAsia="Times New Roman" w:cs="Times New Roman"/>
          <w:b/>
          <w:bCs/>
          <w:lang w:eastAsia="tr-TR"/>
        </w:rPr>
      </w:pPr>
    </w:p>
    <w:p w:rsidR="00722FC5" w:rsidRDefault="00397EC2" w:rsidP="00397EC2">
      <w:pPr>
        <w:tabs>
          <w:tab w:val="left" w:pos="5280"/>
        </w:tabs>
        <w:spacing w:after="0"/>
        <w:jc w:val="center"/>
        <w:rPr>
          <w:rFonts w:eastAsia="Times New Roman" w:cs="Times New Roman"/>
          <w:b/>
          <w:bCs/>
          <w:rtl/>
          <w:lang w:eastAsia="tr-TR"/>
        </w:rPr>
      </w:pPr>
      <w:r w:rsidRPr="00824D58">
        <w:rPr>
          <w:rFonts w:eastAsia="Times New Roman" w:cs="Times New Roman"/>
          <w:b/>
          <w:bCs/>
          <w:lang w:eastAsia="tr-TR"/>
        </w:rPr>
        <w:t>Her hakkı saklıdı</w:t>
      </w:r>
    </w:p>
    <w:p w:rsidR="00282A25" w:rsidRPr="00824D58" w:rsidRDefault="00282A25" w:rsidP="00282A25">
      <w:pPr>
        <w:jc w:val="center"/>
        <w:rPr>
          <w:b/>
          <w:bCs/>
        </w:rPr>
      </w:pPr>
      <w:r w:rsidRPr="00824D58">
        <w:rPr>
          <w:b/>
          <w:bCs/>
        </w:rPr>
        <w:lastRenderedPageBreak/>
        <w:t>TEZ ONAYI</w:t>
      </w:r>
    </w:p>
    <w:p w:rsidR="00282A25" w:rsidRPr="00824D58" w:rsidRDefault="00282A25" w:rsidP="00282A25">
      <w:pPr>
        <w:rPr>
          <w:rFonts w:eastAsia="Calibri" w:cs="Times New Roman"/>
        </w:rPr>
      </w:pPr>
      <w:r w:rsidRPr="00824D58">
        <w:rPr>
          <w:b/>
          <w:bCs/>
        </w:rPr>
        <w:t xml:space="preserve">Omer Zedan Khalaf </w:t>
      </w:r>
      <w:r w:rsidRPr="00824D58">
        <w:rPr>
          <w:rFonts w:eastAsia="Calibri" w:cs="Times New Roman"/>
        </w:rPr>
        <w:t>tarafından hazırlanan “</w:t>
      </w:r>
      <w:r w:rsidRPr="00824D58">
        <w:rPr>
          <w:b/>
          <w:bCs/>
        </w:rPr>
        <w:t>Prostatik Kanseri Olan Hastalar İçin Hepsidin Hormonu İle Gdf15 Düzeyleri Arasındaki İlişki Ve Klinik Önemiçalışması</w:t>
      </w:r>
      <w:r w:rsidRPr="00824D58">
        <w:rPr>
          <w:rFonts w:eastAsia="Calibri" w:cs="Times New Roman"/>
          <w:b/>
        </w:rPr>
        <w:t>”</w:t>
      </w:r>
      <w:r w:rsidRPr="00824D58">
        <w:rPr>
          <w:rFonts w:eastAsia="Calibri" w:cs="Times New Roman"/>
        </w:rPr>
        <w:t xml:space="preserve"> adlı tez çalışması aşağıdaki jüri tarafından oy birliği ile Çankırı Karatekin Üniversitesi Fen Bilimleri Enstitüsü Biyoloji Anabilim Dalı’nda </w:t>
      </w:r>
      <w:r w:rsidRPr="00824D58">
        <w:rPr>
          <w:rFonts w:eastAsia="Calibri" w:cs="Times New Roman"/>
          <w:b/>
          <w:bCs/>
        </w:rPr>
        <w:t>YÜKSEK LİSANS TEZİ</w:t>
      </w:r>
      <w:r w:rsidRPr="00824D58">
        <w:rPr>
          <w:rFonts w:eastAsia="Calibri" w:cs="Times New Roman"/>
        </w:rPr>
        <w:t xml:space="preserve"> olarak kabul edilmiştir. </w:t>
      </w:r>
    </w:p>
    <w:p w:rsidR="00881B7F" w:rsidRDefault="00881B7F" w:rsidP="0000355E">
      <w:pPr>
        <w:rPr>
          <w:rFonts w:eastAsia="Calibri" w:cs="Times New Roman"/>
          <w:b/>
          <w:bCs/>
        </w:rPr>
      </w:pPr>
    </w:p>
    <w:p w:rsidR="00282A25" w:rsidRPr="00824D58" w:rsidRDefault="00282A25" w:rsidP="0000355E">
      <w:pPr>
        <w:rPr>
          <w:rFonts w:eastAsia="Calibri" w:cs="Times New Roman"/>
        </w:rPr>
      </w:pPr>
      <w:r w:rsidRPr="00824D58">
        <w:rPr>
          <w:rFonts w:eastAsia="Calibri" w:cs="Times New Roman"/>
          <w:b/>
          <w:bCs/>
        </w:rPr>
        <w:t>Danışman</w:t>
      </w:r>
      <w:r w:rsidRPr="00824D58">
        <w:rPr>
          <w:rFonts w:eastAsia="Calibri" w:cs="Times New Roman"/>
        </w:rPr>
        <w:t xml:space="preserve"> : </w:t>
      </w:r>
      <w:r w:rsidR="0000355E" w:rsidRPr="00824D58">
        <w:t>Prof</w:t>
      </w:r>
      <w:r w:rsidRPr="00824D58">
        <w:t>. Dr. Ayşe Şahin YSAĞLIOĞLU</w:t>
      </w:r>
    </w:p>
    <w:p w:rsidR="000079AA" w:rsidRPr="00824D58" w:rsidRDefault="0000355E" w:rsidP="000079AA">
      <w:pPr>
        <w:rPr>
          <w:rFonts w:eastAsia="Calibri" w:cs="Times New Roman"/>
        </w:rPr>
      </w:pPr>
      <w:r w:rsidRPr="00824D58">
        <w:rPr>
          <w:rFonts w:eastAsia="Calibri" w:cs="Times New Roman"/>
          <w:b/>
          <w:bCs/>
        </w:rPr>
        <w:t>Eş-danışman</w:t>
      </w:r>
      <w:r w:rsidRPr="00824D58">
        <w:rPr>
          <w:rFonts w:eastAsia="Calibri" w:cs="Times New Roman"/>
        </w:rPr>
        <w:t>:  Prof. Dr. Maysaa Jalal Majeed</w:t>
      </w:r>
    </w:p>
    <w:p w:rsidR="000079AA" w:rsidRDefault="000079AA" w:rsidP="000079AA">
      <w:pPr>
        <w:rPr>
          <w:rFonts w:eastAsia="Calibri" w:cs="Times New Roman"/>
        </w:rPr>
      </w:pPr>
    </w:p>
    <w:p w:rsidR="00881B7F" w:rsidRDefault="00881B7F" w:rsidP="000079AA">
      <w:pPr>
        <w:rPr>
          <w:rFonts w:eastAsia="Calibri" w:cs="Times New Roman"/>
        </w:rPr>
      </w:pPr>
    </w:p>
    <w:p w:rsidR="00881B7F" w:rsidRDefault="00881B7F" w:rsidP="000079AA">
      <w:pPr>
        <w:rPr>
          <w:rFonts w:eastAsia="Calibri" w:cs="Times New Roman"/>
        </w:rPr>
      </w:pPr>
    </w:p>
    <w:p w:rsidR="00881B7F" w:rsidRDefault="00881B7F" w:rsidP="000079AA">
      <w:pPr>
        <w:rPr>
          <w:rFonts w:eastAsia="Calibri" w:cs="Times New Roman"/>
        </w:rPr>
      </w:pPr>
    </w:p>
    <w:p w:rsidR="00881B7F" w:rsidRDefault="00881B7F" w:rsidP="000079AA">
      <w:pPr>
        <w:rPr>
          <w:rFonts w:eastAsia="Calibri" w:cs="Times New Roman"/>
        </w:rPr>
      </w:pPr>
    </w:p>
    <w:p w:rsidR="00881B7F" w:rsidRDefault="00881B7F" w:rsidP="000079AA">
      <w:pPr>
        <w:rPr>
          <w:rFonts w:eastAsia="Calibri" w:cs="Times New Roman"/>
        </w:rPr>
      </w:pPr>
    </w:p>
    <w:p w:rsidR="00881B7F" w:rsidRDefault="00881B7F" w:rsidP="000079AA">
      <w:pPr>
        <w:rPr>
          <w:rFonts w:eastAsia="Calibri" w:cs="Times New Roman"/>
        </w:rPr>
      </w:pPr>
    </w:p>
    <w:p w:rsidR="00881B7F" w:rsidRDefault="00881B7F" w:rsidP="000079AA">
      <w:pPr>
        <w:rPr>
          <w:rFonts w:eastAsia="Calibri" w:cs="Times New Roman"/>
        </w:rPr>
      </w:pPr>
    </w:p>
    <w:p w:rsidR="00881B7F" w:rsidRDefault="00881B7F" w:rsidP="000079AA">
      <w:pPr>
        <w:rPr>
          <w:rFonts w:eastAsia="Calibri" w:cs="Times New Roman"/>
        </w:rPr>
      </w:pPr>
    </w:p>
    <w:p w:rsidR="000079AA" w:rsidRPr="00824D58" w:rsidRDefault="000079AA" w:rsidP="000079AA">
      <w:pPr>
        <w:jc w:val="center"/>
        <w:rPr>
          <w:rFonts w:eastAsia="Calibri" w:cs="Times New Roman"/>
          <w:b/>
          <w:bCs/>
        </w:rPr>
      </w:pPr>
      <w:r w:rsidRPr="00824D58">
        <w:rPr>
          <w:rFonts w:eastAsia="Calibri" w:cs="Times New Roman"/>
          <w:b/>
          <w:bCs/>
        </w:rPr>
        <w:t>Yukarıdaki sonucu onaylarım</w:t>
      </w:r>
    </w:p>
    <w:p w:rsidR="00570670" w:rsidRPr="00824D58" w:rsidRDefault="00570670" w:rsidP="000079AA">
      <w:pPr>
        <w:jc w:val="center"/>
        <w:rPr>
          <w:rFonts w:eastAsia="Calibri" w:cs="Times New Roman"/>
          <w:b/>
          <w:bCs/>
        </w:rPr>
      </w:pPr>
      <w:r w:rsidRPr="00824D58">
        <w:rPr>
          <w:rFonts w:eastAsia="Calibri" w:cs="Times New Roman"/>
          <w:b/>
          <w:bCs/>
        </w:rPr>
        <w:t xml:space="preserve">Pro. Dr. Ibrahim ÇİFTÇİ </w:t>
      </w:r>
    </w:p>
    <w:p w:rsidR="000079AA" w:rsidRPr="00824D58" w:rsidRDefault="000079AA" w:rsidP="000079AA">
      <w:pPr>
        <w:jc w:val="center"/>
        <w:rPr>
          <w:rFonts w:eastAsia="Calibri" w:cs="Arial"/>
          <w:b/>
          <w:bCs/>
        </w:rPr>
      </w:pPr>
      <w:r w:rsidRPr="00824D58">
        <w:rPr>
          <w:rFonts w:eastAsia="Calibri" w:cs="Arial"/>
          <w:b/>
          <w:bCs/>
        </w:rPr>
        <w:t>Enstitü Müdürü</w:t>
      </w:r>
    </w:p>
    <w:p w:rsidR="006510F2" w:rsidRPr="00824D58" w:rsidRDefault="006510F2" w:rsidP="007245C3">
      <w:pPr>
        <w:pStyle w:val="Heading1"/>
        <w:spacing w:before="0" w:beforeAutospacing="0" w:after="0" w:afterAutospacing="0" w:line="240" w:lineRule="auto"/>
        <w:jc w:val="center"/>
        <w:rPr>
          <w:rFonts w:asciiTheme="majorBidi" w:eastAsia="Calibri" w:hAnsiTheme="majorBidi" w:cs="Arial"/>
          <w:kern w:val="0"/>
        </w:rPr>
      </w:pPr>
      <w:r w:rsidRPr="00824D58">
        <w:rPr>
          <w:rFonts w:asciiTheme="majorBidi" w:eastAsia="Calibri" w:hAnsiTheme="majorBidi" w:cs="Arial"/>
          <w:kern w:val="0"/>
        </w:rPr>
        <w:t>Director of the Institute</w:t>
      </w:r>
    </w:p>
    <w:p w:rsidR="007245C3" w:rsidRPr="00824D58" w:rsidRDefault="007245C3" w:rsidP="007245C3">
      <w:pPr>
        <w:pStyle w:val="Heading1"/>
        <w:spacing w:before="0" w:beforeAutospacing="0" w:after="0" w:afterAutospacing="0" w:line="240" w:lineRule="auto"/>
        <w:jc w:val="center"/>
        <w:rPr>
          <w:rFonts w:asciiTheme="majorBidi" w:eastAsia="Calibri" w:hAnsiTheme="majorBidi" w:cs="Arial"/>
          <w:kern w:val="0"/>
        </w:rPr>
      </w:pPr>
    </w:p>
    <w:p w:rsidR="006510F2" w:rsidRDefault="006510F2" w:rsidP="006510F2">
      <w:pPr>
        <w:spacing w:after="0"/>
        <w:jc w:val="center"/>
        <w:rPr>
          <w:rFonts w:ascii="Times New Roman" w:eastAsia="Calibri" w:hAnsi="Times New Roman" w:cs="Times New Roman"/>
          <w:b/>
          <w:bCs/>
          <w:rtl/>
          <w:lang w:val="tr-TR"/>
        </w:rPr>
      </w:pPr>
      <w:r w:rsidRPr="00824D58">
        <w:rPr>
          <w:rFonts w:ascii="Times New Roman" w:eastAsia="Calibri" w:hAnsi="Times New Roman" w:cs="Times New Roman"/>
          <w:b/>
          <w:bCs/>
          <w:lang w:val="tr-TR"/>
        </w:rPr>
        <w:t>Kontrol edilmiştir</w:t>
      </w:r>
    </w:p>
    <w:p w:rsidR="00A33D18" w:rsidRPr="00824D58" w:rsidRDefault="00A33D18" w:rsidP="006510F2">
      <w:pPr>
        <w:spacing w:after="0"/>
        <w:jc w:val="center"/>
        <w:rPr>
          <w:rFonts w:ascii="Times New Roman" w:eastAsia="Calibri" w:hAnsi="Times New Roman" w:cs="Times New Roman"/>
          <w:b/>
          <w:bCs/>
          <w:lang w:val="tr-TR"/>
        </w:rPr>
      </w:pPr>
    </w:p>
    <w:p w:rsidR="00AD0DB5" w:rsidRPr="00AD0DB5" w:rsidRDefault="00AD0DB5" w:rsidP="00AD0DB5">
      <w:pPr>
        <w:spacing w:after="0"/>
        <w:rPr>
          <w:rFonts w:ascii="Times New Roman" w:eastAsia="Times New Roman" w:hAnsi="Times New Roman" w:cs="Times New Roman"/>
          <w:b/>
          <w:lang w:val="tr-TR" w:eastAsia="tr-TR"/>
        </w:rPr>
      </w:pPr>
    </w:p>
    <w:p w:rsidR="00AD0DB5" w:rsidRPr="00AD0DB5" w:rsidRDefault="00AD0DB5" w:rsidP="00AD0DB5">
      <w:pPr>
        <w:spacing w:after="0"/>
        <w:rPr>
          <w:rFonts w:ascii="Times New Roman" w:eastAsia="Times New Roman" w:hAnsi="Times New Roman" w:cs="Times New Roman"/>
          <w:b/>
          <w:lang w:val="tr-TR" w:eastAsia="tr-TR"/>
        </w:rPr>
      </w:pPr>
    </w:p>
    <w:p w:rsidR="00AD0DB5" w:rsidRPr="00AD0DB5" w:rsidRDefault="00AD0DB5" w:rsidP="00AD0DB5">
      <w:pPr>
        <w:spacing w:after="0"/>
        <w:rPr>
          <w:rFonts w:ascii="Times New Roman" w:eastAsia="Times New Roman" w:hAnsi="Times New Roman" w:cs="Times New Roman"/>
          <w:b/>
          <w:lang w:val="tr-TR" w:eastAsia="tr-TR"/>
        </w:rPr>
      </w:pPr>
    </w:p>
    <w:p w:rsidR="00AD0DB5" w:rsidRPr="00AD0DB5" w:rsidRDefault="00AD0DB5" w:rsidP="00AD0DB5">
      <w:pPr>
        <w:spacing w:after="0"/>
        <w:rPr>
          <w:rFonts w:ascii="Times New Roman" w:eastAsia="Times New Roman" w:hAnsi="Times New Roman" w:cs="Times New Roman"/>
          <w:b/>
          <w:lang w:val="tr-TR" w:eastAsia="tr-TR"/>
        </w:rPr>
      </w:pPr>
    </w:p>
    <w:p w:rsidR="00AD0DB5" w:rsidRPr="00AD0DB5" w:rsidRDefault="00AD0DB5" w:rsidP="00AD0DB5">
      <w:pPr>
        <w:spacing w:after="0"/>
        <w:rPr>
          <w:rFonts w:ascii="Times New Roman" w:eastAsia="Times New Roman" w:hAnsi="Times New Roman" w:cs="Times New Roman"/>
          <w:b/>
          <w:lang w:val="tr-TR" w:eastAsia="tr-TR"/>
        </w:rPr>
      </w:pPr>
    </w:p>
    <w:p w:rsidR="00AD0DB5" w:rsidRPr="00AD0DB5" w:rsidRDefault="00AD0DB5" w:rsidP="00AD0DB5">
      <w:pPr>
        <w:spacing w:after="0"/>
        <w:rPr>
          <w:rFonts w:ascii="Times New Roman" w:eastAsia="Times New Roman" w:hAnsi="Times New Roman" w:cs="Times New Roman"/>
          <w:b/>
          <w:lang w:val="tr-TR" w:eastAsia="tr-TR"/>
        </w:rPr>
      </w:pPr>
    </w:p>
    <w:p w:rsidR="00AD0DB5" w:rsidRPr="00AD0DB5" w:rsidRDefault="00AD0DB5" w:rsidP="00AD0DB5">
      <w:pPr>
        <w:spacing w:after="0"/>
        <w:rPr>
          <w:rFonts w:ascii="Times New Roman" w:eastAsia="Times New Roman" w:hAnsi="Times New Roman" w:cs="Times New Roman"/>
          <w:b/>
          <w:lang w:val="tr-TR" w:eastAsia="tr-TR"/>
        </w:rPr>
      </w:pPr>
    </w:p>
    <w:p w:rsidR="00AD0DB5" w:rsidRPr="00AD0DB5" w:rsidRDefault="00AD0DB5" w:rsidP="00AD0DB5">
      <w:pPr>
        <w:spacing w:after="0"/>
        <w:rPr>
          <w:rFonts w:ascii="Times New Roman" w:eastAsia="Times New Roman" w:hAnsi="Times New Roman" w:cs="Times New Roman"/>
          <w:b/>
          <w:lang w:val="tr-TR" w:eastAsia="tr-TR"/>
        </w:rPr>
      </w:pPr>
    </w:p>
    <w:p w:rsidR="00AD0DB5" w:rsidRPr="00AD0DB5" w:rsidRDefault="00AD0DB5" w:rsidP="00AD0DB5">
      <w:pPr>
        <w:spacing w:after="0"/>
        <w:rPr>
          <w:rFonts w:ascii="Times New Roman" w:eastAsia="Times New Roman" w:hAnsi="Times New Roman" w:cs="Times New Roman"/>
          <w:b/>
          <w:lang w:val="tr-TR" w:eastAsia="tr-TR"/>
        </w:rPr>
      </w:pPr>
    </w:p>
    <w:p w:rsidR="00AD0DB5" w:rsidRPr="00AD0DB5" w:rsidRDefault="00AD0DB5" w:rsidP="00AD0DB5">
      <w:pPr>
        <w:spacing w:after="0"/>
        <w:rPr>
          <w:rFonts w:ascii="Times New Roman" w:eastAsia="Times New Roman" w:hAnsi="Times New Roman" w:cs="Times New Roman"/>
          <w:b/>
          <w:lang w:val="tr-TR" w:eastAsia="tr-TR"/>
        </w:rPr>
      </w:pPr>
    </w:p>
    <w:p w:rsidR="00AD0DB5" w:rsidRPr="00AD0DB5" w:rsidRDefault="00AD0DB5" w:rsidP="00AD0DB5">
      <w:pPr>
        <w:spacing w:after="0"/>
        <w:rPr>
          <w:rFonts w:ascii="Times New Roman" w:eastAsia="Times New Roman" w:hAnsi="Times New Roman" w:cs="Times New Roman"/>
          <w:b/>
          <w:lang w:val="tr-TR" w:eastAsia="tr-TR"/>
        </w:rPr>
      </w:pPr>
      <w:r w:rsidRPr="00AD0DB5">
        <w:rPr>
          <w:rFonts w:ascii="Times New Roman" w:eastAsia="Times New Roman" w:hAnsi="Times New Roman" w:cs="Times New Roman"/>
          <w:b/>
          <w:lang w:val="tr-TR" w:eastAsia="tr-TR"/>
        </w:rPr>
        <w:t>I hereby declare that all information in this document has been obtained and presented in accordance with academic rules and ethical conduct. I also declare that, as required by these rules and conduct, I have fully cited and referenced all material and results that are not original to this work.</w:t>
      </w:r>
    </w:p>
    <w:p w:rsidR="00AD0DB5" w:rsidRPr="00AD0DB5" w:rsidRDefault="00AD0DB5" w:rsidP="00AD0DB5">
      <w:pPr>
        <w:spacing w:after="0"/>
        <w:rPr>
          <w:rFonts w:ascii="Times New Roman" w:eastAsia="Times New Roman" w:hAnsi="Times New Roman" w:cs="Times New Roman"/>
          <w:b/>
          <w:lang w:val="tr-TR" w:eastAsia="tr-TR"/>
        </w:rPr>
      </w:pPr>
    </w:p>
    <w:p w:rsidR="006510F2" w:rsidRPr="00824D58" w:rsidRDefault="00AD0DB5" w:rsidP="00AD0DB5">
      <w:pPr>
        <w:spacing w:after="0"/>
        <w:jc w:val="right"/>
        <w:rPr>
          <w:rFonts w:ascii="Times New Roman" w:eastAsia="Calibri" w:hAnsi="Times New Roman" w:cs="Times New Roman"/>
          <w:b/>
          <w:bCs/>
          <w:lang w:val="tr-TR"/>
        </w:rPr>
      </w:pPr>
      <w:r w:rsidRPr="00AD0DB5">
        <w:rPr>
          <w:rFonts w:ascii="Times New Roman" w:eastAsia="Times New Roman" w:hAnsi="Times New Roman" w:cs="Times New Roman"/>
          <w:b/>
          <w:lang w:val="tr-TR" w:eastAsia="tr-TR"/>
        </w:rPr>
        <w:t>Omer Zedan KHALAF</w:t>
      </w:r>
    </w:p>
    <w:p w:rsidR="00881B7F" w:rsidRDefault="00881B7F" w:rsidP="007245C3">
      <w:pPr>
        <w:pStyle w:val="Heading1"/>
        <w:spacing w:before="0" w:beforeAutospacing="0" w:after="0" w:afterAutospacing="0" w:line="240" w:lineRule="auto"/>
        <w:jc w:val="center"/>
        <w:rPr>
          <w:lang w:val="tr-TR"/>
        </w:rPr>
        <w:sectPr w:rsidR="00881B7F" w:rsidSect="00397EC2">
          <w:footerReference w:type="default" r:id="rId11"/>
          <w:pgSz w:w="11906" w:h="16838"/>
          <w:pgMar w:top="1701" w:right="1134" w:bottom="1134" w:left="2268" w:header="709" w:footer="709" w:gutter="0"/>
          <w:pgNumType w:fmt="lowerRoman"/>
          <w:cols w:space="708"/>
          <w:bidi/>
          <w:rtlGutter/>
          <w:docGrid w:linePitch="360"/>
        </w:sectPr>
      </w:pPr>
      <w:bookmarkStart w:id="8" w:name="_Toc59130662"/>
      <w:bookmarkStart w:id="9" w:name="_Toc60183425"/>
    </w:p>
    <w:p w:rsidR="00282A25" w:rsidRPr="00824D58" w:rsidRDefault="00282A25" w:rsidP="007245C3">
      <w:pPr>
        <w:pStyle w:val="Heading1"/>
        <w:spacing w:before="0" w:beforeAutospacing="0" w:after="0" w:afterAutospacing="0" w:line="240" w:lineRule="auto"/>
        <w:jc w:val="center"/>
        <w:rPr>
          <w:lang w:val="tr-TR"/>
        </w:rPr>
      </w:pPr>
      <w:r w:rsidRPr="00824D58">
        <w:rPr>
          <w:lang w:val="tr-TR"/>
        </w:rPr>
        <w:t>ÖZET</w:t>
      </w:r>
      <w:bookmarkEnd w:id="8"/>
      <w:bookmarkEnd w:id="9"/>
    </w:p>
    <w:p w:rsidR="007245C3" w:rsidRPr="00824D58" w:rsidRDefault="007245C3" w:rsidP="007245C3">
      <w:pPr>
        <w:pStyle w:val="Heading1"/>
        <w:spacing w:before="0" w:beforeAutospacing="0" w:after="0" w:afterAutospacing="0" w:line="240" w:lineRule="auto"/>
        <w:jc w:val="center"/>
        <w:rPr>
          <w:lang w:val="tr-TR"/>
        </w:rPr>
      </w:pPr>
    </w:p>
    <w:p w:rsidR="00282A25" w:rsidRPr="00824D58" w:rsidRDefault="00282A25" w:rsidP="007245C3">
      <w:pPr>
        <w:spacing w:after="0" w:line="240" w:lineRule="auto"/>
        <w:jc w:val="center"/>
        <w:rPr>
          <w:b/>
          <w:bCs/>
          <w:lang w:val="tr-TR"/>
        </w:rPr>
      </w:pPr>
      <w:bookmarkStart w:id="10" w:name="_Toc41407871"/>
      <w:bookmarkStart w:id="11" w:name="_Toc48488249"/>
      <w:bookmarkStart w:id="12" w:name="_Toc48488834"/>
      <w:bookmarkStart w:id="13" w:name="_Toc48496631"/>
      <w:bookmarkStart w:id="14" w:name="_Toc49067551"/>
      <w:bookmarkStart w:id="15" w:name="_Toc49067817"/>
      <w:bookmarkStart w:id="16" w:name="_Toc49068722"/>
      <w:bookmarkStart w:id="17" w:name="_Toc49068960"/>
      <w:r w:rsidRPr="00824D58">
        <w:rPr>
          <w:b/>
          <w:bCs/>
          <w:lang w:val="tr-TR"/>
        </w:rPr>
        <w:t>Yüksek Lisans Tezi</w:t>
      </w:r>
      <w:bookmarkEnd w:id="10"/>
      <w:bookmarkEnd w:id="11"/>
      <w:bookmarkEnd w:id="12"/>
      <w:bookmarkEnd w:id="13"/>
      <w:bookmarkEnd w:id="14"/>
      <w:bookmarkEnd w:id="15"/>
      <w:bookmarkEnd w:id="16"/>
      <w:bookmarkEnd w:id="17"/>
    </w:p>
    <w:p w:rsidR="007245C3" w:rsidRPr="00824D58" w:rsidRDefault="007245C3" w:rsidP="007245C3">
      <w:pPr>
        <w:spacing w:after="0" w:line="240" w:lineRule="auto"/>
        <w:jc w:val="center"/>
        <w:rPr>
          <w:b/>
          <w:bCs/>
          <w:lang w:val="tr-TR"/>
        </w:rPr>
      </w:pPr>
    </w:p>
    <w:p w:rsidR="00282A25" w:rsidRPr="00824D58" w:rsidRDefault="00282A25" w:rsidP="00282A25">
      <w:pPr>
        <w:spacing w:after="0" w:line="240" w:lineRule="auto"/>
        <w:jc w:val="center"/>
        <w:rPr>
          <w:b/>
          <w:bCs/>
          <w:lang w:val="tr-TR"/>
        </w:rPr>
      </w:pPr>
      <w:r w:rsidRPr="00824D58">
        <w:rPr>
          <w:b/>
          <w:bCs/>
          <w:lang w:val="tr-TR"/>
        </w:rPr>
        <w:t>Prostatik Kanseri Olan Hastalar İçin Hepsidin Hormonu İle Gdf15 Düzeyleri Arasındaki İlişki Ve Klinik Önemiçalışması</w:t>
      </w:r>
    </w:p>
    <w:p w:rsidR="00282A25" w:rsidRPr="00824D58" w:rsidRDefault="00282A25" w:rsidP="00282A25">
      <w:pPr>
        <w:spacing w:after="0" w:line="240" w:lineRule="auto"/>
        <w:jc w:val="center"/>
        <w:rPr>
          <w:b/>
          <w:bCs/>
          <w:lang w:val="tr-TR"/>
        </w:rPr>
      </w:pPr>
    </w:p>
    <w:p w:rsidR="00282A25" w:rsidRPr="00824D58" w:rsidRDefault="002B4968" w:rsidP="00282A25">
      <w:pPr>
        <w:spacing w:after="0" w:line="240" w:lineRule="auto"/>
        <w:jc w:val="center"/>
        <w:rPr>
          <w:b/>
          <w:bCs/>
        </w:rPr>
      </w:pPr>
      <w:bookmarkStart w:id="18" w:name="_Toc41407874"/>
      <w:bookmarkStart w:id="19" w:name="_Toc48488252"/>
      <w:bookmarkStart w:id="20" w:name="_Toc48488837"/>
      <w:bookmarkStart w:id="21" w:name="_Toc48496634"/>
      <w:bookmarkStart w:id="22" w:name="_Toc49067554"/>
      <w:bookmarkStart w:id="23" w:name="_Toc49067820"/>
      <w:bookmarkStart w:id="24" w:name="_Toc49068725"/>
      <w:bookmarkStart w:id="25" w:name="_Toc49068963"/>
      <w:r w:rsidRPr="002B4968">
        <w:rPr>
          <w:b/>
          <w:bCs/>
        </w:rPr>
        <w:t>Omer Zedan Khalaf  KHALAF</w:t>
      </w:r>
    </w:p>
    <w:p w:rsidR="00282A25" w:rsidRPr="00824D58" w:rsidRDefault="00282A25" w:rsidP="00282A25">
      <w:pPr>
        <w:spacing w:after="0" w:line="240" w:lineRule="auto"/>
        <w:jc w:val="center"/>
        <w:rPr>
          <w:b/>
          <w:bCs/>
        </w:rPr>
      </w:pPr>
    </w:p>
    <w:p w:rsidR="00282A25" w:rsidRPr="00824D58" w:rsidRDefault="00282A25" w:rsidP="00282A25">
      <w:pPr>
        <w:spacing w:after="0" w:line="240" w:lineRule="auto"/>
        <w:jc w:val="center"/>
        <w:rPr>
          <w:b/>
          <w:bCs/>
        </w:rPr>
      </w:pPr>
      <w:r w:rsidRPr="00824D58">
        <w:rPr>
          <w:b/>
          <w:bCs/>
        </w:rPr>
        <w:t>Çankırı Karatekin Üniversitesi</w:t>
      </w:r>
      <w:bookmarkStart w:id="26" w:name="_Toc41407875"/>
      <w:bookmarkStart w:id="27" w:name="_Toc48488253"/>
      <w:bookmarkStart w:id="28" w:name="_Toc48488838"/>
      <w:bookmarkStart w:id="29" w:name="_Toc48496635"/>
      <w:bookmarkStart w:id="30" w:name="_Toc49067555"/>
      <w:bookmarkStart w:id="31" w:name="_Toc49067821"/>
      <w:bookmarkStart w:id="32" w:name="_Toc49068726"/>
      <w:bookmarkStart w:id="33" w:name="_Toc49068964"/>
      <w:bookmarkEnd w:id="18"/>
      <w:bookmarkEnd w:id="19"/>
      <w:bookmarkEnd w:id="20"/>
      <w:bookmarkEnd w:id="21"/>
      <w:bookmarkEnd w:id="22"/>
      <w:bookmarkEnd w:id="23"/>
      <w:bookmarkEnd w:id="24"/>
      <w:bookmarkEnd w:id="25"/>
    </w:p>
    <w:p w:rsidR="00282A25" w:rsidRPr="00824D58" w:rsidRDefault="00282A25" w:rsidP="00282A25">
      <w:pPr>
        <w:spacing w:after="0" w:line="240" w:lineRule="auto"/>
        <w:jc w:val="center"/>
        <w:rPr>
          <w:b/>
          <w:bCs/>
        </w:rPr>
      </w:pPr>
      <w:r w:rsidRPr="00824D58">
        <w:rPr>
          <w:b/>
          <w:bCs/>
        </w:rPr>
        <w:t>Fen Bilimleri Enstitüsü</w:t>
      </w:r>
      <w:bookmarkStart w:id="34" w:name="_Toc41407876"/>
      <w:bookmarkStart w:id="35" w:name="_Toc48488254"/>
      <w:bookmarkStart w:id="36" w:name="_Toc48488839"/>
      <w:bookmarkStart w:id="37" w:name="_Toc48496636"/>
      <w:bookmarkStart w:id="38" w:name="_Toc49067556"/>
      <w:bookmarkStart w:id="39" w:name="_Toc49067822"/>
      <w:bookmarkStart w:id="40" w:name="_Toc49068727"/>
      <w:bookmarkStart w:id="41" w:name="_Toc49068965"/>
      <w:bookmarkEnd w:id="26"/>
      <w:bookmarkEnd w:id="27"/>
      <w:bookmarkEnd w:id="28"/>
      <w:bookmarkEnd w:id="29"/>
      <w:bookmarkEnd w:id="30"/>
      <w:bookmarkEnd w:id="31"/>
      <w:bookmarkEnd w:id="32"/>
      <w:bookmarkEnd w:id="33"/>
    </w:p>
    <w:p w:rsidR="00282A25" w:rsidRPr="00824D58" w:rsidRDefault="00BE18CF" w:rsidP="00282A25">
      <w:pPr>
        <w:spacing w:after="0" w:line="240" w:lineRule="auto"/>
        <w:jc w:val="center"/>
        <w:rPr>
          <w:b/>
          <w:bCs/>
        </w:rPr>
      </w:pPr>
      <w:bookmarkStart w:id="42" w:name="_Toc41407877"/>
      <w:bookmarkStart w:id="43" w:name="_Toc48488255"/>
      <w:bookmarkStart w:id="44" w:name="_Toc48488840"/>
      <w:bookmarkStart w:id="45" w:name="_Toc48496637"/>
      <w:bookmarkStart w:id="46" w:name="_Toc49067557"/>
      <w:bookmarkStart w:id="47" w:name="_Toc49067823"/>
      <w:bookmarkStart w:id="48" w:name="_Toc49068728"/>
      <w:bookmarkStart w:id="49" w:name="_Toc49068966"/>
      <w:bookmarkEnd w:id="34"/>
      <w:bookmarkEnd w:id="35"/>
      <w:bookmarkEnd w:id="36"/>
      <w:bookmarkEnd w:id="37"/>
      <w:bookmarkEnd w:id="38"/>
      <w:bookmarkEnd w:id="39"/>
      <w:bookmarkEnd w:id="40"/>
      <w:bookmarkEnd w:id="41"/>
      <w:r w:rsidRPr="00BE18CF">
        <w:rPr>
          <w:b/>
          <w:bCs/>
        </w:rPr>
        <w:t>Biyokimya /Kimya Anabilim Dali</w:t>
      </w:r>
    </w:p>
    <w:p w:rsidR="00282A25" w:rsidRPr="00824D58" w:rsidRDefault="00282A25" w:rsidP="00282A25">
      <w:pPr>
        <w:spacing w:after="0" w:line="240" w:lineRule="auto"/>
        <w:jc w:val="center"/>
        <w:rPr>
          <w:b/>
          <w:bCs/>
        </w:rPr>
      </w:pPr>
    </w:p>
    <w:p w:rsidR="00282A25" w:rsidRPr="00824D58" w:rsidRDefault="00282A25" w:rsidP="00282A25">
      <w:pPr>
        <w:spacing w:after="0" w:line="240" w:lineRule="auto"/>
        <w:jc w:val="center"/>
        <w:rPr>
          <w:b/>
          <w:bCs/>
        </w:rPr>
      </w:pPr>
      <w:r w:rsidRPr="00824D58">
        <w:rPr>
          <w:b/>
          <w:bCs/>
        </w:rPr>
        <w:t xml:space="preserve">Danışman: </w:t>
      </w:r>
      <w:bookmarkEnd w:id="42"/>
      <w:r w:rsidRPr="00824D58">
        <w:rPr>
          <w:b/>
          <w:bCs/>
        </w:rPr>
        <w:t>Yrd. Doç. Dr. Ayşe Şahin YSAĞLIOĞLU</w:t>
      </w:r>
      <w:bookmarkStart w:id="50" w:name="_Toc49067559"/>
      <w:bookmarkStart w:id="51" w:name="_Toc49067825"/>
      <w:bookmarkStart w:id="52" w:name="_Toc49068730"/>
      <w:bookmarkStart w:id="53" w:name="_Toc49068968"/>
      <w:bookmarkEnd w:id="43"/>
      <w:bookmarkEnd w:id="44"/>
      <w:bookmarkEnd w:id="45"/>
      <w:bookmarkEnd w:id="46"/>
      <w:bookmarkEnd w:id="47"/>
      <w:bookmarkEnd w:id="48"/>
      <w:bookmarkEnd w:id="49"/>
    </w:p>
    <w:p w:rsidR="00282A25" w:rsidRPr="00824D58" w:rsidRDefault="00512422" w:rsidP="00282A25">
      <w:pPr>
        <w:spacing w:after="0"/>
        <w:jc w:val="center"/>
        <w:rPr>
          <w:b/>
          <w:bCs/>
        </w:rPr>
      </w:pPr>
      <w:r w:rsidRPr="00824D58">
        <w:rPr>
          <w:b/>
          <w:bCs/>
        </w:rPr>
        <w:t>Eş-danışman:  Prof. Dr. Maysaa Jalal Majeed</w:t>
      </w:r>
    </w:p>
    <w:p w:rsidR="00282A25" w:rsidRPr="00824D58" w:rsidRDefault="00282A25" w:rsidP="00282A25">
      <w:pPr>
        <w:spacing w:after="0" w:line="276" w:lineRule="auto"/>
        <w:jc w:val="center"/>
        <w:rPr>
          <w:rFonts w:eastAsia="Times New Roman" w:cs="Times New Roman"/>
          <w:b/>
        </w:rPr>
      </w:pPr>
    </w:p>
    <w:p w:rsidR="00282A25" w:rsidRDefault="002154F4" w:rsidP="007F4E02">
      <w:pPr>
        <w:spacing w:after="120" w:line="276" w:lineRule="auto"/>
        <w:rPr>
          <w:rFonts w:eastAsia="Times New Roman" w:cs="Times New Roman"/>
          <w:bCs/>
        </w:rPr>
      </w:pPr>
      <w:r w:rsidRPr="002154F4">
        <w:rPr>
          <w:rFonts w:eastAsia="Times New Roman" w:cs="Times New Roman"/>
          <w:bCs/>
        </w:rPr>
        <w:t>Prostat Kanseri (PCa), özellikle yaşlanan popülasyonlarda dünya çapında önde gelen bir malignitedir. Avrupa'da, 2012'de yaklaşık 417.000 erkeğe PCa tanısı konmuştur. PCa'nın çeşitliliği nedeniyle, prognozu, kanserin ciddiyetini, tedavinin etkililiğini ve hastaların sonuçlarını gösteren yeni biyobelirteçlere önemli ve artan bir ihtiyaç vardır. Ayrıca, potansiyel olarak yaşamı uzatan çeşitli tedavilerle ilgili olarak tümör ilerlemesini ve saldırganlığı tahmin etmek için birincil tedaviyi takiben CRPC'ye ilerleyen gelişmiş PCa'da biyobelirteçlere ihtiyaç vardır. Hepsidin ve Büyüme Farklılaşma Faktörü 15'in (GDF-15) çeşitli kanserlerde yüksek oranda eksprese edildiği bildirilmiştir. Serum hepsidin ve GDF-15 düzeylerinin kanserlerde potansiyel prognostik belirteçler olduğu gösterilmiştir.</w:t>
      </w:r>
      <w:r w:rsidR="006B5509">
        <w:rPr>
          <w:rFonts w:eastAsia="Times New Roman" w:cs="Times New Roman"/>
          <w:bCs/>
        </w:rPr>
        <w:t xml:space="preserve"> </w:t>
      </w:r>
      <w:r w:rsidRPr="002154F4">
        <w:rPr>
          <w:rFonts w:eastAsia="Times New Roman" w:cs="Times New Roman"/>
          <w:bCs/>
        </w:rPr>
        <w:t>Bu çalışma, prostat kanseri hastalarının yeni bir prognostiği için hepsidin, GDF15, PSA ve diğer bazı ilgili hormonlar arasındaki ilişki hakkında yeni veriler sağlamayı amaçlamaktadır. Dolayısıyla, bu çalışma Iraklı hastalar için önem arz etmektedir. Çalışmamızda Hepsidin Hormonu (H.H.), C-Reaktif Proteini (C-RP), Büyüme Farklılaşma Faktörü 15 (Gdf15) ve Folikül Uyarıcı Hormonu (FSH) ile anlamlı farklılıklar (P ≤ 0.05) tespit edildi. Bu yüksek korelasyon nedeniyle hasta grubu ve kontrol grubu arasında, prostat hastalıklarının kesin tahmininde bu değişkenlerin (H.H, C-RP, GDF15 ve PSA) kullanılabilineceği görüldü. Ayrıca, Hepsidin Hormonu  ile Yaş, C -Reaktif Protein (C-RP), Prostata Özgü Antijen (PSA) ve Büyüme Farklılaşma Faktörü 15 (Gdf15) gibi bazı biyokimyasal değişkenler arasında kuvvet ilişki olduğu belirlendi.</w:t>
      </w:r>
    </w:p>
    <w:p w:rsidR="007F4E02" w:rsidRDefault="007F4E02" w:rsidP="007F4E02">
      <w:pPr>
        <w:spacing w:after="120" w:line="276" w:lineRule="auto"/>
        <w:rPr>
          <w:rFonts w:eastAsia="Times New Roman" w:cs="Times New Roman"/>
          <w:bCs/>
        </w:rPr>
      </w:pPr>
    </w:p>
    <w:p w:rsidR="007F4E02" w:rsidRDefault="007F4E02" w:rsidP="007F4E02">
      <w:pPr>
        <w:spacing w:after="120" w:line="276" w:lineRule="auto"/>
        <w:rPr>
          <w:rFonts w:eastAsia="Times New Roman" w:cs="Times New Roman"/>
          <w:bCs/>
        </w:rPr>
      </w:pPr>
    </w:p>
    <w:p w:rsidR="007F4E02" w:rsidRPr="00824D58" w:rsidRDefault="007F4E02" w:rsidP="007F4E02">
      <w:pPr>
        <w:spacing w:after="120" w:line="276" w:lineRule="auto"/>
        <w:rPr>
          <w:rFonts w:eastAsia="Times New Roman" w:cs="Times New Roman"/>
          <w:b/>
        </w:rPr>
      </w:pPr>
    </w:p>
    <w:p w:rsidR="00282A25" w:rsidRDefault="00FB7A96" w:rsidP="00FA1A76">
      <w:pPr>
        <w:spacing w:after="120" w:line="276" w:lineRule="auto"/>
        <w:rPr>
          <w:rFonts w:eastAsia="Times New Roman" w:cs="Times New Roman"/>
          <w:b/>
        </w:rPr>
      </w:pPr>
      <w:r w:rsidRPr="00824D58">
        <w:rPr>
          <w:rFonts w:eastAsia="Times New Roman" w:cs="Times New Roman"/>
          <w:b/>
        </w:rPr>
        <w:t xml:space="preserve">2021, </w:t>
      </w:r>
      <w:r w:rsidR="00FA1A76">
        <w:rPr>
          <w:rFonts w:eastAsia="Times New Roman" w:cs="Times New Roman"/>
          <w:b/>
        </w:rPr>
        <w:t>74</w:t>
      </w:r>
      <w:r w:rsidR="00282A25" w:rsidRPr="00824D58">
        <w:rPr>
          <w:rFonts w:eastAsia="Times New Roman" w:cs="Times New Roman"/>
          <w:b/>
        </w:rPr>
        <w:t xml:space="preserve"> sayfa</w:t>
      </w:r>
      <w:bookmarkStart w:id="54" w:name="_Toc49067560"/>
      <w:bookmarkStart w:id="55" w:name="_Toc49067826"/>
      <w:bookmarkStart w:id="56" w:name="_Toc49068731"/>
      <w:bookmarkStart w:id="57" w:name="_Toc49068969"/>
      <w:bookmarkEnd w:id="50"/>
      <w:bookmarkEnd w:id="51"/>
      <w:bookmarkEnd w:id="52"/>
      <w:bookmarkEnd w:id="53"/>
    </w:p>
    <w:p w:rsidR="007F4E02" w:rsidRPr="00824D58" w:rsidRDefault="007F4E02" w:rsidP="007F4E02">
      <w:pPr>
        <w:spacing w:after="120" w:line="276" w:lineRule="auto"/>
        <w:rPr>
          <w:rFonts w:eastAsia="Times New Roman" w:cs="Times New Roman"/>
          <w:b/>
        </w:rPr>
      </w:pPr>
    </w:p>
    <w:p w:rsidR="007F4E02" w:rsidRDefault="00282A25" w:rsidP="00B07648">
      <w:pPr>
        <w:spacing w:after="0" w:line="276" w:lineRule="auto"/>
        <w:rPr>
          <w:rFonts w:eastAsia="Times New Roman" w:cs="Times New Roman"/>
          <w:bCs/>
        </w:rPr>
      </w:pPr>
      <w:r w:rsidRPr="00824D58">
        <w:rPr>
          <w:rFonts w:eastAsia="Times New Roman" w:cs="Times New Roman"/>
          <w:b/>
        </w:rPr>
        <w:t>ANAHTAR KELİMELER</w:t>
      </w:r>
      <w:r w:rsidRPr="00824D58">
        <w:rPr>
          <w:rFonts w:eastAsia="Times New Roman" w:cs="Times New Roman"/>
          <w:bCs/>
        </w:rPr>
        <w:t>:</w:t>
      </w:r>
      <w:r w:rsidRPr="00824D58">
        <w:rPr>
          <w:bCs/>
        </w:rPr>
        <w:t xml:space="preserve"> Prostate Cancer, Hepcidine , GDF15</w:t>
      </w:r>
      <w:r w:rsidR="00B07648">
        <w:rPr>
          <w:bCs/>
        </w:rPr>
        <w:t>,</w:t>
      </w:r>
      <w:r w:rsidRPr="00824D58">
        <w:rPr>
          <w:bCs/>
        </w:rPr>
        <w:t xml:space="preserve"> PSA</w:t>
      </w:r>
    </w:p>
    <w:p w:rsidR="007F4E02" w:rsidRDefault="007F4E02">
      <w:pPr>
        <w:spacing w:line="276" w:lineRule="auto"/>
        <w:jc w:val="left"/>
        <w:rPr>
          <w:rFonts w:eastAsia="Times New Roman" w:cs="Times New Roman"/>
          <w:bCs/>
        </w:rPr>
      </w:pPr>
      <w:r>
        <w:rPr>
          <w:rFonts w:eastAsia="Times New Roman" w:cs="Times New Roman"/>
          <w:bCs/>
        </w:rPr>
        <w:br w:type="page"/>
      </w:r>
    </w:p>
    <w:p w:rsidR="00282A25" w:rsidRPr="00824D58" w:rsidRDefault="00282A25" w:rsidP="007245C3">
      <w:pPr>
        <w:pStyle w:val="Heading1"/>
        <w:spacing w:before="0" w:beforeAutospacing="0" w:after="0" w:afterAutospacing="0" w:line="240" w:lineRule="auto"/>
        <w:jc w:val="center"/>
      </w:pPr>
      <w:bookmarkStart w:id="58" w:name="_Toc41407878"/>
      <w:bookmarkStart w:id="59" w:name="_Toc59130663"/>
      <w:bookmarkStart w:id="60" w:name="_Toc60183426"/>
      <w:bookmarkEnd w:id="54"/>
      <w:bookmarkEnd w:id="55"/>
      <w:bookmarkEnd w:id="56"/>
      <w:bookmarkEnd w:id="57"/>
      <w:r w:rsidRPr="00824D58">
        <w:t>ABSTRACT</w:t>
      </w:r>
      <w:bookmarkEnd w:id="58"/>
      <w:bookmarkEnd w:id="59"/>
      <w:bookmarkEnd w:id="60"/>
    </w:p>
    <w:p w:rsidR="007245C3" w:rsidRPr="00824D58" w:rsidRDefault="007245C3" w:rsidP="007245C3">
      <w:pPr>
        <w:pStyle w:val="Heading1"/>
        <w:spacing w:before="0" w:beforeAutospacing="0" w:after="0" w:afterAutospacing="0" w:line="240" w:lineRule="auto"/>
        <w:jc w:val="center"/>
      </w:pPr>
    </w:p>
    <w:p w:rsidR="00282A25" w:rsidRPr="00824D58" w:rsidRDefault="00282A25" w:rsidP="007245C3">
      <w:pPr>
        <w:spacing w:after="0" w:line="240" w:lineRule="auto"/>
        <w:jc w:val="center"/>
        <w:rPr>
          <w:b/>
          <w:bCs/>
        </w:rPr>
      </w:pPr>
      <w:bookmarkStart w:id="61" w:name="_Toc41407879"/>
      <w:bookmarkStart w:id="62" w:name="_Toc48488257"/>
      <w:bookmarkStart w:id="63" w:name="_Toc48488842"/>
      <w:bookmarkStart w:id="64" w:name="_Toc48496639"/>
      <w:bookmarkStart w:id="65" w:name="_Toc49067562"/>
      <w:bookmarkStart w:id="66" w:name="_Toc49067828"/>
      <w:bookmarkStart w:id="67" w:name="_Toc49068733"/>
      <w:bookmarkStart w:id="68" w:name="_Toc49068971"/>
      <w:r w:rsidRPr="00824D58">
        <w:rPr>
          <w:b/>
          <w:bCs/>
        </w:rPr>
        <w:t>Master Thesis</w:t>
      </w:r>
      <w:bookmarkEnd w:id="61"/>
      <w:bookmarkEnd w:id="62"/>
      <w:bookmarkEnd w:id="63"/>
      <w:bookmarkEnd w:id="64"/>
      <w:bookmarkEnd w:id="65"/>
      <w:bookmarkEnd w:id="66"/>
      <w:bookmarkEnd w:id="67"/>
      <w:bookmarkEnd w:id="68"/>
    </w:p>
    <w:p w:rsidR="007245C3" w:rsidRPr="00824D58" w:rsidRDefault="007245C3" w:rsidP="007245C3">
      <w:pPr>
        <w:spacing w:after="0" w:line="240" w:lineRule="auto"/>
        <w:jc w:val="center"/>
        <w:rPr>
          <w:b/>
          <w:bCs/>
        </w:rPr>
      </w:pPr>
    </w:p>
    <w:p w:rsidR="00282A25" w:rsidRPr="00824D58" w:rsidRDefault="00282A25" w:rsidP="007245C3">
      <w:pPr>
        <w:spacing w:after="0" w:line="240" w:lineRule="auto"/>
        <w:jc w:val="center"/>
        <w:rPr>
          <w:b/>
          <w:bCs/>
        </w:rPr>
      </w:pPr>
      <w:bookmarkStart w:id="69" w:name="_Toc41407882"/>
      <w:r w:rsidRPr="00824D58">
        <w:rPr>
          <w:b/>
          <w:bCs/>
        </w:rPr>
        <w:t>Study of relationship between levels of hepcidine hormone and GDF15 for patients with prostatic cancer and their clinical importance</w:t>
      </w:r>
    </w:p>
    <w:p w:rsidR="007245C3" w:rsidRPr="00824D58" w:rsidRDefault="007245C3" w:rsidP="007245C3">
      <w:pPr>
        <w:spacing w:after="0" w:line="240" w:lineRule="auto"/>
        <w:jc w:val="center"/>
        <w:rPr>
          <w:b/>
          <w:bCs/>
        </w:rPr>
      </w:pPr>
    </w:p>
    <w:p w:rsidR="00282A25" w:rsidRPr="00824D58" w:rsidRDefault="002B4968" w:rsidP="007245C3">
      <w:pPr>
        <w:spacing w:after="0" w:line="240" w:lineRule="auto"/>
        <w:jc w:val="center"/>
        <w:rPr>
          <w:b/>
          <w:bCs/>
        </w:rPr>
      </w:pPr>
      <w:r w:rsidRPr="002B4968">
        <w:rPr>
          <w:b/>
          <w:bCs/>
        </w:rPr>
        <w:t>Omer Zedan Khalaf  KHALAF</w:t>
      </w:r>
    </w:p>
    <w:p w:rsidR="007245C3" w:rsidRPr="00824D58" w:rsidRDefault="007245C3" w:rsidP="007245C3">
      <w:pPr>
        <w:spacing w:after="0" w:line="240" w:lineRule="auto"/>
        <w:jc w:val="center"/>
        <w:rPr>
          <w:b/>
          <w:bCs/>
        </w:rPr>
      </w:pPr>
    </w:p>
    <w:p w:rsidR="00282A25" w:rsidRPr="00824D58" w:rsidRDefault="00282A25" w:rsidP="00282A25">
      <w:pPr>
        <w:spacing w:after="0" w:line="240" w:lineRule="auto"/>
        <w:jc w:val="center"/>
        <w:rPr>
          <w:b/>
          <w:bCs/>
        </w:rPr>
      </w:pPr>
      <w:bookmarkStart w:id="70" w:name="_Toc48488260"/>
      <w:bookmarkStart w:id="71" w:name="_Toc48488845"/>
      <w:bookmarkStart w:id="72" w:name="_Toc48496642"/>
      <w:bookmarkStart w:id="73" w:name="_Toc49067565"/>
      <w:bookmarkStart w:id="74" w:name="_Toc49067831"/>
      <w:bookmarkStart w:id="75" w:name="_Toc49068736"/>
      <w:bookmarkStart w:id="76" w:name="_Toc49068974"/>
      <w:r w:rsidRPr="00824D58">
        <w:rPr>
          <w:b/>
          <w:bCs/>
        </w:rPr>
        <w:t>Çankırı Karatekin University</w:t>
      </w:r>
      <w:bookmarkEnd w:id="69"/>
      <w:bookmarkEnd w:id="70"/>
      <w:bookmarkEnd w:id="71"/>
      <w:bookmarkEnd w:id="72"/>
      <w:bookmarkEnd w:id="73"/>
      <w:bookmarkEnd w:id="74"/>
      <w:bookmarkEnd w:id="75"/>
      <w:bookmarkEnd w:id="76"/>
    </w:p>
    <w:p w:rsidR="00282A25" w:rsidRPr="00824D58" w:rsidRDefault="00282A25" w:rsidP="00282A25">
      <w:pPr>
        <w:spacing w:after="0" w:line="240" w:lineRule="auto"/>
        <w:jc w:val="center"/>
        <w:rPr>
          <w:b/>
          <w:bCs/>
        </w:rPr>
      </w:pPr>
      <w:bookmarkStart w:id="77" w:name="_Toc41407883"/>
      <w:bookmarkStart w:id="78" w:name="_Toc48488261"/>
      <w:bookmarkStart w:id="79" w:name="_Toc48488846"/>
      <w:bookmarkStart w:id="80" w:name="_Toc48496643"/>
      <w:bookmarkStart w:id="81" w:name="_Toc49067566"/>
      <w:bookmarkStart w:id="82" w:name="_Toc49067832"/>
      <w:bookmarkStart w:id="83" w:name="_Toc49068737"/>
      <w:bookmarkStart w:id="84" w:name="_Toc49068975"/>
      <w:r w:rsidRPr="00824D58">
        <w:rPr>
          <w:b/>
          <w:bCs/>
        </w:rPr>
        <w:t>Graduate School of Natural andAppliedSciences</w:t>
      </w:r>
      <w:bookmarkEnd w:id="77"/>
      <w:bookmarkEnd w:id="78"/>
      <w:bookmarkEnd w:id="79"/>
      <w:bookmarkEnd w:id="80"/>
      <w:bookmarkEnd w:id="81"/>
      <w:bookmarkEnd w:id="82"/>
      <w:bookmarkEnd w:id="83"/>
      <w:bookmarkEnd w:id="84"/>
    </w:p>
    <w:p w:rsidR="007245C3" w:rsidRDefault="00BE18CF" w:rsidP="007245C3">
      <w:pPr>
        <w:spacing w:after="0" w:line="240" w:lineRule="auto"/>
        <w:jc w:val="center"/>
        <w:rPr>
          <w:b/>
          <w:bCs/>
        </w:rPr>
      </w:pPr>
      <w:r w:rsidRPr="00BE18CF">
        <w:rPr>
          <w:b/>
          <w:bCs/>
        </w:rPr>
        <w:t>Biochemistry  /Chemistry department</w:t>
      </w:r>
    </w:p>
    <w:p w:rsidR="00BE18CF" w:rsidRPr="00824D58" w:rsidRDefault="00BE18CF" w:rsidP="007245C3">
      <w:pPr>
        <w:spacing w:after="0" w:line="240" w:lineRule="auto"/>
        <w:jc w:val="center"/>
        <w:rPr>
          <w:b/>
          <w:bCs/>
        </w:rPr>
      </w:pPr>
    </w:p>
    <w:p w:rsidR="00282A25" w:rsidRDefault="00282A25" w:rsidP="002154F4">
      <w:pPr>
        <w:spacing w:after="0"/>
        <w:jc w:val="center"/>
        <w:rPr>
          <w:b/>
          <w:bCs/>
          <w:rtl/>
        </w:rPr>
      </w:pPr>
      <w:r w:rsidRPr="00824D58">
        <w:rPr>
          <w:b/>
          <w:bCs/>
        </w:rPr>
        <w:t xml:space="preserve">Supervisors: </w:t>
      </w:r>
      <w:r w:rsidR="00512422" w:rsidRPr="00824D58">
        <w:rPr>
          <w:b/>
          <w:bCs/>
        </w:rPr>
        <w:t>Prof.</w:t>
      </w:r>
      <w:r w:rsidRPr="00824D58">
        <w:rPr>
          <w:b/>
          <w:bCs/>
        </w:rPr>
        <w:t xml:space="preserve"> Dr. Ayşe Şahin YAĞLIOĞLU</w:t>
      </w:r>
    </w:p>
    <w:p w:rsidR="00512422" w:rsidRPr="00824D58" w:rsidRDefault="00512422" w:rsidP="002154F4">
      <w:pPr>
        <w:spacing w:after="0"/>
        <w:jc w:val="center"/>
        <w:rPr>
          <w:b/>
          <w:bCs/>
        </w:rPr>
      </w:pPr>
      <w:r w:rsidRPr="00824D58">
        <w:rPr>
          <w:b/>
          <w:bCs/>
        </w:rPr>
        <w:t>Co-Supervisor: Prof. Dr. Maysaa Jalal Majeed</w:t>
      </w:r>
    </w:p>
    <w:p w:rsidR="00282A25" w:rsidRPr="00824D58" w:rsidRDefault="00282A25" w:rsidP="00512422">
      <w:pPr>
        <w:spacing w:after="0" w:line="240" w:lineRule="auto"/>
        <w:jc w:val="center"/>
        <w:rPr>
          <w:b/>
          <w:bCs/>
        </w:rPr>
      </w:pPr>
    </w:p>
    <w:p w:rsidR="00282A25" w:rsidRPr="00824D58" w:rsidRDefault="00402DAE" w:rsidP="00B07648">
      <w:pPr>
        <w:spacing w:after="0" w:line="276" w:lineRule="auto"/>
        <w:rPr>
          <w:rFonts w:eastAsia="Times New Roman" w:cs="Times New Roman"/>
          <w:b/>
        </w:rPr>
      </w:pPr>
      <w:bookmarkStart w:id="85" w:name="_Toc49067570"/>
      <w:bookmarkStart w:id="86" w:name="_Toc49067836"/>
      <w:bookmarkStart w:id="87" w:name="_Toc49068740"/>
      <w:bookmarkStart w:id="88" w:name="_Toc49068978"/>
      <w:r w:rsidRPr="00824D58">
        <w:t xml:space="preserve">Prostate cancer (PCa) is a considered of malignancy worldwide, particularly among the elderly. In Europe, about 417.000 men were diagnosed with PCa for the first time in 2012. Since PCa is so diverse, there is a growing </w:t>
      </w:r>
      <w:r w:rsidR="00037B25" w:rsidRPr="00037B25">
        <w:t>The development of novel biomarkers capable of predicting prognosis, cancer incidence, therapy effectiveness</w:t>
      </w:r>
      <w:r w:rsidR="00FC5CC1">
        <w:t>,&amp;</w:t>
      </w:r>
      <w:r w:rsidR="00037B25" w:rsidRPr="00037B25">
        <w:t xml:space="preserve"> patient outcomes is critical. Additionally, biomarkers are required in advanced PCa that has progressed to CRPC </w:t>
      </w:r>
      <w:r w:rsidR="00FC5CC1">
        <w:t>following first therapy, it is possible to anticipate tumor growth and aggressiveness in connection to a range of potentially life-extending drugs. Hepcidin and Growth Differentiation Factor 15 have been shown to be present in significant concentrations in a variety of cancers (GDF-15). The levels of serum hepcidin and GDF-15 have been proven to be prognostic markers in cancer patients in the past.</w:t>
      </w:r>
      <w:r w:rsidR="006B5509">
        <w:t xml:space="preserve"> </w:t>
      </w:r>
      <w:r w:rsidR="00FC5CC1">
        <w:t>To determine the significance of hepcidin, Growth Differentiation Factor 15, Prostate-Specific Antigen,&amp; several other associated Harmons in the prediction or early detection of prostate cancer, the investigators conducted a research. As a result, this research will be regarded as significant in the area of Iraqi patients.</w:t>
      </w:r>
      <w:r w:rsidR="00A13788" w:rsidRPr="00824D58">
        <w:t xml:space="preserve"> </w:t>
      </w:r>
      <w:r w:rsidR="00037B25" w:rsidRPr="00037B25">
        <w:t xml:space="preserve">There were substantial disparities in our research. </w:t>
      </w:r>
      <w:r w:rsidR="00A13788" w:rsidRPr="00824D58">
        <w:t xml:space="preserve">(P ≤ 0.05) </w:t>
      </w:r>
      <w:r w:rsidR="00282A25" w:rsidRPr="00824D58">
        <w:t xml:space="preserve">with </w:t>
      </w:r>
      <w:r w:rsidR="00D56277" w:rsidRPr="00824D58">
        <w:t>Hepcidin Hormone (</w:t>
      </w:r>
      <w:r w:rsidR="00282A25" w:rsidRPr="00824D58">
        <w:t>H.</w:t>
      </w:r>
      <w:r w:rsidR="00D56277" w:rsidRPr="00824D58">
        <w:t xml:space="preserve"> </w:t>
      </w:r>
      <w:r w:rsidR="00282A25" w:rsidRPr="00824D58">
        <w:t>H</w:t>
      </w:r>
      <w:r w:rsidR="00D56277" w:rsidRPr="00824D58">
        <w:t>.)</w:t>
      </w:r>
      <w:r w:rsidR="00282A25" w:rsidRPr="00824D58">
        <w:t>,</w:t>
      </w:r>
      <w:r w:rsidR="007618EB" w:rsidRPr="00824D58">
        <w:t xml:space="preserve"> </w:t>
      </w:r>
      <w:r w:rsidR="007618EB" w:rsidRPr="00824D58">
        <w:rPr>
          <w:rFonts w:eastAsia="Calibri" w:cs="Times New Roman"/>
          <w:lang w:bidi="ar-IQ"/>
        </w:rPr>
        <w:t>C-Reactive Protein</w:t>
      </w:r>
      <w:r w:rsidR="00282A25" w:rsidRPr="00824D58">
        <w:t xml:space="preserve"> </w:t>
      </w:r>
      <w:r w:rsidR="007618EB" w:rsidRPr="00824D58">
        <w:t>(</w:t>
      </w:r>
      <w:r w:rsidR="00282A25" w:rsidRPr="00824D58">
        <w:t>C-RP</w:t>
      </w:r>
      <w:r w:rsidR="007618EB" w:rsidRPr="00824D58">
        <w:t>)</w:t>
      </w:r>
      <w:r w:rsidR="00282A25" w:rsidRPr="00824D58">
        <w:t xml:space="preserve">, </w:t>
      </w:r>
      <w:r w:rsidR="007618EB" w:rsidRPr="00824D58">
        <w:t>Growth Differentiation Factor</w:t>
      </w:r>
      <w:r w:rsidR="00D56277" w:rsidRPr="00824D58">
        <w:t xml:space="preserve"> 15 (</w:t>
      </w:r>
      <w:r w:rsidR="00282A25" w:rsidRPr="00824D58">
        <w:t>G</w:t>
      </w:r>
      <w:r w:rsidR="00F75BFB">
        <w:t>DF-</w:t>
      </w:r>
      <w:r w:rsidR="00282A25" w:rsidRPr="00824D58">
        <w:t>15</w:t>
      </w:r>
      <w:r w:rsidR="00D56277" w:rsidRPr="00824D58">
        <w:t>)</w:t>
      </w:r>
      <w:r w:rsidR="00FC5CC1">
        <w:t>,&amp;</w:t>
      </w:r>
      <w:r w:rsidR="00282A25" w:rsidRPr="00824D58">
        <w:t xml:space="preserve"> </w:t>
      </w:r>
      <w:r w:rsidR="007618EB" w:rsidRPr="00824D58">
        <w:rPr>
          <w:rFonts w:eastAsia="Calibri" w:cs="Times New Roman"/>
          <w:lang w:val="en-GB" w:bidi="ar-IQ"/>
        </w:rPr>
        <w:t>Follicle</w:t>
      </w:r>
      <w:r w:rsidR="00413779" w:rsidRPr="00824D58">
        <w:rPr>
          <w:rFonts w:eastAsia="Calibri" w:cs="Times New Roman"/>
          <w:lang w:val="en-GB" w:bidi="ar-IQ"/>
        </w:rPr>
        <w:t>-Stimulating Hormone</w:t>
      </w:r>
      <w:r w:rsidR="007618EB" w:rsidRPr="00824D58">
        <w:t xml:space="preserve"> (</w:t>
      </w:r>
      <w:r w:rsidR="00282A25" w:rsidRPr="00824D58">
        <w:t>FSH</w:t>
      </w:r>
      <w:r w:rsidR="007618EB" w:rsidRPr="00824D58">
        <w:t>)</w:t>
      </w:r>
      <w:r w:rsidR="00282A25" w:rsidRPr="00824D58">
        <w:t>, B</w:t>
      </w:r>
      <w:r w:rsidR="00A13788" w:rsidRPr="00824D58">
        <w:t>ecause of the high importance (</w:t>
      </w:r>
      <w:r w:rsidR="00282A25" w:rsidRPr="00824D58">
        <w:t>correlat</w:t>
      </w:r>
      <w:r w:rsidR="00241584" w:rsidRPr="00824D58">
        <w:t>ion) shown by our study (H.H, C-</w:t>
      </w:r>
      <w:r w:rsidR="00282A25" w:rsidRPr="00824D58">
        <w:t>RP, GDF15</w:t>
      </w:r>
      <w:r w:rsidR="00FC5CC1">
        <w:t>,&amp;</w:t>
      </w:r>
      <w:r w:rsidR="00282A25" w:rsidRPr="00824D58">
        <w:t xml:space="preserve"> PSA) between the </w:t>
      </w:r>
      <w:r w:rsidR="00E00022" w:rsidRPr="00824D58">
        <w:t>Patient Group</w:t>
      </w:r>
      <w:r w:rsidR="00282A25" w:rsidRPr="00824D58">
        <w:t xml:space="preserve"> and </w:t>
      </w:r>
      <w:r w:rsidR="00E00022" w:rsidRPr="00824D58">
        <w:t>Control Group</w:t>
      </w:r>
      <w:r w:rsidR="00282A25" w:rsidRPr="00824D58">
        <w:t xml:space="preserve">, </w:t>
      </w:r>
      <w:r w:rsidR="006A2DD9" w:rsidRPr="00824D58">
        <w:t xml:space="preserve">it can be used these variables to precise prediction of prostate diseases. </w:t>
      </w:r>
      <w:r w:rsidR="00B07648" w:rsidRPr="00B07648">
        <w:t>Several biochemical factors, including age, C-reactive protein, prostate-specific antigen, and growth differentiation factor 15, have been found to have significant correlations with Hepcidin Hormone variables (GDF-15)</w:t>
      </w:r>
      <w:r w:rsidR="006A2DD9" w:rsidRPr="00824D58">
        <w:t>.</w:t>
      </w:r>
    </w:p>
    <w:p w:rsidR="00282A25" w:rsidRPr="00824D58" w:rsidRDefault="00282A25" w:rsidP="00282A25">
      <w:pPr>
        <w:keepNext/>
        <w:keepLines/>
        <w:spacing w:after="240" w:line="240" w:lineRule="auto"/>
        <w:outlineLvl w:val="0"/>
        <w:rPr>
          <w:rFonts w:eastAsia="Times New Roman" w:cs="Times New Roman"/>
          <w:b/>
        </w:rPr>
      </w:pPr>
    </w:p>
    <w:p w:rsidR="00282A25" w:rsidRPr="00824D58" w:rsidRDefault="00FB7A96" w:rsidP="00FA1A76">
      <w:pPr>
        <w:spacing w:after="240"/>
        <w:rPr>
          <w:b/>
          <w:bCs/>
        </w:rPr>
      </w:pPr>
      <w:r w:rsidRPr="00824D58">
        <w:rPr>
          <w:b/>
          <w:bCs/>
        </w:rPr>
        <w:t>202</w:t>
      </w:r>
      <w:r w:rsidR="00FF45FF">
        <w:rPr>
          <w:rFonts w:hint="cs"/>
          <w:b/>
          <w:bCs/>
          <w:rtl/>
        </w:rPr>
        <w:t>1</w:t>
      </w:r>
      <w:r w:rsidRPr="00824D58">
        <w:rPr>
          <w:b/>
          <w:bCs/>
        </w:rPr>
        <w:t xml:space="preserve">, </w:t>
      </w:r>
      <w:r w:rsidR="00FA1A76">
        <w:rPr>
          <w:b/>
          <w:bCs/>
        </w:rPr>
        <w:t>74</w:t>
      </w:r>
      <w:r w:rsidR="00282A25" w:rsidRPr="00824D58">
        <w:rPr>
          <w:b/>
          <w:bCs/>
        </w:rPr>
        <w:t xml:space="preserve"> </w:t>
      </w:r>
      <w:bookmarkEnd w:id="85"/>
      <w:bookmarkEnd w:id="86"/>
      <w:bookmarkEnd w:id="87"/>
      <w:bookmarkEnd w:id="88"/>
      <w:r w:rsidR="000D7236">
        <w:rPr>
          <w:b/>
          <w:bCs/>
        </w:rPr>
        <w:t>Pages</w:t>
      </w:r>
    </w:p>
    <w:p w:rsidR="00282A25" w:rsidRDefault="00282A25" w:rsidP="00B07648">
      <w:r w:rsidRPr="00824D58">
        <w:rPr>
          <w:b/>
          <w:bCs/>
        </w:rPr>
        <w:t>KEY WORD:</w:t>
      </w:r>
      <w:r w:rsidRPr="00824D58">
        <w:t xml:space="preserve"> Prostate Cancer, Hepcidine, GDF15</w:t>
      </w:r>
      <w:r w:rsidR="00B07648">
        <w:t>,</w:t>
      </w:r>
      <w:r w:rsidRPr="00824D58">
        <w:t xml:space="preserve"> PSA</w:t>
      </w:r>
    </w:p>
    <w:p w:rsidR="007F4E02" w:rsidRDefault="007F4E02">
      <w:pPr>
        <w:spacing w:line="276" w:lineRule="auto"/>
        <w:jc w:val="left"/>
        <w:rPr>
          <w:rFonts w:eastAsia="Calibri"/>
        </w:rPr>
      </w:pPr>
      <w:r>
        <w:rPr>
          <w:rFonts w:eastAsia="Calibri"/>
        </w:rPr>
        <w:br w:type="page"/>
      </w:r>
    </w:p>
    <w:p w:rsidR="0023139D" w:rsidRPr="0023139D" w:rsidRDefault="0023139D" w:rsidP="0023139D">
      <w:pPr>
        <w:spacing w:after="0" w:line="240" w:lineRule="auto"/>
        <w:jc w:val="center"/>
        <w:outlineLvl w:val="0"/>
        <w:rPr>
          <w:rFonts w:ascii="Times New Roman" w:eastAsia="Times New Roman" w:hAnsi="Times New Roman" w:cs="Times New Roman"/>
          <w:b/>
          <w:bCs/>
          <w:kern w:val="36"/>
          <w:szCs w:val="48"/>
          <w:lang w:val="tr-TR" w:eastAsia="tr-TR"/>
        </w:rPr>
      </w:pPr>
      <w:bookmarkStart w:id="89" w:name="_Toc86200120"/>
      <w:bookmarkStart w:id="90" w:name="_Toc59130664"/>
      <w:bookmarkStart w:id="91" w:name="_Toc60183427"/>
      <w:r w:rsidRPr="0023139D">
        <w:rPr>
          <w:rFonts w:ascii="Times New Roman" w:eastAsia="Times New Roman" w:hAnsi="Times New Roman" w:cs="Times New Roman"/>
          <w:b/>
          <w:bCs/>
          <w:kern w:val="36"/>
          <w:szCs w:val="48"/>
          <w:lang w:val="tr-TR" w:eastAsia="tr-TR"/>
        </w:rPr>
        <w:t>PREFACE AND ACKNOWLEDGEMENTS</w:t>
      </w:r>
      <w:bookmarkEnd w:id="89"/>
    </w:p>
    <w:p w:rsidR="0023139D" w:rsidRPr="0023139D" w:rsidRDefault="0023139D" w:rsidP="0023139D">
      <w:pPr>
        <w:autoSpaceDE w:val="0"/>
        <w:autoSpaceDN w:val="0"/>
        <w:adjustRightInd w:val="0"/>
        <w:spacing w:after="0"/>
        <w:rPr>
          <w:rFonts w:ascii="Times New Roman" w:eastAsia="Times New Roman" w:hAnsi="Times New Roman" w:cs="Times New Roman"/>
          <w:shd w:val="clear" w:color="auto" w:fill="FFFFFF"/>
          <w:lang w:val="tr-TR" w:eastAsia="tr-TR"/>
        </w:rPr>
      </w:pPr>
    </w:p>
    <w:p w:rsidR="0023139D" w:rsidRPr="0023139D" w:rsidRDefault="0023139D" w:rsidP="0023139D">
      <w:pPr>
        <w:autoSpaceDE w:val="0"/>
        <w:autoSpaceDN w:val="0"/>
        <w:adjustRightInd w:val="0"/>
        <w:spacing w:after="0"/>
        <w:rPr>
          <w:rFonts w:ascii="Times New Roman" w:eastAsia="Times New Roman" w:hAnsi="Times New Roman" w:cs="Times New Roman"/>
          <w:b/>
          <w:lang w:val="tr-TR" w:eastAsia="tr-TR"/>
        </w:rPr>
      </w:pPr>
      <w:r w:rsidRPr="0023139D">
        <w:rPr>
          <w:rFonts w:ascii="Times New Roman" w:eastAsia="Times New Roman" w:hAnsi="Times New Roman" w:cs="Times New Roman"/>
          <w:shd w:val="clear" w:color="auto" w:fill="FFFFFF"/>
          <w:lang w:val="tr-TR" w:eastAsia="tr-TR"/>
        </w:rPr>
        <w:t>I would like to thank my thesis advisor, Prof. Dr. Ayşe Şahin YAĞLIOĞLU, for his patience, guidance and understanding.</w:t>
      </w:r>
    </w:p>
    <w:p w:rsidR="0023139D" w:rsidRPr="0023139D" w:rsidRDefault="0023139D" w:rsidP="0023139D">
      <w:pPr>
        <w:autoSpaceDE w:val="0"/>
        <w:autoSpaceDN w:val="0"/>
        <w:adjustRightInd w:val="0"/>
        <w:spacing w:after="0"/>
        <w:rPr>
          <w:rFonts w:ascii="Times New Roman" w:eastAsia="Times New Roman" w:hAnsi="Times New Roman" w:cs="Times New Roman"/>
          <w:b/>
          <w:lang w:val="tr-TR" w:eastAsia="tr-TR"/>
        </w:rPr>
      </w:pPr>
    </w:p>
    <w:p w:rsidR="0023139D" w:rsidRPr="0023139D" w:rsidRDefault="0023139D" w:rsidP="0023139D">
      <w:pPr>
        <w:autoSpaceDE w:val="0"/>
        <w:autoSpaceDN w:val="0"/>
        <w:adjustRightInd w:val="0"/>
        <w:spacing w:after="0"/>
        <w:rPr>
          <w:rFonts w:ascii="Times New Roman" w:eastAsia="Times New Roman" w:hAnsi="Times New Roman" w:cs="Times New Roman"/>
          <w:b/>
          <w:lang w:val="tr-TR" w:eastAsia="tr-TR"/>
        </w:rPr>
      </w:pPr>
      <w:r w:rsidRPr="0023139D">
        <w:rPr>
          <w:rFonts w:ascii="Times New Roman" w:eastAsia="Times New Roman" w:hAnsi="Times New Roman" w:cs="Times New Roman"/>
          <w:b/>
          <w:lang w:val="tr-TR" w:eastAsia="tr-TR"/>
        </w:rPr>
        <w:t xml:space="preserve">Omer Zedan Khalaf  KHALAF </w:t>
      </w:r>
    </w:p>
    <w:p w:rsidR="0023139D" w:rsidRDefault="0023139D" w:rsidP="0023139D">
      <w:pPr>
        <w:pStyle w:val="Heading1"/>
        <w:spacing w:before="0" w:beforeAutospacing="0" w:after="0" w:afterAutospacing="0"/>
        <w:rPr>
          <w:bCs w:val="0"/>
          <w:kern w:val="0"/>
          <w:sz w:val="22"/>
          <w:szCs w:val="22"/>
          <w:rtl/>
          <w:lang w:val="tr-TR" w:eastAsia="tr-TR"/>
        </w:rPr>
      </w:pPr>
      <w:r w:rsidRPr="0023139D">
        <w:rPr>
          <w:bCs w:val="0"/>
          <w:kern w:val="0"/>
          <w:sz w:val="22"/>
          <w:szCs w:val="22"/>
          <w:lang w:val="tr-TR" w:eastAsia="tr-TR"/>
        </w:rPr>
        <w:t>Çankırı-202</w:t>
      </w:r>
      <w:r>
        <w:rPr>
          <w:rFonts w:hint="cs"/>
          <w:bCs w:val="0"/>
          <w:kern w:val="0"/>
          <w:sz w:val="22"/>
          <w:szCs w:val="22"/>
          <w:rtl/>
          <w:lang w:val="tr-TR" w:eastAsia="tr-TR"/>
        </w:rPr>
        <w:t>1</w:t>
      </w:r>
    </w:p>
    <w:p w:rsidR="0023139D" w:rsidRDefault="0023139D" w:rsidP="0023139D">
      <w:pPr>
        <w:pStyle w:val="Heading1"/>
        <w:spacing w:before="0" w:beforeAutospacing="0" w:after="0" w:afterAutospacing="0"/>
        <w:rPr>
          <w:rFonts w:eastAsia="Calibri"/>
          <w:rtl/>
        </w:rPr>
      </w:pPr>
    </w:p>
    <w:bookmarkEnd w:id="90"/>
    <w:bookmarkEnd w:id="91"/>
    <w:p w:rsidR="00282A25" w:rsidRPr="00824D58" w:rsidRDefault="00282A25" w:rsidP="00282A25">
      <w:pPr>
        <w:rPr>
          <w:rFonts w:eastAsia="Calibri" w:cs="Times New Roman"/>
          <w:bCs/>
        </w:rPr>
      </w:pPr>
    </w:p>
    <w:p w:rsidR="007F4E02" w:rsidRDefault="007F4E02" w:rsidP="000079AA">
      <w:pPr>
        <w:jc w:val="center"/>
        <w:rPr>
          <w:rFonts w:cs="Times New Roman"/>
          <w:b/>
          <w:bCs/>
        </w:rPr>
      </w:pPr>
    </w:p>
    <w:p w:rsidR="007F4E02" w:rsidRDefault="007F4E02">
      <w:pPr>
        <w:spacing w:line="276" w:lineRule="auto"/>
        <w:jc w:val="left"/>
        <w:rPr>
          <w:rFonts w:cs="Times New Roman"/>
          <w:b/>
          <w:bCs/>
        </w:rPr>
      </w:pPr>
      <w:r>
        <w:rPr>
          <w:rFonts w:cs="Times New Roman"/>
          <w:b/>
          <w:bCs/>
        </w:rPr>
        <w:br w:type="page"/>
      </w:r>
    </w:p>
    <w:p w:rsidR="000079AA" w:rsidRPr="00824D58" w:rsidRDefault="000079AA" w:rsidP="00397EC2">
      <w:pPr>
        <w:pStyle w:val="Heading1"/>
        <w:spacing w:before="0" w:beforeAutospacing="0" w:after="0" w:afterAutospacing="0"/>
      </w:pPr>
      <w:bookmarkStart w:id="92" w:name="_Toc49068982"/>
      <w:bookmarkStart w:id="93" w:name="_Toc60183428"/>
      <w:r w:rsidRPr="00824D58">
        <w:t>SIMGELER DIZINI</w:t>
      </w:r>
      <w:bookmarkEnd w:id="92"/>
      <w:bookmarkEnd w:id="93"/>
    </w:p>
    <w:p w:rsidR="00397EC2" w:rsidRPr="00824D58" w:rsidRDefault="00397EC2" w:rsidP="00397EC2">
      <w:pPr>
        <w:pStyle w:val="Heading1"/>
        <w:spacing w:before="0" w:beforeAutospacing="0" w:after="0" w:afterAutospacing="0"/>
      </w:pPr>
    </w:p>
    <w:p w:rsidR="003B75F5" w:rsidRPr="00824D58" w:rsidRDefault="003B75F5" w:rsidP="003B75F5">
      <w:pPr>
        <w:spacing w:after="0"/>
      </w:pPr>
      <w:r w:rsidRPr="00824D58">
        <w:t xml:space="preserve">-                          Eksi  </w:t>
      </w:r>
    </w:p>
    <w:p w:rsidR="003B75F5" w:rsidRPr="00824D58" w:rsidRDefault="003B75F5" w:rsidP="003B75F5">
      <w:pPr>
        <w:spacing w:after="0"/>
      </w:pPr>
      <w:r w:rsidRPr="00824D58">
        <w:t>%                        Percent</w:t>
      </w:r>
    </w:p>
    <w:p w:rsidR="003B75F5" w:rsidRPr="00824D58" w:rsidRDefault="003B75F5" w:rsidP="003B75F5">
      <w:pPr>
        <w:spacing w:after="0"/>
      </w:pPr>
      <w:r w:rsidRPr="00824D58">
        <w:t>%                        Yüzde</w:t>
      </w:r>
    </w:p>
    <w:p w:rsidR="003B75F5" w:rsidRPr="00824D58" w:rsidRDefault="003B75F5" w:rsidP="003B75F5">
      <w:pPr>
        <w:spacing w:after="0"/>
      </w:pPr>
      <w:r w:rsidRPr="00824D58">
        <w:t xml:space="preserve">/                          Taksim </w:t>
      </w:r>
    </w:p>
    <w:p w:rsidR="003B75F5" w:rsidRPr="00824D58" w:rsidRDefault="003B75F5" w:rsidP="003B75F5">
      <w:pPr>
        <w:spacing w:after="0"/>
      </w:pPr>
      <w:r w:rsidRPr="00824D58">
        <w:t xml:space="preserve">+                         Artı </w:t>
      </w:r>
    </w:p>
    <w:p w:rsidR="003B75F5" w:rsidRPr="00824D58" w:rsidRDefault="003B75F5" w:rsidP="000079AA">
      <w:pPr>
        <w:spacing w:after="0"/>
      </w:pPr>
      <w:r w:rsidRPr="00824D58">
        <w:t xml:space="preserve">°                          Derece </w:t>
      </w:r>
    </w:p>
    <w:p w:rsidR="003B75F5" w:rsidRPr="00824D58" w:rsidRDefault="003B75F5" w:rsidP="000079AA">
      <w:pPr>
        <w:spacing w:after="0"/>
      </w:pPr>
      <w:r w:rsidRPr="00824D58">
        <w:t>µg                        mili gram</w:t>
      </w:r>
    </w:p>
    <w:p w:rsidR="003B75F5" w:rsidRPr="00824D58" w:rsidRDefault="003B75F5" w:rsidP="000079AA">
      <w:pPr>
        <w:spacing w:after="0"/>
      </w:pPr>
      <w:r w:rsidRPr="00824D58">
        <w:t>I</w:t>
      </w:r>
      <w:r w:rsidRPr="00824D58">
        <w:rPr>
          <w:vertAlign w:val="superscript"/>
        </w:rPr>
        <w:t>-</w:t>
      </w:r>
      <w:r w:rsidRPr="00824D58">
        <w:t xml:space="preserve">                          Iodide</w:t>
      </w:r>
    </w:p>
    <w:p w:rsidR="003B75F5" w:rsidRPr="00824D58" w:rsidRDefault="003B75F5" w:rsidP="000079AA">
      <w:pPr>
        <w:spacing w:after="0"/>
      </w:pPr>
      <w:r w:rsidRPr="00824D58">
        <w:t>Kg                       Kilo Gram</w:t>
      </w:r>
    </w:p>
    <w:p w:rsidR="003B75F5" w:rsidRPr="00824D58" w:rsidRDefault="003B75F5" w:rsidP="003B75F5">
      <w:pPr>
        <w:spacing w:after="0"/>
      </w:pPr>
      <w:r w:rsidRPr="00824D58">
        <w:t xml:space="preserve">m²                        Metrekare </w:t>
      </w:r>
    </w:p>
    <w:p w:rsidR="003B75F5" w:rsidRPr="00824D58" w:rsidRDefault="003B75F5" w:rsidP="000079AA">
      <w:pPr>
        <w:spacing w:after="0"/>
      </w:pPr>
      <w:r w:rsidRPr="00824D58">
        <w:rPr>
          <w:rFonts w:eastAsia="Calibri"/>
          <w:lang w:bidi="ar-IQ"/>
        </w:rPr>
        <w:t xml:space="preserve">ml                        milli litter </w:t>
      </w:r>
    </w:p>
    <w:p w:rsidR="003B75F5" w:rsidRPr="00824D58" w:rsidRDefault="003B75F5" w:rsidP="003B75F5">
      <w:pPr>
        <w:spacing w:after="0"/>
      </w:pPr>
      <w:r w:rsidRPr="00824D58">
        <w:t>mm                      milimetre</w:t>
      </w:r>
    </w:p>
    <w:p w:rsidR="003B75F5" w:rsidRPr="00824D58" w:rsidRDefault="003B75F5" w:rsidP="000079AA">
      <w:pPr>
        <w:spacing w:after="0"/>
      </w:pPr>
      <w:r w:rsidRPr="00824D58">
        <w:t>ng                        Nano gram</w:t>
      </w:r>
    </w:p>
    <w:p w:rsidR="003B75F5" w:rsidRPr="00824D58" w:rsidRDefault="003B75F5" w:rsidP="000079AA">
      <w:pPr>
        <w:spacing w:after="0"/>
      </w:pPr>
      <w:r w:rsidRPr="00824D58">
        <w:t xml:space="preserve">ºC                        Santigrat Derece </w:t>
      </w:r>
    </w:p>
    <w:p w:rsidR="003B75F5" w:rsidRPr="00824D58" w:rsidRDefault="003B75F5" w:rsidP="000079AA">
      <w:pPr>
        <w:spacing w:after="0"/>
      </w:pPr>
      <w:r w:rsidRPr="00824D58">
        <w:t>OH                      Fenolik Hidroksil</w:t>
      </w:r>
    </w:p>
    <w:p w:rsidR="003B75F5" w:rsidRPr="00824D58" w:rsidRDefault="003B75F5" w:rsidP="003B75F5">
      <w:pPr>
        <w:spacing w:after="0"/>
      </w:pPr>
      <w:r w:rsidRPr="00824D58">
        <w:t>WHO                  World Health Organization</w:t>
      </w:r>
    </w:p>
    <w:p w:rsidR="007F4E02" w:rsidRDefault="007F4E02" w:rsidP="000079AA">
      <w:pPr>
        <w:spacing w:after="0"/>
      </w:pPr>
    </w:p>
    <w:p w:rsidR="007F4E02" w:rsidRDefault="007F4E02">
      <w:pPr>
        <w:spacing w:line="276" w:lineRule="auto"/>
        <w:jc w:val="left"/>
      </w:pPr>
      <w:r>
        <w:br w:type="page"/>
      </w:r>
    </w:p>
    <w:p w:rsidR="00793212" w:rsidRPr="00824D58" w:rsidRDefault="00793212" w:rsidP="007F4E02">
      <w:pPr>
        <w:pStyle w:val="Heading1"/>
        <w:spacing w:after="0" w:afterAutospacing="0"/>
        <w:rPr>
          <w:rFonts w:eastAsia="Calibri"/>
        </w:rPr>
      </w:pPr>
      <w:bookmarkStart w:id="94" w:name="_Toc60183429"/>
      <w:r w:rsidRPr="00824D58">
        <w:t>TABLE OF CONTENTS</w:t>
      </w:r>
      <w:bookmarkEnd w:id="94"/>
      <w:r w:rsidRPr="00824D58">
        <w:t xml:space="preserve">                                                                                     Page</w:t>
      </w:r>
      <w:r w:rsidRPr="00824D58">
        <w:rPr>
          <w:rFonts w:eastAsia="Calibri"/>
        </w:rPr>
        <w:t xml:space="preserve">   </w:t>
      </w:r>
    </w:p>
    <w:p w:rsidR="00793212" w:rsidRPr="00824D58" w:rsidRDefault="00793212" w:rsidP="00793212">
      <w:pPr>
        <w:pStyle w:val="TOC1"/>
      </w:pPr>
    </w:p>
    <w:p w:rsidR="00793212" w:rsidRPr="00824D58" w:rsidRDefault="00793212" w:rsidP="00477493">
      <w:pPr>
        <w:pStyle w:val="TOC1"/>
        <w:rPr>
          <w:rFonts w:asciiTheme="minorHAnsi" w:hAnsiTheme="minorHAnsi" w:cstheme="minorBidi"/>
          <w:noProof/>
          <w:sz w:val="22"/>
          <w:szCs w:val="22"/>
          <w:rtl/>
        </w:rPr>
      </w:pPr>
      <w:r w:rsidRPr="00824D58">
        <w:fldChar w:fldCharType="begin"/>
      </w:r>
      <w:r w:rsidRPr="00824D58">
        <w:instrText xml:space="preserve"> TOC \o "1-3" \h \z \u </w:instrText>
      </w:r>
      <w:r w:rsidRPr="00824D58">
        <w:fldChar w:fldCharType="separate"/>
      </w:r>
      <w:hyperlink w:anchor="_Toc60183425" w:history="1">
        <w:r w:rsidRPr="00824D58">
          <w:rPr>
            <w:rStyle w:val="Hyperlink"/>
            <w:noProof/>
            <w:color w:val="auto"/>
          </w:rPr>
          <w:t>ÖZET</w:t>
        </w:r>
        <w:r w:rsidRPr="00824D58">
          <w:rPr>
            <w:noProof/>
            <w:webHidden/>
            <w:rtl/>
          </w:rPr>
          <w:tab/>
        </w:r>
        <w:r w:rsidR="00757A70">
          <w:rPr>
            <w:rStyle w:val="Hyperlink"/>
            <w:noProof/>
            <w:color w:val="auto"/>
          </w:rPr>
          <w:t>i</w:t>
        </w:r>
      </w:hyperlink>
    </w:p>
    <w:p w:rsidR="00793212" w:rsidRPr="00824D58" w:rsidRDefault="000A66F6" w:rsidP="00FA415E">
      <w:pPr>
        <w:pStyle w:val="TOC1"/>
        <w:rPr>
          <w:rFonts w:asciiTheme="minorHAnsi" w:hAnsiTheme="minorHAnsi" w:cstheme="minorBidi"/>
          <w:noProof/>
          <w:sz w:val="22"/>
          <w:szCs w:val="22"/>
          <w:rtl/>
        </w:rPr>
      </w:pPr>
      <w:hyperlink w:anchor="_Toc60183426" w:history="1">
        <w:r w:rsidR="00793212" w:rsidRPr="00824D58">
          <w:rPr>
            <w:rStyle w:val="Hyperlink"/>
            <w:noProof/>
            <w:color w:val="auto"/>
          </w:rPr>
          <w:t>ABSTRACT</w:t>
        </w:r>
        <w:r w:rsidR="00793212" w:rsidRPr="00824D58">
          <w:rPr>
            <w:noProof/>
            <w:webHidden/>
            <w:rtl/>
          </w:rPr>
          <w:tab/>
        </w:r>
        <w:r w:rsidR="00793212" w:rsidRPr="00824D58">
          <w:rPr>
            <w:rStyle w:val="Hyperlink"/>
            <w:noProof/>
            <w:color w:val="auto"/>
            <w:rtl/>
          </w:rPr>
          <w:fldChar w:fldCharType="begin"/>
        </w:r>
        <w:r w:rsidR="00793212" w:rsidRPr="00824D58">
          <w:rPr>
            <w:noProof/>
            <w:webHidden/>
            <w:rtl/>
          </w:rPr>
          <w:instrText xml:space="preserve"> </w:instrText>
        </w:r>
        <w:r w:rsidR="00793212" w:rsidRPr="00824D58">
          <w:rPr>
            <w:noProof/>
            <w:webHidden/>
          </w:rPr>
          <w:instrText>PAGEREF</w:instrText>
        </w:r>
        <w:r w:rsidR="00793212" w:rsidRPr="00824D58">
          <w:rPr>
            <w:noProof/>
            <w:webHidden/>
            <w:rtl/>
          </w:rPr>
          <w:instrText xml:space="preserve"> _</w:instrText>
        </w:r>
        <w:r w:rsidR="00793212" w:rsidRPr="00824D58">
          <w:rPr>
            <w:noProof/>
            <w:webHidden/>
          </w:rPr>
          <w:instrText>Toc60183426 \h</w:instrText>
        </w:r>
        <w:r w:rsidR="00793212" w:rsidRPr="00824D58">
          <w:rPr>
            <w:noProof/>
            <w:webHidden/>
            <w:rtl/>
          </w:rPr>
          <w:instrText xml:space="preserve"> </w:instrText>
        </w:r>
        <w:r w:rsidR="00793212" w:rsidRPr="00824D58">
          <w:rPr>
            <w:rStyle w:val="Hyperlink"/>
            <w:noProof/>
            <w:color w:val="auto"/>
            <w:rtl/>
          </w:rPr>
        </w:r>
        <w:r w:rsidR="00793212" w:rsidRPr="00824D58">
          <w:rPr>
            <w:rStyle w:val="Hyperlink"/>
            <w:noProof/>
            <w:color w:val="auto"/>
            <w:rtl/>
          </w:rPr>
          <w:fldChar w:fldCharType="separate"/>
        </w:r>
        <w:r w:rsidR="00477493">
          <w:rPr>
            <w:noProof/>
            <w:webHidden/>
          </w:rPr>
          <w:t>i</w:t>
        </w:r>
        <w:r w:rsidR="00713623">
          <w:rPr>
            <w:noProof/>
            <w:webHidden/>
          </w:rPr>
          <w:t>i</w:t>
        </w:r>
        <w:r w:rsidR="00793212" w:rsidRPr="00824D58">
          <w:rPr>
            <w:rStyle w:val="Hyperlink"/>
            <w:noProof/>
            <w:color w:val="auto"/>
            <w:rtl/>
          </w:rPr>
          <w:fldChar w:fldCharType="end"/>
        </w:r>
      </w:hyperlink>
    </w:p>
    <w:p w:rsidR="00793212" w:rsidRPr="00824D58" w:rsidRDefault="000A66F6" w:rsidP="00477493">
      <w:pPr>
        <w:pStyle w:val="TOC1"/>
        <w:rPr>
          <w:rFonts w:asciiTheme="minorHAnsi" w:hAnsiTheme="minorHAnsi" w:cstheme="minorBidi"/>
          <w:noProof/>
          <w:sz w:val="22"/>
          <w:szCs w:val="22"/>
          <w:rtl/>
        </w:rPr>
      </w:pPr>
      <w:hyperlink w:anchor="_Toc60183427" w:history="1">
        <w:r w:rsidR="00477493" w:rsidRPr="00477493">
          <w:rPr>
            <w:rStyle w:val="Hyperlink"/>
            <w:rFonts w:eastAsia="Calibri"/>
            <w:noProof/>
            <w:color w:val="auto"/>
          </w:rPr>
          <w:t>PREFACE AND ACKNOWLEDGEMENTS</w:t>
        </w:r>
        <w:r w:rsidR="00793212" w:rsidRPr="00824D58">
          <w:rPr>
            <w:noProof/>
            <w:webHidden/>
            <w:rtl/>
          </w:rPr>
          <w:tab/>
        </w:r>
        <w:r w:rsidR="00757A70">
          <w:rPr>
            <w:rStyle w:val="Hyperlink"/>
            <w:noProof/>
            <w:color w:val="auto"/>
          </w:rPr>
          <w:t>iii</w:t>
        </w:r>
      </w:hyperlink>
    </w:p>
    <w:p w:rsidR="00793212" w:rsidRPr="00824D58" w:rsidRDefault="000A66F6" w:rsidP="00477493">
      <w:pPr>
        <w:pStyle w:val="TOC1"/>
        <w:rPr>
          <w:rFonts w:asciiTheme="minorHAnsi" w:hAnsiTheme="minorHAnsi" w:cstheme="minorBidi"/>
          <w:noProof/>
          <w:sz w:val="22"/>
          <w:szCs w:val="22"/>
          <w:rtl/>
        </w:rPr>
      </w:pPr>
      <w:hyperlink w:anchor="_Toc60183428" w:history="1">
        <w:r w:rsidR="00793212" w:rsidRPr="00824D58">
          <w:rPr>
            <w:rStyle w:val="Hyperlink"/>
            <w:noProof/>
            <w:color w:val="auto"/>
          </w:rPr>
          <w:t>SIMGELER DIZINI</w:t>
        </w:r>
        <w:r w:rsidR="00793212" w:rsidRPr="00824D58">
          <w:rPr>
            <w:noProof/>
            <w:webHidden/>
            <w:rtl/>
          </w:rPr>
          <w:tab/>
        </w:r>
        <w:r w:rsidR="00757A70">
          <w:rPr>
            <w:rStyle w:val="Hyperlink"/>
            <w:noProof/>
            <w:color w:val="auto"/>
          </w:rPr>
          <w:t>i</w:t>
        </w:r>
        <w:r w:rsidR="00477493">
          <w:rPr>
            <w:rStyle w:val="Hyperlink"/>
            <w:noProof/>
            <w:color w:val="auto"/>
          </w:rPr>
          <w:t>v</w:t>
        </w:r>
      </w:hyperlink>
    </w:p>
    <w:p w:rsidR="00793212" w:rsidRPr="00824D58" w:rsidRDefault="000A66F6" w:rsidP="00477493">
      <w:pPr>
        <w:pStyle w:val="TOC1"/>
        <w:rPr>
          <w:rFonts w:asciiTheme="minorHAnsi" w:hAnsiTheme="minorHAnsi" w:cstheme="minorBidi"/>
          <w:noProof/>
          <w:sz w:val="22"/>
          <w:szCs w:val="22"/>
          <w:rtl/>
        </w:rPr>
      </w:pPr>
      <w:hyperlink w:anchor="_Toc60183429" w:history="1">
        <w:r w:rsidR="00793212" w:rsidRPr="00824D58">
          <w:rPr>
            <w:rStyle w:val="Hyperlink"/>
            <w:noProof/>
            <w:color w:val="auto"/>
          </w:rPr>
          <w:t>TABLE OF CONTENTS</w:t>
        </w:r>
        <w:r w:rsidR="00793212" w:rsidRPr="00824D58">
          <w:rPr>
            <w:noProof/>
            <w:webHidden/>
            <w:rtl/>
          </w:rPr>
          <w:tab/>
        </w:r>
        <w:r w:rsidR="00477493">
          <w:rPr>
            <w:rStyle w:val="Hyperlink"/>
            <w:noProof/>
            <w:color w:val="auto"/>
          </w:rPr>
          <w:t>v</w:t>
        </w:r>
      </w:hyperlink>
    </w:p>
    <w:p w:rsidR="00793212" w:rsidRPr="00824D58" w:rsidRDefault="000A66F6" w:rsidP="00477493">
      <w:pPr>
        <w:pStyle w:val="TOC1"/>
        <w:rPr>
          <w:rFonts w:asciiTheme="minorHAnsi" w:hAnsiTheme="minorHAnsi" w:cstheme="minorBidi"/>
          <w:noProof/>
          <w:sz w:val="22"/>
          <w:szCs w:val="22"/>
          <w:rtl/>
        </w:rPr>
      </w:pPr>
      <w:hyperlink w:anchor="_Toc60183430" w:history="1">
        <w:r w:rsidR="00793212" w:rsidRPr="00824D58">
          <w:rPr>
            <w:rStyle w:val="Hyperlink"/>
            <w:noProof/>
            <w:color w:val="auto"/>
          </w:rPr>
          <w:t>LIST OF FIGURES</w:t>
        </w:r>
        <w:r w:rsidR="00793212" w:rsidRPr="00824D58">
          <w:rPr>
            <w:noProof/>
            <w:webHidden/>
            <w:rtl/>
          </w:rPr>
          <w:tab/>
        </w:r>
        <w:r w:rsidR="00793212" w:rsidRPr="00824D58">
          <w:rPr>
            <w:rStyle w:val="Hyperlink"/>
            <w:noProof/>
            <w:color w:val="auto"/>
            <w:rtl/>
          </w:rPr>
          <w:fldChar w:fldCharType="begin"/>
        </w:r>
        <w:r w:rsidR="00793212" w:rsidRPr="00824D58">
          <w:rPr>
            <w:noProof/>
            <w:webHidden/>
            <w:rtl/>
          </w:rPr>
          <w:instrText xml:space="preserve"> </w:instrText>
        </w:r>
        <w:r w:rsidR="00793212" w:rsidRPr="00824D58">
          <w:rPr>
            <w:noProof/>
            <w:webHidden/>
          </w:rPr>
          <w:instrText>PAGEREF</w:instrText>
        </w:r>
        <w:r w:rsidR="00793212" w:rsidRPr="00824D58">
          <w:rPr>
            <w:noProof/>
            <w:webHidden/>
            <w:rtl/>
          </w:rPr>
          <w:instrText xml:space="preserve"> _</w:instrText>
        </w:r>
        <w:r w:rsidR="00793212" w:rsidRPr="00824D58">
          <w:rPr>
            <w:noProof/>
            <w:webHidden/>
          </w:rPr>
          <w:instrText>Toc60183430 \h</w:instrText>
        </w:r>
        <w:r w:rsidR="00793212" w:rsidRPr="00824D58">
          <w:rPr>
            <w:noProof/>
            <w:webHidden/>
            <w:rtl/>
          </w:rPr>
          <w:instrText xml:space="preserve"> </w:instrText>
        </w:r>
        <w:r w:rsidR="00793212" w:rsidRPr="00824D58">
          <w:rPr>
            <w:rStyle w:val="Hyperlink"/>
            <w:noProof/>
            <w:color w:val="auto"/>
            <w:rtl/>
          </w:rPr>
        </w:r>
        <w:r w:rsidR="00793212" w:rsidRPr="00824D58">
          <w:rPr>
            <w:rStyle w:val="Hyperlink"/>
            <w:noProof/>
            <w:color w:val="auto"/>
            <w:rtl/>
          </w:rPr>
          <w:fldChar w:fldCharType="separate"/>
        </w:r>
        <w:r w:rsidR="00477493">
          <w:rPr>
            <w:noProof/>
            <w:webHidden/>
          </w:rPr>
          <w:t>v</w:t>
        </w:r>
        <w:r w:rsidR="00713623">
          <w:rPr>
            <w:noProof/>
            <w:webHidden/>
          </w:rPr>
          <w:t>ii</w:t>
        </w:r>
        <w:r w:rsidR="00793212" w:rsidRPr="00824D58">
          <w:rPr>
            <w:rStyle w:val="Hyperlink"/>
            <w:noProof/>
            <w:color w:val="auto"/>
            <w:rtl/>
          </w:rPr>
          <w:fldChar w:fldCharType="end"/>
        </w:r>
      </w:hyperlink>
    </w:p>
    <w:p w:rsidR="00793212" w:rsidRPr="00824D58" w:rsidRDefault="000A66F6" w:rsidP="00477493">
      <w:pPr>
        <w:pStyle w:val="TOC1"/>
        <w:rPr>
          <w:rFonts w:asciiTheme="minorHAnsi" w:hAnsiTheme="minorHAnsi" w:cstheme="minorBidi"/>
          <w:noProof/>
          <w:sz w:val="22"/>
          <w:szCs w:val="22"/>
          <w:rtl/>
        </w:rPr>
      </w:pPr>
      <w:hyperlink w:anchor="_Toc60183431" w:history="1">
        <w:r w:rsidR="00793212" w:rsidRPr="00824D58">
          <w:rPr>
            <w:rStyle w:val="Hyperlink"/>
            <w:noProof/>
            <w:color w:val="auto"/>
          </w:rPr>
          <w:t>LIST OF TABLE</w:t>
        </w:r>
        <w:r w:rsidR="00793212" w:rsidRPr="00824D58">
          <w:rPr>
            <w:noProof/>
            <w:webHidden/>
            <w:rtl/>
          </w:rPr>
          <w:tab/>
        </w:r>
        <w:r w:rsidR="00793212" w:rsidRPr="00824D58">
          <w:rPr>
            <w:rStyle w:val="Hyperlink"/>
            <w:noProof/>
            <w:color w:val="auto"/>
            <w:rtl/>
          </w:rPr>
          <w:fldChar w:fldCharType="begin"/>
        </w:r>
        <w:r w:rsidR="00793212" w:rsidRPr="00824D58">
          <w:rPr>
            <w:noProof/>
            <w:webHidden/>
            <w:rtl/>
          </w:rPr>
          <w:instrText xml:space="preserve"> </w:instrText>
        </w:r>
        <w:r w:rsidR="00793212" w:rsidRPr="00824D58">
          <w:rPr>
            <w:noProof/>
            <w:webHidden/>
          </w:rPr>
          <w:instrText>PAGEREF</w:instrText>
        </w:r>
        <w:r w:rsidR="00793212" w:rsidRPr="00824D58">
          <w:rPr>
            <w:noProof/>
            <w:webHidden/>
            <w:rtl/>
          </w:rPr>
          <w:instrText xml:space="preserve"> _</w:instrText>
        </w:r>
        <w:r w:rsidR="00793212" w:rsidRPr="00824D58">
          <w:rPr>
            <w:noProof/>
            <w:webHidden/>
          </w:rPr>
          <w:instrText>Toc60183431 \h</w:instrText>
        </w:r>
        <w:r w:rsidR="00793212" w:rsidRPr="00824D58">
          <w:rPr>
            <w:noProof/>
            <w:webHidden/>
            <w:rtl/>
          </w:rPr>
          <w:instrText xml:space="preserve"> </w:instrText>
        </w:r>
        <w:r w:rsidR="00793212" w:rsidRPr="00824D58">
          <w:rPr>
            <w:rStyle w:val="Hyperlink"/>
            <w:noProof/>
            <w:color w:val="auto"/>
            <w:rtl/>
          </w:rPr>
        </w:r>
        <w:r w:rsidR="00793212" w:rsidRPr="00824D58">
          <w:rPr>
            <w:rStyle w:val="Hyperlink"/>
            <w:noProof/>
            <w:color w:val="auto"/>
            <w:rtl/>
          </w:rPr>
          <w:fldChar w:fldCharType="separate"/>
        </w:r>
        <w:r w:rsidR="00477493">
          <w:rPr>
            <w:noProof/>
            <w:webHidden/>
          </w:rPr>
          <w:t>v</w:t>
        </w:r>
        <w:r w:rsidR="00713623">
          <w:rPr>
            <w:noProof/>
            <w:webHidden/>
          </w:rPr>
          <w:t>iii</w:t>
        </w:r>
        <w:r w:rsidR="00793212" w:rsidRPr="00824D58">
          <w:rPr>
            <w:rStyle w:val="Hyperlink"/>
            <w:noProof/>
            <w:color w:val="auto"/>
            <w:rtl/>
          </w:rPr>
          <w:fldChar w:fldCharType="end"/>
        </w:r>
      </w:hyperlink>
    </w:p>
    <w:p w:rsidR="00793212" w:rsidRPr="00824D58" w:rsidRDefault="000A66F6" w:rsidP="00793212">
      <w:pPr>
        <w:pStyle w:val="TOC1"/>
        <w:tabs>
          <w:tab w:val="left" w:pos="2055"/>
        </w:tabs>
        <w:rPr>
          <w:rFonts w:asciiTheme="minorHAnsi" w:hAnsiTheme="minorHAnsi" w:cstheme="minorBidi"/>
          <w:noProof/>
          <w:sz w:val="22"/>
          <w:szCs w:val="22"/>
          <w:rtl/>
        </w:rPr>
      </w:pPr>
      <w:hyperlink w:anchor="_Toc60183432" w:history="1">
        <w:r w:rsidR="00793212" w:rsidRPr="00824D58">
          <w:rPr>
            <w:rStyle w:val="Hyperlink"/>
            <w:noProof/>
            <w:color w:val="auto"/>
          </w:rPr>
          <w:t>1.</w:t>
        </w:r>
        <w:r w:rsidR="00793212" w:rsidRPr="00824D58">
          <w:rPr>
            <w:rFonts w:asciiTheme="minorHAnsi" w:hAnsiTheme="minorHAnsi" w:cstheme="minorBidi"/>
            <w:noProof/>
            <w:sz w:val="22"/>
            <w:szCs w:val="22"/>
            <w:rtl/>
          </w:rPr>
          <w:tab/>
        </w:r>
        <w:r w:rsidR="00793212" w:rsidRPr="00824D58">
          <w:rPr>
            <w:rStyle w:val="Hyperlink"/>
            <w:noProof/>
            <w:color w:val="auto"/>
          </w:rPr>
          <w:t>INTRODUCTION</w:t>
        </w:r>
        <w:r w:rsidR="00793212" w:rsidRPr="00824D58">
          <w:rPr>
            <w:noProof/>
            <w:webHidden/>
            <w:rtl/>
          </w:rPr>
          <w:tab/>
        </w:r>
        <w:r w:rsidR="00793212" w:rsidRPr="00824D58">
          <w:rPr>
            <w:rStyle w:val="Hyperlink"/>
            <w:noProof/>
            <w:color w:val="auto"/>
            <w:rtl/>
          </w:rPr>
          <w:fldChar w:fldCharType="begin"/>
        </w:r>
        <w:r w:rsidR="00793212" w:rsidRPr="00824D58">
          <w:rPr>
            <w:noProof/>
            <w:webHidden/>
            <w:rtl/>
          </w:rPr>
          <w:instrText xml:space="preserve"> </w:instrText>
        </w:r>
        <w:r w:rsidR="00793212" w:rsidRPr="00824D58">
          <w:rPr>
            <w:noProof/>
            <w:webHidden/>
          </w:rPr>
          <w:instrText>PAGEREF</w:instrText>
        </w:r>
        <w:r w:rsidR="00793212" w:rsidRPr="00824D58">
          <w:rPr>
            <w:noProof/>
            <w:webHidden/>
            <w:rtl/>
          </w:rPr>
          <w:instrText xml:space="preserve"> _</w:instrText>
        </w:r>
        <w:r w:rsidR="00793212" w:rsidRPr="00824D58">
          <w:rPr>
            <w:noProof/>
            <w:webHidden/>
          </w:rPr>
          <w:instrText>Toc60183432 \h</w:instrText>
        </w:r>
        <w:r w:rsidR="00793212" w:rsidRPr="00824D58">
          <w:rPr>
            <w:noProof/>
            <w:webHidden/>
            <w:rtl/>
          </w:rPr>
          <w:instrText xml:space="preserve"> </w:instrText>
        </w:r>
        <w:r w:rsidR="00793212" w:rsidRPr="00824D58">
          <w:rPr>
            <w:rStyle w:val="Hyperlink"/>
            <w:noProof/>
            <w:color w:val="auto"/>
            <w:rtl/>
          </w:rPr>
        </w:r>
        <w:r w:rsidR="00793212" w:rsidRPr="00824D58">
          <w:rPr>
            <w:rStyle w:val="Hyperlink"/>
            <w:noProof/>
            <w:color w:val="auto"/>
            <w:rtl/>
          </w:rPr>
          <w:fldChar w:fldCharType="separate"/>
        </w:r>
        <w:r w:rsidR="00713623">
          <w:rPr>
            <w:noProof/>
            <w:webHidden/>
          </w:rPr>
          <w:t>1</w:t>
        </w:r>
        <w:r w:rsidR="00793212" w:rsidRPr="00824D58">
          <w:rPr>
            <w:rStyle w:val="Hyperlink"/>
            <w:noProof/>
            <w:color w:val="auto"/>
            <w:rtl/>
          </w:rPr>
          <w:fldChar w:fldCharType="end"/>
        </w:r>
      </w:hyperlink>
    </w:p>
    <w:p w:rsidR="00793212" w:rsidRPr="00824D58" w:rsidRDefault="000A66F6" w:rsidP="00793212">
      <w:pPr>
        <w:pStyle w:val="TOC1"/>
        <w:tabs>
          <w:tab w:val="left" w:pos="2568"/>
        </w:tabs>
        <w:rPr>
          <w:rFonts w:asciiTheme="minorHAnsi" w:hAnsiTheme="minorHAnsi" w:cstheme="minorBidi"/>
          <w:noProof/>
          <w:sz w:val="22"/>
          <w:szCs w:val="22"/>
          <w:rtl/>
        </w:rPr>
      </w:pPr>
      <w:hyperlink w:anchor="_Toc60183433" w:history="1">
        <w:r w:rsidR="00793212" w:rsidRPr="00824D58">
          <w:rPr>
            <w:rStyle w:val="Hyperlink"/>
            <w:noProof/>
            <w:color w:val="auto"/>
          </w:rPr>
          <w:t>2.</w:t>
        </w:r>
        <w:r w:rsidR="00793212" w:rsidRPr="00824D58">
          <w:rPr>
            <w:rFonts w:asciiTheme="minorHAnsi" w:hAnsiTheme="minorHAnsi" w:cstheme="minorBidi"/>
            <w:noProof/>
            <w:sz w:val="22"/>
            <w:szCs w:val="22"/>
            <w:rtl/>
          </w:rPr>
          <w:tab/>
        </w:r>
        <w:r w:rsidR="00793212" w:rsidRPr="00824D58">
          <w:rPr>
            <w:rStyle w:val="Hyperlink"/>
            <w:noProof/>
            <w:color w:val="auto"/>
          </w:rPr>
          <w:t>LITRATURE REVIEW</w:t>
        </w:r>
        <w:r w:rsidR="00793212" w:rsidRPr="00824D58">
          <w:rPr>
            <w:noProof/>
            <w:webHidden/>
            <w:rtl/>
          </w:rPr>
          <w:tab/>
        </w:r>
        <w:r w:rsidR="00793212" w:rsidRPr="00824D58">
          <w:rPr>
            <w:rStyle w:val="Hyperlink"/>
            <w:noProof/>
            <w:color w:val="auto"/>
            <w:rtl/>
          </w:rPr>
          <w:fldChar w:fldCharType="begin"/>
        </w:r>
        <w:r w:rsidR="00793212" w:rsidRPr="00824D58">
          <w:rPr>
            <w:noProof/>
            <w:webHidden/>
            <w:rtl/>
          </w:rPr>
          <w:instrText xml:space="preserve"> </w:instrText>
        </w:r>
        <w:r w:rsidR="00793212" w:rsidRPr="00824D58">
          <w:rPr>
            <w:noProof/>
            <w:webHidden/>
          </w:rPr>
          <w:instrText>PAGEREF</w:instrText>
        </w:r>
        <w:r w:rsidR="00793212" w:rsidRPr="00824D58">
          <w:rPr>
            <w:noProof/>
            <w:webHidden/>
            <w:rtl/>
          </w:rPr>
          <w:instrText xml:space="preserve"> _</w:instrText>
        </w:r>
        <w:r w:rsidR="00793212" w:rsidRPr="00824D58">
          <w:rPr>
            <w:noProof/>
            <w:webHidden/>
          </w:rPr>
          <w:instrText>Toc60183433 \h</w:instrText>
        </w:r>
        <w:r w:rsidR="00793212" w:rsidRPr="00824D58">
          <w:rPr>
            <w:noProof/>
            <w:webHidden/>
            <w:rtl/>
          </w:rPr>
          <w:instrText xml:space="preserve"> </w:instrText>
        </w:r>
        <w:r w:rsidR="00793212" w:rsidRPr="00824D58">
          <w:rPr>
            <w:rStyle w:val="Hyperlink"/>
            <w:noProof/>
            <w:color w:val="auto"/>
            <w:rtl/>
          </w:rPr>
        </w:r>
        <w:r w:rsidR="00793212" w:rsidRPr="00824D58">
          <w:rPr>
            <w:rStyle w:val="Hyperlink"/>
            <w:noProof/>
            <w:color w:val="auto"/>
            <w:rtl/>
          </w:rPr>
          <w:fldChar w:fldCharType="separate"/>
        </w:r>
        <w:r w:rsidR="00713623">
          <w:rPr>
            <w:noProof/>
            <w:webHidden/>
          </w:rPr>
          <w:t>3</w:t>
        </w:r>
        <w:r w:rsidR="00793212" w:rsidRPr="00824D58">
          <w:rPr>
            <w:rStyle w:val="Hyperlink"/>
            <w:noProof/>
            <w:color w:val="auto"/>
            <w:rtl/>
          </w:rPr>
          <w:fldChar w:fldCharType="end"/>
        </w:r>
      </w:hyperlink>
    </w:p>
    <w:p w:rsidR="00793212" w:rsidRPr="00824D58" w:rsidRDefault="000A66F6" w:rsidP="003974BD">
      <w:pPr>
        <w:pStyle w:val="TOC2"/>
        <w:rPr>
          <w:rFonts w:asciiTheme="minorHAnsi" w:hAnsiTheme="minorHAnsi" w:cstheme="minorBidi"/>
          <w:noProof/>
          <w:sz w:val="22"/>
          <w:szCs w:val="22"/>
          <w:rtl/>
        </w:rPr>
      </w:pPr>
      <w:hyperlink w:anchor="_Toc60183434" w:history="1">
        <w:r w:rsidR="00793212" w:rsidRPr="00824D58">
          <w:rPr>
            <w:rStyle w:val="Hyperlink"/>
            <w:noProof/>
            <w:color w:val="auto"/>
          </w:rPr>
          <w:t>2.1.</w:t>
        </w:r>
        <w:r w:rsidR="00793212" w:rsidRPr="00824D58">
          <w:rPr>
            <w:rFonts w:asciiTheme="minorHAnsi" w:hAnsiTheme="minorHAnsi" w:cstheme="minorBidi"/>
            <w:noProof/>
            <w:sz w:val="22"/>
            <w:szCs w:val="22"/>
            <w:rtl/>
          </w:rPr>
          <w:tab/>
        </w:r>
        <w:r w:rsidR="00793212" w:rsidRPr="00824D58">
          <w:rPr>
            <w:rStyle w:val="Hyperlink"/>
            <w:noProof/>
            <w:color w:val="auto"/>
          </w:rPr>
          <w:t>Prostate Cancer</w:t>
        </w:r>
        <w:r w:rsidR="00793212" w:rsidRPr="00824D58">
          <w:rPr>
            <w:noProof/>
            <w:webHidden/>
            <w:rtl/>
          </w:rPr>
          <w:tab/>
        </w:r>
        <w:r w:rsidR="00793212" w:rsidRPr="00824D58">
          <w:rPr>
            <w:rStyle w:val="Hyperlink"/>
            <w:noProof/>
            <w:color w:val="auto"/>
            <w:rtl/>
          </w:rPr>
          <w:fldChar w:fldCharType="begin"/>
        </w:r>
        <w:r w:rsidR="00793212" w:rsidRPr="00824D58">
          <w:rPr>
            <w:noProof/>
            <w:webHidden/>
            <w:rtl/>
          </w:rPr>
          <w:instrText xml:space="preserve"> </w:instrText>
        </w:r>
        <w:r w:rsidR="00793212" w:rsidRPr="00824D58">
          <w:rPr>
            <w:noProof/>
            <w:webHidden/>
          </w:rPr>
          <w:instrText>PAGEREF</w:instrText>
        </w:r>
        <w:r w:rsidR="00793212" w:rsidRPr="00824D58">
          <w:rPr>
            <w:noProof/>
            <w:webHidden/>
            <w:rtl/>
          </w:rPr>
          <w:instrText xml:space="preserve"> _</w:instrText>
        </w:r>
        <w:r w:rsidR="00793212" w:rsidRPr="00824D58">
          <w:rPr>
            <w:noProof/>
            <w:webHidden/>
          </w:rPr>
          <w:instrText>Toc60183434 \h</w:instrText>
        </w:r>
        <w:r w:rsidR="00793212" w:rsidRPr="00824D58">
          <w:rPr>
            <w:noProof/>
            <w:webHidden/>
            <w:rtl/>
          </w:rPr>
          <w:instrText xml:space="preserve"> </w:instrText>
        </w:r>
        <w:r w:rsidR="00793212" w:rsidRPr="00824D58">
          <w:rPr>
            <w:rStyle w:val="Hyperlink"/>
            <w:noProof/>
            <w:color w:val="auto"/>
            <w:rtl/>
          </w:rPr>
        </w:r>
        <w:r w:rsidR="00793212" w:rsidRPr="00824D58">
          <w:rPr>
            <w:rStyle w:val="Hyperlink"/>
            <w:noProof/>
            <w:color w:val="auto"/>
            <w:rtl/>
          </w:rPr>
          <w:fldChar w:fldCharType="separate"/>
        </w:r>
        <w:r w:rsidR="00713623">
          <w:rPr>
            <w:noProof/>
            <w:webHidden/>
          </w:rPr>
          <w:t>3</w:t>
        </w:r>
        <w:r w:rsidR="00793212" w:rsidRPr="00824D58">
          <w:rPr>
            <w:rStyle w:val="Hyperlink"/>
            <w:noProof/>
            <w:color w:val="auto"/>
            <w:rtl/>
          </w:rPr>
          <w:fldChar w:fldCharType="end"/>
        </w:r>
      </w:hyperlink>
    </w:p>
    <w:p w:rsidR="00793212" w:rsidRPr="00824D58" w:rsidRDefault="000A66F6" w:rsidP="00477493">
      <w:pPr>
        <w:pStyle w:val="TOC3"/>
        <w:rPr>
          <w:rFonts w:asciiTheme="minorHAnsi" w:hAnsiTheme="minorHAnsi" w:cstheme="minorBidi"/>
          <w:sz w:val="22"/>
          <w:szCs w:val="22"/>
          <w:rtl/>
        </w:rPr>
      </w:pPr>
      <w:hyperlink w:anchor="_Toc60183435" w:history="1">
        <w:r w:rsidR="00793212" w:rsidRPr="00824D58">
          <w:rPr>
            <w:rStyle w:val="Hyperlink"/>
            <w:color w:val="auto"/>
          </w:rPr>
          <w:t>2.1.1.</w:t>
        </w:r>
        <w:r w:rsidR="00793212" w:rsidRPr="00824D58">
          <w:rPr>
            <w:rFonts w:asciiTheme="minorHAnsi" w:hAnsiTheme="minorHAnsi" w:cstheme="minorBidi"/>
            <w:sz w:val="22"/>
            <w:szCs w:val="22"/>
            <w:rtl/>
          </w:rPr>
          <w:tab/>
        </w:r>
        <w:r w:rsidR="00793212" w:rsidRPr="00824D58">
          <w:rPr>
            <w:rStyle w:val="Hyperlink"/>
            <w:color w:val="auto"/>
          </w:rPr>
          <w:t>Introduction to Prostate Cancer Gland</w:t>
        </w:r>
        <w:r w:rsidR="00793212" w:rsidRPr="00824D58">
          <w:rPr>
            <w:webHidden/>
            <w:rtl/>
          </w:rPr>
          <w:tab/>
        </w:r>
        <w:r w:rsidR="00477493">
          <w:rPr>
            <w:rStyle w:val="Hyperlink"/>
            <w:color w:val="auto"/>
          </w:rPr>
          <w:t>4</w:t>
        </w:r>
      </w:hyperlink>
    </w:p>
    <w:p w:rsidR="00793212" w:rsidRPr="00824D58" w:rsidRDefault="000A66F6" w:rsidP="00FA415E">
      <w:pPr>
        <w:pStyle w:val="TOC3"/>
        <w:rPr>
          <w:rFonts w:asciiTheme="minorHAnsi" w:hAnsiTheme="minorHAnsi" w:cstheme="minorBidi"/>
          <w:sz w:val="22"/>
          <w:szCs w:val="22"/>
          <w:rtl/>
        </w:rPr>
      </w:pPr>
      <w:hyperlink w:anchor="_Toc60183436" w:history="1">
        <w:r w:rsidR="00793212" w:rsidRPr="00824D58">
          <w:rPr>
            <w:rStyle w:val="Hyperlink"/>
            <w:color w:val="auto"/>
          </w:rPr>
          <w:t>2.1.2.</w:t>
        </w:r>
        <w:r w:rsidR="00793212" w:rsidRPr="00824D58">
          <w:rPr>
            <w:rFonts w:asciiTheme="minorHAnsi" w:hAnsiTheme="minorHAnsi" w:cstheme="minorBidi"/>
            <w:sz w:val="22"/>
            <w:szCs w:val="22"/>
            <w:rtl/>
          </w:rPr>
          <w:tab/>
        </w:r>
        <w:r w:rsidR="00793212" w:rsidRPr="00824D58">
          <w:rPr>
            <w:rStyle w:val="Hyperlink"/>
            <w:color w:val="auto"/>
          </w:rPr>
          <w:t>Prostate  Anatomy</w:t>
        </w:r>
        <w:r w:rsidR="00793212" w:rsidRPr="00824D58">
          <w:rPr>
            <w:webHidden/>
            <w:rtl/>
          </w:rPr>
          <w:tab/>
        </w:r>
        <w:r w:rsidR="00793212">
          <w:rPr>
            <w:webHidden/>
          </w:rPr>
          <w:t>………………………………………………………..</w:t>
        </w:r>
        <w:r w:rsidR="00793212" w:rsidRPr="00824D58">
          <w:rPr>
            <w:rStyle w:val="Hyperlink"/>
            <w:color w:val="auto"/>
            <w:rtl/>
          </w:rPr>
          <w:fldChar w:fldCharType="begin"/>
        </w:r>
        <w:r w:rsidR="00793212" w:rsidRPr="00824D58">
          <w:rPr>
            <w:webHidden/>
            <w:rtl/>
          </w:rPr>
          <w:instrText xml:space="preserve"> </w:instrText>
        </w:r>
        <w:r w:rsidR="00793212" w:rsidRPr="00824D58">
          <w:rPr>
            <w:webHidden/>
          </w:rPr>
          <w:instrText>PAGEREF</w:instrText>
        </w:r>
        <w:r w:rsidR="00793212" w:rsidRPr="00824D58">
          <w:rPr>
            <w:webHidden/>
            <w:rtl/>
          </w:rPr>
          <w:instrText xml:space="preserve"> _</w:instrText>
        </w:r>
        <w:r w:rsidR="00793212" w:rsidRPr="00824D58">
          <w:rPr>
            <w:webHidden/>
          </w:rPr>
          <w:instrText>Toc60183436 \h</w:instrText>
        </w:r>
        <w:r w:rsidR="00793212" w:rsidRPr="00824D58">
          <w:rPr>
            <w:webHidden/>
            <w:rtl/>
          </w:rPr>
          <w:instrText xml:space="preserve"> </w:instrText>
        </w:r>
        <w:r w:rsidR="00793212" w:rsidRPr="00824D58">
          <w:rPr>
            <w:rStyle w:val="Hyperlink"/>
            <w:color w:val="auto"/>
            <w:rtl/>
          </w:rPr>
        </w:r>
        <w:r w:rsidR="00793212" w:rsidRPr="00824D58">
          <w:rPr>
            <w:rStyle w:val="Hyperlink"/>
            <w:color w:val="auto"/>
            <w:rtl/>
          </w:rPr>
          <w:fldChar w:fldCharType="separate"/>
        </w:r>
        <w:r w:rsidR="00713623">
          <w:rPr>
            <w:webHidden/>
          </w:rPr>
          <w:t>4</w:t>
        </w:r>
        <w:r w:rsidR="00793212" w:rsidRPr="00824D58">
          <w:rPr>
            <w:rStyle w:val="Hyperlink"/>
            <w:color w:val="auto"/>
            <w:rtl/>
          </w:rPr>
          <w:fldChar w:fldCharType="end"/>
        </w:r>
      </w:hyperlink>
    </w:p>
    <w:p w:rsidR="00793212" w:rsidRPr="00824D58" w:rsidRDefault="000A66F6" w:rsidP="00FA415E">
      <w:pPr>
        <w:pStyle w:val="TOC3"/>
        <w:rPr>
          <w:rFonts w:asciiTheme="minorHAnsi" w:hAnsiTheme="minorHAnsi" w:cstheme="minorBidi"/>
          <w:sz w:val="22"/>
          <w:szCs w:val="22"/>
          <w:rtl/>
        </w:rPr>
      </w:pPr>
      <w:hyperlink w:anchor="_Toc60183437" w:history="1">
        <w:r w:rsidR="00793212" w:rsidRPr="00824D58">
          <w:rPr>
            <w:rStyle w:val="Hyperlink"/>
            <w:color w:val="auto"/>
          </w:rPr>
          <w:t>2.1.3.</w:t>
        </w:r>
        <w:r w:rsidR="00793212" w:rsidRPr="00824D58">
          <w:rPr>
            <w:rFonts w:asciiTheme="minorHAnsi" w:hAnsiTheme="minorHAnsi" w:cstheme="minorBidi"/>
            <w:sz w:val="22"/>
            <w:szCs w:val="22"/>
            <w:rtl/>
          </w:rPr>
          <w:tab/>
        </w:r>
        <w:r w:rsidR="00793212" w:rsidRPr="00824D58">
          <w:rPr>
            <w:rStyle w:val="Hyperlink"/>
            <w:color w:val="auto"/>
          </w:rPr>
          <w:t>Prostate Cancer Rates</w:t>
        </w:r>
        <w:r w:rsidR="00793212" w:rsidRPr="00824D58">
          <w:rPr>
            <w:webHidden/>
            <w:rtl/>
          </w:rPr>
          <w:tab/>
        </w:r>
        <w:r w:rsidR="00793212" w:rsidRPr="00824D58">
          <w:rPr>
            <w:rStyle w:val="Hyperlink"/>
            <w:color w:val="auto"/>
            <w:rtl/>
          </w:rPr>
          <w:fldChar w:fldCharType="begin"/>
        </w:r>
        <w:r w:rsidR="00793212" w:rsidRPr="00824D58">
          <w:rPr>
            <w:webHidden/>
            <w:rtl/>
          </w:rPr>
          <w:instrText xml:space="preserve"> </w:instrText>
        </w:r>
        <w:r w:rsidR="00793212" w:rsidRPr="00824D58">
          <w:rPr>
            <w:webHidden/>
          </w:rPr>
          <w:instrText>PAGEREF</w:instrText>
        </w:r>
        <w:r w:rsidR="00793212" w:rsidRPr="00824D58">
          <w:rPr>
            <w:webHidden/>
            <w:rtl/>
          </w:rPr>
          <w:instrText xml:space="preserve"> _</w:instrText>
        </w:r>
        <w:r w:rsidR="00793212" w:rsidRPr="00824D58">
          <w:rPr>
            <w:webHidden/>
          </w:rPr>
          <w:instrText>Toc60183437 \h</w:instrText>
        </w:r>
        <w:r w:rsidR="00793212" w:rsidRPr="00824D58">
          <w:rPr>
            <w:webHidden/>
            <w:rtl/>
          </w:rPr>
          <w:instrText xml:space="preserve"> </w:instrText>
        </w:r>
        <w:r w:rsidR="00793212" w:rsidRPr="00824D58">
          <w:rPr>
            <w:rStyle w:val="Hyperlink"/>
            <w:color w:val="auto"/>
            <w:rtl/>
          </w:rPr>
        </w:r>
        <w:r w:rsidR="00793212" w:rsidRPr="00824D58">
          <w:rPr>
            <w:rStyle w:val="Hyperlink"/>
            <w:color w:val="auto"/>
            <w:rtl/>
          </w:rPr>
          <w:fldChar w:fldCharType="separate"/>
        </w:r>
        <w:r w:rsidR="00713623">
          <w:rPr>
            <w:webHidden/>
          </w:rPr>
          <w:t>5</w:t>
        </w:r>
        <w:r w:rsidR="00793212" w:rsidRPr="00824D58">
          <w:rPr>
            <w:rStyle w:val="Hyperlink"/>
            <w:color w:val="auto"/>
            <w:rtl/>
          </w:rPr>
          <w:fldChar w:fldCharType="end"/>
        </w:r>
      </w:hyperlink>
    </w:p>
    <w:p w:rsidR="00793212" w:rsidRPr="00824D58" w:rsidRDefault="000A66F6" w:rsidP="00FA415E">
      <w:pPr>
        <w:pStyle w:val="TOC3"/>
        <w:rPr>
          <w:rFonts w:asciiTheme="minorHAnsi" w:hAnsiTheme="minorHAnsi" w:cstheme="minorBidi"/>
          <w:sz w:val="22"/>
          <w:szCs w:val="22"/>
          <w:rtl/>
        </w:rPr>
      </w:pPr>
      <w:hyperlink w:anchor="_Toc60183438" w:history="1">
        <w:r w:rsidR="00793212" w:rsidRPr="00824D58">
          <w:rPr>
            <w:rStyle w:val="Hyperlink"/>
            <w:color w:val="auto"/>
          </w:rPr>
          <w:t>2.1.4.</w:t>
        </w:r>
        <w:r w:rsidR="00793212" w:rsidRPr="00824D58">
          <w:rPr>
            <w:rFonts w:asciiTheme="minorHAnsi" w:hAnsiTheme="minorHAnsi" w:cstheme="minorBidi"/>
            <w:sz w:val="22"/>
            <w:szCs w:val="22"/>
            <w:rtl/>
          </w:rPr>
          <w:tab/>
        </w:r>
        <w:r w:rsidR="00793212" w:rsidRPr="00824D58">
          <w:rPr>
            <w:rStyle w:val="Hyperlink"/>
            <w:color w:val="auto"/>
          </w:rPr>
          <w:t>Grading Prostate cancer Aggression</w:t>
        </w:r>
        <w:r w:rsidR="00793212" w:rsidRPr="00824D58">
          <w:rPr>
            <w:webHidden/>
            <w:rtl/>
          </w:rPr>
          <w:tab/>
        </w:r>
        <w:r w:rsidR="00793212" w:rsidRPr="00824D58">
          <w:rPr>
            <w:rStyle w:val="Hyperlink"/>
            <w:color w:val="auto"/>
            <w:rtl/>
          </w:rPr>
          <w:fldChar w:fldCharType="begin"/>
        </w:r>
        <w:r w:rsidR="00793212" w:rsidRPr="00824D58">
          <w:rPr>
            <w:webHidden/>
            <w:rtl/>
          </w:rPr>
          <w:instrText xml:space="preserve"> </w:instrText>
        </w:r>
        <w:r w:rsidR="00793212" w:rsidRPr="00824D58">
          <w:rPr>
            <w:webHidden/>
          </w:rPr>
          <w:instrText>PAGEREF</w:instrText>
        </w:r>
        <w:r w:rsidR="00793212" w:rsidRPr="00824D58">
          <w:rPr>
            <w:webHidden/>
            <w:rtl/>
          </w:rPr>
          <w:instrText xml:space="preserve"> _</w:instrText>
        </w:r>
        <w:r w:rsidR="00793212" w:rsidRPr="00824D58">
          <w:rPr>
            <w:webHidden/>
          </w:rPr>
          <w:instrText>Toc60183438 \h</w:instrText>
        </w:r>
        <w:r w:rsidR="00793212" w:rsidRPr="00824D58">
          <w:rPr>
            <w:webHidden/>
            <w:rtl/>
          </w:rPr>
          <w:instrText xml:space="preserve"> </w:instrText>
        </w:r>
        <w:r w:rsidR="00793212" w:rsidRPr="00824D58">
          <w:rPr>
            <w:rStyle w:val="Hyperlink"/>
            <w:color w:val="auto"/>
            <w:rtl/>
          </w:rPr>
        </w:r>
        <w:r w:rsidR="00793212" w:rsidRPr="00824D58">
          <w:rPr>
            <w:rStyle w:val="Hyperlink"/>
            <w:color w:val="auto"/>
            <w:rtl/>
          </w:rPr>
          <w:fldChar w:fldCharType="separate"/>
        </w:r>
        <w:r w:rsidR="00713623">
          <w:rPr>
            <w:webHidden/>
          </w:rPr>
          <w:t>7</w:t>
        </w:r>
        <w:r w:rsidR="00793212" w:rsidRPr="00824D58">
          <w:rPr>
            <w:rStyle w:val="Hyperlink"/>
            <w:color w:val="auto"/>
            <w:rtl/>
          </w:rPr>
          <w:fldChar w:fldCharType="end"/>
        </w:r>
      </w:hyperlink>
    </w:p>
    <w:p w:rsidR="00793212" w:rsidRPr="00824D58" w:rsidRDefault="000A66F6" w:rsidP="00FA415E">
      <w:pPr>
        <w:pStyle w:val="TOC3"/>
        <w:rPr>
          <w:rFonts w:asciiTheme="minorHAnsi" w:hAnsiTheme="minorHAnsi" w:cstheme="minorBidi"/>
          <w:sz w:val="22"/>
          <w:szCs w:val="22"/>
          <w:rtl/>
        </w:rPr>
      </w:pPr>
      <w:hyperlink w:anchor="_Toc60183439" w:history="1">
        <w:r w:rsidR="00793212" w:rsidRPr="00824D58">
          <w:rPr>
            <w:rStyle w:val="Hyperlink"/>
            <w:color w:val="auto"/>
          </w:rPr>
          <w:t>2.1.5.</w:t>
        </w:r>
        <w:r w:rsidR="00793212" w:rsidRPr="00824D58">
          <w:rPr>
            <w:rFonts w:asciiTheme="minorHAnsi" w:hAnsiTheme="minorHAnsi" w:cstheme="minorBidi"/>
            <w:sz w:val="22"/>
            <w:szCs w:val="22"/>
            <w:rtl/>
          </w:rPr>
          <w:tab/>
        </w:r>
        <w:r w:rsidR="00793212" w:rsidRPr="00824D58">
          <w:rPr>
            <w:rStyle w:val="Hyperlink"/>
            <w:color w:val="auto"/>
          </w:rPr>
          <w:t>Prostate Cancer Diagnosis</w:t>
        </w:r>
        <w:r w:rsidR="00793212" w:rsidRPr="00824D58">
          <w:rPr>
            <w:webHidden/>
            <w:rtl/>
          </w:rPr>
          <w:tab/>
        </w:r>
        <w:r w:rsidR="00793212" w:rsidRPr="00824D58">
          <w:rPr>
            <w:rStyle w:val="Hyperlink"/>
            <w:color w:val="auto"/>
            <w:rtl/>
          </w:rPr>
          <w:fldChar w:fldCharType="begin"/>
        </w:r>
        <w:r w:rsidR="00793212" w:rsidRPr="00824D58">
          <w:rPr>
            <w:webHidden/>
            <w:rtl/>
          </w:rPr>
          <w:instrText xml:space="preserve"> </w:instrText>
        </w:r>
        <w:r w:rsidR="00793212" w:rsidRPr="00824D58">
          <w:rPr>
            <w:webHidden/>
          </w:rPr>
          <w:instrText>PAGEREF</w:instrText>
        </w:r>
        <w:r w:rsidR="00793212" w:rsidRPr="00824D58">
          <w:rPr>
            <w:webHidden/>
            <w:rtl/>
          </w:rPr>
          <w:instrText xml:space="preserve"> _</w:instrText>
        </w:r>
        <w:r w:rsidR="00793212" w:rsidRPr="00824D58">
          <w:rPr>
            <w:webHidden/>
          </w:rPr>
          <w:instrText>Toc60183439 \h</w:instrText>
        </w:r>
        <w:r w:rsidR="00793212" w:rsidRPr="00824D58">
          <w:rPr>
            <w:webHidden/>
            <w:rtl/>
          </w:rPr>
          <w:instrText xml:space="preserve"> </w:instrText>
        </w:r>
        <w:r w:rsidR="00793212" w:rsidRPr="00824D58">
          <w:rPr>
            <w:rStyle w:val="Hyperlink"/>
            <w:color w:val="auto"/>
            <w:rtl/>
          </w:rPr>
        </w:r>
        <w:r w:rsidR="00793212" w:rsidRPr="00824D58">
          <w:rPr>
            <w:rStyle w:val="Hyperlink"/>
            <w:color w:val="auto"/>
            <w:rtl/>
          </w:rPr>
          <w:fldChar w:fldCharType="separate"/>
        </w:r>
        <w:r w:rsidR="00713623">
          <w:rPr>
            <w:webHidden/>
          </w:rPr>
          <w:t>8</w:t>
        </w:r>
        <w:r w:rsidR="00793212" w:rsidRPr="00824D58">
          <w:rPr>
            <w:rStyle w:val="Hyperlink"/>
            <w:color w:val="auto"/>
            <w:rtl/>
          </w:rPr>
          <w:fldChar w:fldCharType="end"/>
        </w:r>
      </w:hyperlink>
    </w:p>
    <w:p w:rsidR="00793212" w:rsidRPr="00824D58" w:rsidRDefault="000A66F6" w:rsidP="00FA415E">
      <w:pPr>
        <w:pStyle w:val="TOC3"/>
        <w:rPr>
          <w:rFonts w:asciiTheme="minorHAnsi" w:hAnsiTheme="minorHAnsi" w:cstheme="minorBidi"/>
          <w:sz w:val="22"/>
          <w:szCs w:val="22"/>
          <w:rtl/>
        </w:rPr>
      </w:pPr>
      <w:hyperlink w:anchor="_Toc60183440" w:history="1">
        <w:r w:rsidR="00793212" w:rsidRPr="00824D58">
          <w:rPr>
            <w:rStyle w:val="Hyperlink"/>
            <w:color w:val="auto"/>
          </w:rPr>
          <w:t>2.1.6.</w:t>
        </w:r>
        <w:r w:rsidR="00793212" w:rsidRPr="00824D58">
          <w:rPr>
            <w:rFonts w:asciiTheme="minorHAnsi" w:hAnsiTheme="minorHAnsi" w:cstheme="minorBidi"/>
            <w:sz w:val="22"/>
            <w:szCs w:val="22"/>
            <w:rtl/>
          </w:rPr>
          <w:tab/>
        </w:r>
        <w:r w:rsidR="00793212" w:rsidRPr="00824D58">
          <w:rPr>
            <w:rStyle w:val="Hyperlink"/>
            <w:color w:val="auto"/>
          </w:rPr>
          <w:t>Prostate Cancer Treatment and Overtreatment</w:t>
        </w:r>
        <w:r w:rsidR="00793212" w:rsidRPr="00824D58">
          <w:rPr>
            <w:webHidden/>
            <w:rtl/>
          </w:rPr>
          <w:tab/>
        </w:r>
        <w:r w:rsidR="00793212" w:rsidRPr="00824D58">
          <w:rPr>
            <w:rStyle w:val="Hyperlink"/>
            <w:color w:val="auto"/>
            <w:rtl/>
          </w:rPr>
          <w:fldChar w:fldCharType="begin"/>
        </w:r>
        <w:r w:rsidR="00793212" w:rsidRPr="00824D58">
          <w:rPr>
            <w:webHidden/>
            <w:rtl/>
          </w:rPr>
          <w:instrText xml:space="preserve"> </w:instrText>
        </w:r>
        <w:r w:rsidR="00793212" w:rsidRPr="00824D58">
          <w:rPr>
            <w:webHidden/>
          </w:rPr>
          <w:instrText>PAGEREF</w:instrText>
        </w:r>
        <w:r w:rsidR="00793212" w:rsidRPr="00824D58">
          <w:rPr>
            <w:webHidden/>
            <w:rtl/>
          </w:rPr>
          <w:instrText xml:space="preserve"> _</w:instrText>
        </w:r>
        <w:r w:rsidR="00793212" w:rsidRPr="00824D58">
          <w:rPr>
            <w:webHidden/>
          </w:rPr>
          <w:instrText>Toc60183440 \h</w:instrText>
        </w:r>
        <w:r w:rsidR="00793212" w:rsidRPr="00824D58">
          <w:rPr>
            <w:webHidden/>
            <w:rtl/>
          </w:rPr>
          <w:instrText xml:space="preserve"> </w:instrText>
        </w:r>
        <w:r w:rsidR="00793212" w:rsidRPr="00824D58">
          <w:rPr>
            <w:rStyle w:val="Hyperlink"/>
            <w:color w:val="auto"/>
            <w:rtl/>
          </w:rPr>
        </w:r>
        <w:r w:rsidR="00793212" w:rsidRPr="00824D58">
          <w:rPr>
            <w:rStyle w:val="Hyperlink"/>
            <w:color w:val="auto"/>
            <w:rtl/>
          </w:rPr>
          <w:fldChar w:fldCharType="separate"/>
        </w:r>
        <w:r w:rsidR="00713623">
          <w:rPr>
            <w:webHidden/>
          </w:rPr>
          <w:t>9</w:t>
        </w:r>
        <w:r w:rsidR="00793212" w:rsidRPr="00824D58">
          <w:rPr>
            <w:rStyle w:val="Hyperlink"/>
            <w:color w:val="auto"/>
            <w:rtl/>
          </w:rPr>
          <w:fldChar w:fldCharType="end"/>
        </w:r>
      </w:hyperlink>
    </w:p>
    <w:p w:rsidR="00793212" w:rsidRPr="00824D58" w:rsidRDefault="000A66F6" w:rsidP="003974BD">
      <w:pPr>
        <w:pStyle w:val="TOC2"/>
        <w:rPr>
          <w:rFonts w:asciiTheme="minorHAnsi" w:hAnsiTheme="minorHAnsi" w:cstheme="minorBidi"/>
          <w:noProof/>
          <w:sz w:val="22"/>
          <w:szCs w:val="22"/>
          <w:rtl/>
        </w:rPr>
      </w:pPr>
      <w:hyperlink w:anchor="_Toc60183441" w:history="1">
        <w:r w:rsidR="00793212" w:rsidRPr="00824D58">
          <w:rPr>
            <w:rStyle w:val="Hyperlink"/>
            <w:noProof/>
            <w:color w:val="auto"/>
          </w:rPr>
          <w:t>2.2.</w:t>
        </w:r>
        <w:r w:rsidR="00793212" w:rsidRPr="00824D58">
          <w:rPr>
            <w:rFonts w:asciiTheme="minorHAnsi" w:hAnsiTheme="minorHAnsi" w:cstheme="minorBidi"/>
            <w:noProof/>
            <w:sz w:val="22"/>
            <w:szCs w:val="22"/>
            <w:rtl/>
          </w:rPr>
          <w:tab/>
        </w:r>
        <w:r w:rsidR="00793212" w:rsidRPr="00824D58">
          <w:rPr>
            <w:rStyle w:val="Hyperlink"/>
            <w:noProof/>
            <w:color w:val="auto"/>
          </w:rPr>
          <w:t>Hepcidin</w:t>
        </w:r>
        <w:r w:rsidR="00793212" w:rsidRPr="00824D58">
          <w:rPr>
            <w:noProof/>
            <w:webHidden/>
            <w:rtl/>
          </w:rPr>
          <w:tab/>
        </w:r>
        <w:r w:rsidR="00793212">
          <w:rPr>
            <w:noProof/>
            <w:webHidden/>
          </w:rPr>
          <w:t>………………………………………………………………..….</w:t>
        </w:r>
        <w:r w:rsidR="00793212" w:rsidRPr="00B54F56">
          <w:rPr>
            <w:rStyle w:val="Hyperlink"/>
            <w:noProof/>
            <w:color w:val="auto"/>
            <w:u w:val="none"/>
          </w:rPr>
          <w:t>1</w:t>
        </w:r>
      </w:hyperlink>
      <w:r w:rsidR="00793212" w:rsidRPr="00B54F56">
        <w:rPr>
          <w:rStyle w:val="Hyperlink"/>
          <w:noProof/>
          <w:color w:val="auto"/>
          <w:u w:val="none"/>
        </w:rPr>
        <w:t>0</w:t>
      </w:r>
    </w:p>
    <w:p w:rsidR="00793212" w:rsidRPr="00824D58" w:rsidRDefault="000A66F6" w:rsidP="00FA415E">
      <w:pPr>
        <w:pStyle w:val="TOC3"/>
        <w:rPr>
          <w:rFonts w:asciiTheme="minorHAnsi" w:hAnsiTheme="minorHAnsi" w:cstheme="minorBidi"/>
          <w:sz w:val="22"/>
          <w:szCs w:val="22"/>
          <w:rtl/>
        </w:rPr>
      </w:pPr>
      <w:hyperlink w:anchor="_Toc60183442" w:history="1">
        <w:r w:rsidR="00793212" w:rsidRPr="00824D58">
          <w:rPr>
            <w:rStyle w:val="Hyperlink"/>
            <w:color w:val="auto"/>
          </w:rPr>
          <w:t>2.2.1.</w:t>
        </w:r>
        <w:r w:rsidR="00793212" w:rsidRPr="00824D58">
          <w:rPr>
            <w:rFonts w:asciiTheme="minorHAnsi" w:hAnsiTheme="minorHAnsi" w:cstheme="minorBidi"/>
            <w:sz w:val="22"/>
            <w:szCs w:val="22"/>
            <w:rtl/>
          </w:rPr>
          <w:tab/>
        </w:r>
        <w:r w:rsidR="00793212" w:rsidRPr="00824D58">
          <w:rPr>
            <w:rStyle w:val="Hyperlink"/>
            <w:color w:val="auto"/>
          </w:rPr>
          <w:t>Discover and Role</w:t>
        </w:r>
        <w:r w:rsidR="00793212" w:rsidRPr="00824D58">
          <w:rPr>
            <w:webHidden/>
            <w:rtl/>
          </w:rPr>
          <w:tab/>
        </w:r>
        <w:r w:rsidR="00793212">
          <w:rPr>
            <w:webHidden/>
          </w:rPr>
          <w:t>………………………………………………………</w:t>
        </w:r>
        <w:r w:rsidR="00793212" w:rsidRPr="00B54F56">
          <w:rPr>
            <w:rStyle w:val="Hyperlink"/>
            <w:color w:val="auto"/>
            <w:u w:val="none"/>
          </w:rPr>
          <w:t>1</w:t>
        </w:r>
      </w:hyperlink>
      <w:r w:rsidR="00793212" w:rsidRPr="00B54F56">
        <w:rPr>
          <w:rStyle w:val="Hyperlink"/>
          <w:color w:val="auto"/>
          <w:u w:val="none"/>
        </w:rPr>
        <w:t>0</w:t>
      </w:r>
    </w:p>
    <w:p w:rsidR="00793212" w:rsidRPr="00824D58" w:rsidRDefault="000A66F6" w:rsidP="00FA415E">
      <w:pPr>
        <w:pStyle w:val="TOC3"/>
        <w:rPr>
          <w:rFonts w:asciiTheme="minorHAnsi" w:hAnsiTheme="minorHAnsi" w:cstheme="minorBidi"/>
          <w:sz w:val="22"/>
          <w:szCs w:val="22"/>
          <w:rtl/>
        </w:rPr>
      </w:pPr>
      <w:hyperlink w:anchor="_Toc60183443" w:history="1">
        <w:r w:rsidR="00793212" w:rsidRPr="00824D58">
          <w:rPr>
            <w:rStyle w:val="Hyperlink"/>
            <w:color w:val="auto"/>
          </w:rPr>
          <w:t>2.2.2.</w:t>
        </w:r>
        <w:r w:rsidR="00793212" w:rsidRPr="00824D58">
          <w:rPr>
            <w:rFonts w:asciiTheme="minorHAnsi" w:hAnsiTheme="minorHAnsi" w:cstheme="minorBidi"/>
            <w:sz w:val="22"/>
            <w:szCs w:val="22"/>
            <w:rtl/>
          </w:rPr>
          <w:tab/>
        </w:r>
        <w:r w:rsidR="00793212" w:rsidRPr="00824D58">
          <w:rPr>
            <w:rStyle w:val="Hyperlink"/>
            <w:color w:val="auto"/>
          </w:rPr>
          <w:t>Hepcidin Function</w:t>
        </w:r>
        <w:r w:rsidR="00793212" w:rsidRPr="00824D58">
          <w:rPr>
            <w:webHidden/>
            <w:rtl/>
          </w:rPr>
          <w:tab/>
        </w:r>
        <w:r w:rsidR="00793212">
          <w:rPr>
            <w:webHidden/>
          </w:rPr>
          <w:t>………………………………………………………</w:t>
        </w:r>
        <w:r w:rsidR="00793212" w:rsidRPr="00824D58">
          <w:rPr>
            <w:rStyle w:val="Hyperlink"/>
            <w:color w:val="auto"/>
            <w:rtl/>
          </w:rPr>
          <w:fldChar w:fldCharType="begin"/>
        </w:r>
        <w:r w:rsidR="00793212" w:rsidRPr="00824D58">
          <w:rPr>
            <w:webHidden/>
            <w:rtl/>
          </w:rPr>
          <w:instrText xml:space="preserve"> </w:instrText>
        </w:r>
        <w:r w:rsidR="00793212" w:rsidRPr="00824D58">
          <w:rPr>
            <w:webHidden/>
          </w:rPr>
          <w:instrText>PAGEREF</w:instrText>
        </w:r>
        <w:r w:rsidR="00793212" w:rsidRPr="00824D58">
          <w:rPr>
            <w:webHidden/>
            <w:rtl/>
          </w:rPr>
          <w:instrText xml:space="preserve"> _</w:instrText>
        </w:r>
        <w:r w:rsidR="00793212" w:rsidRPr="00824D58">
          <w:rPr>
            <w:webHidden/>
          </w:rPr>
          <w:instrText>Toc60183443 \h</w:instrText>
        </w:r>
        <w:r w:rsidR="00793212" w:rsidRPr="00824D58">
          <w:rPr>
            <w:webHidden/>
            <w:rtl/>
          </w:rPr>
          <w:instrText xml:space="preserve"> </w:instrText>
        </w:r>
        <w:r w:rsidR="00793212" w:rsidRPr="00824D58">
          <w:rPr>
            <w:rStyle w:val="Hyperlink"/>
            <w:color w:val="auto"/>
            <w:rtl/>
          </w:rPr>
        </w:r>
        <w:r w:rsidR="00793212" w:rsidRPr="00824D58">
          <w:rPr>
            <w:rStyle w:val="Hyperlink"/>
            <w:color w:val="auto"/>
            <w:rtl/>
          </w:rPr>
          <w:fldChar w:fldCharType="separate"/>
        </w:r>
        <w:r w:rsidR="00713623">
          <w:rPr>
            <w:webHidden/>
          </w:rPr>
          <w:t>11</w:t>
        </w:r>
        <w:r w:rsidR="00793212" w:rsidRPr="00824D58">
          <w:rPr>
            <w:rStyle w:val="Hyperlink"/>
            <w:color w:val="auto"/>
            <w:rtl/>
          </w:rPr>
          <w:fldChar w:fldCharType="end"/>
        </w:r>
      </w:hyperlink>
    </w:p>
    <w:p w:rsidR="00793212" w:rsidRPr="00824D58" w:rsidRDefault="000A66F6" w:rsidP="00FA415E">
      <w:pPr>
        <w:pStyle w:val="TOC3"/>
        <w:rPr>
          <w:rFonts w:asciiTheme="minorHAnsi" w:hAnsiTheme="minorHAnsi" w:cstheme="minorBidi"/>
          <w:sz w:val="22"/>
          <w:szCs w:val="22"/>
          <w:rtl/>
        </w:rPr>
      </w:pPr>
      <w:hyperlink w:anchor="_Toc60183444" w:history="1">
        <w:r w:rsidR="00793212" w:rsidRPr="00824D58">
          <w:rPr>
            <w:rStyle w:val="Hyperlink"/>
            <w:color w:val="auto"/>
          </w:rPr>
          <w:t>2.2.3.</w:t>
        </w:r>
        <w:r w:rsidR="00793212" w:rsidRPr="00824D58">
          <w:rPr>
            <w:rFonts w:asciiTheme="minorHAnsi" w:hAnsiTheme="minorHAnsi" w:cstheme="minorBidi"/>
            <w:sz w:val="22"/>
            <w:szCs w:val="22"/>
            <w:rtl/>
          </w:rPr>
          <w:tab/>
        </w:r>
        <w:r w:rsidR="00793212" w:rsidRPr="00824D58">
          <w:rPr>
            <w:rStyle w:val="Hyperlink"/>
            <w:color w:val="auto"/>
          </w:rPr>
          <w:t>Synthesis and Structure of Hepcidin</w:t>
        </w:r>
      </w:hyperlink>
      <w:r w:rsidR="00911AD1" w:rsidRPr="00FA415E">
        <w:rPr>
          <w:rStyle w:val="Hyperlink"/>
          <w:color w:val="auto"/>
          <w:u w:val="none"/>
        </w:rPr>
        <w:t xml:space="preserve"> …………………………………….12</w:t>
      </w:r>
    </w:p>
    <w:p w:rsidR="00793212" w:rsidRPr="00824D58" w:rsidRDefault="000A66F6" w:rsidP="00FA415E">
      <w:pPr>
        <w:pStyle w:val="TOC3"/>
        <w:rPr>
          <w:rFonts w:asciiTheme="minorHAnsi" w:hAnsiTheme="minorHAnsi" w:cstheme="minorBidi"/>
          <w:sz w:val="22"/>
          <w:szCs w:val="22"/>
          <w:rtl/>
        </w:rPr>
      </w:pPr>
      <w:hyperlink w:anchor="_Toc60183445" w:history="1">
        <w:r w:rsidR="00793212" w:rsidRPr="00824D58">
          <w:rPr>
            <w:rStyle w:val="Hyperlink"/>
            <w:color w:val="auto"/>
          </w:rPr>
          <w:t>2.2.4.</w:t>
        </w:r>
        <w:r w:rsidR="00793212" w:rsidRPr="00824D58">
          <w:rPr>
            <w:rFonts w:asciiTheme="minorHAnsi" w:hAnsiTheme="minorHAnsi" w:cstheme="minorBidi"/>
            <w:sz w:val="22"/>
            <w:szCs w:val="22"/>
            <w:rtl/>
          </w:rPr>
          <w:tab/>
        </w:r>
        <w:r w:rsidR="00793212" w:rsidRPr="00824D58">
          <w:rPr>
            <w:rStyle w:val="Hyperlink"/>
            <w:color w:val="auto"/>
          </w:rPr>
          <w:t>Hepcidin Kinetics</w:t>
        </w:r>
        <w:r w:rsidR="00793212" w:rsidRPr="00824D58">
          <w:rPr>
            <w:webHidden/>
            <w:rtl/>
          </w:rPr>
          <w:tab/>
        </w:r>
        <w:r w:rsidR="00793212">
          <w:rPr>
            <w:webHidden/>
          </w:rPr>
          <w:t>………………………………………………………</w:t>
        </w:r>
        <w:r w:rsidR="00793212" w:rsidRPr="00824D58">
          <w:rPr>
            <w:rStyle w:val="Hyperlink"/>
            <w:color w:val="auto"/>
            <w:rtl/>
          </w:rPr>
          <w:fldChar w:fldCharType="begin"/>
        </w:r>
        <w:r w:rsidR="00793212" w:rsidRPr="00824D58">
          <w:rPr>
            <w:webHidden/>
            <w:rtl/>
          </w:rPr>
          <w:instrText xml:space="preserve"> </w:instrText>
        </w:r>
        <w:r w:rsidR="00793212" w:rsidRPr="00824D58">
          <w:rPr>
            <w:webHidden/>
          </w:rPr>
          <w:instrText>PAGEREF</w:instrText>
        </w:r>
        <w:r w:rsidR="00793212" w:rsidRPr="00824D58">
          <w:rPr>
            <w:webHidden/>
            <w:rtl/>
          </w:rPr>
          <w:instrText xml:space="preserve"> _</w:instrText>
        </w:r>
        <w:r w:rsidR="00793212" w:rsidRPr="00824D58">
          <w:rPr>
            <w:webHidden/>
          </w:rPr>
          <w:instrText>Toc60183445 \h</w:instrText>
        </w:r>
        <w:r w:rsidR="00793212" w:rsidRPr="00824D58">
          <w:rPr>
            <w:webHidden/>
            <w:rtl/>
          </w:rPr>
          <w:instrText xml:space="preserve"> </w:instrText>
        </w:r>
        <w:r w:rsidR="00793212" w:rsidRPr="00824D58">
          <w:rPr>
            <w:rStyle w:val="Hyperlink"/>
            <w:color w:val="auto"/>
            <w:rtl/>
          </w:rPr>
        </w:r>
        <w:r w:rsidR="00793212" w:rsidRPr="00824D58">
          <w:rPr>
            <w:rStyle w:val="Hyperlink"/>
            <w:color w:val="auto"/>
            <w:rtl/>
          </w:rPr>
          <w:fldChar w:fldCharType="separate"/>
        </w:r>
        <w:r w:rsidR="00713623">
          <w:rPr>
            <w:webHidden/>
          </w:rPr>
          <w:t>14</w:t>
        </w:r>
        <w:r w:rsidR="00793212" w:rsidRPr="00824D58">
          <w:rPr>
            <w:rStyle w:val="Hyperlink"/>
            <w:color w:val="auto"/>
            <w:rtl/>
          </w:rPr>
          <w:fldChar w:fldCharType="end"/>
        </w:r>
      </w:hyperlink>
    </w:p>
    <w:p w:rsidR="00793212" w:rsidRPr="00824D58" w:rsidRDefault="000A66F6" w:rsidP="00FA415E">
      <w:pPr>
        <w:pStyle w:val="TOC3"/>
        <w:rPr>
          <w:rFonts w:asciiTheme="minorHAnsi" w:hAnsiTheme="minorHAnsi" w:cstheme="minorBidi"/>
          <w:sz w:val="22"/>
          <w:szCs w:val="22"/>
          <w:rtl/>
        </w:rPr>
      </w:pPr>
      <w:hyperlink w:anchor="_Toc60183446" w:history="1">
        <w:r w:rsidR="00793212" w:rsidRPr="00824D58">
          <w:rPr>
            <w:rStyle w:val="Hyperlink"/>
            <w:color w:val="auto"/>
          </w:rPr>
          <w:t>2.2.5.</w:t>
        </w:r>
        <w:r w:rsidR="00793212" w:rsidRPr="00824D58">
          <w:rPr>
            <w:rFonts w:asciiTheme="minorHAnsi" w:hAnsiTheme="minorHAnsi" w:cstheme="minorBidi"/>
            <w:sz w:val="22"/>
            <w:szCs w:val="22"/>
            <w:rtl/>
          </w:rPr>
          <w:tab/>
        </w:r>
        <w:r w:rsidR="00793212" w:rsidRPr="00824D58">
          <w:rPr>
            <w:rStyle w:val="Hyperlink"/>
            <w:color w:val="auto"/>
          </w:rPr>
          <w:t>Hapcidin, Iron and inflammation</w:t>
        </w:r>
        <w:r w:rsidR="00793212" w:rsidRPr="00824D58">
          <w:rPr>
            <w:webHidden/>
            <w:rtl/>
          </w:rPr>
          <w:tab/>
        </w:r>
        <w:r w:rsidR="00793212" w:rsidRPr="00824D58">
          <w:rPr>
            <w:rStyle w:val="Hyperlink"/>
            <w:color w:val="auto"/>
            <w:rtl/>
          </w:rPr>
          <w:fldChar w:fldCharType="begin"/>
        </w:r>
        <w:r w:rsidR="00793212" w:rsidRPr="00824D58">
          <w:rPr>
            <w:webHidden/>
            <w:rtl/>
          </w:rPr>
          <w:instrText xml:space="preserve"> </w:instrText>
        </w:r>
        <w:r w:rsidR="00793212" w:rsidRPr="00824D58">
          <w:rPr>
            <w:webHidden/>
          </w:rPr>
          <w:instrText>PAGEREF</w:instrText>
        </w:r>
        <w:r w:rsidR="00793212" w:rsidRPr="00824D58">
          <w:rPr>
            <w:webHidden/>
            <w:rtl/>
          </w:rPr>
          <w:instrText xml:space="preserve"> _</w:instrText>
        </w:r>
        <w:r w:rsidR="00793212" w:rsidRPr="00824D58">
          <w:rPr>
            <w:webHidden/>
          </w:rPr>
          <w:instrText>Toc60183446 \h</w:instrText>
        </w:r>
        <w:r w:rsidR="00793212" w:rsidRPr="00824D58">
          <w:rPr>
            <w:webHidden/>
            <w:rtl/>
          </w:rPr>
          <w:instrText xml:space="preserve"> </w:instrText>
        </w:r>
        <w:r w:rsidR="00793212" w:rsidRPr="00824D58">
          <w:rPr>
            <w:rStyle w:val="Hyperlink"/>
            <w:color w:val="auto"/>
            <w:rtl/>
          </w:rPr>
        </w:r>
        <w:r w:rsidR="00793212" w:rsidRPr="00824D58">
          <w:rPr>
            <w:rStyle w:val="Hyperlink"/>
            <w:color w:val="auto"/>
            <w:rtl/>
          </w:rPr>
          <w:fldChar w:fldCharType="separate"/>
        </w:r>
        <w:r w:rsidR="00713623">
          <w:rPr>
            <w:webHidden/>
          </w:rPr>
          <w:t>15</w:t>
        </w:r>
        <w:r w:rsidR="00793212" w:rsidRPr="00824D58">
          <w:rPr>
            <w:rStyle w:val="Hyperlink"/>
            <w:color w:val="auto"/>
            <w:rtl/>
          </w:rPr>
          <w:fldChar w:fldCharType="end"/>
        </w:r>
      </w:hyperlink>
    </w:p>
    <w:p w:rsidR="00793212" w:rsidRPr="00824D58" w:rsidRDefault="000A66F6" w:rsidP="00FA415E">
      <w:pPr>
        <w:pStyle w:val="TOC3"/>
        <w:rPr>
          <w:rFonts w:asciiTheme="minorHAnsi" w:hAnsiTheme="minorHAnsi" w:cstheme="minorBidi"/>
          <w:sz w:val="22"/>
          <w:szCs w:val="22"/>
          <w:rtl/>
        </w:rPr>
      </w:pPr>
      <w:hyperlink w:anchor="_Toc60183447" w:history="1">
        <w:r w:rsidR="00793212" w:rsidRPr="00824D58">
          <w:rPr>
            <w:rStyle w:val="Hyperlink"/>
            <w:color w:val="auto"/>
          </w:rPr>
          <w:t>2.2.6.</w:t>
        </w:r>
        <w:r w:rsidR="00793212" w:rsidRPr="00824D58">
          <w:rPr>
            <w:rFonts w:asciiTheme="minorHAnsi" w:hAnsiTheme="minorHAnsi" w:cstheme="minorBidi"/>
            <w:sz w:val="22"/>
            <w:szCs w:val="22"/>
            <w:rtl/>
          </w:rPr>
          <w:tab/>
        </w:r>
        <w:r w:rsidR="00793212" w:rsidRPr="00824D58">
          <w:rPr>
            <w:rStyle w:val="Hyperlink"/>
            <w:color w:val="auto"/>
          </w:rPr>
          <w:t>Hepcidin and peripheral blood leukocytes</w:t>
        </w:r>
        <w:r w:rsidR="00793212" w:rsidRPr="00824D58">
          <w:rPr>
            <w:webHidden/>
            <w:rtl/>
          </w:rPr>
          <w:tab/>
        </w:r>
        <w:r w:rsidR="00793212">
          <w:rPr>
            <w:rStyle w:val="Hyperlink"/>
            <w:color w:val="auto"/>
          </w:rPr>
          <w:t>19</w:t>
        </w:r>
      </w:hyperlink>
    </w:p>
    <w:p w:rsidR="00793212" w:rsidRDefault="000A66F6" w:rsidP="00FA415E">
      <w:pPr>
        <w:pStyle w:val="TOC3"/>
        <w:rPr>
          <w:rStyle w:val="Hyperlink"/>
          <w:color w:val="auto"/>
        </w:rPr>
      </w:pPr>
      <w:hyperlink w:anchor="_Toc60183448" w:history="1">
        <w:r w:rsidR="00793212" w:rsidRPr="00824D58">
          <w:rPr>
            <w:rStyle w:val="Hyperlink"/>
            <w:color w:val="auto"/>
          </w:rPr>
          <w:t>2.2.7.</w:t>
        </w:r>
        <w:r w:rsidR="00793212" w:rsidRPr="00824D58">
          <w:rPr>
            <w:rFonts w:asciiTheme="minorHAnsi" w:hAnsiTheme="minorHAnsi" w:cstheme="minorBidi"/>
            <w:sz w:val="22"/>
            <w:szCs w:val="22"/>
            <w:rtl/>
          </w:rPr>
          <w:tab/>
        </w:r>
        <w:r w:rsidR="00793212" w:rsidRPr="00824D58">
          <w:rPr>
            <w:rStyle w:val="Hyperlink"/>
            <w:color w:val="auto"/>
          </w:rPr>
          <w:t>Regulation of Hepcidin</w:t>
        </w:r>
        <w:r w:rsidR="00793212" w:rsidRPr="00824D58">
          <w:rPr>
            <w:webHidden/>
            <w:rtl/>
          </w:rPr>
          <w:tab/>
        </w:r>
        <w:r w:rsidR="00793212" w:rsidRPr="00824D58">
          <w:rPr>
            <w:rStyle w:val="Hyperlink"/>
            <w:color w:val="auto"/>
            <w:rtl/>
          </w:rPr>
          <w:fldChar w:fldCharType="begin"/>
        </w:r>
        <w:r w:rsidR="00793212" w:rsidRPr="00824D58">
          <w:rPr>
            <w:webHidden/>
            <w:rtl/>
          </w:rPr>
          <w:instrText xml:space="preserve"> </w:instrText>
        </w:r>
        <w:r w:rsidR="00793212" w:rsidRPr="00824D58">
          <w:rPr>
            <w:webHidden/>
          </w:rPr>
          <w:instrText>PAGEREF</w:instrText>
        </w:r>
        <w:r w:rsidR="00793212" w:rsidRPr="00824D58">
          <w:rPr>
            <w:webHidden/>
            <w:rtl/>
          </w:rPr>
          <w:instrText xml:space="preserve"> _</w:instrText>
        </w:r>
        <w:r w:rsidR="00793212" w:rsidRPr="00824D58">
          <w:rPr>
            <w:webHidden/>
          </w:rPr>
          <w:instrText>Toc60183448 \h</w:instrText>
        </w:r>
        <w:r w:rsidR="00793212" w:rsidRPr="00824D58">
          <w:rPr>
            <w:webHidden/>
            <w:rtl/>
          </w:rPr>
          <w:instrText xml:space="preserve"> </w:instrText>
        </w:r>
        <w:r w:rsidR="00793212" w:rsidRPr="00824D58">
          <w:rPr>
            <w:rStyle w:val="Hyperlink"/>
            <w:color w:val="auto"/>
            <w:rtl/>
          </w:rPr>
        </w:r>
        <w:r w:rsidR="00793212" w:rsidRPr="00824D58">
          <w:rPr>
            <w:rStyle w:val="Hyperlink"/>
            <w:color w:val="auto"/>
            <w:rtl/>
          </w:rPr>
          <w:fldChar w:fldCharType="separate"/>
        </w:r>
        <w:r w:rsidR="00713623">
          <w:rPr>
            <w:webHidden/>
          </w:rPr>
          <w:t>19</w:t>
        </w:r>
        <w:r w:rsidR="00793212" w:rsidRPr="00824D58">
          <w:rPr>
            <w:rStyle w:val="Hyperlink"/>
            <w:color w:val="auto"/>
            <w:rtl/>
          </w:rPr>
          <w:fldChar w:fldCharType="end"/>
        </w:r>
      </w:hyperlink>
    </w:p>
    <w:p w:rsidR="00793212" w:rsidRDefault="000A66F6" w:rsidP="00FA415E">
      <w:pPr>
        <w:pStyle w:val="TOC3"/>
        <w:rPr>
          <w:rStyle w:val="Hyperlink"/>
          <w:color w:val="auto"/>
        </w:rPr>
      </w:pPr>
      <w:hyperlink w:anchor="_Toc60183449" w:history="1">
        <w:r w:rsidR="00793212" w:rsidRPr="00824D58">
          <w:rPr>
            <w:rStyle w:val="Hyperlink"/>
            <w:color w:val="auto"/>
          </w:rPr>
          <w:t>2.2.8.</w:t>
        </w:r>
        <w:r w:rsidR="00793212" w:rsidRPr="00824D58">
          <w:rPr>
            <w:rFonts w:asciiTheme="minorHAnsi" w:hAnsiTheme="minorHAnsi" w:cstheme="minorBidi"/>
            <w:sz w:val="22"/>
            <w:szCs w:val="22"/>
            <w:rtl/>
          </w:rPr>
          <w:tab/>
        </w:r>
        <w:r>
          <w:rPr>
            <w:rFonts w:asciiTheme="minorHAnsi" w:hAnsiTheme="minorHAnsi" w:cstheme="minorBidi"/>
            <w:sz w:val="22"/>
            <w:szCs w:val="22"/>
          </w:rPr>
          <w:t xml:space="preserve"> </w:t>
        </w:r>
        <w:r w:rsidR="00793212" w:rsidRPr="00824D58">
          <w:rPr>
            <w:rStyle w:val="Hyperlink"/>
            <w:color w:val="auto"/>
          </w:rPr>
          <w:t>Therapeutic aspects of Hepcidin</w:t>
        </w:r>
        <w:r w:rsidR="00793212" w:rsidRPr="00824D58">
          <w:rPr>
            <w:webHidden/>
            <w:rtl/>
          </w:rPr>
          <w:tab/>
        </w:r>
        <w:r w:rsidR="00793212">
          <w:rPr>
            <w:rStyle w:val="Hyperlink"/>
            <w:color w:val="auto"/>
          </w:rPr>
          <w:t>2</w:t>
        </w:r>
      </w:hyperlink>
      <w:r w:rsidR="00793212">
        <w:rPr>
          <w:rStyle w:val="Hyperlink"/>
          <w:color w:val="auto"/>
        </w:rPr>
        <w:t>3</w:t>
      </w:r>
    </w:p>
    <w:p w:rsidR="00793212" w:rsidRDefault="000A66F6" w:rsidP="00FA415E">
      <w:pPr>
        <w:pStyle w:val="TOC3"/>
        <w:rPr>
          <w:rStyle w:val="Hyperlink"/>
          <w:color w:val="auto"/>
        </w:rPr>
      </w:pPr>
      <w:hyperlink w:anchor="_Toc60183450" w:history="1">
        <w:r w:rsidR="00793212" w:rsidRPr="00824D58">
          <w:rPr>
            <w:rStyle w:val="Hyperlink"/>
            <w:color w:val="auto"/>
          </w:rPr>
          <w:t>2.2.9.</w:t>
        </w:r>
        <w:r w:rsidR="00793212" w:rsidRPr="00824D58">
          <w:rPr>
            <w:rFonts w:asciiTheme="minorHAnsi" w:hAnsiTheme="minorHAnsi" w:cstheme="minorBidi"/>
            <w:sz w:val="22"/>
            <w:szCs w:val="22"/>
            <w:rtl/>
          </w:rPr>
          <w:tab/>
        </w:r>
        <w:r w:rsidR="00793212" w:rsidRPr="00824D58">
          <w:rPr>
            <w:rStyle w:val="Hyperlink"/>
            <w:color w:val="auto"/>
          </w:rPr>
          <w:t>Growth differentiation factor-15 (GDF15)</w:t>
        </w:r>
        <w:r w:rsidR="00793212" w:rsidRPr="00824D58">
          <w:rPr>
            <w:webHidden/>
            <w:rtl/>
          </w:rPr>
          <w:tab/>
        </w:r>
        <w:r w:rsidR="00793212" w:rsidRPr="00824D58">
          <w:rPr>
            <w:rStyle w:val="Hyperlink"/>
            <w:color w:val="auto"/>
            <w:rtl/>
          </w:rPr>
          <w:fldChar w:fldCharType="begin"/>
        </w:r>
        <w:r w:rsidR="00793212" w:rsidRPr="00824D58">
          <w:rPr>
            <w:webHidden/>
            <w:rtl/>
          </w:rPr>
          <w:instrText xml:space="preserve"> </w:instrText>
        </w:r>
        <w:r w:rsidR="00793212" w:rsidRPr="00824D58">
          <w:rPr>
            <w:webHidden/>
          </w:rPr>
          <w:instrText>PAGEREF</w:instrText>
        </w:r>
        <w:r w:rsidR="00793212" w:rsidRPr="00824D58">
          <w:rPr>
            <w:webHidden/>
            <w:rtl/>
          </w:rPr>
          <w:instrText xml:space="preserve"> _</w:instrText>
        </w:r>
        <w:r w:rsidR="00793212" w:rsidRPr="00824D58">
          <w:rPr>
            <w:webHidden/>
          </w:rPr>
          <w:instrText>Toc60183450 \h</w:instrText>
        </w:r>
        <w:r w:rsidR="00793212" w:rsidRPr="00824D58">
          <w:rPr>
            <w:webHidden/>
            <w:rtl/>
          </w:rPr>
          <w:instrText xml:space="preserve"> </w:instrText>
        </w:r>
        <w:r w:rsidR="00793212" w:rsidRPr="00824D58">
          <w:rPr>
            <w:rStyle w:val="Hyperlink"/>
            <w:color w:val="auto"/>
            <w:rtl/>
          </w:rPr>
        </w:r>
        <w:r w:rsidR="00793212" w:rsidRPr="00824D58">
          <w:rPr>
            <w:rStyle w:val="Hyperlink"/>
            <w:color w:val="auto"/>
            <w:rtl/>
          </w:rPr>
          <w:fldChar w:fldCharType="separate"/>
        </w:r>
        <w:r w:rsidR="00713623">
          <w:rPr>
            <w:webHidden/>
          </w:rPr>
          <w:t>24</w:t>
        </w:r>
        <w:r w:rsidR="00793212" w:rsidRPr="00824D58">
          <w:rPr>
            <w:rStyle w:val="Hyperlink"/>
            <w:color w:val="auto"/>
            <w:rtl/>
          </w:rPr>
          <w:fldChar w:fldCharType="end"/>
        </w:r>
      </w:hyperlink>
    </w:p>
    <w:p w:rsidR="00793212" w:rsidRPr="00824D58" w:rsidRDefault="000A66F6" w:rsidP="003974BD">
      <w:pPr>
        <w:pStyle w:val="TOC2"/>
        <w:rPr>
          <w:rFonts w:asciiTheme="minorHAnsi" w:hAnsiTheme="minorHAnsi" w:cstheme="minorBidi"/>
          <w:noProof/>
          <w:sz w:val="22"/>
          <w:szCs w:val="22"/>
          <w:rtl/>
        </w:rPr>
      </w:pPr>
      <w:hyperlink w:anchor="_Toc60183451" w:history="1">
        <w:r w:rsidR="00793212" w:rsidRPr="00824D58">
          <w:rPr>
            <w:rStyle w:val="Hyperlink"/>
            <w:noProof/>
            <w:color w:val="auto"/>
          </w:rPr>
          <w:t>2.3.</w:t>
        </w:r>
        <w:r w:rsidR="00793212" w:rsidRPr="00824D58">
          <w:rPr>
            <w:rFonts w:asciiTheme="minorHAnsi" w:hAnsiTheme="minorHAnsi" w:cstheme="minorBidi"/>
            <w:noProof/>
            <w:sz w:val="22"/>
            <w:szCs w:val="22"/>
            <w:rtl/>
          </w:rPr>
          <w:tab/>
        </w:r>
        <w:r w:rsidR="00793212" w:rsidRPr="00824D58">
          <w:rPr>
            <w:rStyle w:val="Hyperlink"/>
            <w:noProof/>
            <w:color w:val="auto"/>
          </w:rPr>
          <w:t>Hormone</w:t>
        </w:r>
        <w:r w:rsidR="00793212">
          <w:rPr>
            <w:noProof/>
            <w:webHidden/>
          </w:rPr>
          <w:t>……………………………………………………………………..</w:t>
        </w:r>
        <w:r w:rsidR="00793212" w:rsidRPr="00824D58">
          <w:rPr>
            <w:rStyle w:val="Hyperlink"/>
            <w:noProof/>
            <w:color w:val="auto"/>
            <w:rtl/>
          </w:rPr>
          <w:fldChar w:fldCharType="begin"/>
        </w:r>
        <w:r w:rsidR="00793212" w:rsidRPr="00824D58">
          <w:rPr>
            <w:noProof/>
            <w:webHidden/>
            <w:rtl/>
          </w:rPr>
          <w:instrText xml:space="preserve"> </w:instrText>
        </w:r>
        <w:r w:rsidR="00793212" w:rsidRPr="00824D58">
          <w:rPr>
            <w:noProof/>
            <w:webHidden/>
          </w:rPr>
          <w:instrText>PAGEREF</w:instrText>
        </w:r>
        <w:r w:rsidR="00793212" w:rsidRPr="00824D58">
          <w:rPr>
            <w:noProof/>
            <w:webHidden/>
            <w:rtl/>
          </w:rPr>
          <w:instrText xml:space="preserve"> _</w:instrText>
        </w:r>
        <w:r w:rsidR="00793212" w:rsidRPr="00824D58">
          <w:rPr>
            <w:noProof/>
            <w:webHidden/>
          </w:rPr>
          <w:instrText>Toc60183451 \h</w:instrText>
        </w:r>
        <w:r w:rsidR="00793212" w:rsidRPr="00824D58">
          <w:rPr>
            <w:noProof/>
            <w:webHidden/>
            <w:rtl/>
          </w:rPr>
          <w:instrText xml:space="preserve"> </w:instrText>
        </w:r>
        <w:r w:rsidR="00793212" w:rsidRPr="00824D58">
          <w:rPr>
            <w:rStyle w:val="Hyperlink"/>
            <w:noProof/>
            <w:color w:val="auto"/>
            <w:rtl/>
          </w:rPr>
        </w:r>
        <w:r w:rsidR="00793212" w:rsidRPr="00824D58">
          <w:rPr>
            <w:rStyle w:val="Hyperlink"/>
            <w:noProof/>
            <w:color w:val="auto"/>
            <w:rtl/>
          </w:rPr>
          <w:fldChar w:fldCharType="separate"/>
        </w:r>
        <w:r w:rsidR="00713623">
          <w:rPr>
            <w:noProof/>
            <w:webHidden/>
          </w:rPr>
          <w:t>3</w:t>
        </w:r>
        <w:r>
          <w:rPr>
            <w:noProof/>
            <w:webHidden/>
          </w:rPr>
          <w:t>6</w:t>
        </w:r>
        <w:r w:rsidR="00793212" w:rsidRPr="00824D58">
          <w:rPr>
            <w:rStyle w:val="Hyperlink"/>
            <w:noProof/>
            <w:color w:val="auto"/>
            <w:rtl/>
          </w:rPr>
          <w:fldChar w:fldCharType="end"/>
        </w:r>
      </w:hyperlink>
    </w:p>
    <w:p w:rsidR="00793212" w:rsidRPr="00824D58" w:rsidRDefault="000A66F6" w:rsidP="000A66F6">
      <w:pPr>
        <w:pStyle w:val="TOC3"/>
        <w:rPr>
          <w:rFonts w:asciiTheme="minorHAnsi" w:hAnsiTheme="minorHAnsi" w:cstheme="minorBidi"/>
          <w:sz w:val="22"/>
          <w:szCs w:val="22"/>
          <w:rtl/>
        </w:rPr>
      </w:pPr>
      <w:hyperlink w:anchor="_Toc60183452" w:history="1">
        <w:r w:rsidR="00793212" w:rsidRPr="00824D58">
          <w:rPr>
            <w:rStyle w:val="Hyperlink"/>
            <w:color w:val="auto"/>
          </w:rPr>
          <w:t>2.3.1.</w:t>
        </w:r>
        <w:r w:rsidR="00793212" w:rsidRPr="00824D58">
          <w:rPr>
            <w:rFonts w:asciiTheme="minorHAnsi" w:hAnsiTheme="minorHAnsi" w:cstheme="minorBidi"/>
            <w:sz w:val="22"/>
            <w:szCs w:val="22"/>
            <w:rtl/>
          </w:rPr>
          <w:tab/>
        </w:r>
        <w:r w:rsidR="00793212" w:rsidRPr="00824D58">
          <w:rPr>
            <w:rStyle w:val="Hyperlink"/>
            <w:color w:val="auto"/>
          </w:rPr>
          <w:t>FSH</w:t>
        </w:r>
        <w:r w:rsidR="00793212">
          <w:rPr>
            <w:webHidden/>
          </w:rPr>
          <w:t>……………………………………………………………………….</w:t>
        </w:r>
        <w:r w:rsidR="00793212" w:rsidRPr="00824D58">
          <w:rPr>
            <w:rStyle w:val="Hyperlink"/>
            <w:color w:val="auto"/>
            <w:rtl/>
          </w:rPr>
          <w:fldChar w:fldCharType="begin"/>
        </w:r>
        <w:r w:rsidR="00793212" w:rsidRPr="00824D58">
          <w:rPr>
            <w:webHidden/>
            <w:rtl/>
          </w:rPr>
          <w:instrText xml:space="preserve"> </w:instrText>
        </w:r>
        <w:r w:rsidR="00793212" w:rsidRPr="00824D58">
          <w:rPr>
            <w:webHidden/>
          </w:rPr>
          <w:instrText>PAGEREF</w:instrText>
        </w:r>
        <w:r w:rsidR="00793212" w:rsidRPr="00824D58">
          <w:rPr>
            <w:webHidden/>
            <w:rtl/>
          </w:rPr>
          <w:instrText xml:space="preserve"> _</w:instrText>
        </w:r>
        <w:r w:rsidR="00793212" w:rsidRPr="00824D58">
          <w:rPr>
            <w:webHidden/>
          </w:rPr>
          <w:instrText>Toc60183452 \h</w:instrText>
        </w:r>
        <w:r w:rsidR="00793212" w:rsidRPr="00824D58">
          <w:rPr>
            <w:webHidden/>
            <w:rtl/>
          </w:rPr>
          <w:instrText xml:space="preserve"> </w:instrText>
        </w:r>
        <w:r w:rsidR="00793212" w:rsidRPr="00824D58">
          <w:rPr>
            <w:rStyle w:val="Hyperlink"/>
            <w:color w:val="auto"/>
            <w:rtl/>
          </w:rPr>
        </w:r>
        <w:r w:rsidR="00793212" w:rsidRPr="00824D58">
          <w:rPr>
            <w:rStyle w:val="Hyperlink"/>
            <w:color w:val="auto"/>
            <w:rtl/>
          </w:rPr>
          <w:fldChar w:fldCharType="separate"/>
        </w:r>
        <w:r w:rsidR="00713623">
          <w:rPr>
            <w:webHidden/>
          </w:rPr>
          <w:t>3</w:t>
        </w:r>
        <w:r>
          <w:rPr>
            <w:webHidden/>
          </w:rPr>
          <w:t>6</w:t>
        </w:r>
        <w:r w:rsidR="00793212" w:rsidRPr="00824D58">
          <w:rPr>
            <w:rStyle w:val="Hyperlink"/>
            <w:color w:val="auto"/>
            <w:rtl/>
          </w:rPr>
          <w:fldChar w:fldCharType="end"/>
        </w:r>
      </w:hyperlink>
    </w:p>
    <w:p w:rsidR="00793212" w:rsidRPr="00824D58" w:rsidRDefault="000A66F6" w:rsidP="000A66F6">
      <w:pPr>
        <w:pStyle w:val="TOC1"/>
        <w:tabs>
          <w:tab w:val="left" w:pos="2869"/>
        </w:tabs>
        <w:rPr>
          <w:rFonts w:asciiTheme="minorHAnsi" w:hAnsiTheme="minorHAnsi" w:cstheme="minorBidi"/>
          <w:noProof/>
          <w:sz w:val="22"/>
          <w:szCs w:val="22"/>
          <w:rtl/>
        </w:rPr>
      </w:pPr>
      <w:hyperlink w:anchor="_Toc60183453" w:history="1">
        <w:r w:rsidR="00793212" w:rsidRPr="00824D58">
          <w:rPr>
            <w:rStyle w:val="Hyperlink"/>
            <w:noProof/>
            <w:color w:val="auto"/>
          </w:rPr>
          <w:t>3.</w:t>
        </w:r>
        <w:r w:rsidR="00793212" w:rsidRPr="00824D58">
          <w:rPr>
            <w:rFonts w:asciiTheme="minorHAnsi" w:hAnsiTheme="minorHAnsi" w:cstheme="minorBidi"/>
            <w:noProof/>
            <w:sz w:val="22"/>
            <w:szCs w:val="22"/>
            <w:rtl/>
          </w:rPr>
          <w:tab/>
        </w:r>
        <w:r w:rsidR="00911AD1" w:rsidRPr="00911AD1">
          <w:rPr>
            <w:rStyle w:val="Hyperlink"/>
            <w:noProof/>
            <w:color w:val="auto"/>
          </w:rPr>
          <w:t>MATERIAL AND METHOD</w:t>
        </w:r>
        <w:r w:rsidR="00793212" w:rsidRPr="00824D58">
          <w:rPr>
            <w:noProof/>
            <w:webHidden/>
            <w:rtl/>
          </w:rPr>
          <w:tab/>
        </w:r>
        <w:r w:rsidR="00911AD1">
          <w:rPr>
            <w:noProof/>
            <w:webHidden/>
          </w:rPr>
          <w:t>….</w:t>
        </w:r>
        <w:r w:rsidR="00793212" w:rsidRPr="00824D58">
          <w:rPr>
            <w:rStyle w:val="Hyperlink"/>
            <w:noProof/>
            <w:color w:val="auto"/>
            <w:rtl/>
          </w:rPr>
          <w:fldChar w:fldCharType="begin"/>
        </w:r>
        <w:r w:rsidR="00793212" w:rsidRPr="00824D58">
          <w:rPr>
            <w:noProof/>
            <w:webHidden/>
            <w:rtl/>
          </w:rPr>
          <w:instrText xml:space="preserve"> </w:instrText>
        </w:r>
        <w:r w:rsidR="00793212" w:rsidRPr="00824D58">
          <w:rPr>
            <w:noProof/>
            <w:webHidden/>
          </w:rPr>
          <w:instrText>PAGEREF</w:instrText>
        </w:r>
        <w:r w:rsidR="00793212" w:rsidRPr="00824D58">
          <w:rPr>
            <w:noProof/>
            <w:webHidden/>
            <w:rtl/>
          </w:rPr>
          <w:instrText xml:space="preserve"> _</w:instrText>
        </w:r>
        <w:r w:rsidR="00793212" w:rsidRPr="00824D58">
          <w:rPr>
            <w:noProof/>
            <w:webHidden/>
          </w:rPr>
          <w:instrText>Toc60183453 \h</w:instrText>
        </w:r>
        <w:r w:rsidR="00793212" w:rsidRPr="00824D58">
          <w:rPr>
            <w:noProof/>
            <w:webHidden/>
            <w:rtl/>
          </w:rPr>
          <w:instrText xml:space="preserve"> </w:instrText>
        </w:r>
        <w:r w:rsidR="00793212" w:rsidRPr="00824D58">
          <w:rPr>
            <w:rStyle w:val="Hyperlink"/>
            <w:noProof/>
            <w:color w:val="auto"/>
            <w:rtl/>
          </w:rPr>
        </w:r>
        <w:r w:rsidR="00793212" w:rsidRPr="00824D58">
          <w:rPr>
            <w:rStyle w:val="Hyperlink"/>
            <w:noProof/>
            <w:color w:val="auto"/>
            <w:rtl/>
          </w:rPr>
          <w:fldChar w:fldCharType="separate"/>
        </w:r>
        <w:r w:rsidR="00713623">
          <w:rPr>
            <w:noProof/>
            <w:webHidden/>
          </w:rPr>
          <w:t>3</w:t>
        </w:r>
        <w:r>
          <w:rPr>
            <w:noProof/>
            <w:webHidden/>
          </w:rPr>
          <w:t>8</w:t>
        </w:r>
        <w:r w:rsidR="00793212" w:rsidRPr="00824D58">
          <w:rPr>
            <w:rStyle w:val="Hyperlink"/>
            <w:noProof/>
            <w:color w:val="auto"/>
            <w:rtl/>
          </w:rPr>
          <w:fldChar w:fldCharType="end"/>
        </w:r>
      </w:hyperlink>
    </w:p>
    <w:p w:rsidR="00793212" w:rsidRPr="00824D58" w:rsidRDefault="000A66F6" w:rsidP="000A66F6">
      <w:pPr>
        <w:pStyle w:val="TOC1"/>
        <w:tabs>
          <w:tab w:val="left" w:pos="1100"/>
        </w:tabs>
        <w:rPr>
          <w:rFonts w:asciiTheme="minorHAnsi" w:hAnsiTheme="minorHAnsi" w:cstheme="minorBidi"/>
          <w:noProof/>
          <w:sz w:val="22"/>
          <w:szCs w:val="22"/>
          <w:rtl/>
        </w:rPr>
      </w:pPr>
      <w:hyperlink w:anchor="_Toc60183454" w:history="1">
        <w:r w:rsidR="00793212" w:rsidRPr="00824D58">
          <w:rPr>
            <w:rStyle w:val="Hyperlink"/>
            <w:noProof/>
            <w:color w:val="auto"/>
          </w:rPr>
          <w:t>3.1.</w:t>
        </w:r>
        <w:r w:rsidR="00793212" w:rsidRPr="00824D58">
          <w:rPr>
            <w:rFonts w:asciiTheme="minorHAnsi" w:hAnsiTheme="minorHAnsi" w:cstheme="minorBidi"/>
            <w:noProof/>
            <w:sz w:val="22"/>
            <w:szCs w:val="22"/>
            <w:rtl/>
          </w:rPr>
          <w:tab/>
        </w:r>
        <w:r w:rsidR="00793212" w:rsidRPr="00824D58">
          <w:rPr>
            <w:rStyle w:val="Hyperlink"/>
            <w:rFonts w:eastAsiaTheme="majorEastAsia"/>
            <w:noProof/>
            <w:color w:val="auto"/>
          </w:rPr>
          <w:t>Material</w:t>
        </w:r>
        <w:r w:rsidR="00793212" w:rsidRPr="00824D58">
          <w:rPr>
            <w:noProof/>
            <w:webHidden/>
            <w:rtl/>
          </w:rPr>
          <w:tab/>
        </w:r>
        <w:r w:rsidR="00793212" w:rsidRPr="00824D58">
          <w:rPr>
            <w:rStyle w:val="Hyperlink"/>
            <w:noProof/>
            <w:color w:val="auto"/>
            <w:rtl/>
          </w:rPr>
          <w:fldChar w:fldCharType="begin"/>
        </w:r>
        <w:r w:rsidR="00793212" w:rsidRPr="00824D58">
          <w:rPr>
            <w:noProof/>
            <w:webHidden/>
            <w:rtl/>
          </w:rPr>
          <w:instrText xml:space="preserve"> </w:instrText>
        </w:r>
        <w:r w:rsidR="00793212" w:rsidRPr="00824D58">
          <w:rPr>
            <w:noProof/>
            <w:webHidden/>
          </w:rPr>
          <w:instrText>PAGEREF</w:instrText>
        </w:r>
        <w:r w:rsidR="00793212" w:rsidRPr="00824D58">
          <w:rPr>
            <w:noProof/>
            <w:webHidden/>
            <w:rtl/>
          </w:rPr>
          <w:instrText xml:space="preserve"> _</w:instrText>
        </w:r>
        <w:r w:rsidR="00793212" w:rsidRPr="00824D58">
          <w:rPr>
            <w:noProof/>
            <w:webHidden/>
          </w:rPr>
          <w:instrText>Toc60183454 \h</w:instrText>
        </w:r>
        <w:r w:rsidR="00793212" w:rsidRPr="00824D58">
          <w:rPr>
            <w:noProof/>
            <w:webHidden/>
            <w:rtl/>
          </w:rPr>
          <w:instrText xml:space="preserve"> </w:instrText>
        </w:r>
        <w:r w:rsidR="00793212" w:rsidRPr="00824D58">
          <w:rPr>
            <w:rStyle w:val="Hyperlink"/>
            <w:noProof/>
            <w:color w:val="auto"/>
            <w:rtl/>
          </w:rPr>
        </w:r>
        <w:r w:rsidR="00793212" w:rsidRPr="00824D58">
          <w:rPr>
            <w:rStyle w:val="Hyperlink"/>
            <w:noProof/>
            <w:color w:val="auto"/>
            <w:rtl/>
          </w:rPr>
          <w:fldChar w:fldCharType="separate"/>
        </w:r>
        <w:r w:rsidR="00713623">
          <w:rPr>
            <w:noProof/>
            <w:webHidden/>
          </w:rPr>
          <w:t>3</w:t>
        </w:r>
        <w:r>
          <w:rPr>
            <w:noProof/>
            <w:webHidden/>
          </w:rPr>
          <w:t>8</w:t>
        </w:r>
        <w:r w:rsidR="00793212" w:rsidRPr="00824D58">
          <w:rPr>
            <w:rStyle w:val="Hyperlink"/>
            <w:noProof/>
            <w:color w:val="auto"/>
            <w:rtl/>
          </w:rPr>
          <w:fldChar w:fldCharType="end"/>
        </w:r>
      </w:hyperlink>
    </w:p>
    <w:p w:rsidR="00793212" w:rsidRDefault="000A66F6" w:rsidP="000A66F6">
      <w:pPr>
        <w:pStyle w:val="TOC3"/>
        <w:rPr>
          <w:rStyle w:val="Hyperlink"/>
          <w:color w:val="auto"/>
        </w:rPr>
      </w:pPr>
      <w:hyperlink w:anchor="_Toc60183455" w:history="1">
        <w:r w:rsidR="00793212" w:rsidRPr="00824D58">
          <w:rPr>
            <w:rStyle w:val="Hyperlink"/>
            <w:color w:val="auto"/>
          </w:rPr>
          <w:t>3.1.1.</w:t>
        </w:r>
        <w:r w:rsidR="00793212" w:rsidRPr="00824D58">
          <w:rPr>
            <w:rFonts w:asciiTheme="minorHAnsi" w:hAnsiTheme="minorHAnsi" w:cstheme="minorBidi"/>
            <w:sz w:val="22"/>
            <w:szCs w:val="22"/>
            <w:rtl/>
          </w:rPr>
          <w:tab/>
        </w:r>
        <w:r w:rsidR="00793212" w:rsidRPr="00824D58">
          <w:rPr>
            <w:rStyle w:val="Hyperlink"/>
            <w:color w:val="auto"/>
          </w:rPr>
          <w:t>BioTek Elisa ELx800 (S.N 257381)</w:t>
        </w:r>
        <w:r w:rsidR="00793212" w:rsidRPr="00824D58">
          <w:rPr>
            <w:webHidden/>
            <w:rtl/>
          </w:rPr>
          <w:tab/>
        </w:r>
        <w:r w:rsidR="00793212" w:rsidRPr="00824D58">
          <w:rPr>
            <w:rStyle w:val="Hyperlink"/>
            <w:color w:val="auto"/>
            <w:rtl/>
          </w:rPr>
          <w:fldChar w:fldCharType="begin"/>
        </w:r>
        <w:r w:rsidR="00793212" w:rsidRPr="00824D58">
          <w:rPr>
            <w:webHidden/>
            <w:rtl/>
          </w:rPr>
          <w:instrText xml:space="preserve"> </w:instrText>
        </w:r>
        <w:r w:rsidR="00793212" w:rsidRPr="00824D58">
          <w:rPr>
            <w:webHidden/>
          </w:rPr>
          <w:instrText>PAGEREF</w:instrText>
        </w:r>
        <w:r w:rsidR="00793212" w:rsidRPr="00824D58">
          <w:rPr>
            <w:webHidden/>
            <w:rtl/>
          </w:rPr>
          <w:instrText xml:space="preserve"> _</w:instrText>
        </w:r>
        <w:r w:rsidR="00793212" w:rsidRPr="00824D58">
          <w:rPr>
            <w:webHidden/>
          </w:rPr>
          <w:instrText>Toc60183455 \h</w:instrText>
        </w:r>
        <w:r w:rsidR="00793212" w:rsidRPr="00824D58">
          <w:rPr>
            <w:webHidden/>
            <w:rtl/>
          </w:rPr>
          <w:instrText xml:space="preserve"> </w:instrText>
        </w:r>
        <w:r w:rsidR="00793212" w:rsidRPr="00824D58">
          <w:rPr>
            <w:rStyle w:val="Hyperlink"/>
            <w:color w:val="auto"/>
            <w:rtl/>
          </w:rPr>
        </w:r>
        <w:r w:rsidR="00793212" w:rsidRPr="00824D58">
          <w:rPr>
            <w:rStyle w:val="Hyperlink"/>
            <w:color w:val="auto"/>
            <w:rtl/>
          </w:rPr>
          <w:fldChar w:fldCharType="separate"/>
        </w:r>
        <w:r w:rsidR="00713623">
          <w:rPr>
            <w:webHidden/>
          </w:rPr>
          <w:t>3</w:t>
        </w:r>
        <w:r w:rsidR="00793212" w:rsidRPr="00824D58">
          <w:rPr>
            <w:rStyle w:val="Hyperlink"/>
            <w:color w:val="auto"/>
            <w:rtl/>
          </w:rPr>
          <w:fldChar w:fldCharType="end"/>
        </w:r>
      </w:hyperlink>
      <w:r>
        <w:rPr>
          <w:rStyle w:val="Hyperlink"/>
          <w:color w:val="auto"/>
        </w:rPr>
        <w:t>8</w:t>
      </w:r>
    </w:p>
    <w:p w:rsidR="00793212" w:rsidRDefault="00793212" w:rsidP="000A66F6">
      <w:pPr>
        <w:spacing w:after="0" w:line="240" w:lineRule="auto"/>
        <w:ind w:left="442"/>
      </w:pPr>
      <w:r w:rsidRPr="00011796">
        <w:t>3.1.1.1. Overview</w:t>
      </w:r>
      <w:r>
        <w:t>……………………………………………………………....3</w:t>
      </w:r>
      <w:r w:rsidR="000A66F6">
        <w:t>8</w:t>
      </w:r>
    </w:p>
    <w:p w:rsidR="00793212" w:rsidRPr="00011796" w:rsidRDefault="00793212" w:rsidP="000A66F6">
      <w:pPr>
        <w:spacing w:after="0" w:line="240" w:lineRule="auto"/>
        <w:ind w:left="442"/>
        <w:rPr>
          <w:rtl/>
        </w:rPr>
      </w:pPr>
      <w:r w:rsidRPr="00011796">
        <w:t>3.1.1.2. Calibration work and Result reading</w:t>
      </w:r>
      <w:r>
        <w:t>……………………..……………3</w:t>
      </w:r>
      <w:r w:rsidR="000A66F6">
        <w:t>9</w:t>
      </w:r>
    </w:p>
    <w:p w:rsidR="00793212" w:rsidRDefault="000A66F6" w:rsidP="000A66F6">
      <w:pPr>
        <w:pStyle w:val="TOC3"/>
        <w:rPr>
          <w:rStyle w:val="Hyperlink"/>
          <w:color w:val="auto"/>
        </w:rPr>
      </w:pPr>
      <w:hyperlink w:anchor="_Toc60183456" w:history="1">
        <w:r w:rsidR="00793212" w:rsidRPr="00824D58">
          <w:rPr>
            <w:rStyle w:val="Hyperlink"/>
            <w:color w:val="auto"/>
          </w:rPr>
          <w:t>3.1.2.</w:t>
        </w:r>
        <w:r w:rsidR="00793212" w:rsidRPr="00824D58">
          <w:rPr>
            <w:rFonts w:asciiTheme="minorHAnsi" w:hAnsiTheme="minorHAnsi" w:cstheme="minorBidi"/>
            <w:sz w:val="22"/>
            <w:szCs w:val="22"/>
            <w:rtl/>
          </w:rPr>
          <w:tab/>
        </w:r>
        <w:r w:rsidR="00793212" w:rsidRPr="00824D58">
          <w:rPr>
            <w:rStyle w:val="Hyperlink"/>
            <w:color w:val="auto"/>
          </w:rPr>
          <w:t>Roche Cobas c 311 Automated Chemistry Analyzer (REF 04826876001)</w:t>
        </w:r>
        <w:r w:rsidR="00793212" w:rsidRPr="00824D58">
          <w:rPr>
            <w:webHidden/>
            <w:rtl/>
          </w:rPr>
          <w:tab/>
        </w:r>
        <w:r w:rsidR="00793212" w:rsidRPr="00824D58">
          <w:rPr>
            <w:rStyle w:val="Hyperlink"/>
            <w:color w:val="auto"/>
            <w:rtl/>
          </w:rPr>
          <w:fldChar w:fldCharType="begin"/>
        </w:r>
        <w:r w:rsidR="00793212" w:rsidRPr="00824D58">
          <w:rPr>
            <w:webHidden/>
            <w:rtl/>
          </w:rPr>
          <w:instrText xml:space="preserve"> </w:instrText>
        </w:r>
        <w:r w:rsidR="00793212" w:rsidRPr="00824D58">
          <w:rPr>
            <w:webHidden/>
          </w:rPr>
          <w:instrText>PAGEREF</w:instrText>
        </w:r>
        <w:r w:rsidR="00793212" w:rsidRPr="00824D58">
          <w:rPr>
            <w:webHidden/>
            <w:rtl/>
          </w:rPr>
          <w:instrText xml:space="preserve"> _</w:instrText>
        </w:r>
        <w:r w:rsidR="00793212" w:rsidRPr="00824D58">
          <w:rPr>
            <w:webHidden/>
          </w:rPr>
          <w:instrText>Toc60183456 \h</w:instrText>
        </w:r>
        <w:r w:rsidR="00793212" w:rsidRPr="00824D58">
          <w:rPr>
            <w:webHidden/>
            <w:rtl/>
          </w:rPr>
          <w:instrText xml:space="preserve"> </w:instrText>
        </w:r>
        <w:r w:rsidR="00793212" w:rsidRPr="00824D58">
          <w:rPr>
            <w:rStyle w:val="Hyperlink"/>
            <w:color w:val="auto"/>
            <w:rtl/>
          </w:rPr>
        </w:r>
        <w:r w:rsidR="00793212" w:rsidRPr="00824D58">
          <w:rPr>
            <w:rStyle w:val="Hyperlink"/>
            <w:color w:val="auto"/>
            <w:rtl/>
          </w:rPr>
          <w:fldChar w:fldCharType="separate"/>
        </w:r>
        <w:r w:rsidR="00713623">
          <w:rPr>
            <w:webHidden/>
          </w:rPr>
          <w:t>3</w:t>
        </w:r>
        <w:r>
          <w:rPr>
            <w:webHidden/>
          </w:rPr>
          <w:t>9</w:t>
        </w:r>
        <w:r w:rsidR="00793212" w:rsidRPr="00824D58">
          <w:rPr>
            <w:rStyle w:val="Hyperlink"/>
            <w:color w:val="auto"/>
            <w:rtl/>
          </w:rPr>
          <w:fldChar w:fldCharType="end"/>
        </w:r>
      </w:hyperlink>
    </w:p>
    <w:p w:rsidR="00793212" w:rsidRDefault="00793212" w:rsidP="000A66F6">
      <w:pPr>
        <w:spacing w:after="0" w:line="240" w:lineRule="auto"/>
        <w:ind w:left="442"/>
      </w:pPr>
      <w:r w:rsidRPr="00011796">
        <w:t>3.1.2.1. Overview</w:t>
      </w:r>
      <w:r>
        <w:t>…………...…………………………………………………..3</w:t>
      </w:r>
      <w:r w:rsidR="000A66F6">
        <w:t>9</w:t>
      </w:r>
    </w:p>
    <w:p w:rsidR="00793212" w:rsidRDefault="00793212" w:rsidP="000A66F6">
      <w:pPr>
        <w:spacing w:after="0" w:line="240" w:lineRule="auto"/>
        <w:ind w:left="442"/>
      </w:pPr>
      <w:r w:rsidRPr="00011796">
        <w:t>3.1.2.2. Specifications</w:t>
      </w:r>
      <w:r>
        <w:t>………………………………………..…………………</w:t>
      </w:r>
      <w:r w:rsidR="000A66F6">
        <w:t>40</w:t>
      </w:r>
    </w:p>
    <w:p w:rsidR="00793212" w:rsidRDefault="00793212" w:rsidP="000A66F6">
      <w:pPr>
        <w:spacing w:after="0" w:line="240" w:lineRule="auto"/>
        <w:ind w:left="442"/>
      </w:pPr>
      <w:r w:rsidRPr="00011796">
        <w:t>3.1.2.3. Calibration work and Result reading</w:t>
      </w:r>
      <w:r>
        <w:t>…………………………………..4</w:t>
      </w:r>
      <w:r w:rsidR="000A66F6">
        <w:t>1</w:t>
      </w:r>
    </w:p>
    <w:p w:rsidR="00793212" w:rsidRPr="00824D58" w:rsidRDefault="000A66F6" w:rsidP="000A66F6">
      <w:pPr>
        <w:pStyle w:val="TOC3"/>
        <w:rPr>
          <w:rFonts w:asciiTheme="minorHAnsi" w:hAnsiTheme="minorHAnsi" w:cstheme="minorBidi"/>
          <w:sz w:val="22"/>
          <w:szCs w:val="22"/>
          <w:rtl/>
        </w:rPr>
      </w:pPr>
      <w:hyperlink w:anchor="_Toc60183457" w:history="1">
        <w:r w:rsidR="00793212" w:rsidRPr="00824D58">
          <w:rPr>
            <w:rStyle w:val="Hyperlink"/>
            <w:color w:val="auto"/>
          </w:rPr>
          <w:t>3.1.3.</w:t>
        </w:r>
        <w:r w:rsidR="00793212" w:rsidRPr="00824D58">
          <w:rPr>
            <w:rFonts w:asciiTheme="minorHAnsi" w:hAnsiTheme="minorHAnsi" w:cstheme="minorBidi"/>
            <w:sz w:val="22"/>
            <w:szCs w:val="22"/>
            <w:rtl/>
          </w:rPr>
          <w:tab/>
        </w:r>
        <w:r w:rsidR="00793212" w:rsidRPr="00824D58">
          <w:rPr>
            <w:rStyle w:val="Hyperlink"/>
            <w:color w:val="auto"/>
          </w:rPr>
          <w:t>Automatic Micropipette (Diamond)</w:t>
        </w:r>
        <w:r w:rsidR="00793212" w:rsidRPr="00824D58">
          <w:rPr>
            <w:webHidden/>
            <w:rtl/>
          </w:rPr>
          <w:tab/>
        </w:r>
        <w:r w:rsidR="00793212">
          <w:rPr>
            <w:rStyle w:val="Hyperlink"/>
            <w:color w:val="auto"/>
          </w:rPr>
          <w:t>4</w:t>
        </w:r>
        <w:r>
          <w:rPr>
            <w:rStyle w:val="Hyperlink"/>
            <w:color w:val="auto"/>
          </w:rPr>
          <w:t>1</w:t>
        </w:r>
      </w:hyperlink>
    </w:p>
    <w:p w:rsidR="00793212" w:rsidRPr="00824D58" w:rsidRDefault="000A66F6" w:rsidP="000A66F6">
      <w:pPr>
        <w:pStyle w:val="TOC3"/>
        <w:rPr>
          <w:rFonts w:asciiTheme="minorHAnsi" w:hAnsiTheme="minorHAnsi" w:cstheme="minorBidi"/>
          <w:sz w:val="22"/>
          <w:szCs w:val="22"/>
          <w:rtl/>
        </w:rPr>
      </w:pPr>
      <w:hyperlink w:anchor="_Toc60183458" w:history="1">
        <w:r w:rsidR="00793212" w:rsidRPr="00824D58">
          <w:rPr>
            <w:rStyle w:val="Hyperlink"/>
            <w:color w:val="auto"/>
          </w:rPr>
          <w:t>3.1.4.</w:t>
        </w:r>
        <w:r w:rsidR="00793212" w:rsidRPr="00824D58">
          <w:rPr>
            <w:rFonts w:asciiTheme="minorHAnsi" w:hAnsiTheme="minorHAnsi" w:cstheme="minorBidi"/>
            <w:sz w:val="22"/>
            <w:szCs w:val="22"/>
            <w:rtl/>
          </w:rPr>
          <w:tab/>
        </w:r>
        <w:r w:rsidR="00793212" w:rsidRPr="00824D58">
          <w:rPr>
            <w:rStyle w:val="Hyperlink"/>
            <w:color w:val="auto"/>
          </w:rPr>
          <w:t>Centrifuge C- 12000 (6M 1810968)</w:t>
        </w:r>
        <w:r w:rsidR="00793212" w:rsidRPr="00824D58">
          <w:rPr>
            <w:webHidden/>
            <w:rtl/>
          </w:rPr>
          <w:tab/>
        </w:r>
        <w:r w:rsidR="00793212">
          <w:rPr>
            <w:rStyle w:val="Hyperlink"/>
            <w:color w:val="auto"/>
          </w:rPr>
          <w:t>4</w:t>
        </w:r>
      </w:hyperlink>
      <w:r>
        <w:rPr>
          <w:rStyle w:val="Hyperlink"/>
          <w:color w:val="auto"/>
        </w:rPr>
        <w:t>2</w:t>
      </w:r>
    </w:p>
    <w:p w:rsidR="00793212" w:rsidRPr="00824D58" w:rsidRDefault="000A66F6" w:rsidP="000A66F6">
      <w:pPr>
        <w:pStyle w:val="TOC3"/>
        <w:rPr>
          <w:rFonts w:asciiTheme="minorHAnsi" w:hAnsiTheme="minorHAnsi" w:cstheme="minorBidi"/>
          <w:sz w:val="22"/>
          <w:szCs w:val="22"/>
          <w:rtl/>
        </w:rPr>
      </w:pPr>
      <w:hyperlink w:anchor="_Toc60183459" w:history="1">
        <w:r w:rsidR="00793212" w:rsidRPr="00824D58">
          <w:rPr>
            <w:rStyle w:val="Hyperlink"/>
            <w:color w:val="auto"/>
          </w:rPr>
          <w:t>3.1.5.</w:t>
        </w:r>
        <w:r w:rsidR="00793212" w:rsidRPr="00824D58">
          <w:rPr>
            <w:rFonts w:asciiTheme="minorHAnsi" w:hAnsiTheme="minorHAnsi" w:cstheme="minorBidi"/>
            <w:sz w:val="22"/>
            <w:szCs w:val="22"/>
            <w:rtl/>
          </w:rPr>
          <w:tab/>
        </w:r>
        <w:r w:rsidR="00793212" w:rsidRPr="00824D58">
          <w:rPr>
            <w:rStyle w:val="Hyperlink"/>
            <w:color w:val="auto"/>
          </w:rPr>
          <w:t>Memmert  water bath (WNE 22) (L513.0977)</w:t>
        </w:r>
        <w:r w:rsidR="00793212" w:rsidRPr="00824D58">
          <w:rPr>
            <w:webHidden/>
            <w:rtl/>
          </w:rPr>
          <w:tab/>
        </w:r>
        <w:r w:rsidR="00793212">
          <w:rPr>
            <w:rStyle w:val="Hyperlink"/>
            <w:color w:val="auto"/>
          </w:rPr>
          <w:t>4</w:t>
        </w:r>
      </w:hyperlink>
      <w:r>
        <w:rPr>
          <w:rStyle w:val="Hyperlink"/>
          <w:color w:val="auto"/>
        </w:rPr>
        <w:t>3</w:t>
      </w:r>
    </w:p>
    <w:p w:rsidR="00793212" w:rsidRPr="00824D58" w:rsidRDefault="000A66F6" w:rsidP="000A66F6">
      <w:pPr>
        <w:pStyle w:val="TOC3"/>
        <w:rPr>
          <w:rFonts w:asciiTheme="minorHAnsi" w:hAnsiTheme="minorHAnsi" w:cstheme="minorBidi"/>
          <w:sz w:val="22"/>
          <w:szCs w:val="22"/>
          <w:rtl/>
        </w:rPr>
      </w:pPr>
      <w:hyperlink w:anchor="_Toc60183460" w:history="1">
        <w:r w:rsidR="00793212" w:rsidRPr="00824D58">
          <w:rPr>
            <w:rStyle w:val="Hyperlink"/>
            <w:color w:val="auto"/>
          </w:rPr>
          <w:t>3.1.6.</w:t>
        </w:r>
        <w:r w:rsidR="00793212" w:rsidRPr="00824D58">
          <w:rPr>
            <w:rFonts w:asciiTheme="minorHAnsi" w:hAnsiTheme="minorHAnsi" w:cstheme="minorBidi"/>
            <w:sz w:val="22"/>
            <w:szCs w:val="22"/>
            <w:rtl/>
          </w:rPr>
          <w:tab/>
        </w:r>
        <w:r w:rsidR="00793212" w:rsidRPr="00824D58">
          <w:rPr>
            <w:rStyle w:val="Hyperlink"/>
            <w:color w:val="auto"/>
          </w:rPr>
          <w:t>Additional material</w:t>
        </w:r>
        <w:r w:rsidR="00793212" w:rsidRPr="00824D58">
          <w:rPr>
            <w:webHidden/>
            <w:rtl/>
          </w:rPr>
          <w:tab/>
        </w:r>
        <w:r w:rsidR="00793212">
          <w:rPr>
            <w:webHidden/>
          </w:rPr>
          <w:t>………………………………………………………</w:t>
        </w:r>
        <w:r w:rsidR="00793212" w:rsidRPr="00824D58">
          <w:rPr>
            <w:rStyle w:val="Hyperlink"/>
            <w:color w:val="auto"/>
            <w:rtl/>
          </w:rPr>
          <w:fldChar w:fldCharType="begin"/>
        </w:r>
        <w:r w:rsidR="00793212" w:rsidRPr="00824D58">
          <w:rPr>
            <w:webHidden/>
            <w:rtl/>
          </w:rPr>
          <w:instrText xml:space="preserve"> </w:instrText>
        </w:r>
        <w:r w:rsidR="00793212" w:rsidRPr="00824D58">
          <w:rPr>
            <w:webHidden/>
          </w:rPr>
          <w:instrText>PAGEREF</w:instrText>
        </w:r>
        <w:r w:rsidR="00793212" w:rsidRPr="00824D58">
          <w:rPr>
            <w:webHidden/>
            <w:rtl/>
          </w:rPr>
          <w:instrText xml:space="preserve"> _</w:instrText>
        </w:r>
        <w:r w:rsidR="00793212" w:rsidRPr="00824D58">
          <w:rPr>
            <w:webHidden/>
          </w:rPr>
          <w:instrText>Toc60183460 \h</w:instrText>
        </w:r>
        <w:r w:rsidR="00793212" w:rsidRPr="00824D58">
          <w:rPr>
            <w:webHidden/>
            <w:rtl/>
          </w:rPr>
          <w:instrText xml:space="preserve"> </w:instrText>
        </w:r>
        <w:r w:rsidR="00793212" w:rsidRPr="00824D58">
          <w:rPr>
            <w:rStyle w:val="Hyperlink"/>
            <w:color w:val="auto"/>
            <w:rtl/>
          </w:rPr>
        </w:r>
        <w:r w:rsidR="00793212" w:rsidRPr="00824D58">
          <w:rPr>
            <w:rStyle w:val="Hyperlink"/>
            <w:color w:val="auto"/>
            <w:rtl/>
          </w:rPr>
          <w:fldChar w:fldCharType="separate"/>
        </w:r>
        <w:r w:rsidR="00713623">
          <w:rPr>
            <w:webHidden/>
          </w:rPr>
          <w:t>4</w:t>
        </w:r>
        <w:r>
          <w:rPr>
            <w:webHidden/>
          </w:rPr>
          <w:t>4</w:t>
        </w:r>
        <w:r w:rsidR="00793212" w:rsidRPr="00824D58">
          <w:rPr>
            <w:rStyle w:val="Hyperlink"/>
            <w:color w:val="auto"/>
            <w:rtl/>
          </w:rPr>
          <w:fldChar w:fldCharType="end"/>
        </w:r>
      </w:hyperlink>
    </w:p>
    <w:p w:rsidR="00793212" w:rsidRPr="00824D58" w:rsidRDefault="000A66F6" w:rsidP="003974BD">
      <w:pPr>
        <w:pStyle w:val="TOC2"/>
        <w:rPr>
          <w:rFonts w:asciiTheme="minorHAnsi" w:hAnsiTheme="minorHAnsi" w:cstheme="minorBidi"/>
          <w:noProof/>
          <w:sz w:val="22"/>
          <w:szCs w:val="22"/>
          <w:rtl/>
        </w:rPr>
      </w:pPr>
      <w:hyperlink w:anchor="_Toc60183461" w:history="1">
        <w:r w:rsidR="00793212" w:rsidRPr="00824D58">
          <w:rPr>
            <w:rStyle w:val="Hyperlink"/>
            <w:noProof/>
            <w:color w:val="auto"/>
          </w:rPr>
          <w:t>3.2.</w:t>
        </w:r>
        <w:r w:rsidR="00793212" w:rsidRPr="00824D58">
          <w:rPr>
            <w:rFonts w:asciiTheme="minorHAnsi" w:hAnsiTheme="minorHAnsi" w:cstheme="minorBidi"/>
            <w:noProof/>
            <w:sz w:val="22"/>
            <w:szCs w:val="22"/>
            <w:rtl/>
          </w:rPr>
          <w:tab/>
        </w:r>
        <w:r w:rsidR="00793212" w:rsidRPr="00824D58">
          <w:rPr>
            <w:rStyle w:val="Hyperlink"/>
            <w:noProof/>
            <w:color w:val="auto"/>
          </w:rPr>
          <w:t>Kits</w:t>
        </w:r>
        <w:r w:rsidR="00793212" w:rsidRPr="00824D58">
          <w:rPr>
            <w:noProof/>
            <w:webHidden/>
            <w:rtl/>
          </w:rPr>
          <w:tab/>
        </w:r>
        <w:r w:rsidR="00793212" w:rsidRPr="00824D58">
          <w:rPr>
            <w:rStyle w:val="Hyperlink"/>
            <w:noProof/>
            <w:color w:val="auto"/>
            <w:rtl/>
          </w:rPr>
          <w:fldChar w:fldCharType="begin"/>
        </w:r>
        <w:r w:rsidR="00793212" w:rsidRPr="00824D58">
          <w:rPr>
            <w:noProof/>
            <w:webHidden/>
            <w:rtl/>
          </w:rPr>
          <w:instrText xml:space="preserve"> </w:instrText>
        </w:r>
        <w:r w:rsidR="00793212" w:rsidRPr="00824D58">
          <w:rPr>
            <w:noProof/>
            <w:webHidden/>
          </w:rPr>
          <w:instrText>PAGEREF</w:instrText>
        </w:r>
        <w:r w:rsidR="00793212" w:rsidRPr="00824D58">
          <w:rPr>
            <w:noProof/>
            <w:webHidden/>
            <w:rtl/>
          </w:rPr>
          <w:instrText xml:space="preserve"> _</w:instrText>
        </w:r>
        <w:r w:rsidR="00793212" w:rsidRPr="00824D58">
          <w:rPr>
            <w:noProof/>
            <w:webHidden/>
          </w:rPr>
          <w:instrText>Toc60183461 \h</w:instrText>
        </w:r>
        <w:r w:rsidR="00793212" w:rsidRPr="00824D58">
          <w:rPr>
            <w:noProof/>
            <w:webHidden/>
            <w:rtl/>
          </w:rPr>
          <w:instrText xml:space="preserve"> </w:instrText>
        </w:r>
        <w:r w:rsidR="00793212" w:rsidRPr="00824D58">
          <w:rPr>
            <w:rStyle w:val="Hyperlink"/>
            <w:noProof/>
            <w:color w:val="auto"/>
            <w:rtl/>
          </w:rPr>
        </w:r>
        <w:r w:rsidR="00793212" w:rsidRPr="00824D58">
          <w:rPr>
            <w:rStyle w:val="Hyperlink"/>
            <w:noProof/>
            <w:color w:val="auto"/>
            <w:rtl/>
          </w:rPr>
          <w:fldChar w:fldCharType="separate"/>
        </w:r>
        <w:r w:rsidR="00713623">
          <w:rPr>
            <w:noProof/>
            <w:webHidden/>
          </w:rPr>
          <w:t>4</w:t>
        </w:r>
        <w:r>
          <w:rPr>
            <w:noProof/>
            <w:webHidden/>
          </w:rPr>
          <w:t>4</w:t>
        </w:r>
        <w:r w:rsidR="00793212" w:rsidRPr="00824D58">
          <w:rPr>
            <w:rStyle w:val="Hyperlink"/>
            <w:noProof/>
            <w:color w:val="auto"/>
            <w:rtl/>
          </w:rPr>
          <w:fldChar w:fldCharType="end"/>
        </w:r>
      </w:hyperlink>
    </w:p>
    <w:p w:rsidR="00793212" w:rsidRDefault="000A66F6" w:rsidP="000A66F6">
      <w:pPr>
        <w:pStyle w:val="TOC3"/>
        <w:rPr>
          <w:rStyle w:val="Hyperlink"/>
          <w:color w:val="auto"/>
        </w:rPr>
      </w:pPr>
      <w:hyperlink w:anchor="_Toc60183462" w:history="1">
        <w:r w:rsidR="00793212" w:rsidRPr="00824D58">
          <w:rPr>
            <w:rStyle w:val="Hyperlink"/>
            <w:color w:val="auto"/>
          </w:rPr>
          <w:t>3.2.1.</w:t>
        </w:r>
        <w:r w:rsidR="00793212" w:rsidRPr="00824D58">
          <w:rPr>
            <w:rFonts w:asciiTheme="minorHAnsi" w:hAnsiTheme="minorHAnsi" w:cstheme="minorBidi"/>
            <w:sz w:val="22"/>
            <w:szCs w:val="22"/>
            <w:rtl/>
          </w:rPr>
          <w:tab/>
        </w:r>
        <w:r w:rsidR="00793212" w:rsidRPr="00824D58">
          <w:rPr>
            <w:rStyle w:val="Hyperlink"/>
            <w:color w:val="auto"/>
          </w:rPr>
          <w:t>Prostate Specific Antigen – PSA (REF 52030)</w:t>
        </w:r>
        <w:r w:rsidR="00793212" w:rsidRPr="00824D58">
          <w:rPr>
            <w:webHidden/>
            <w:rtl/>
          </w:rPr>
          <w:tab/>
        </w:r>
        <w:r w:rsidR="00793212" w:rsidRPr="00824D58">
          <w:rPr>
            <w:rStyle w:val="Hyperlink"/>
            <w:color w:val="auto"/>
            <w:rtl/>
          </w:rPr>
          <w:fldChar w:fldCharType="begin"/>
        </w:r>
        <w:r w:rsidR="00793212" w:rsidRPr="00824D58">
          <w:rPr>
            <w:webHidden/>
            <w:rtl/>
          </w:rPr>
          <w:instrText xml:space="preserve"> </w:instrText>
        </w:r>
        <w:r w:rsidR="00793212" w:rsidRPr="00824D58">
          <w:rPr>
            <w:webHidden/>
          </w:rPr>
          <w:instrText>PAGEREF</w:instrText>
        </w:r>
        <w:r w:rsidR="00793212" w:rsidRPr="00824D58">
          <w:rPr>
            <w:webHidden/>
            <w:rtl/>
          </w:rPr>
          <w:instrText xml:space="preserve"> _</w:instrText>
        </w:r>
        <w:r w:rsidR="00793212" w:rsidRPr="00824D58">
          <w:rPr>
            <w:webHidden/>
          </w:rPr>
          <w:instrText>Toc60183462 \h</w:instrText>
        </w:r>
        <w:r w:rsidR="00793212" w:rsidRPr="00824D58">
          <w:rPr>
            <w:webHidden/>
            <w:rtl/>
          </w:rPr>
          <w:instrText xml:space="preserve"> </w:instrText>
        </w:r>
        <w:r w:rsidR="00793212" w:rsidRPr="00824D58">
          <w:rPr>
            <w:rStyle w:val="Hyperlink"/>
            <w:color w:val="auto"/>
            <w:rtl/>
          </w:rPr>
        </w:r>
        <w:r w:rsidR="00793212" w:rsidRPr="00824D58">
          <w:rPr>
            <w:rStyle w:val="Hyperlink"/>
            <w:color w:val="auto"/>
            <w:rtl/>
          </w:rPr>
          <w:fldChar w:fldCharType="separate"/>
        </w:r>
        <w:r w:rsidR="00713623">
          <w:rPr>
            <w:webHidden/>
          </w:rPr>
          <w:t>4</w:t>
        </w:r>
        <w:r>
          <w:rPr>
            <w:webHidden/>
          </w:rPr>
          <w:t>4</w:t>
        </w:r>
        <w:r w:rsidR="00793212" w:rsidRPr="00824D58">
          <w:rPr>
            <w:rStyle w:val="Hyperlink"/>
            <w:color w:val="auto"/>
            <w:rtl/>
          </w:rPr>
          <w:fldChar w:fldCharType="end"/>
        </w:r>
      </w:hyperlink>
    </w:p>
    <w:p w:rsidR="00B54F56" w:rsidRDefault="00B54F56" w:rsidP="000A66F6">
      <w:pPr>
        <w:spacing w:after="0" w:line="240" w:lineRule="auto"/>
        <w:ind w:left="442"/>
      </w:pPr>
      <w:r w:rsidRPr="00B54F56">
        <w:t>3.2.1.1. Principle of  PSA</w:t>
      </w:r>
      <w:r w:rsidR="000A66F6">
        <w:t>……………………………………………………..</w:t>
      </w:r>
      <w:r>
        <w:t>4</w:t>
      </w:r>
      <w:r w:rsidR="000A66F6">
        <w:t>5</w:t>
      </w:r>
    </w:p>
    <w:p w:rsidR="00793212" w:rsidRDefault="000A66F6" w:rsidP="00B54F56">
      <w:pPr>
        <w:pStyle w:val="TOC3"/>
        <w:ind w:left="442"/>
        <w:rPr>
          <w:rStyle w:val="Hyperlink"/>
          <w:color w:val="auto"/>
        </w:rPr>
      </w:pPr>
      <w:hyperlink w:anchor="_Toc60183463" w:history="1">
        <w:r w:rsidR="00793212" w:rsidRPr="00824D58">
          <w:rPr>
            <w:rStyle w:val="Hyperlink"/>
            <w:color w:val="auto"/>
          </w:rPr>
          <w:t>3.2.2.</w:t>
        </w:r>
        <w:r w:rsidR="00793212" w:rsidRPr="00824D58">
          <w:rPr>
            <w:rFonts w:asciiTheme="minorHAnsi" w:hAnsiTheme="minorHAnsi" w:cstheme="minorBidi"/>
            <w:sz w:val="22"/>
            <w:szCs w:val="22"/>
            <w:rtl/>
          </w:rPr>
          <w:tab/>
        </w:r>
        <w:r w:rsidR="00793212" w:rsidRPr="00824D58">
          <w:rPr>
            <w:rStyle w:val="Hyperlink"/>
            <w:rFonts w:eastAsia="Calibri"/>
            <w:color w:val="auto"/>
            <w:lang w:bidi="ar-IQ"/>
          </w:rPr>
          <w:t>Human GDF15 (Growth Differentiation Factor 15) H0150F038</w:t>
        </w:r>
        <w:r w:rsidR="00793212" w:rsidRPr="00824D58">
          <w:rPr>
            <w:webHidden/>
            <w:rtl/>
          </w:rPr>
          <w:tab/>
        </w:r>
        <w:r w:rsidR="00793212" w:rsidRPr="00824D58">
          <w:rPr>
            <w:rStyle w:val="Hyperlink"/>
            <w:color w:val="auto"/>
            <w:rtl/>
          </w:rPr>
          <w:fldChar w:fldCharType="begin"/>
        </w:r>
        <w:r w:rsidR="00793212" w:rsidRPr="00824D58">
          <w:rPr>
            <w:webHidden/>
            <w:rtl/>
          </w:rPr>
          <w:instrText xml:space="preserve"> </w:instrText>
        </w:r>
        <w:r w:rsidR="00793212" w:rsidRPr="00824D58">
          <w:rPr>
            <w:webHidden/>
          </w:rPr>
          <w:instrText>PAGEREF</w:instrText>
        </w:r>
        <w:r w:rsidR="00793212" w:rsidRPr="00824D58">
          <w:rPr>
            <w:webHidden/>
            <w:rtl/>
          </w:rPr>
          <w:instrText xml:space="preserve"> _</w:instrText>
        </w:r>
        <w:r w:rsidR="00793212" w:rsidRPr="00824D58">
          <w:rPr>
            <w:webHidden/>
          </w:rPr>
          <w:instrText>Toc60183463 \h</w:instrText>
        </w:r>
        <w:r w:rsidR="00793212" w:rsidRPr="00824D58">
          <w:rPr>
            <w:webHidden/>
            <w:rtl/>
          </w:rPr>
          <w:instrText xml:space="preserve"> </w:instrText>
        </w:r>
        <w:r w:rsidR="00793212" w:rsidRPr="00824D58">
          <w:rPr>
            <w:rStyle w:val="Hyperlink"/>
            <w:color w:val="auto"/>
            <w:rtl/>
          </w:rPr>
        </w:r>
        <w:r w:rsidR="00793212" w:rsidRPr="00824D58">
          <w:rPr>
            <w:rStyle w:val="Hyperlink"/>
            <w:color w:val="auto"/>
            <w:rtl/>
          </w:rPr>
          <w:fldChar w:fldCharType="separate"/>
        </w:r>
        <w:r w:rsidR="00713623">
          <w:rPr>
            <w:webHidden/>
          </w:rPr>
          <w:t>45</w:t>
        </w:r>
        <w:r w:rsidR="00793212" w:rsidRPr="00824D58">
          <w:rPr>
            <w:rStyle w:val="Hyperlink"/>
            <w:color w:val="auto"/>
            <w:rtl/>
          </w:rPr>
          <w:fldChar w:fldCharType="end"/>
        </w:r>
      </w:hyperlink>
    </w:p>
    <w:p w:rsidR="00B54F56" w:rsidRDefault="00B54F56" w:rsidP="00B54F56">
      <w:pPr>
        <w:spacing w:after="0" w:line="240" w:lineRule="auto"/>
        <w:ind w:left="442"/>
      </w:pPr>
      <w:r w:rsidRPr="00B54F56">
        <w:t>3.2.2.1. Principle</w:t>
      </w:r>
      <w:r>
        <w:t>………………………………………………………………..45</w:t>
      </w:r>
    </w:p>
    <w:p w:rsidR="00B54F56" w:rsidRPr="00B54F56" w:rsidRDefault="00B54F56" w:rsidP="003F2A02">
      <w:pPr>
        <w:spacing w:after="0" w:line="240" w:lineRule="auto"/>
        <w:ind w:left="442"/>
        <w:rPr>
          <w:rtl/>
        </w:rPr>
      </w:pPr>
      <w:r>
        <w:t>3.2.2.</w:t>
      </w:r>
      <w:r w:rsidR="003F2A02">
        <w:t>2</w:t>
      </w:r>
      <w:r>
        <w:t xml:space="preserve">. </w:t>
      </w:r>
      <w:r w:rsidRPr="00B54F56">
        <w:t>Regarding Calculation</w:t>
      </w:r>
      <w:r>
        <w:t>…………………………………………………47</w:t>
      </w:r>
    </w:p>
    <w:p w:rsidR="00793212" w:rsidRDefault="000A66F6" w:rsidP="000A66F6">
      <w:pPr>
        <w:pStyle w:val="TOC3"/>
        <w:ind w:left="442"/>
        <w:rPr>
          <w:rStyle w:val="Hyperlink"/>
          <w:color w:val="auto"/>
        </w:rPr>
      </w:pPr>
      <w:hyperlink w:anchor="_Toc60183464" w:history="1">
        <w:r w:rsidR="00793212" w:rsidRPr="00824D58">
          <w:rPr>
            <w:rStyle w:val="Hyperlink"/>
            <w:rFonts w:eastAsia="Calibri"/>
            <w:color w:val="auto"/>
            <w:lang w:bidi="ar-IQ"/>
          </w:rPr>
          <w:t>3.2.3.</w:t>
        </w:r>
        <w:r w:rsidR="00793212" w:rsidRPr="00824D58">
          <w:rPr>
            <w:rFonts w:asciiTheme="minorHAnsi" w:hAnsiTheme="minorHAnsi" w:cstheme="minorBidi"/>
            <w:sz w:val="22"/>
            <w:szCs w:val="22"/>
            <w:rtl/>
          </w:rPr>
          <w:tab/>
        </w:r>
        <w:r w:rsidR="00793212" w:rsidRPr="00824D58">
          <w:rPr>
            <w:rStyle w:val="Hyperlink"/>
            <w:rFonts w:eastAsia="Calibri"/>
            <w:color w:val="auto"/>
            <w:lang w:bidi="ar-IQ"/>
          </w:rPr>
          <w:t>CRP (0004956842190c501V11.0)</w:t>
        </w:r>
        <w:r w:rsidR="00793212" w:rsidRPr="00824D58">
          <w:rPr>
            <w:webHidden/>
            <w:rtl/>
          </w:rPr>
          <w:tab/>
        </w:r>
        <w:r w:rsidR="00793212" w:rsidRPr="00824D58">
          <w:rPr>
            <w:rStyle w:val="Hyperlink"/>
            <w:color w:val="auto"/>
            <w:rtl/>
          </w:rPr>
          <w:fldChar w:fldCharType="begin"/>
        </w:r>
        <w:r w:rsidR="00793212" w:rsidRPr="00824D58">
          <w:rPr>
            <w:webHidden/>
            <w:rtl/>
          </w:rPr>
          <w:instrText xml:space="preserve"> </w:instrText>
        </w:r>
        <w:r w:rsidR="00793212" w:rsidRPr="00824D58">
          <w:rPr>
            <w:webHidden/>
          </w:rPr>
          <w:instrText>PAGEREF</w:instrText>
        </w:r>
        <w:r w:rsidR="00793212" w:rsidRPr="00824D58">
          <w:rPr>
            <w:webHidden/>
            <w:rtl/>
          </w:rPr>
          <w:instrText xml:space="preserve"> _</w:instrText>
        </w:r>
        <w:r w:rsidR="00793212" w:rsidRPr="00824D58">
          <w:rPr>
            <w:webHidden/>
          </w:rPr>
          <w:instrText>Toc60183464 \h</w:instrText>
        </w:r>
        <w:r w:rsidR="00793212" w:rsidRPr="00824D58">
          <w:rPr>
            <w:webHidden/>
            <w:rtl/>
          </w:rPr>
          <w:instrText xml:space="preserve"> </w:instrText>
        </w:r>
        <w:r w:rsidR="00793212" w:rsidRPr="00824D58">
          <w:rPr>
            <w:rStyle w:val="Hyperlink"/>
            <w:color w:val="auto"/>
            <w:rtl/>
          </w:rPr>
        </w:r>
        <w:r w:rsidR="00793212" w:rsidRPr="00824D58">
          <w:rPr>
            <w:rStyle w:val="Hyperlink"/>
            <w:color w:val="auto"/>
            <w:rtl/>
          </w:rPr>
          <w:fldChar w:fldCharType="separate"/>
        </w:r>
        <w:r w:rsidR="00713623">
          <w:rPr>
            <w:webHidden/>
          </w:rPr>
          <w:t>4</w:t>
        </w:r>
        <w:r>
          <w:rPr>
            <w:webHidden/>
          </w:rPr>
          <w:t>7</w:t>
        </w:r>
        <w:r w:rsidR="00793212" w:rsidRPr="00824D58">
          <w:rPr>
            <w:rStyle w:val="Hyperlink"/>
            <w:color w:val="auto"/>
            <w:rtl/>
          </w:rPr>
          <w:fldChar w:fldCharType="end"/>
        </w:r>
      </w:hyperlink>
    </w:p>
    <w:p w:rsidR="00793212" w:rsidRDefault="000A66F6" w:rsidP="000A66F6">
      <w:pPr>
        <w:pStyle w:val="TOC3"/>
        <w:ind w:left="442"/>
        <w:rPr>
          <w:rStyle w:val="Hyperlink"/>
          <w:color w:val="auto"/>
        </w:rPr>
      </w:pPr>
      <w:hyperlink w:anchor="_Toc60183465" w:history="1">
        <w:r w:rsidR="00793212" w:rsidRPr="00824D58">
          <w:rPr>
            <w:rStyle w:val="Hyperlink"/>
            <w:rFonts w:eastAsia="Calibri"/>
            <w:color w:val="auto"/>
            <w:lang w:bidi="ar-IQ"/>
          </w:rPr>
          <w:t>3.2.4.</w:t>
        </w:r>
        <w:r w:rsidR="00793212" w:rsidRPr="00824D58">
          <w:rPr>
            <w:rFonts w:asciiTheme="minorHAnsi" w:hAnsiTheme="minorHAnsi" w:cstheme="minorBidi"/>
            <w:sz w:val="22"/>
            <w:szCs w:val="22"/>
            <w:rtl/>
          </w:rPr>
          <w:tab/>
        </w:r>
        <w:r w:rsidR="00793212" w:rsidRPr="00824D58">
          <w:rPr>
            <w:rStyle w:val="Hyperlink"/>
            <w:rFonts w:eastAsia="Calibri"/>
            <w:color w:val="auto"/>
            <w:lang w:bidi="ar-IQ"/>
          </w:rPr>
          <w:t>Hepcidin (MBS2881688)</w:t>
        </w:r>
        <w:r w:rsidR="00793212" w:rsidRPr="00824D58">
          <w:rPr>
            <w:webHidden/>
            <w:rtl/>
          </w:rPr>
          <w:tab/>
        </w:r>
        <w:r w:rsidR="00793212" w:rsidRPr="00824D58">
          <w:rPr>
            <w:rStyle w:val="Hyperlink"/>
            <w:color w:val="auto"/>
            <w:rtl/>
          </w:rPr>
          <w:fldChar w:fldCharType="begin"/>
        </w:r>
        <w:r w:rsidR="00793212" w:rsidRPr="00824D58">
          <w:rPr>
            <w:webHidden/>
            <w:rtl/>
          </w:rPr>
          <w:instrText xml:space="preserve"> </w:instrText>
        </w:r>
        <w:r w:rsidR="00793212" w:rsidRPr="00824D58">
          <w:rPr>
            <w:webHidden/>
          </w:rPr>
          <w:instrText>PAGEREF</w:instrText>
        </w:r>
        <w:r w:rsidR="00793212" w:rsidRPr="00824D58">
          <w:rPr>
            <w:webHidden/>
            <w:rtl/>
          </w:rPr>
          <w:instrText xml:space="preserve"> _</w:instrText>
        </w:r>
        <w:r w:rsidR="00793212" w:rsidRPr="00824D58">
          <w:rPr>
            <w:webHidden/>
          </w:rPr>
          <w:instrText>Toc60183465 \h</w:instrText>
        </w:r>
        <w:r w:rsidR="00793212" w:rsidRPr="00824D58">
          <w:rPr>
            <w:webHidden/>
            <w:rtl/>
          </w:rPr>
          <w:instrText xml:space="preserve"> </w:instrText>
        </w:r>
        <w:r w:rsidR="00793212" w:rsidRPr="00824D58">
          <w:rPr>
            <w:rStyle w:val="Hyperlink"/>
            <w:color w:val="auto"/>
            <w:rtl/>
          </w:rPr>
        </w:r>
        <w:r w:rsidR="00793212" w:rsidRPr="00824D58">
          <w:rPr>
            <w:rStyle w:val="Hyperlink"/>
            <w:color w:val="auto"/>
            <w:rtl/>
          </w:rPr>
          <w:fldChar w:fldCharType="separate"/>
        </w:r>
        <w:r w:rsidR="00713623">
          <w:rPr>
            <w:webHidden/>
          </w:rPr>
          <w:t>4</w:t>
        </w:r>
        <w:r>
          <w:rPr>
            <w:webHidden/>
          </w:rPr>
          <w:t>8</w:t>
        </w:r>
        <w:r w:rsidR="00793212" w:rsidRPr="00824D58">
          <w:rPr>
            <w:rStyle w:val="Hyperlink"/>
            <w:color w:val="auto"/>
            <w:rtl/>
          </w:rPr>
          <w:fldChar w:fldCharType="end"/>
        </w:r>
      </w:hyperlink>
    </w:p>
    <w:p w:rsidR="00B46B85" w:rsidRDefault="00B46B85" w:rsidP="000A66F6">
      <w:pPr>
        <w:spacing w:after="0" w:line="240" w:lineRule="auto"/>
        <w:ind w:left="442"/>
      </w:pPr>
      <w:r>
        <w:t>3.2.4.1.</w:t>
      </w:r>
      <w:r w:rsidRPr="00B46B85">
        <w:t>Principle of Assay</w:t>
      </w:r>
      <w:r>
        <w:t>…………………………………………….………..4</w:t>
      </w:r>
      <w:r w:rsidR="000A66F6">
        <w:t>8</w:t>
      </w:r>
    </w:p>
    <w:p w:rsidR="00B46B85" w:rsidRDefault="00B46B85" w:rsidP="003974BD">
      <w:pPr>
        <w:spacing w:after="0" w:line="240" w:lineRule="auto"/>
        <w:ind w:left="442"/>
      </w:pPr>
      <w:r>
        <w:t>3.2.4.2.</w:t>
      </w:r>
      <w:r w:rsidRPr="00B46B85">
        <w:t>Reagent preparation</w:t>
      </w:r>
      <w:r>
        <w:t>…………………………………………………….</w:t>
      </w:r>
      <w:r w:rsidR="003974BD">
        <w:t>48</w:t>
      </w:r>
    </w:p>
    <w:p w:rsidR="00793212" w:rsidRDefault="000A66F6" w:rsidP="003974BD">
      <w:pPr>
        <w:pStyle w:val="TOC3"/>
        <w:ind w:left="442"/>
        <w:rPr>
          <w:rStyle w:val="Hyperlink"/>
          <w:color w:val="auto"/>
        </w:rPr>
      </w:pPr>
      <w:hyperlink w:anchor="_Toc60183466" w:history="1">
        <w:r w:rsidR="00793212" w:rsidRPr="00824D58">
          <w:rPr>
            <w:rStyle w:val="Hyperlink"/>
            <w:rFonts w:eastAsia="Calibri"/>
            <w:color w:val="auto"/>
            <w:lang w:val="en-GB" w:bidi="ar-IQ"/>
          </w:rPr>
          <w:t>3.2.5.</w:t>
        </w:r>
        <w:r w:rsidR="00793212" w:rsidRPr="00824D58">
          <w:rPr>
            <w:rFonts w:asciiTheme="minorHAnsi" w:hAnsiTheme="minorHAnsi" w:cstheme="minorBidi"/>
            <w:sz w:val="22"/>
            <w:szCs w:val="22"/>
            <w:rtl/>
          </w:rPr>
          <w:tab/>
        </w:r>
        <w:r w:rsidR="00793212" w:rsidRPr="00824D58">
          <w:rPr>
            <w:rStyle w:val="Hyperlink"/>
            <w:rFonts w:eastAsia="Calibri"/>
            <w:color w:val="auto"/>
            <w:lang w:val="en-GB" w:bidi="ar-IQ"/>
          </w:rPr>
          <w:t>FSH (425-300)</w:t>
        </w:r>
        <w:r w:rsidR="00793212">
          <w:rPr>
            <w:webHidden/>
          </w:rPr>
          <w:t>……………………………………………………………</w:t>
        </w:r>
        <w:r w:rsidR="003974BD">
          <w:rPr>
            <w:rStyle w:val="Hyperlink"/>
            <w:color w:val="auto"/>
          </w:rPr>
          <w:t>49</w:t>
        </w:r>
      </w:hyperlink>
    </w:p>
    <w:p w:rsidR="00B46B85" w:rsidRDefault="00B46B85" w:rsidP="003974BD">
      <w:pPr>
        <w:spacing w:after="0" w:line="240" w:lineRule="auto"/>
        <w:ind w:left="442"/>
      </w:pPr>
      <w:r>
        <w:t>3.2.5.1.</w:t>
      </w:r>
      <w:r w:rsidRPr="00B46B85">
        <w:t>Principle</w:t>
      </w:r>
      <w:r>
        <w:t xml:space="preserve"> ……………………………………………………………….</w:t>
      </w:r>
      <w:r w:rsidR="003974BD">
        <w:t>49</w:t>
      </w:r>
    </w:p>
    <w:p w:rsidR="00B46B85" w:rsidRPr="00B46B85" w:rsidRDefault="00B46B85" w:rsidP="003974BD">
      <w:pPr>
        <w:spacing w:after="0" w:line="240" w:lineRule="auto"/>
        <w:ind w:left="442"/>
        <w:rPr>
          <w:rtl/>
        </w:rPr>
      </w:pPr>
      <w:r>
        <w:t>3.2.5.</w:t>
      </w:r>
      <w:r w:rsidR="003F2A02">
        <w:t>2</w:t>
      </w:r>
      <w:r>
        <w:t>.</w:t>
      </w:r>
      <w:r w:rsidRPr="00B46B85">
        <w:t>Reagent preparation</w:t>
      </w:r>
      <w:r>
        <w:t>……………………………………………………5</w:t>
      </w:r>
      <w:r w:rsidR="003974BD">
        <w:t>0</w:t>
      </w:r>
    </w:p>
    <w:p w:rsidR="00793212" w:rsidRPr="00824D58" w:rsidRDefault="000A66F6" w:rsidP="003974BD">
      <w:pPr>
        <w:pStyle w:val="TOC1"/>
        <w:tabs>
          <w:tab w:val="left" w:pos="3336"/>
        </w:tabs>
        <w:rPr>
          <w:rFonts w:asciiTheme="minorHAnsi" w:hAnsiTheme="minorHAnsi" w:cstheme="minorBidi"/>
          <w:noProof/>
          <w:sz w:val="22"/>
          <w:szCs w:val="22"/>
          <w:rtl/>
        </w:rPr>
      </w:pPr>
      <w:hyperlink w:anchor="_Toc60183467" w:history="1">
        <w:r w:rsidR="00793212" w:rsidRPr="00824D58">
          <w:rPr>
            <w:rStyle w:val="Hyperlink"/>
            <w:rFonts w:eastAsiaTheme="majorEastAsia"/>
            <w:noProof/>
            <w:color w:val="auto"/>
          </w:rPr>
          <w:t>4.</w:t>
        </w:r>
        <w:r w:rsidR="00793212" w:rsidRPr="00824D58">
          <w:rPr>
            <w:rFonts w:asciiTheme="minorHAnsi" w:hAnsiTheme="minorHAnsi" w:cstheme="minorBidi"/>
            <w:noProof/>
            <w:sz w:val="22"/>
            <w:szCs w:val="22"/>
            <w:rtl/>
          </w:rPr>
          <w:tab/>
        </w:r>
        <w:r w:rsidR="00793212" w:rsidRPr="00824D58">
          <w:rPr>
            <w:rStyle w:val="Hyperlink"/>
            <w:noProof/>
            <w:color w:val="auto"/>
          </w:rPr>
          <w:t>RESULTS AND D</w:t>
        </w:r>
        <w:r w:rsidR="003974BD">
          <w:rPr>
            <w:rStyle w:val="Hyperlink"/>
            <w:noProof/>
            <w:color w:val="auto"/>
          </w:rPr>
          <w:t>I</w:t>
        </w:r>
        <w:r w:rsidR="00793212" w:rsidRPr="00824D58">
          <w:rPr>
            <w:rStyle w:val="Hyperlink"/>
            <w:noProof/>
            <w:color w:val="auto"/>
          </w:rPr>
          <w:t>SCUSS</w:t>
        </w:r>
        <w:r w:rsidR="003974BD">
          <w:rPr>
            <w:rStyle w:val="Hyperlink"/>
            <w:noProof/>
            <w:color w:val="auto"/>
          </w:rPr>
          <w:t>I</w:t>
        </w:r>
        <w:r w:rsidR="00793212" w:rsidRPr="00824D58">
          <w:rPr>
            <w:rStyle w:val="Hyperlink"/>
            <w:noProof/>
            <w:color w:val="auto"/>
          </w:rPr>
          <w:t>ON</w:t>
        </w:r>
        <w:r w:rsidR="00793212" w:rsidRPr="00824D58">
          <w:rPr>
            <w:noProof/>
            <w:webHidden/>
            <w:rtl/>
          </w:rPr>
          <w:tab/>
        </w:r>
        <w:r w:rsidR="00793212" w:rsidRPr="00824D58">
          <w:rPr>
            <w:rStyle w:val="Hyperlink"/>
            <w:noProof/>
            <w:color w:val="auto"/>
            <w:rtl/>
          </w:rPr>
          <w:fldChar w:fldCharType="begin"/>
        </w:r>
        <w:r w:rsidR="00793212" w:rsidRPr="00824D58">
          <w:rPr>
            <w:noProof/>
            <w:webHidden/>
            <w:rtl/>
          </w:rPr>
          <w:instrText xml:space="preserve"> </w:instrText>
        </w:r>
        <w:r w:rsidR="00793212" w:rsidRPr="00824D58">
          <w:rPr>
            <w:noProof/>
            <w:webHidden/>
          </w:rPr>
          <w:instrText>PAGEREF</w:instrText>
        </w:r>
        <w:r w:rsidR="00793212" w:rsidRPr="00824D58">
          <w:rPr>
            <w:noProof/>
            <w:webHidden/>
            <w:rtl/>
          </w:rPr>
          <w:instrText xml:space="preserve"> _</w:instrText>
        </w:r>
        <w:r w:rsidR="00793212" w:rsidRPr="00824D58">
          <w:rPr>
            <w:noProof/>
            <w:webHidden/>
          </w:rPr>
          <w:instrText>Toc60183467 \h</w:instrText>
        </w:r>
        <w:r w:rsidR="00793212" w:rsidRPr="00824D58">
          <w:rPr>
            <w:noProof/>
            <w:webHidden/>
            <w:rtl/>
          </w:rPr>
          <w:instrText xml:space="preserve"> </w:instrText>
        </w:r>
        <w:r w:rsidR="00793212" w:rsidRPr="00824D58">
          <w:rPr>
            <w:rStyle w:val="Hyperlink"/>
            <w:noProof/>
            <w:color w:val="auto"/>
            <w:rtl/>
          </w:rPr>
        </w:r>
        <w:r w:rsidR="00793212" w:rsidRPr="00824D58">
          <w:rPr>
            <w:rStyle w:val="Hyperlink"/>
            <w:noProof/>
            <w:color w:val="auto"/>
            <w:rtl/>
          </w:rPr>
          <w:fldChar w:fldCharType="separate"/>
        </w:r>
        <w:r w:rsidR="00713623">
          <w:rPr>
            <w:noProof/>
            <w:webHidden/>
          </w:rPr>
          <w:t>5</w:t>
        </w:r>
        <w:r w:rsidR="003974BD">
          <w:rPr>
            <w:noProof/>
            <w:webHidden/>
          </w:rPr>
          <w:t>1</w:t>
        </w:r>
        <w:r w:rsidR="00793212" w:rsidRPr="00824D58">
          <w:rPr>
            <w:rStyle w:val="Hyperlink"/>
            <w:noProof/>
            <w:color w:val="auto"/>
            <w:rtl/>
          </w:rPr>
          <w:fldChar w:fldCharType="end"/>
        </w:r>
      </w:hyperlink>
    </w:p>
    <w:p w:rsidR="00793212" w:rsidRPr="00824D58" w:rsidRDefault="000A66F6" w:rsidP="003974BD">
      <w:pPr>
        <w:pStyle w:val="TOC1"/>
        <w:tabs>
          <w:tab w:val="left" w:pos="2601"/>
        </w:tabs>
        <w:rPr>
          <w:rFonts w:asciiTheme="minorHAnsi" w:hAnsiTheme="minorHAnsi" w:cstheme="minorBidi"/>
          <w:noProof/>
          <w:sz w:val="22"/>
          <w:szCs w:val="22"/>
          <w:rtl/>
        </w:rPr>
      </w:pPr>
      <w:hyperlink w:anchor="_Toc60183468" w:history="1">
        <w:r w:rsidR="00793212" w:rsidRPr="00824D58">
          <w:rPr>
            <w:rStyle w:val="Hyperlink"/>
            <w:noProof/>
            <w:color w:val="auto"/>
          </w:rPr>
          <w:t>4.1.</w:t>
        </w:r>
        <w:r w:rsidR="00793212" w:rsidRPr="00824D58">
          <w:rPr>
            <w:rFonts w:asciiTheme="minorHAnsi" w:hAnsiTheme="minorHAnsi" w:cstheme="minorBidi"/>
            <w:noProof/>
            <w:sz w:val="22"/>
            <w:szCs w:val="22"/>
            <w:rtl/>
          </w:rPr>
          <w:tab/>
        </w:r>
        <w:r w:rsidR="00793212" w:rsidRPr="00824D58">
          <w:rPr>
            <w:rStyle w:val="Hyperlink"/>
            <w:rFonts w:eastAsiaTheme="majorEastAsia"/>
            <w:noProof/>
            <w:color w:val="auto"/>
          </w:rPr>
          <w:t>Prostate cancer Analysis</w:t>
        </w:r>
        <w:r w:rsidR="00793212" w:rsidRPr="00824D58">
          <w:rPr>
            <w:noProof/>
            <w:webHidden/>
            <w:rtl/>
          </w:rPr>
          <w:tab/>
        </w:r>
        <w:r w:rsidR="00793212" w:rsidRPr="00824D58">
          <w:rPr>
            <w:rStyle w:val="Hyperlink"/>
            <w:noProof/>
            <w:color w:val="auto"/>
            <w:rtl/>
          </w:rPr>
          <w:fldChar w:fldCharType="begin"/>
        </w:r>
        <w:r w:rsidR="00793212" w:rsidRPr="00824D58">
          <w:rPr>
            <w:noProof/>
            <w:webHidden/>
            <w:rtl/>
          </w:rPr>
          <w:instrText xml:space="preserve"> </w:instrText>
        </w:r>
        <w:r w:rsidR="00793212" w:rsidRPr="00824D58">
          <w:rPr>
            <w:noProof/>
            <w:webHidden/>
          </w:rPr>
          <w:instrText>PAGEREF</w:instrText>
        </w:r>
        <w:r w:rsidR="00793212" w:rsidRPr="00824D58">
          <w:rPr>
            <w:noProof/>
            <w:webHidden/>
            <w:rtl/>
          </w:rPr>
          <w:instrText xml:space="preserve"> _</w:instrText>
        </w:r>
        <w:r w:rsidR="00793212" w:rsidRPr="00824D58">
          <w:rPr>
            <w:noProof/>
            <w:webHidden/>
          </w:rPr>
          <w:instrText>Toc60183468 \h</w:instrText>
        </w:r>
        <w:r w:rsidR="00793212" w:rsidRPr="00824D58">
          <w:rPr>
            <w:noProof/>
            <w:webHidden/>
            <w:rtl/>
          </w:rPr>
          <w:instrText xml:space="preserve"> </w:instrText>
        </w:r>
        <w:r w:rsidR="00793212" w:rsidRPr="00824D58">
          <w:rPr>
            <w:rStyle w:val="Hyperlink"/>
            <w:noProof/>
            <w:color w:val="auto"/>
            <w:rtl/>
          </w:rPr>
        </w:r>
        <w:r w:rsidR="00793212" w:rsidRPr="00824D58">
          <w:rPr>
            <w:rStyle w:val="Hyperlink"/>
            <w:noProof/>
            <w:color w:val="auto"/>
            <w:rtl/>
          </w:rPr>
          <w:fldChar w:fldCharType="separate"/>
        </w:r>
        <w:r w:rsidR="00713623">
          <w:rPr>
            <w:noProof/>
            <w:webHidden/>
          </w:rPr>
          <w:t>5</w:t>
        </w:r>
        <w:r w:rsidR="003974BD">
          <w:rPr>
            <w:noProof/>
            <w:webHidden/>
          </w:rPr>
          <w:t>1</w:t>
        </w:r>
        <w:r w:rsidR="00793212" w:rsidRPr="00824D58">
          <w:rPr>
            <w:rStyle w:val="Hyperlink"/>
            <w:noProof/>
            <w:color w:val="auto"/>
            <w:rtl/>
          </w:rPr>
          <w:fldChar w:fldCharType="end"/>
        </w:r>
      </w:hyperlink>
    </w:p>
    <w:p w:rsidR="00793212" w:rsidRPr="00824D58" w:rsidRDefault="000A66F6" w:rsidP="003974BD">
      <w:pPr>
        <w:pStyle w:val="TOC2"/>
        <w:rPr>
          <w:rFonts w:asciiTheme="minorHAnsi" w:hAnsiTheme="minorHAnsi" w:cstheme="minorBidi"/>
          <w:noProof/>
          <w:sz w:val="22"/>
          <w:szCs w:val="22"/>
          <w:rtl/>
        </w:rPr>
      </w:pPr>
      <w:hyperlink w:anchor="_Toc60183469" w:history="1">
        <w:r w:rsidR="00793212" w:rsidRPr="00824D58">
          <w:rPr>
            <w:rStyle w:val="Hyperlink"/>
            <w:rFonts w:ascii="Times New Roman" w:hAnsi="Times New Roman"/>
            <w:noProof/>
            <w:color w:val="auto"/>
          </w:rPr>
          <w:t>4.2.</w:t>
        </w:r>
        <w:r w:rsidR="00793212" w:rsidRPr="00824D58">
          <w:rPr>
            <w:rFonts w:asciiTheme="minorHAnsi" w:hAnsiTheme="minorHAnsi" w:cstheme="minorBidi"/>
            <w:noProof/>
            <w:sz w:val="22"/>
            <w:szCs w:val="22"/>
            <w:rtl/>
          </w:rPr>
          <w:tab/>
        </w:r>
        <w:r w:rsidR="001A40A0">
          <w:rPr>
            <w:rStyle w:val="Hyperlink"/>
            <w:noProof/>
            <w:color w:val="auto"/>
          </w:rPr>
          <w:t>Ho</w:t>
        </w:r>
        <w:r w:rsidR="00793212" w:rsidRPr="00824D58">
          <w:rPr>
            <w:rStyle w:val="Hyperlink"/>
            <w:noProof/>
            <w:color w:val="auto"/>
          </w:rPr>
          <w:t>rmons Results</w:t>
        </w:r>
        <w:r w:rsidR="00793212" w:rsidRPr="00824D58">
          <w:rPr>
            <w:noProof/>
            <w:webHidden/>
            <w:rtl/>
          </w:rPr>
          <w:tab/>
        </w:r>
        <w:r w:rsidR="003974BD">
          <w:rPr>
            <w:noProof/>
            <w:webHidden/>
          </w:rPr>
          <w:t>……………………………………………………………..</w:t>
        </w:r>
        <w:r w:rsidR="00793212" w:rsidRPr="00824D58">
          <w:rPr>
            <w:rStyle w:val="Hyperlink"/>
            <w:noProof/>
            <w:color w:val="auto"/>
            <w:rtl/>
          </w:rPr>
          <w:fldChar w:fldCharType="begin"/>
        </w:r>
        <w:r w:rsidR="00793212" w:rsidRPr="00824D58">
          <w:rPr>
            <w:noProof/>
            <w:webHidden/>
            <w:rtl/>
          </w:rPr>
          <w:instrText xml:space="preserve"> </w:instrText>
        </w:r>
        <w:r w:rsidR="00793212" w:rsidRPr="00824D58">
          <w:rPr>
            <w:noProof/>
            <w:webHidden/>
          </w:rPr>
          <w:instrText>PAGEREF</w:instrText>
        </w:r>
        <w:r w:rsidR="00793212" w:rsidRPr="00824D58">
          <w:rPr>
            <w:noProof/>
            <w:webHidden/>
            <w:rtl/>
          </w:rPr>
          <w:instrText xml:space="preserve"> _</w:instrText>
        </w:r>
        <w:r w:rsidR="00793212" w:rsidRPr="00824D58">
          <w:rPr>
            <w:noProof/>
            <w:webHidden/>
          </w:rPr>
          <w:instrText>Toc60183469 \h</w:instrText>
        </w:r>
        <w:r w:rsidR="00793212" w:rsidRPr="00824D58">
          <w:rPr>
            <w:noProof/>
            <w:webHidden/>
            <w:rtl/>
          </w:rPr>
          <w:instrText xml:space="preserve"> </w:instrText>
        </w:r>
        <w:r w:rsidR="00793212" w:rsidRPr="00824D58">
          <w:rPr>
            <w:rStyle w:val="Hyperlink"/>
            <w:noProof/>
            <w:color w:val="auto"/>
            <w:rtl/>
          </w:rPr>
        </w:r>
        <w:r w:rsidR="00793212" w:rsidRPr="00824D58">
          <w:rPr>
            <w:rStyle w:val="Hyperlink"/>
            <w:noProof/>
            <w:color w:val="auto"/>
            <w:rtl/>
          </w:rPr>
          <w:fldChar w:fldCharType="separate"/>
        </w:r>
        <w:r w:rsidR="00713623">
          <w:rPr>
            <w:noProof/>
            <w:webHidden/>
          </w:rPr>
          <w:t>5</w:t>
        </w:r>
        <w:r w:rsidR="003974BD">
          <w:rPr>
            <w:noProof/>
            <w:webHidden/>
          </w:rPr>
          <w:t>5</w:t>
        </w:r>
        <w:r w:rsidR="00793212" w:rsidRPr="00824D58">
          <w:rPr>
            <w:rStyle w:val="Hyperlink"/>
            <w:noProof/>
            <w:color w:val="auto"/>
            <w:rtl/>
          </w:rPr>
          <w:fldChar w:fldCharType="end"/>
        </w:r>
      </w:hyperlink>
    </w:p>
    <w:p w:rsidR="00793212" w:rsidRPr="00824D58" w:rsidRDefault="000A66F6" w:rsidP="003974BD">
      <w:pPr>
        <w:pStyle w:val="TOC3"/>
        <w:rPr>
          <w:rFonts w:asciiTheme="minorHAnsi" w:hAnsiTheme="minorHAnsi" w:cstheme="minorBidi"/>
          <w:sz w:val="22"/>
          <w:szCs w:val="22"/>
          <w:rtl/>
        </w:rPr>
      </w:pPr>
      <w:hyperlink w:anchor="_Toc60183470" w:history="1">
        <w:r w:rsidR="00793212" w:rsidRPr="00824D58">
          <w:rPr>
            <w:rStyle w:val="Hyperlink"/>
            <w:color w:val="auto"/>
          </w:rPr>
          <w:t>4.2.1.</w:t>
        </w:r>
        <w:r w:rsidR="00793212" w:rsidRPr="00824D58">
          <w:rPr>
            <w:rFonts w:asciiTheme="minorHAnsi" w:hAnsiTheme="minorHAnsi" w:cstheme="minorBidi"/>
            <w:sz w:val="22"/>
            <w:szCs w:val="22"/>
            <w:rtl/>
          </w:rPr>
          <w:tab/>
        </w:r>
        <w:r w:rsidR="00793212" w:rsidRPr="00824D58">
          <w:rPr>
            <w:rStyle w:val="Hyperlink"/>
            <w:color w:val="auto"/>
          </w:rPr>
          <w:t>FSH</w:t>
        </w:r>
        <w:r w:rsidR="00793212">
          <w:rPr>
            <w:webHidden/>
          </w:rPr>
          <w:t>……………………………………………………………………….</w:t>
        </w:r>
        <w:r w:rsidR="00793212" w:rsidRPr="00824D58">
          <w:rPr>
            <w:rStyle w:val="Hyperlink"/>
            <w:color w:val="auto"/>
            <w:rtl/>
          </w:rPr>
          <w:fldChar w:fldCharType="begin"/>
        </w:r>
        <w:r w:rsidR="00793212" w:rsidRPr="00824D58">
          <w:rPr>
            <w:webHidden/>
            <w:rtl/>
          </w:rPr>
          <w:instrText xml:space="preserve"> </w:instrText>
        </w:r>
        <w:r w:rsidR="00793212" w:rsidRPr="00824D58">
          <w:rPr>
            <w:webHidden/>
          </w:rPr>
          <w:instrText>PAGEREF</w:instrText>
        </w:r>
        <w:r w:rsidR="00793212" w:rsidRPr="00824D58">
          <w:rPr>
            <w:webHidden/>
            <w:rtl/>
          </w:rPr>
          <w:instrText xml:space="preserve"> _</w:instrText>
        </w:r>
        <w:r w:rsidR="00793212" w:rsidRPr="00824D58">
          <w:rPr>
            <w:webHidden/>
          </w:rPr>
          <w:instrText>Toc60183470 \h</w:instrText>
        </w:r>
        <w:r w:rsidR="00793212" w:rsidRPr="00824D58">
          <w:rPr>
            <w:webHidden/>
            <w:rtl/>
          </w:rPr>
          <w:instrText xml:space="preserve"> </w:instrText>
        </w:r>
        <w:r w:rsidR="00793212" w:rsidRPr="00824D58">
          <w:rPr>
            <w:rStyle w:val="Hyperlink"/>
            <w:color w:val="auto"/>
            <w:rtl/>
          </w:rPr>
        </w:r>
        <w:r w:rsidR="00793212" w:rsidRPr="00824D58">
          <w:rPr>
            <w:rStyle w:val="Hyperlink"/>
            <w:color w:val="auto"/>
            <w:rtl/>
          </w:rPr>
          <w:fldChar w:fldCharType="separate"/>
        </w:r>
        <w:r w:rsidR="00713623">
          <w:rPr>
            <w:webHidden/>
          </w:rPr>
          <w:t>5</w:t>
        </w:r>
        <w:r w:rsidR="003974BD">
          <w:rPr>
            <w:webHidden/>
          </w:rPr>
          <w:t>5</w:t>
        </w:r>
        <w:r w:rsidR="00793212" w:rsidRPr="00824D58">
          <w:rPr>
            <w:rStyle w:val="Hyperlink"/>
            <w:color w:val="auto"/>
            <w:rtl/>
          </w:rPr>
          <w:fldChar w:fldCharType="end"/>
        </w:r>
      </w:hyperlink>
    </w:p>
    <w:p w:rsidR="00793212" w:rsidRPr="00824D58" w:rsidRDefault="000A66F6" w:rsidP="003974BD">
      <w:pPr>
        <w:pStyle w:val="TOC3"/>
        <w:rPr>
          <w:rFonts w:asciiTheme="minorHAnsi" w:hAnsiTheme="minorHAnsi" w:cstheme="minorBidi"/>
          <w:sz w:val="22"/>
          <w:szCs w:val="22"/>
          <w:rtl/>
        </w:rPr>
      </w:pPr>
      <w:hyperlink w:anchor="_Toc60183471" w:history="1">
        <w:r w:rsidR="00793212" w:rsidRPr="00824D58">
          <w:rPr>
            <w:rStyle w:val="Hyperlink"/>
            <w:color w:val="auto"/>
          </w:rPr>
          <w:t>4.2.2.</w:t>
        </w:r>
        <w:r w:rsidR="00793212" w:rsidRPr="00824D58">
          <w:rPr>
            <w:rFonts w:asciiTheme="minorHAnsi" w:hAnsiTheme="minorHAnsi" w:cstheme="minorBidi"/>
            <w:sz w:val="22"/>
            <w:szCs w:val="22"/>
            <w:rtl/>
          </w:rPr>
          <w:tab/>
        </w:r>
        <w:r w:rsidR="00793212" w:rsidRPr="00824D58">
          <w:rPr>
            <w:rStyle w:val="Hyperlink"/>
            <w:color w:val="auto"/>
          </w:rPr>
          <w:t>PSA</w:t>
        </w:r>
        <w:r w:rsidR="00793212">
          <w:rPr>
            <w:webHidden/>
          </w:rPr>
          <w:t>……………………………………………………………………….</w:t>
        </w:r>
        <w:r w:rsidR="003974BD">
          <w:rPr>
            <w:rStyle w:val="Hyperlink"/>
            <w:color w:val="auto"/>
          </w:rPr>
          <w:t>56</w:t>
        </w:r>
      </w:hyperlink>
    </w:p>
    <w:p w:rsidR="00793212" w:rsidRPr="00FA415E" w:rsidRDefault="000A66F6" w:rsidP="003974BD">
      <w:pPr>
        <w:pStyle w:val="TOC3"/>
        <w:rPr>
          <w:rFonts w:asciiTheme="minorHAnsi" w:hAnsiTheme="minorHAnsi" w:cstheme="minorBidi"/>
          <w:sz w:val="22"/>
          <w:szCs w:val="22"/>
          <w:rtl/>
        </w:rPr>
      </w:pPr>
      <w:hyperlink w:anchor="_Toc60183472" w:history="1">
        <w:r w:rsidR="00793212" w:rsidRPr="00FA415E">
          <w:rPr>
            <w:rStyle w:val="Hyperlink"/>
            <w:color w:val="auto"/>
          </w:rPr>
          <w:t>4.2.3.</w:t>
        </w:r>
        <w:r w:rsidR="00793212" w:rsidRPr="00FA415E">
          <w:rPr>
            <w:rFonts w:asciiTheme="minorHAnsi" w:hAnsiTheme="minorHAnsi" w:cstheme="minorBidi"/>
            <w:sz w:val="22"/>
            <w:szCs w:val="22"/>
            <w:rtl/>
          </w:rPr>
          <w:tab/>
        </w:r>
        <w:r w:rsidR="00793212" w:rsidRPr="00FA415E">
          <w:rPr>
            <w:rStyle w:val="Hyperlink"/>
            <w:color w:val="auto"/>
          </w:rPr>
          <w:t>Hepcidin Hormone</w:t>
        </w:r>
        <w:r w:rsidR="00793212" w:rsidRPr="00FA415E">
          <w:rPr>
            <w:webHidden/>
            <w:rtl/>
          </w:rPr>
          <w:tab/>
        </w:r>
      </w:hyperlink>
      <w:r w:rsidR="00793212" w:rsidRPr="00FA415E">
        <w:rPr>
          <w:rStyle w:val="Hyperlink"/>
          <w:color w:val="auto"/>
          <w:u w:val="none"/>
        </w:rPr>
        <w:t>………………………………………………………</w:t>
      </w:r>
      <w:r w:rsidR="003974BD">
        <w:rPr>
          <w:rStyle w:val="Hyperlink"/>
          <w:color w:val="auto"/>
          <w:u w:val="none"/>
        </w:rPr>
        <w:t>57</w:t>
      </w:r>
    </w:p>
    <w:p w:rsidR="00793212" w:rsidRPr="00824D58" w:rsidRDefault="000A66F6" w:rsidP="003974BD">
      <w:pPr>
        <w:pStyle w:val="TOC3"/>
        <w:rPr>
          <w:rFonts w:asciiTheme="minorHAnsi" w:hAnsiTheme="minorHAnsi" w:cstheme="minorBidi"/>
          <w:sz w:val="22"/>
          <w:szCs w:val="22"/>
          <w:rtl/>
        </w:rPr>
      </w:pPr>
      <w:hyperlink w:anchor="_Toc60183473" w:history="1">
        <w:r w:rsidR="00793212" w:rsidRPr="00824D58">
          <w:rPr>
            <w:rStyle w:val="Hyperlink"/>
            <w:color w:val="auto"/>
          </w:rPr>
          <w:t>4.2.4.</w:t>
        </w:r>
        <w:r w:rsidR="00793212" w:rsidRPr="00824D58">
          <w:rPr>
            <w:rFonts w:asciiTheme="minorHAnsi" w:hAnsiTheme="minorHAnsi" w:cstheme="minorBidi"/>
            <w:sz w:val="22"/>
            <w:szCs w:val="22"/>
            <w:rtl/>
          </w:rPr>
          <w:tab/>
        </w:r>
        <w:r w:rsidR="00793212" w:rsidRPr="00824D58">
          <w:rPr>
            <w:rStyle w:val="Hyperlink"/>
            <w:color w:val="auto"/>
          </w:rPr>
          <w:t>GDF15</w:t>
        </w:r>
        <w:r w:rsidR="00793212">
          <w:rPr>
            <w:webHidden/>
          </w:rPr>
          <w:t>……………………………………………………………………</w:t>
        </w:r>
        <w:r w:rsidR="003974BD">
          <w:rPr>
            <w:rStyle w:val="Hyperlink"/>
            <w:color w:val="auto"/>
          </w:rPr>
          <w:t>58</w:t>
        </w:r>
      </w:hyperlink>
    </w:p>
    <w:p w:rsidR="00793212" w:rsidRPr="00824D58" w:rsidRDefault="000A66F6" w:rsidP="003974BD">
      <w:pPr>
        <w:pStyle w:val="TOC1"/>
        <w:tabs>
          <w:tab w:val="left" w:pos="1922"/>
        </w:tabs>
        <w:rPr>
          <w:rFonts w:asciiTheme="minorHAnsi" w:hAnsiTheme="minorHAnsi" w:cstheme="minorBidi"/>
          <w:noProof/>
          <w:sz w:val="22"/>
          <w:szCs w:val="22"/>
          <w:rtl/>
        </w:rPr>
      </w:pPr>
      <w:hyperlink w:anchor="_Toc60183474" w:history="1">
        <w:r w:rsidR="00793212" w:rsidRPr="00824D58">
          <w:rPr>
            <w:rStyle w:val="Hyperlink"/>
            <w:noProof/>
            <w:color w:val="auto"/>
          </w:rPr>
          <w:t>5.</w:t>
        </w:r>
        <w:r w:rsidR="00793212" w:rsidRPr="00824D58">
          <w:rPr>
            <w:rFonts w:asciiTheme="minorHAnsi" w:hAnsiTheme="minorHAnsi" w:cstheme="minorBidi"/>
            <w:noProof/>
            <w:sz w:val="22"/>
            <w:szCs w:val="22"/>
            <w:rtl/>
          </w:rPr>
          <w:tab/>
        </w:r>
        <w:r w:rsidR="00793212" w:rsidRPr="00824D58">
          <w:rPr>
            <w:rStyle w:val="Hyperlink"/>
            <w:noProof/>
            <w:color w:val="auto"/>
          </w:rPr>
          <w:t>CONCLUS</w:t>
        </w:r>
        <w:r w:rsidR="003974BD">
          <w:rPr>
            <w:rStyle w:val="Hyperlink"/>
            <w:noProof/>
            <w:color w:val="auto"/>
          </w:rPr>
          <w:t>I</w:t>
        </w:r>
        <w:r w:rsidR="00793212" w:rsidRPr="00824D58">
          <w:rPr>
            <w:rStyle w:val="Hyperlink"/>
            <w:noProof/>
            <w:color w:val="auto"/>
          </w:rPr>
          <w:t>ONS</w:t>
        </w:r>
        <w:r w:rsidR="00793212" w:rsidRPr="00824D58">
          <w:rPr>
            <w:noProof/>
            <w:webHidden/>
            <w:rtl/>
          </w:rPr>
          <w:tab/>
        </w:r>
        <w:r w:rsidR="003974BD">
          <w:rPr>
            <w:rStyle w:val="Hyperlink"/>
            <w:noProof/>
            <w:color w:val="auto"/>
          </w:rPr>
          <w:t>59</w:t>
        </w:r>
      </w:hyperlink>
    </w:p>
    <w:p w:rsidR="00793212" w:rsidRPr="00824D58" w:rsidRDefault="000A66F6" w:rsidP="003974BD">
      <w:pPr>
        <w:pStyle w:val="TOC1"/>
        <w:rPr>
          <w:rFonts w:asciiTheme="minorHAnsi" w:hAnsiTheme="minorHAnsi" w:cstheme="minorBidi"/>
          <w:noProof/>
          <w:sz w:val="22"/>
          <w:szCs w:val="22"/>
          <w:rtl/>
        </w:rPr>
      </w:pPr>
      <w:hyperlink w:anchor="_Toc60183475" w:history="1">
        <w:r w:rsidR="001A40A0" w:rsidRPr="001A40A0">
          <w:rPr>
            <w:rStyle w:val="Hyperlink"/>
            <w:noProof/>
            <w:color w:val="auto"/>
          </w:rPr>
          <w:t>References</w:t>
        </w:r>
        <w:r w:rsidR="00793212" w:rsidRPr="00824D58">
          <w:rPr>
            <w:noProof/>
            <w:webHidden/>
            <w:rtl/>
          </w:rPr>
          <w:tab/>
        </w:r>
        <w:r w:rsidR="00074E83">
          <w:rPr>
            <w:rStyle w:val="Hyperlink"/>
            <w:rFonts w:hint="cs"/>
            <w:noProof/>
            <w:color w:val="auto"/>
            <w:rtl/>
          </w:rPr>
          <w:t>6</w:t>
        </w:r>
        <w:r w:rsidR="003974BD">
          <w:rPr>
            <w:rStyle w:val="Hyperlink"/>
            <w:noProof/>
            <w:color w:val="auto"/>
          </w:rPr>
          <w:t>0</w:t>
        </w:r>
        <w:bookmarkStart w:id="95" w:name="_GoBack"/>
        <w:bookmarkEnd w:id="95"/>
      </w:hyperlink>
    </w:p>
    <w:p w:rsidR="00793212" w:rsidRPr="00824D58" w:rsidRDefault="00793212" w:rsidP="00793212">
      <w:pPr>
        <w:pStyle w:val="Heading1"/>
        <w:spacing w:after="0" w:afterAutospacing="0" w:line="240" w:lineRule="auto"/>
      </w:pPr>
      <w:r w:rsidRPr="00824D58">
        <w:fldChar w:fldCharType="end"/>
      </w:r>
    </w:p>
    <w:p w:rsidR="00B47A18" w:rsidRPr="00824D58" w:rsidRDefault="00B47A18" w:rsidP="00B47A18">
      <w:pPr>
        <w:pStyle w:val="Heading1"/>
        <w:spacing w:after="0" w:afterAutospacing="0" w:line="240" w:lineRule="auto"/>
      </w:pPr>
    </w:p>
    <w:p w:rsidR="00B47A18" w:rsidRPr="00824D58" w:rsidRDefault="00B47A18" w:rsidP="00B47A18">
      <w:pPr>
        <w:pStyle w:val="Heading1"/>
        <w:spacing w:after="0" w:afterAutospacing="0" w:line="240" w:lineRule="auto"/>
      </w:pPr>
    </w:p>
    <w:p w:rsidR="007F4E02" w:rsidRDefault="007F4E02" w:rsidP="00B47A18">
      <w:pPr>
        <w:pStyle w:val="Heading1"/>
        <w:spacing w:after="0" w:afterAutospacing="0" w:line="240" w:lineRule="auto"/>
      </w:pPr>
    </w:p>
    <w:p w:rsidR="007F4E02" w:rsidRDefault="007F4E02">
      <w:pPr>
        <w:spacing w:line="276" w:lineRule="auto"/>
        <w:jc w:val="left"/>
        <w:rPr>
          <w:rFonts w:ascii="Times New Roman" w:eastAsia="Times New Roman" w:hAnsi="Times New Roman" w:cs="Times New Roman"/>
          <w:b/>
          <w:bCs/>
          <w:kern w:val="36"/>
        </w:rPr>
      </w:pPr>
      <w:r>
        <w:br w:type="page"/>
      </w:r>
    </w:p>
    <w:p w:rsidR="00B47A18" w:rsidRPr="00824D58" w:rsidRDefault="00B47A18" w:rsidP="00397EC2">
      <w:pPr>
        <w:pStyle w:val="Heading1"/>
        <w:spacing w:before="0" w:beforeAutospacing="0" w:after="0" w:afterAutospacing="0"/>
      </w:pPr>
      <w:bookmarkStart w:id="96" w:name="_Toc60183430"/>
      <w:r w:rsidRPr="00824D58">
        <w:t>LIST OF FIGURES</w:t>
      </w:r>
      <w:bookmarkEnd w:id="96"/>
      <w:r w:rsidR="00397EC2" w:rsidRPr="00824D58">
        <w:t xml:space="preserve">                                                                                             Page</w:t>
      </w:r>
    </w:p>
    <w:p w:rsidR="00890EDA" w:rsidRPr="00824D58" w:rsidRDefault="00890EDA" w:rsidP="00397EC2">
      <w:pPr>
        <w:pStyle w:val="Heading1"/>
        <w:spacing w:before="0" w:beforeAutospacing="0" w:after="0" w:afterAutospacing="0"/>
      </w:pPr>
    </w:p>
    <w:p w:rsidR="00B47A18" w:rsidRPr="00824D58" w:rsidRDefault="002470BB" w:rsidP="00B47A18">
      <w:pPr>
        <w:pStyle w:val="TableofFigures"/>
        <w:tabs>
          <w:tab w:val="right" w:pos="1134"/>
          <w:tab w:val="right" w:leader="dot" w:pos="8222"/>
        </w:tabs>
        <w:spacing w:line="276" w:lineRule="auto"/>
        <w:ind w:left="1134" w:right="282" w:hanging="1134"/>
        <w:rPr>
          <w:rFonts w:asciiTheme="minorHAnsi" w:hAnsiTheme="minorHAnsi" w:cstheme="minorBidi"/>
          <w:noProof/>
          <w:sz w:val="22"/>
          <w:szCs w:val="22"/>
          <w:rtl/>
        </w:rPr>
      </w:pPr>
      <w:r w:rsidRPr="00824D58">
        <w:fldChar w:fldCharType="begin"/>
      </w:r>
      <w:r w:rsidR="00B47A18" w:rsidRPr="00824D58">
        <w:instrText xml:space="preserve"> TOC \h \z \c "Figure 1." </w:instrText>
      </w:r>
      <w:r w:rsidRPr="00824D58">
        <w:fldChar w:fldCharType="separate"/>
      </w:r>
      <w:hyperlink w:anchor="_Toc60183378" w:history="1">
        <w:r w:rsidR="00B47A18" w:rsidRPr="00824D58">
          <w:rPr>
            <w:rStyle w:val="Hyperlink"/>
            <w:noProof/>
            <w:color w:val="auto"/>
          </w:rPr>
          <w:t>Figure 1.1. The normal prostate area in young males contains only 5% -10% of the glandular tissue. The central region of the prostate base and passes through the ejaculation ducts. The prostate is made up of the peripheral region, especially away from veromontanum</w:t>
        </w:r>
        <w:r w:rsidR="00B47A18" w:rsidRPr="00824D58">
          <w:rPr>
            <w:noProof/>
            <w:webHidden/>
            <w:rtl/>
          </w:rPr>
          <w:tab/>
        </w:r>
        <w:r w:rsidRPr="00824D58">
          <w:rPr>
            <w:rStyle w:val="Hyperlink"/>
            <w:noProof/>
            <w:color w:val="auto"/>
            <w:rtl/>
          </w:rPr>
          <w:fldChar w:fldCharType="begin"/>
        </w:r>
        <w:r w:rsidR="00B47A18" w:rsidRPr="00824D58">
          <w:rPr>
            <w:noProof/>
            <w:webHidden/>
            <w:rtl/>
          </w:rPr>
          <w:instrText xml:space="preserve"> </w:instrText>
        </w:r>
        <w:r w:rsidR="00B47A18" w:rsidRPr="00824D58">
          <w:rPr>
            <w:noProof/>
            <w:webHidden/>
          </w:rPr>
          <w:instrText>PAGEREF</w:instrText>
        </w:r>
        <w:r w:rsidR="00B47A18" w:rsidRPr="00824D58">
          <w:rPr>
            <w:noProof/>
            <w:webHidden/>
            <w:rtl/>
          </w:rPr>
          <w:instrText xml:space="preserve"> _</w:instrText>
        </w:r>
        <w:r w:rsidR="00B47A18" w:rsidRPr="00824D58">
          <w:rPr>
            <w:noProof/>
            <w:webHidden/>
          </w:rPr>
          <w:instrText>Toc60183378 \h</w:instrText>
        </w:r>
        <w:r w:rsidR="00B47A18" w:rsidRPr="00824D58">
          <w:rPr>
            <w:noProof/>
            <w:webHidden/>
            <w:rtl/>
          </w:rPr>
          <w:instrText xml:space="preserve"> </w:instrText>
        </w:r>
        <w:r w:rsidRPr="00824D58">
          <w:rPr>
            <w:rStyle w:val="Hyperlink"/>
            <w:noProof/>
            <w:color w:val="auto"/>
            <w:rtl/>
          </w:rPr>
        </w:r>
        <w:r w:rsidRPr="00824D58">
          <w:rPr>
            <w:rStyle w:val="Hyperlink"/>
            <w:noProof/>
            <w:color w:val="auto"/>
            <w:rtl/>
          </w:rPr>
          <w:fldChar w:fldCharType="separate"/>
        </w:r>
        <w:r w:rsidR="00713623">
          <w:rPr>
            <w:noProof/>
            <w:webHidden/>
          </w:rPr>
          <w:t>2</w:t>
        </w:r>
        <w:r w:rsidRPr="00824D58">
          <w:rPr>
            <w:rStyle w:val="Hyperlink"/>
            <w:noProof/>
            <w:color w:val="auto"/>
            <w:rtl/>
          </w:rPr>
          <w:fldChar w:fldCharType="end"/>
        </w:r>
      </w:hyperlink>
    </w:p>
    <w:p w:rsidR="00B47A18" w:rsidRPr="00824D58" w:rsidRDefault="002470BB" w:rsidP="00541878">
      <w:pPr>
        <w:pStyle w:val="Heading1"/>
        <w:tabs>
          <w:tab w:val="right" w:pos="1134"/>
          <w:tab w:val="right" w:leader="dot" w:pos="8222"/>
        </w:tabs>
        <w:spacing w:before="0" w:beforeAutospacing="0" w:after="0" w:afterAutospacing="0" w:line="276" w:lineRule="auto"/>
        <w:ind w:left="1134" w:right="282" w:hanging="1134"/>
        <w:rPr>
          <w:b w:val="0"/>
          <w:bCs w:val="0"/>
          <w:noProof/>
          <w:rtl/>
        </w:rPr>
      </w:pPr>
      <w:r w:rsidRPr="00824D58">
        <w:rPr>
          <w:b w:val="0"/>
          <w:bCs w:val="0"/>
        </w:rPr>
        <w:fldChar w:fldCharType="end"/>
      </w:r>
      <w:r w:rsidRPr="00824D58">
        <w:rPr>
          <w:b w:val="0"/>
          <w:bCs w:val="0"/>
        </w:rPr>
        <w:fldChar w:fldCharType="begin"/>
      </w:r>
      <w:r w:rsidR="00B47A18" w:rsidRPr="00824D58">
        <w:rPr>
          <w:b w:val="0"/>
          <w:bCs w:val="0"/>
        </w:rPr>
        <w:instrText xml:space="preserve"> TOC \h \z \c "Figure 2." </w:instrText>
      </w:r>
      <w:r w:rsidRPr="00824D58">
        <w:rPr>
          <w:b w:val="0"/>
          <w:bCs w:val="0"/>
        </w:rPr>
        <w:fldChar w:fldCharType="separate"/>
      </w:r>
      <w:hyperlink w:anchor="_Toc60183476" w:history="1">
        <w:r w:rsidR="00B47A18" w:rsidRPr="00824D58">
          <w:rPr>
            <w:rStyle w:val="Hyperlink"/>
            <w:rFonts w:eastAsiaTheme="majorEastAsia"/>
            <w:b w:val="0"/>
            <w:bCs w:val="0"/>
            <w:noProof/>
            <w:color w:val="auto"/>
          </w:rPr>
          <w:t xml:space="preserve">Figure 2.1. </w:t>
        </w:r>
        <w:r w:rsidR="00541878" w:rsidRPr="00824D58">
          <w:rPr>
            <w:rStyle w:val="Hyperlink"/>
            <w:rFonts w:eastAsiaTheme="majorEastAsia"/>
            <w:b w:val="0"/>
            <w:bCs w:val="0"/>
            <w:noProof/>
            <w:color w:val="auto"/>
          </w:rPr>
          <w:t>An immunohistochemical examination of paraffin-embedded tissue parts of benign prostatic glandular tissue (A) and prostatic adenocarcinoma (B)</w:t>
        </w:r>
        <w:r w:rsidR="00B47A18" w:rsidRPr="00824D58">
          <w:rPr>
            <w:rStyle w:val="Hyperlink"/>
            <w:rFonts w:eastAsiaTheme="majorEastAsia"/>
            <w:b w:val="0"/>
            <w:bCs w:val="0"/>
            <w:noProof/>
            <w:color w:val="auto"/>
          </w:rPr>
          <w:t xml:space="preserve"> (Karan, D.</w:t>
        </w:r>
        <w:r w:rsidR="00B47A18" w:rsidRPr="00824D58">
          <w:rPr>
            <w:rStyle w:val="Hyperlink"/>
            <w:rFonts w:eastAsiaTheme="majorEastAsia"/>
            <w:b w:val="0"/>
            <w:bCs w:val="0"/>
            <w:i/>
            <w:iCs/>
            <w:noProof/>
            <w:color w:val="auto"/>
          </w:rPr>
          <w:t xml:space="preserve"> et at.,</w:t>
        </w:r>
        <w:r w:rsidR="00B47A18" w:rsidRPr="00824D58">
          <w:rPr>
            <w:rStyle w:val="Hyperlink"/>
            <w:rFonts w:eastAsiaTheme="majorEastAsia"/>
            <w:b w:val="0"/>
            <w:bCs w:val="0"/>
            <w:noProof/>
            <w:color w:val="auto"/>
          </w:rPr>
          <w:t xml:space="preserve"> 2003)</w:t>
        </w:r>
        <w:r w:rsidR="00B47A18" w:rsidRPr="00824D58">
          <w:rPr>
            <w:b w:val="0"/>
            <w:bCs w:val="0"/>
            <w:noProof/>
            <w:webHidden/>
            <w:rtl/>
          </w:rPr>
          <w:tab/>
        </w:r>
        <w:r w:rsidRPr="00824D58">
          <w:rPr>
            <w:rStyle w:val="Hyperlink"/>
            <w:rFonts w:eastAsiaTheme="majorEastAsia"/>
            <w:b w:val="0"/>
            <w:bCs w:val="0"/>
            <w:noProof/>
            <w:color w:val="auto"/>
            <w:rtl/>
          </w:rPr>
          <w:fldChar w:fldCharType="begin"/>
        </w:r>
        <w:r w:rsidR="00B47A18" w:rsidRPr="00824D58">
          <w:rPr>
            <w:b w:val="0"/>
            <w:bCs w:val="0"/>
            <w:noProof/>
            <w:webHidden/>
            <w:rtl/>
          </w:rPr>
          <w:instrText xml:space="preserve"> </w:instrText>
        </w:r>
        <w:r w:rsidR="00B47A18" w:rsidRPr="00824D58">
          <w:rPr>
            <w:b w:val="0"/>
            <w:bCs w:val="0"/>
            <w:noProof/>
            <w:webHidden/>
          </w:rPr>
          <w:instrText>PAGEREF</w:instrText>
        </w:r>
        <w:r w:rsidR="00B47A18" w:rsidRPr="00824D58">
          <w:rPr>
            <w:b w:val="0"/>
            <w:bCs w:val="0"/>
            <w:noProof/>
            <w:webHidden/>
            <w:rtl/>
          </w:rPr>
          <w:instrText xml:space="preserve"> _</w:instrText>
        </w:r>
        <w:r w:rsidR="00B47A18" w:rsidRPr="00824D58">
          <w:rPr>
            <w:b w:val="0"/>
            <w:bCs w:val="0"/>
            <w:noProof/>
            <w:webHidden/>
          </w:rPr>
          <w:instrText>Toc60183476 \h</w:instrText>
        </w:r>
        <w:r w:rsidR="00B47A18" w:rsidRPr="00824D58">
          <w:rPr>
            <w:b w:val="0"/>
            <w:bCs w:val="0"/>
            <w:noProof/>
            <w:webHidden/>
            <w:rtl/>
          </w:rPr>
          <w:instrText xml:space="preserve"> </w:instrText>
        </w:r>
        <w:r w:rsidRPr="00824D58">
          <w:rPr>
            <w:rStyle w:val="Hyperlink"/>
            <w:rFonts w:eastAsiaTheme="majorEastAsia"/>
            <w:b w:val="0"/>
            <w:bCs w:val="0"/>
            <w:noProof/>
            <w:color w:val="auto"/>
            <w:rtl/>
          </w:rPr>
        </w:r>
        <w:r w:rsidRPr="00824D58">
          <w:rPr>
            <w:rStyle w:val="Hyperlink"/>
            <w:b w:val="0"/>
            <w:bCs w:val="0"/>
            <w:noProof/>
            <w:color w:val="auto"/>
            <w:rtl/>
          </w:rPr>
          <w:fldChar w:fldCharType="separate"/>
        </w:r>
        <w:r w:rsidR="00713623">
          <w:rPr>
            <w:b w:val="0"/>
            <w:bCs w:val="0"/>
            <w:noProof/>
            <w:webHidden/>
          </w:rPr>
          <w:t>3</w:t>
        </w:r>
        <w:r w:rsidRPr="00824D58">
          <w:rPr>
            <w:rStyle w:val="Hyperlink"/>
            <w:rFonts w:eastAsiaTheme="majorEastAsia"/>
            <w:b w:val="0"/>
            <w:bCs w:val="0"/>
            <w:noProof/>
            <w:color w:val="auto"/>
            <w:rtl/>
          </w:rPr>
          <w:fldChar w:fldCharType="end"/>
        </w:r>
      </w:hyperlink>
    </w:p>
    <w:p w:rsidR="00B47A18" w:rsidRPr="00824D58" w:rsidRDefault="000A66F6" w:rsidP="00933D24">
      <w:pPr>
        <w:pStyle w:val="TableofFigures"/>
        <w:tabs>
          <w:tab w:val="right" w:pos="1134"/>
          <w:tab w:val="right" w:leader="dot" w:pos="8222"/>
        </w:tabs>
        <w:spacing w:line="276" w:lineRule="auto"/>
        <w:ind w:left="1134" w:right="282" w:hanging="1134"/>
        <w:rPr>
          <w:rFonts w:asciiTheme="minorHAnsi" w:hAnsiTheme="minorHAnsi" w:cstheme="minorBidi"/>
          <w:noProof/>
          <w:sz w:val="22"/>
          <w:szCs w:val="22"/>
          <w:rtl/>
        </w:rPr>
      </w:pPr>
      <w:hyperlink w:anchor="_Toc60183477" w:history="1">
        <w:r w:rsidR="00B47A18" w:rsidRPr="00824D58">
          <w:rPr>
            <w:rStyle w:val="Hyperlink"/>
            <w:noProof/>
            <w:color w:val="auto"/>
            <w:u w:val="none"/>
          </w:rPr>
          <w:t>Figure 2.2.</w:t>
        </w:r>
        <w:r w:rsidR="00B47A18" w:rsidRPr="00824D58">
          <w:rPr>
            <w:rStyle w:val="Hyperlink"/>
            <w:noProof/>
            <w:color w:val="auto"/>
          </w:rPr>
          <w:t xml:space="preserve"> The prostate gland anatomy of the male body relative to the rectum and bladder (Broeke, N. C., 2018)</w:t>
        </w:r>
        <w:r w:rsidR="00B47A18" w:rsidRPr="00824D58">
          <w:rPr>
            <w:noProof/>
            <w:webHidden/>
            <w:rtl/>
          </w:rPr>
          <w:tab/>
        </w:r>
        <w:r w:rsidR="00933D24">
          <w:rPr>
            <w:rStyle w:val="Hyperlink"/>
            <w:noProof/>
            <w:color w:val="auto"/>
          </w:rPr>
          <w:t>5</w:t>
        </w:r>
      </w:hyperlink>
    </w:p>
    <w:p w:rsidR="00B47A18" w:rsidRPr="00824D58" w:rsidRDefault="000A66F6" w:rsidP="00B47A18">
      <w:pPr>
        <w:pStyle w:val="TableofFigures"/>
        <w:tabs>
          <w:tab w:val="right" w:pos="1134"/>
          <w:tab w:val="right" w:leader="dot" w:pos="8222"/>
        </w:tabs>
        <w:spacing w:line="276" w:lineRule="auto"/>
        <w:ind w:left="1134" w:right="282" w:hanging="1134"/>
        <w:rPr>
          <w:rFonts w:asciiTheme="minorHAnsi" w:hAnsiTheme="minorHAnsi" w:cstheme="minorBidi"/>
          <w:noProof/>
          <w:sz w:val="22"/>
          <w:szCs w:val="22"/>
          <w:rtl/>
        </w:rPr>
      </w:pPr>
      <w:hyperlink w:anchor="_Toc60183478" w:history="1">
        <w:r w:rsidR="00B47A18" w:rsidRPr="00824D58">
          <w:rPr>
            <w:rStyle w:val="Hyperlink"/>
            <w:noProof/>
            <w:color w:val="auto"/>
          </w:rPr>
          <w:t>Figure 2.3. Gleason grades characteristics System for tissue and Cellular of 1-5 from left to right (1 is the lowest classification and 5 is the highest grade) (Epstein J. I.,</w:t>
        </w:r>
        <w:r w:rsidR="00B47A18" w:rsidRPr="00824D58">
          <w:rPr>
            <w:rStyle w:val="Hyperlink"/>
            <w:i/>
            <w:iCs/>
            <w:noProof/>
            <w:color w:val="auto"/>
          </w:rPr>
          <w:t xml:space="preserve"> et al.,</w:t>
        </w:r>
        <w:r w:rsidR="00B47A18" w:rsidRPr="00824D58">
          <w:rPr>
            <w:rStyle w:val="Hyperlink"/>
            <w:noProof/>
            <w:color w:val="auto"/>
          </w:rPr>
          <w:t xml:space="preserve"> 2005)</w:t>
        </w:r>
        <w:r w:rsidR="00B47A18" w:rsidRPr="00824D58">
          <w:rPr>
            <w:noProof/>
            <w:webHidden/>
            <w:rtl/>
          </w:rPr>
          <w:tab/>
        </w:r>
        <w:r w:rsidR="002470BB" w:rsidRPr="00824D58">
          <w:rPr>
            <w:rStyle w:val="Hyperlink"/>
            <w:noProof/>
            <w:color w:val="auto"/>
            <w:rtl/>
          </w:rPr>
          <w:fldChar w:fldCharType="begin"/>
        </w:r>
        <w:r w:rsidR="00B47A18" w:rsidRPr="00824D58">
          <w:rPr>
            <w:noProof/>
            <w:webHidden/>
            <w:rtl/>
          </w:rPr>
          <w:instrText xml:space="preserve"> </w:instrText>
        </w:r>
        <w:r w:rsidR="00B47A18" w:rsidRPr="00824D58">
          <w:rPr>
            <w:noProof/>
            <w:webHidden/>
          </w:rPr>
          <w:instrText>PAGEREF</w:instrText>
        </w:r>
        <w:r w:rsidR="00B47A18" w:rsidRPr="00824D58">
          <w:rPr>
            <w:noProof/>
            <w:webHidden/>
            <w:rtl/>
          </w:rPr>
          <w:instrText xml:space="preserve"> _</w:instrText>
        </w:r>
        <w:r w:rsidR="00B47A18" w:rsidRPr="00824D58">
          <w:rPr>
            <w:noProof/>
            <w:webHidden/>
          </w:rPr>
          <w:instrText>Toc60183478 \h</w:instrText>
        </w:r>
        <w:r w:rsidR="00B47A18" w:rsidRPr="00824D58">
          <w:rPr>
            <w:noProof/>
            <w:webHidden/>
            <w:rtl/>
          </w:rPr>
          <w:instrText xml:space="preserve"> </w:instrText>
        </w:r>
        <w:r w:rsidR="002470BB" w:rsidRPr="00824D58">
          <w:rPr>
            <w:rStyle w:val="Hyperlink"/>
            <w:noProof/>
            <w:color w:val="auto"/>
            <w:rtl/>
          </w:rPr>
        </w:r>
        <w:r w:rsidR="002470BB" w:rsidRPr="00824D58">
          <w:rPr>
            <w:rStyle w:val="Hyperlink"/>
            <w:noProof/>
            <w:color w:val="auto"/>
            <w:rtl/>
          </w:rPr>
          <w:fldChar w:fldCharType="separate"/>
        </w:r>
        <w:r w:rsidR="00713623">
          <w:rPr>
            <w:noProof/>
            <w:webHidden/>
          </w:rPr>
          <w:t>7</w:t>
        </w:r>
        <w:r w:rsidR="002470BB" w:rsidRPr="00824D58">
          <w:rPr>
            <w:rStyle w:val="Hyperlink"/>
            <w:noProof/>
            <w:color w:val="auto"/>
            <w:rtl/>
          </w:rPr>
          <w:fldChar w:fldCharType="end"/>
        </w:r>
      </w:hyperlink>
    </w:p>
    <w:p w:rsidR="00B47A18" w:rsidRPr="00824D58" w:rsidRDefault="000A66F6" w:rsidP="00FA415E">
      <w:pPr>
        <w:pStyle w:val="TableofFigures"/>
        <w:tabs>
          <w:tab w:val="right" w:pos="1134"/>
          <w:tab w:val="right" w:leader="dot" w:pos="8222"/>
        </w:tabs>
        <w:spacing w:line="276" w:lineRule="auto"/>
        <w:ind w:left="1134" w:right="282" w:hanging="1134"/>
        <w:rPr>
          <w:rFonts w:asciiTheme="minorHAnsi" w:hAnsiTheme="minorHAnsi" w:cstheme="minorBidi"/>
          <w:noProof/>
          <w:sz w:val="22"/>
          <w:szCs w:val="22"/>
          <w:rtl/>
        </w:rPr>
      </w:pPr>
      <w:hyperlink w:anchor="_Toc60183479" w:history="1">
        <w:r w:rsidR="00B47A18" w:rsidRPr="00824D58">
          <w:rPr>
            <w:rStyle w:val="Hyperlink"/>
            <w:noProof/>
            <w:color w:val="auto"/>
          </w:rPr>
          <w:t>Figure 2.4. Physiology of hepcidin-ferroportin interaction (Badawy, A. E. A., 2010)</w:t>
        </w:r>
        <w:r w:rsidR="00B47A18" w:rsidRPr="00824D58">
          <w:rPr>
            <w:noProof/>
            <w:webHidden/>
            <w:rtl/>
          </w:rPr>
          <w:tab/>
        </w:r>
        <w:r w:rsidR="002470BB" w:rsidRPr="00824D58">
          <w:rPr>
            <w:rStyle w:val="Hyperlink"/>
            <w:noProof/>
            <w:color w:val="auto"/>
            <w:rtl/>
          </w:rPr>
          <w:fldChar w:fldCharType="begin"/>
        </w:r>
        <w:r w:rsidR="00B47A18" w:rsidRPr="00824D58">
          <w:rPr>
            <w:noProof/>
            <w:webHidden/>
            <w:rtl/>
          </w:rPr>
          <w:instrText xml:space="preserve"> </w:instrText>
        </w:r>
        <w:r w:rsidR="00B47A18" w:rsidRPr="00824D58">
          <w:rPr>
            <w:noProof/>
            <w:webHidden/>
          </w:rPr>
          <w:instrText>PAGEREF</w:instrText>
        </w:r>
        <w:r w:rsidR="00B47A18" w:rsidRPr="00824D58">
          <w:rPr>
            <w:noProof/>
            <w:webHidden/>
            <w:rtl/>
          </w:rPr>
          <w:instrText xml:space="preserve"> _</w:instrText>
        </w:r>
        <w:r w:rsidR="00B47A18" w:rsidRPr="00824D58">
          <w:rPr>
            <w:noProof/>
            <w:webHidden/>
          </w:rPr>
          <w:instrText>Toc60183479 \h</w:instrText>
        </w:r>
        <w:r w:rsidR="00B47A18" w:rsidRPr="00824D58">
          <w:rPr>
            <w:noProof/>
            <w:webHidden/>
            <w:rtl/>
          </w:rPr>
          <w:instrText xml:space="preserve"> </w:instrText>
        </w:r>
        <w:r w:rsidR="002470BB" w:rsidRPr="00824D58">
          <w:rPr>
            <w:rStyle w:val="Hyperlink"/>
            <w:noProof/>
            <w:color w:val="auto"/>
            <w:rtl/>
          </w:rPr>
        </w:r>
        <w:r w:rsidR="002470BB" w:rsidRPr="00824D58">
          <w:rPr>
            <w:rStyle w:val="Hyperlink"/>
            <w:noProof/>
            <w:color w:val="auto"/>
            <w:rtl/>
          </w:rPr>
          <w:fldChar w:fldCharType="separate"/>
        </w:r>
        <w:r w:rsidR="00713623">
          <w:rPr>
            <w:noProof/>
            <w:webHidden/>
          </w:rPr>
          <w:t>12</w:t>
        </w:r>
        <w:r w:rsidR="002470BB" w:rsidRPr="00824D58">
          <w:rPr>
            <w:rStyle w:val="Hyperlink"/>
            <w:noProof/>
            <w:color w:val="auto"/>
            <w:rtl/>
          </w:rPr>
          <w:fldChar w:fldCharType="end"/>
        </w:r>
      </w:hyperlink>
    </w:p>
    <w:p w:rsidR="00B47A18" w:rsidRPr="00824D58" w:rsidRDefault="000A66F6" w:rsidP="00FA415E">
      <w:pPr>
        <w:pStyle w:val="TableofFigures"/>
        <w:tabs>
          <w:tab w:val="right" w:pos="1134"/>
          <w:tab w:val="right" w:leader="dot" w:pos="8222"/>
        </w:tabs>
        <w:spacing w:line="276" w:lineRule="auto"/>
        <w:ind w:left="1134" w:right="282" w:hanging="1134"/>
        <w:rPr>
          <w:rFonts w:asciiTheme="minorHAnsi" w:hAnsiTheme="minorHAnsi" w:cstheme="minorBidi"/>
          <w:noProof/>
          <w:sz w:val="22"/>
          <w:szCs w:val="22"/>
          <w:rtl/>
        </w:rPr>
      </w:pPr>
      <w:hyperlink w:anchor="_Toc60183480" w:history="1">
        <w:r w:rsidR="00B47A18" w:rsidRPr="00824D58">
          <w:rPr>
            <w:rStyle w:val="Hyperlink"/>
            <w:noProof/>
            <w:color w:val="auto"/>
          </w:rPr>
          <w:t xml:space="preserve">Figure 2.5. The human molecular structure of synthetichepcidin-25 </w:t>
        </w:r>
        <w:r w:rsidR="00B47A18" w:rsidRPr="00824D58">
          <w:rPr>
            <w:rStyle w:val="Hyperlink"/>
            <w:rFonts w:eastAsia="Arial"/>
            <w:iCs/>
            <w:noProof/>
            <w:color w:val="auto"/>
          </w:rPr>
          <w:t>(Ganz, T., 2006)</w:t>
        </w:r>
        <w:r w:rsidR="00B47A18" w:rsidRPr="00824D58">
          <w:rPr>
            <w:noProof/>
            <w:webHidden/>
            <w:rtl/>
          </w:rPr>
          <w:tab/>
        </w:r>
        <w:r w:rsidR="002470BB" w:rsidRPr="00824D58">
          <w:rPr>
            <w:rStyle w:val="Hyperlink"/>
            <w:noProof/>
            <w:color w:val="auto"/>
            <w:rtl/>
          </w:rPr>
          <w:fldChar w:fldCharType="begin"/>
        </w:r>
        <w:r w:rsidR="00B47A18" w:rsidRPr="00824D58">
          <w:rPr>
            <w:noProof/>
            <w:webHidden/>
            <w:rtl/>
          </w:rPr>
          <w:instrText xml:space="preserve"> </w:instrText>
        </w:r>
        <w:r w:rsidR="00B47A18" w:rsidRPr="00824D58">
          <w:rPr>
            <w:noProof/>
            <w:webHidden/>
          </w:rPr>
          <w:instrText>PAGEREF</w:instrText>
        </w:r>
        <w:r w:rsidR="00B47A18" w:rsidRPr="00824D58">
          <w:rPr>
            <w:noProof/>
            <w:webHidden/>
            <w:rtl/>
          </w:rPr>
          <w:instrText xml:space="preserve"> _</w:instrText>
        </w:r>
        <w:r w:rsidR="00B47A18" w:rsidRPr="00824D58">
          <w:rPr>
            <w:noProof/>
            <w:webHidden/>
          </w:rPr>
          <w:instrText>Toc60183480 \h</w:instrText>
        </w:r>
        <w:r w:rsidR="00B47A18" w:rsidRPr="00824D58">
          <w:rPr>
            <w:noProof/>
            <w:webHidden/>
            <w:rtl/>
          </w:rPr>
          <w:instrText xml:space="preserve"> </w:instrText>
        </w:r>
        <w:r w:rsidR="002470BB" w:rsidRPr="00824D58">
          <w:rPr>
            <w:rStyle w:val="Hyperlink"/>
            <w:noProof/>
            <w:color w:val="auto"/>
            <w:rtl/>
          </w:rPr>
        </w:r>
        <w:r w:rsidR="002470BB" w:rsidRPr="00824D58">
          <w:rPr>
            <w:rStyle w:val="Hyperlink"/>
            <w:noProof/>
            <w:color w:val="auto"/>
            <w:rtl/>
          </w:rPr>
          <w:fldChar w:fldCharType="separate"/>
        </w:r>
        <w:r w:rsidR="00713623">
          <w:rPr>
            <w:noProof/>
            <w:webHidden/>
          </w:rPr>
          <w:t>13</w:t>
        </w:r>
        <w:r w:rsidR="002470BB" w:rsidRPr="00824D58">
          <w:rPr>
            <w:rStyle w:val="Hyperlink"/>
            <w:noProof/>
            <w:color w:val="auto"/>
            <w:rtl/>
          </w:rPr>
          <w:fldChar w:fldCharType="end"/>
        </w:r>
      </w:hyperlink>
      <w:r w:rsidR="00933D24">
        <w:rPr>
          <w:rStyle w:val="Hyperlink"/>
          <w:noProof/>
          <w:color w:val="auto"/>
        </w:rPr>
        <w:t>3</w:t>
      </w:r>
    </w:p>
    <w:p w:rsidR="00B47A18" w:rsidRPr="00824D58" w:rsidRDefault="000A66F6" w:rsidP="00FA415E">
      <w:pPr>
        <w:pStyle w:val="TableofFigures"/>
        <w:tabs>
          <w:tab w:val="right" w:pos="1134"/>
          <w:tab w:val="right" w:leader="dot" w:pos="8222"/>
        </w:tabs>
        <w:spacing w:line="276" w:lineRule="auto"/>
        <w:ind w:left="1134" w:right="282" w:hanging="1134"/>
        <w:rPr>
          <w:rFonts w:asciiTheme="minorHAnsi" w:hAnsiTheme="minorHAnsi" w:cstheme="minorBidi"/>
          <w:noProof/>
          <w:sz w:val="22"/>
          <w:szCs w:val="22"/>
          <w:rtl/>
        </w:rPr>
      </w:pPr>
      <w:hyperlink w:anchor="_Toc60183481" w:history="1">
        <w:r w:rsidR="00B47A18" w:rsidRPr="00824D58">
          <w:rPr>
            <w:rStyle w:val="Hyperlink"/>
            <w:noProof/>
            <w:color w:val="auto"/>
          </w:rPr>
          <w:t>Figure 2.6. Modulation of hepcidin transcription by iron (Zhang, A. S. et al., 2011)</w:t>
        </w:r>
        <w:r w:rsidR="00B47A18" w:rsidRPr="00824D58">
          <w:rPr>
            <w:noProof/>
            <w:webHidden/>
            <w:rtl/>
          </w:rPr>
          <w:tab/>
        </w:r>
        <w:r w:rsidR="002470BB" w:rsidRPr="00824D58">
          <w:rPr>
            <w:rStyle w:val="Hyperlink"/>
            <w:noProof/>
            <w:color w:val="auto"/>
            <w:rtl/>
          </w:rPr>
          <w:fldChar w:fldCharType="begin"/>
        </w:r>
        <w:r w:rsidR="00B47A18" w:rsidRPr="00824D58">
          <w:rPr>
            <w:noProof/>
            <w:webHidden/>
            <w:rtl/>
          </w:rPr>
          <w:instrText xml:space="preserve"> </w:instrText>
        </w:r>
        <w:r w:rsidR="00B47A18" w:rsidRPr="00824D58">
          <w:rPr>
            <w:noProof/>
            <w:webHidden/>
          </w:rPr>
          <w:instrText>PAGEREF</w:instrText>
        </w:r>
        <w:r w:rsidR="00B47A18" w:rsidRPr="00824D58">
          <w:rPr>
            <w:noProof/>
            <w:webHidden/>
            <w:rtl/>
          </w:rPr>
          <w:instrText xml:space="preserve"> _</w:instrText>
        </w:r>
        <w:r w:rsidR="00B47A18" w:rsidRPr="00824D58">
          <w:rPr>
            <w:noProof/>
            <w:webHidden/>
          </w:rPr>
          <w:instrText>Toc60183481 \h</w:instrText>
        </w:r>
        <w:r w:rsidR="00B47A18" w:rsidRPr="00824D58">
          <w:rPr>
            <w:noProof/>
            <w:webHidden/>
            <w:rtl/>
          </w:rPr>
          <w:instrText xml:space="preserve"> </w:instrText>
        </w:r>
        <w:r w:rsidR="002470BB" w:rsidRPr="00824D58">
          <w:rPr>
            <w:rStyle w:val="Hyperlink"/>
            <w:noProof/>
            <w:color w:val="auto"/>
            <w:rtl/>
          </w:rPr>
        </w:r>
        <w:r w:rsidR="002470BB" w:rsidRPr="00824D58">
          <w:rPr>
            <w:rStyle w:val="Hyperlink"/>
            <w:noProof/>
            <w:color w:val="auto"/>
            <w:rtl/>
          </w:rPr>
          <w:fldChar w:fldCharType="separate"/>
        </w:r>
        <w:r w:rsidR="00713623">
          <w:rPr>
            <w:noProof/>
            <w:webHidden/>
          </w:rPr>
          <w:t>16</w:t>
        </w:r>
        <w:r w:rsidR="002470BB" w:rsidRPr="00824D58">
          <w:rPr>
            <w:rStyle w:val="Hyperlink"/>
            <w:noProof/>
            <w:color w:val="auto"/>
            <w:rtl/>
          </w:rPr>
          <w:fldChar w:fldCharType="end"/>
        </w:r>
      </w:hyperlink>
    </w:p>
    <w:p w:rsidR="00B47A18" w:rsidRPr="00824D58" w:rsidRDefault="000A66F6" w:rsidP="00FA415E">
      <w:pPr>
        <w:pStyle w:val="TableofFigures"/>
        <w:tabs>
          <w:tab w:val="right" w:pos="1134"/>
          <w:tab w:val="right" w:leader="dot" w:pos="8222"/>
        </w:tabs>
        <w:spacing w:line="276" w:lineRule="auto"/>
        <w:ind w:left="1134" w:right="282" w:hanging="1134"/>
        <w:rPr>
          <w:rFonts w:asciiTheme="minorHAnsi" w:hAnsiTheme="minorHAnsi" w:cstheme="minorBidi"/>
          <w:noProof/>
          <w:sz w:val="22"/>
          <w:szCs w:val="22"/>
          <w:rtl/>
        </w:rPr>
      </w:pPr>
      <w:hyperlink w:anchor="_Toc60183482" w:history="1">
        <w:r w:rsidR="00B47A18" w:rsidRPr="00824D58">
          <w:rPr>
            <w:rStyle w:val="Hyperlink"/>
            <w:noProof/>
            <w:color w:val="auto"/>
          </w:rPr>
          <w:t>Figure 2.7. Normal distribution and storage of body iron (Andrews, N. C., 2008)</w:t>
        </w:r>
        <w:r w:rsidR="00B47A18" w:rsidRPr="00824D58">
          <w:rPr>
            <w:noProof/>
            <w:webHidden/>
            <w:rtl/>
          </w:rPr>
          <w:tab/>
        </w:r>
        <w:r w:rsidR="002470BB" w:rsidRPr="00824D58">
          <w:rPr>
            <w:rStyle w:val="Hyperlink"/>
            <w:noProof/>
            <w:color w:val="auto"/>
            <w:rtl/>
          </w:rPr>
          <w:fldChar w:fldCharType="begin"/>
        </w:r>
        <w:r w:rsidR="00B47A18" w:rsidRPr="00824D58">
          <w:rPr>
            <w:noProof/>
            <w:webHidden/>
            <w:rtl/>
          </w:rPr>
          <w:instrText xml:space="preserve"> </w:instrText>
        </w:r>
        <w:r w:rsidR="00B47A18" w:rsidRPr="00824D58">
          <w:rPr>
            <w:noProof/>
            <w:webHidden/>
          </w:rPr>
          <w:instrText>PAGEREF</w:instrText>
        </w:r>
        <w:r w:rsidR="00B47A18" w:rsidRPr="00824D58">
          <w:rPr>
            <w:noProof/>
            <w:webHidden/>
            <w:rtl/>
          </w:rPr>
          <w:instrText xml:space="preserve"> _</w:instrText>
        </w:r>
        <w:r w:rsidR="00B47A18" w:rsidRPr="00824D58">
          <w:rPr>
            <w:noProof/>
            <w:webHidden/>
          </w:rPr>
          <w:instrText>Toc60183482 \h</w:instrText>
        </w:r>
        <w:r w:rsidR="00B47A18" w:rsidRPr="00824D58">
          <w:rPr>
            <w:noProof/>
            <w:webHidden/>
            <w:rtl/>
          </w:rPr>
          <w:instrText xml:space="preserve"> </w:instrText>
        </w:r>
        <w:r w:rsidR="002470BB" w:rsidRPr="00824D58">
          <w:rPr>
            <w:rStyle w:val="Hyperlink"/>
            <w:noProof/>
            <w:color w:val="auto"/>
            <w:rtl/>
          </w:rPr>
        </w:r>
        <w:r w:rsidR="002470BB" w:rsidRPr="00824D58">
          <w:rPr>
            <w:rStyle w:val="Hyperlink"/>
            <w:noProof/>
            <w:color w:val="auto"/>
            <w:rtl/>
          </w:rPr>
          <w:fldChar w:fldCharType="separate"/>
        </w:r>
        <w:r w:rsidR="00713623">
          <w:rPr>
            <w:noProof/>
            <w:webHidden/>
          </w:rPr>
          <w:t>17</w:t>
        </w:r>
        <w:r w:rsidR="002470BB" w:rsidRPr="00824D58">
          <w:rPr>
            <w:rStyle w:val="Hyperlink"/>
            <w:noProof/>
            <w:color w:val="auto"/>
            <w:rtl/>
          </w:rPr>
          <w:fldChar w:fldCharType="end"/>
        </w:r>
      </w:hyperlink>
    </w:p>
    <w:p w:rsidR="00B47A18" w:rsidRPr="00824D58" w:rsidRDefault="000A66F6" w:rsidP="00AF4698">
      <w:pPr>
        <w:pStyle w:val="TableofFigures"/>
        <w:tabs>
          <w:tab w:val="right" w:pos="1134"/>
          <w:tab w:val="right" w:leader="dot" w:pos="8222"/>
        </w:tabs>
        <w:spacing w:line="276" w:lineRule="auto"/>
        <w:ind w:left="1134" w:right="282" w:hanging="1134"/>
        <w:jc w:val="left"/>
        <w:rPr>
          <w:rFonts w:asciiTheme="minorHAnsi" w:hAnsiTheme="minorHAnsi" w:cstheme="minorBidi"/>
          <w:noProof/>
          <w:sz w:val="22"/>
          <w:szCs w:val="22"/>
          <w:rtl/>
        </w:rPr>
      </w:pPr>
      <w:hyperlink w:anchor="_Toc60183483" w:history="1">
        <w:r w:rsidR="00397EC2" w:rsidRPr="00824D58">
          <w:rPr>
            <w:rStyle w:val="Hyperlink"/>
            <w:noProof/>
            <w:color w:val="auto"/>
          </w:rPr>
          <w:t xml:space="preserve">Figure </w:t>
        </w:r>
        <w:r w:rsidR="00B47A18" w:rsidRPr="00824D58">
          <w:rPr>
            <w:rStyle w:val="Hyperlink"/>
            <w:noProof/>
            <w:color w:val="auto"/>
          </w:rPr>
          <w:t>2.8.</w:t>
        </w:r>
        <w:r w:rsidR="00AF4698">
          <w:rPr>
            <w:rStyle w:val="Hyperlink"/>
            <w:noProof/>
            <w:color w:val="auto"/>
          </w:rPr>
          <w:t xml:space="preserve"> </w:t>
        </w:r>
        <w:r w:rsidR="00AF4698" w:rsidRPr="00AF4698">
          <w:rPr>
            <w:rStyle w:val="Hyperlink"/>
            <w:noProof/>
            <w:color w:val="auto"/>
          </w:rPr>
          <w:t>The role that (GDF15) plays in the tissue microenvironment and the progression of cancer</w:t>
        </w:r>
        <w:r w:rsidR="00B47A18" w:rsidRPr="00824D58">
          <w:rPr>
            <w:rStyle w:val="Hyperlink"/>
            <w:noProof/>
            <w:color w:val="auto"/>
          </w:rPr>
          <w:t xml:space="preserve"> (Vaňhara, P., et al., 2012)</w:t>
        </w:r>
        <w:r w:rsidR="00B47A18" w:rsidRPr="00824D58">
          <w:rPr>
            <w:noProof/>
            <w:webHidden/>
            <w:rtl/>
          </w:rPr>
          <w:tab/>
        </w:r>
        <w:r w:rsidR="00933D24">
          <w:rPr>
            <w:rStyle w:val="Hyperlink"/>
            <w:noProof/>
            <w:color w:val="auto"/>
          </w:rPr>
          <w:t>31</w:t>
        </w:r>
      </w:hyperlink>
    </w:p>
    <w:p w:rsidR="00B47A18" w:rsidRPr="00824D58" w:rsidRDefault="000A66F6" w:rsidP="00FA415E">
      <w:pPr>
        <w:pStyle w:val="TableofFigures"/>
        <w:tabs>
          <w:tab w:val="right" w:pos="1134"/>
          <w:tab w:val="right" w:leader="dot" w:pos="8222"/>
        </w:tabs>
        <w:spacing w:line="276" w:lineRule="auto"/>
        <w:ind w:left="1134" w:right="282" w:hanging="1134"/>
        <w:rPr>
          <w:rFonts w:asciiTheme="minorHAnsi" w:hAnsiTheme="minorHAnsi" w:cstheme="minorBidi"/>
          <w:noProof/>
          <w:sz w:val="22"/>
          <w:szCs w:val="22"/>
          <w:rtl/>
        </w:rPr>
      </w:pPr>
      <w:hyperlink w:anchor="_Toc60183484" w:history="1">
        <w:r w:rsidR="00B47A18" w:rsidRPr="00824D58">
          <w:rPr>
            <w:rStyle w:val="Hyperlink"/>
            <w:noProof/>
            <w:color w:val="auto"/>
          </w:rPr>
          <w:t>Figure 2.9. The suggestion role of GDF15 in the development of prostate cancer (PCa) (</w:t>
        </w:r>
        <w:r w:rsidR="00B47A18" w:rsidRPr="00824D58">
          <w:rPr>
            <w:rStyle w:val="Hyperlink"/>
            <w:noProof/>
            <w:color w:val="auto"/>
            <w:shd w:val="clear" w:color="auto" w:fill="FFFFFF"/>
          </w:rPr>
          <w:t>Vaňhara, P., et al., 2012)</w:t>
        </w:r>
        <w:r w:rsidR="00B47A18" w:rsidRPr="00824D58">
          <w:rPr>
            <w:noProof/>
            <w:webHidden/>
            <w:rtl/>
          </w:rPr>
          <w:tab/>
        </w:r>
        <w:r w:rsidR="002470BB" w:rsidRPr="00824D58">
          <w:rPr>
            <w:rStyle w:val="Hyperlink"/>
            <w:noProof/>
            <w:color w:val="auto"/>
            <w:rtl/>
          </w:rPr>
          <w:fldChar w:fldCharType="begin"/>
        </w:r>
        <w:r w:rsidR="00B47A18" w:rsidRPr="00824D58">
          <w:rPr>
            <w:noProof/>
            <w:webHidden/>
            <w:rtl/>
          </w:rPr>
          <w:instrText xml:space="preserve"> </w:instrText>
        </w:r>
        <w:r w:rsidR="00B47A18" w:rsidRPr="00824D58">
          <w:rPr>
            <w:noProof/>
            <w:webHidden/>
          </w:rPr>
          <w:instrText>PAGEREF</w:instrText>
        </w:r>
        <w:r w:rsidR="00B47A18" w:rsidRPr="00824D58">
          <w:rPr>
            <w:noProof/>
            <w:webHidden/>
            <w:rtl/>
          </w:rPr>
          <w:instrText xml:space="preserve"> _</w:instrText>
        </w:r>
        <w:r w:rsidR="00B47A18" w:rsidRPr="00824D58">
          <w:rPr>
            <w:noProof/>
            <w:webHidden/>
          </w:rPr>
          <w:instrText>Toc60183484 \h</w:instrText>
        </w:r>
        <w:r w:rsidR="00B47A18" w:rsidRPr="00824D58">
          <w:rPr>
            <w:noProof/>
            <w:webHidden/>
            <w:rtl/>
          </w:rPr>
          <w:instrText xml:space="preserve"> </w:instrText>
        </w:r>
        <w:r w:rsidR="002470BB" w:rsidRPr="00824D58">
          <w:rPr>
            <w:rStyle w:val="Hyperlink"/>
            <w:noProof/>
            <w:color w:val="auto"/>
            <w:rtl/>
          </w:rPr>
        </w:r>
        <w:r w:rsidR="002470BB" w:rsidRPr="00824D58">
          <w:rPr>
            <w:rStyle w:val="Hyperlink"/>
            <w:noProof/>
            <w:color w:val="auto"/>
            <w:rtl/>
          </w:rPr>
          <w:fldChar w:fldCharType="separate"/>
        </w:r>
        <w:r w:rsidR="00713623">
          <w:rPr>
            <w:noProof/>
            <w:webHidden/>
          </w:rPr>
          <w:t>34</w:t>
        </w:r>
        <w:r w:rsidR="002470BB" w:rsidRPr="00824D58">
          <w:rPr>
            <w:rStyle w:val="Hyperlink"/>
            <w:noProof/>
            <w:color w:val="auto"/>
            <w:rtl/>
          </w:rPr>
          <w:fldChar w:fldCharType="end"/>
        </w:r>
      </w:hyperlink>
    </w:p>
    <w:p w:rsidR="00B47A18" w:rsidRDefault="000A66F6" w:rsidP="00FA415E">
      <w:pPr>
        <w:pStyle w:val="TableofFigures"/>
        <w:tabs>
          <w:tab w:val="right" w:pos="1134"/>
          <w:tab w:val="right" w:leader="dot" w:pos="8222"/>
        </w:tabs>
        <w:spacing w:line="240" w:lineRule="auto"/>
        <w:ind w:left="1134" w:right="282" w:hanging="1134"/>
        <w:rPr>
          <w:rStyle w:val="Hyperlink"/>
          <w:noProof/>
          <w:color w:val="auto"/>
        </w:rPr>
      </w:pPr>
      <w:hyperlink w:anchor="_Toc60183485" w:history="1">
        <w:r w:rsidR="00B47A18" w:rsidRPr="00824D58">
          <w:rPr>
            <w:rStyle w:val="Hyperlink"/>
            <w:noProof/>
            <w:color w:val="auto"/>
          </w:rPr>
          <w:t>Figure 2.10. Structure of the follicle stimulating hormone receptor (FSHR) with the related FSH alpha and beta</w:t>
        </w:r>
        <w:r w:rsidR="00B47A18" w:rsidRPr="00824D58">
          <w:rPr>
            <w:noProof/>
            <w:webHidden/>
            <w:rtl/>
          </w:rPr>
          <w:tab/>
        </w:r>
        <w:r w:rsidR="002470BB" w:rsidRPr="00824D58">
          <w:rPr>
            <w:rStyle w:val="Hyperlink"/>
            <w:noProof/>
            <w:color w:val="auto"/>
            <w:rtl/>
          </w:rPr>
          <w:fldChar w:fldCharType="begin"/>
        </w:r>
        <w:r w:rsidR="00B47A18" w:rsidRPr="00824D58">
          <w:rPr>
            <w:noProof/>
            <w:webHidden/>
            <w:rtl/>
          </w:rPr>
          <w:instrText xml:space="preserve"> </w:instrText>
        </w:r>
        <w:r w:rsidR="00B47A18" w:rsidRPr="00824D58">
          <w:rPr>
            <w:noProof/>
            <w:webHidden/>
          </w:rPr>
          <w:instrText>PAGEREF</w:instrText>
        </w:r>
        <w:r w:rsidR="00B47A18" w:rsidRPr="00824D58">
          <w:rPr>
            <w:noProof/>
            <w:webHidden/>
            <w:rtl/>
          </w:rPr>
          <w:instrText xml:space="preserve"> _</w:instrText>
        </w:r>
        <w:r w:rsidR="00B47A18" w:rsidRPr="00824D58">
          <w:rPr>
            <w:noProof/>
            <w:webHidden/>
          </w:rPr>
          <w:instrText>Toc60183485 \h</w:instrText>
        </w:r>
        <w:r w:rsidR="00B47A18" w:rsidRPr="00824D58">
          <w:rPr>
            <w:noProof/>
            <w:webHidden/>
            <w:rtl/>
          </w:rPr>
          <w:instrText xml:space="preserve"> </w:instrText>
        </w:r>
        <w:r w:rsidR="002470BB" w:rsidRPr="00824D58">
          <w:rPr>
            <w:rStyle w:val="Hyperlink"/>
            <w:noProof/>
            <w:color w:val="auto"/>
            <w:rtl/>
          </w:rPr>
        </w:r>
        <w:r w:rsidR="002470BB" w:rsidRPr="00824D58">
          <w:rPr>
            <w:rStyle w:val="Hyperlink"/>
            <w:noProof/>
            <w:color w:val="auto"/>
            <w:rtl/>
          </w:rPr>
          <w:fldChar w:fldCharType="separate"/>
        </w:r>
        <w:r w:rsidR="00713623">
          <w:rPr>
            <w:noProof/>
            <w:webHidden/>
          </w:rPr>
          <w:t>36</w:t>
        </w:r>
        <w:r w:rsidR="002470BB" w:rsidRPr="00824D58">
          <w:rPr>
            <w:rStyle w:val="Hyperlink"/>
            <w:noProof/>
            <w:color w:val="auto"/>
            <w:rtl/>
          </w:rPr>
          <w:fldChar w:fldCharType="end"/>
        </w:r>
      </w:hyperlink>
    </w:p>
    <w:p w:rsidR="00933D24" w:rsidRDefault="00933D24" w:rsidP="00933D24">
      <w:pPr>
        <w:spacing w:after="0" w:line="240" w:lineRule="auto"/>
      </w:pPr>
      <w:r w:rsidRPr="00933D24">
        <w:t>Figure 3.1. BioTek Elisa ELx800 (S.N 257381)</w:t>
      </w:r>
      <w:r>
        <w:t>…………………………………….38</w:t>
      </w:r>
    </w:p>
    <w:p w:rsidR="00933D24" w:rsidRDefault="00933D24" w:rsidP="00933D24">
      <w:pPr>
        <w:spacing w:after="0" w:line="240" w:lineRule="auto"/>
      </w:pPr>
      <w:r w:rsidRPr="00933D24">
        <w:t>Figure 3.2. Roche Cobas c 311 Automated Chemistry Analyzer</w:t>
      </w:r>
      <w:r>
        <w:t>……………….…..39</w:t>
      </w:r>
    </w:p>
    <w:p w:rsidR="00933D24" w:rsidRDefault="00933D24" w:rsidP="00933D24">
      <w:pPr>
        <w:spacing w:after="0" w:line="240" w:lineRule="auto"/>
      </w:pPr>
      <w:r w:rsidRPr="00933D24">
        <w:t>Figure 3.3. Automatic micropipette type diamonds</w:t>
      </w:r>
      <w:r>
        <w:t>…………………………………41</w:t>
      </w:r>
    </w:p>
    <w:p w:rsidR="00933D24" w:rsidRDefault="00933D24" w:rsidP="00933D24">
      <w:pPr>
        <w:spacing w:after="0" w:line="240" w:lineRule="auto"/>
      </w:pPr>
      <w:r>
        <w:t>Figure</w:t>
      </w:r>
      <w:r w:rsidRPr="00933D24">
        <w:t xml:space="preserve"> 3.4. Centrifuge C- 12000 (6M 1810968)</w:t>
      </w:r>
      <w:r>
        <w:t>……………………………..………42</w:t>
      </w:r>
    </w:p>
    <w:p w:rsidR="00933D24" w:rsidRPr="00933D24" w:rsidRDefault="00933D24" w:rsidP="00933D24">
      <w:pPr>
        <w:spacing w:after="0" w:line="240" w:lineRule="auto"/>
        <w:rPr>
          <w:rtl/>
        </w:rPr>
      </w:pPr>
      <w:r w:rsidRPr="00933D24">
        <w:t>Figure 3.5. Memmert  water bath (WNE 22) (L513.0977)</w:t>
      </w:r>
      <w:r>
        <w:t>………………….……….43</w:t>
      </w:r>
    </w:p>
    <w:p w:rsidR="00B47A18" w:rsidRPr="00824D58" w:rsidRDefault="002470BB" w:rsidP="00425BF0">
      <w:pPr>
        <w:pStyle w:val="Heading1"/>
        <w:tabs>
          <w:tab w:val="right" w:pos="1134"/>
          <w:tab w:val="right" w:leader="dot" w:pos="8222"/>
        </w:tabs>
        <w:spacing w:before="0" w:beforeAutospacing="0" w:after="0" w:afterAutospacing="0" w:line="276" w:lineRule="auto"/>
        <w:ind w:left="1134" w:right="282" w:hanging="1134"/>
        <w:rPr>
          <w:b w:val="0"/>
          <w:bCs w:val="0"/>
          <w:noProof/>
          <w:rtl/>
        </w:rPr>
      </w:pPr>
      <w:r w:rsidRPr="00824D58">
        <w:rPr>
          <w:b w:val="0"/>
          <w:bCs w:val="0"/>
        </w:rPr>
        <w:fldChar w:fldCharType="end"/>
      </w:r>
      <w:r w:rsidRPr="00824D58">
        <w:fldChar w:fldCharType="begin"/>
      </w:r>
      <w:r w:rsidR="00B47A18" w:rsidRPr="00824D58">
        <w:instrText xml:space="preserve"> TOC \h \z \c "Figure 4." </w:instrText>
      </w:r>
      <w:r w:rsidRPr="00824D58">
        <w:fldChar w:fldCharType="separate"/>
      </w:r>
      <w:hyperlink w:anchor="_Toc60183495" w:history="1">
        <w:r w:rsidR="00B47A18" w:rsidRPr="00824D58">
          <w:rPr>
            <w:rStyle w:val="Hyperlink"/>
            <w:rFonts w:eastAsiaTheme="majorEastAsia"/>
            <w:b w:val="0"/>
            <w:bCs w:val="0"/>
            <w:noProof/>
            <w:color w:val="auto"/>
          </w:rPr>
          <w:t>Figure 4.1.The relation between Control group and patient group with Mean of age</w:t>
        </w:r>
        <w:r w:rsidR="00B47A18" w:rsidRPr="00824D58">
          <w:rPr>
            <w:b w:val="0"/>
            <w:bCs w:val="0"/>
            <w:noProof/>
            <w:webHidden/>
            <w:rtl/>
          </w:rPr>
          <w:tab/>
        </w:r>
        <w:r w:rsidR="00F7310F">
          <w:rPr>
            <w:b w:val="0"/>
            <w:bCs w:val="0"/>
            <w:noProof/>
            <w:webHidden/>
          </w:rPr>
          <w:t xml:space="preserve"> </w:t>
        </w:r>
        <w:r w:rsidRPr="00824D58">
          <w:rPr>
            <w:rStyle w:val="Hyperlink"/>
            <w:rFonts w:eastAsiaTheme="majorEastAsia"/>
            <w:b w:val="0"/>
            <w:bCs w:val="0"/>
            <w:noProof/>
            <w:color w:val="auto"/>
            <w:rtl/>
          </w:rPr>
          <w:fldChar w:fldCharType="begin"/>
        </w:r>
        <w:r w:rsidR="00B47A18" w:rsidRPr="00824D58">
          <w:rPr>
            <w:b w:val="0"/>
            <w:bCs w:val="0"/>
            <w:noProof/>
            <w:webHidden/>
            <w:rtl/>
          </w:rPr>
          <w:instrText xml:space="preserve"> </w:instrText>
        </w:r>
        <w:r w:rsidR="00B47A18" w:rsidRPr="00824D58">
          <w:rPr>
            <w:b w:val="0"/>
            <w:bCs w:val="0"/>
            <w:noProof/>
            <w:webHidden/>
          </w:rPr>
          <w:instrText>PAGEREF</w:instrText>
        </w:r>
        <w:r w:rsidR="00B47A18" w:rsidRPr="00824D58">
          <w:rPr>
            <w:b w:val="0"/>
            <w:bCs w:val="0"/>
            <w:noProof/>
            <w:webHidden/>
            <w:rtl/>
          </w:rPr>
          <w:instrText xml:space="preserve"> _</w:instrText>
        </w:r>
        <w:r w:rsidR="00B47A18" w:rsidRPr="00824D58">
          <w:rPr>
            <w:b w:val="0"/>
            <w:bCs w:val="0"/>
            <w:noProof/>
            <w:webHidden/>
          </w:rPr>
          <w:instrText>Toc60183495 \h</w:instrText>
        </w:r>
        <w:r w:rsidR="00B47A18" w:rsidRPr="00824D58">
          <w:rPr>
            <w:b w:val="0"/>
            <w:bCs w:val="0"/>
            <w:noProof/>
            <w:webHidden/>
            <w:rtl/>
          </w:rPr>
          <w:instrText xml:space="preserve"> </w:instrText>
        </w:r>
        <w:r w:rsidRPr="00824D58">
          <w:rPr>
            <w:rStyle w:val="Hyperlink"/>
            <w:rFonts w:eastAsiaTheme="majorEastAsia"/>
            <w:b w:val="0"/>
            <w:bCs w:val="0"/>
            <w:noProof/>
            <w:color w:val="auto"/>
            <w:rtl/>
          </w:rPr>
        </w:r>
        <w:r w:rsidRPr="00824D58">
          <w:rPr>
            <w:rStyle w:val="Hyperlink"/>
            <w:b w:val="0"/>
            <w:bCs w:val="0"/>
            <w:noProof/>
            <w:color w:val="auto"/>
            <w:rtl/>
          </w:rPr>
          <w:fldChar w:fldCharType="separate"/>
        </w:r>
        <w:r w:rsidR="00713623">
          <w:rPr>
            <w:b w:val="0"/>
            <w:bCs w:val="0"/>
            <w:noProof/>
            <w:webHidden/>
          </w:rPr>
          <w:t>56</w:t>
        </w:r>
        <w:r w:rsidRPr="00824D58">
          <w:rPr>
            <w:rStyle w:val="Hyperlink"/>
            <w:rFonts w:eastAsiaTheme="majorEastAsia"/>
            <w:b w:val="0"/>
            <w:bCs w:val="0"/>
            <w:noProof/>
            <w:color w:val="auto"/>
            <w:rtl/>
          </w:rPr>
          <w:fldChar w:fldCharType="end"/>
        </w:r>
      </w:hyperlink>
      <w:r w:rsidR="00F7310F">
        <w:rPr>
          <w:rStyle w:val="Hyperlink"/>
          <w:rFonts w:eastAsiaTheme="majorEastAsia"/>
          <w:b w:val="0"/>
          <w:bCs w:val="0"/>
          <w:noProof/>
          <w:color w:val="auto"/>
        </w:rPr>
        <w:t>6</w:t>
      </w:r>
    </w:p>
    <w:p w:rsidR="00B47A18" w:rsidRPr="00824D58" w:rsidRDefault="000A66F6" w:rsidP="005819E7">
      <w:pPr>
        <w:pStyle w:val="TableofFigures"/>
        <w:tabs>
          <w:tab w:val="right" w:pos="1134"/>
          <w:tab w:val="right" w:leader="dot" w:pos="8222"/>
        </w:tabs>
        <w:spacing w:line="276" w:lineRule="auto"/>
        <w:ind w:left="1134" w:right="282" w:hanging="1134"/>
        <w:rPr>
          <w:rFonts w:asciiTheme="minorHAnsi" w:hAnsiTheme="minorHAnsi" w:cstheme="minorBidi"/>
          <w:noProof/>
          <w:sz w:val="22"/>
          <w:szCs w:val="22"/>
          <w:rtl/>
        </w:rPr>
      </w:pPr>
      <w:hyperlink w:anchor="_Toc60183496" w:history="1">
        <w:r w:rsidR="005819E7">
          <w:rPr>
            <w:rStyle w:val="Hyperlink"/>
            <w:noProof/>
            <w:color w:val="auto"/>
          </w:rPr>
          <w:t xml:space="preserve">Figure </w:t>
        </w:r>
        <w:r w:rsidR="00B47A18" w:rsidRPr="00824D58">
          <w:rPr>
            <w:rStyle w:val="Hyperlink"/>
            <w:noProof/>
            <w:color w:val="auto"/>
          </w:rPr>
          <w:t>4.2.The relation between Control group and patient group with Mean of weıght (Kg)</w:t>
        </w:r>
        <w:r w:rsidR="00B47A18" w:rsidRPr="00824D58">
          <w:rPr>
            <w:noProof/>
            <w:webHidden/>
            <w:rtl/>
          </w:rPr>
          <w:tab/>
        </w:r>
        <w:r w:rsidR="002470BB" w:rsidRPr="00824D58">
          <w:rPr>
            <w:rStyle w:val="Hyperlink"/>
            <w:noProof/>
            <w:color w:val="auto"/>
            <w:rtl/>
          </w:rPr>
          <w:fldChar w:fldCharType="begin"/>
        </w:r>
        <w:r w:rsidR="00B47A18" w:rsidRPr="00824D58">
          <w:rPr>
            <w:noProof/>
            <w:webHidden/>
            <w:rtl/>
          </w:rPr>
          <w:instrText xml:space="preserve"> </w:instrText>
        </w:r>
        <w:r w:rsidR="00B47A18" w:rsidRPr="00824D58">
          <w:rPr>
            <w:noProof/>
            <w:webHidden/>
          </w:rPr>
          <w:instrText>PAGEREF</w:instrText>
        </w:r>
        <w:r w:rsidR="00B47A18" w:rsidRPr="00824D58">
          <w:rPr>
            <w:noProof/>
            <w:webHidden/>
            <w:rtl/>
          </w:rPr>
          <w:instrText xml:space="preserve"> _</w:instrText>
        </w:r>
        <w:r w:rsidR="00B47A18" w:rsidRPr="00824D58">
          <w:rPr>
            <w:noProof/>
            <w:webHidden/>
          </w:rPr>
          <w:instrText>Toc60183496 \h</w:instrText>
        </w:r>
        <w:r w:rsidR="00B47A18" w:rsidRPr="00824D58">
          <w:rPr>
            <w:noProof/>
            <w:webHidden/>
            <w:rtl/>
          </w:rPr>
          <w:instrText xml:space="preserve"> </w:instrText>
        </w:r>
        <w:r w:rsidR="002470BB" w:rsidRPr="00824D58">
          <w:rPr>
            <w:rStyle w:val="Hyperlink"/>
            <w:noProof/>
            <w:color w:val="auto"/>
            <w:rtl/>
          </w:rPr>
        </w:r>
        <w:r w:rsidR="002470BB" w:rsidRPr="00824D58">
          <w:rPr>
            <w:rStyle w:val="Hyperlink"/>
            <w:noProof/>
            <w:color w:val="auto"/>
            <w:rtl/>
          </w:rPr>
          <w:fldChar w:fldCharType="separate"/>
        </w:r>
        <w:r w:rsidR="00713623">
          <w:rPr>
            <w:noProof/>
            <w:webHidden/>
          </w:rPr>
          <w:t>57</w:t>
        </w:r>
        <w:r w:rsidR="002470BB" w:rsidRPr="00824D58">
          <w:rPr>
            <w:rStyle w:val="Hyperlink"/>
            <w:noProof/>
            <w:color w:val="auto"/>
            <w:rtl/>
          </w:rPr>
          <w:fldChar w:fldCharType="end"/>
        </w:r>
      </w:hyperlink>
    </w:p>
    <w:p w:rsidR="00B47A18" w:rsidRPr="00824D58" w:rsidRDefault="000A66F6" w:rsidP="005819E7">
      <w:pPr>
        <w:pStyle w:val="TableofFigures"/>
        <w:tabs>
          <w:tab w:val="right" w:pos="1134"/>
          <w:tab w:val="right" w:leader="dot" w:pos="8222"/>
        </w:tabs>
        <w:spacing w:line="276" w:lineRule="auto"/>
        <w:ind w:left="1134" w:right="282" w:hanging="1134"/>
        <w:rPr>
          <w:rFonts w:asciiTheme="minorHAnsi" w:hAnsiTheme="minorHAnsi" w:cstheme="minorBidi"/>
          <w:noProof/>
          <w:sz w:val="22"/>
          <w:szCs w:val="22"/>
          <w:rtl/>
        </w:rPr>
      </w:pPr>
      <w:hyperlink w:anchor="_Toc60183497" w:history="1">
        <w:r w:rsidR="00B47A18" w:rsidRPr="00824D58">
          <w:rPr>
            <w:rStyle w:val="Hyperlink"/>
            <w:noProof/>
            <w:color w:val="auto"/>
          </w:rPr>
          <w:t>Figure 4.3.The relation between Control group and patient group with Mean of CRP</w:t>
        </w:r>
        <w:r w:rsidR="00B47A18" w:rsidRPr="00824D58">
          <w:rPr>
            <w:noProof/>
            <w:webHidden/>
            <w:rtl/>
          </w:rPr>
          <w:tab/>
        </w:r>
        <w:r w:rsidR="002470BB" w:rsidRPr="00824D58">
          <w:rPr>
            <w:rStyle w:val="Hyperlink"/>
            <w:noProof/>
            <w:color w:val="auto"/>
            <w:rtl/>
          </w:rPr>
          <w:fldChar w:fldCharType="begin"/>
        </w:r>
        <w:r w:rsidR="00B47A18" w:rsidRPr="00824D58">
          <w:rPr>
            <w:noProof/>
            <w:webHidden/>
            <w:rtl/>
          </w:rPr>
          <w:instrText xml:space="preserve"> </w:instrText>
        </w:r>
        <w:r w:rsidR="00B47A18" w:rsidRPr="00824D58">
          <w:rPr>
            <w:noProof/>
            <w:webHidden/>
          </w:rPr>
          <w:instrText>PAGEREF</w:instrText>
        </w:r>
        <w:r w:rsidR="00B47A18" w:rsidRPr="00824D58">
          <w:rPr>
            <w:noProof/>
            <w:webHidden/>
            <w:rtl/>
          </w:rPr>
          <w:instrText xml:space="preserve"> _</w:instrText>
        </w:r>
        <w:r w:rsidR="00B47A18" w:rsidRPr="00824D58">
          <w:rPr>
            <w:noProof/>
            <w:webHidden/>
          </w:rPr>
          <w:instrText>Toc60183497 \h</w:instrText>
        </w:r>
        <w:r w:rsidR="00B47A18" w:rsidRPr="00824D58">
          <w:rPr>
            <w:noProof/>
            <w:webHidden/>
            <w:rtl/>
          </w:rPr>
          <w:instrText xml:space="preserve"> </w:instrText>
        </w:r>
        <w:r w:rsidR="002470BB" w:rsidRPr="00824D58">
          <w:rPr>
            <w:rStyle w:val="Hyperlink"/>
            <w:noProof/>
            <w:color w:val="auto"/>
            <w:rtl/>
          </w:rPr>
        </w:r>
        <w:r w:rsidR="002470BB" w:rsidRPr="00824D58">
          <w:rPr>
            <w:rStyle w:val="Hyperlink"/>
            <w:noProof/>
            <w:color w:val="auto"/>
            <w:rtl/>
          </w:rPr>
          <w:fldChar w:fldCharType="separate"/>
        </w:r>
        <w:r w:rsidR="00713623">
          <w:rPr>
            <w:noProof/>
            <w:webHidden/>
          </w:rPr>
          <w:t>58</w:t>
        </w:r>
        <w:r w:rsidR="002470BB" w:rsidRPr="00824D58">
          <w:rPr>
            <w:rStyle w:val="Hyperlink"/>
            <w:noProof/>
            <w:color w:val="auto"/>
            <w:rtl/>
          </w:rPr>
          <w:fldChar w:fldCharType="end"/>
        </w:r>
      </w:hyperlink>
    </w:p>
    <w:p w:rsidR="00B47A18" w:rsidRPr="00824D58" w:rsidRDefault="000A66F6" w:rsidP="005819E7">
      <w:pPr>
        <w:pStyle w:val="TableofFigures"/>
        <w:tabs>
          <w:tab w:val="right" w:pos="1134"/>
          <w:tab w:val="right" w:leader="dot" w:pos="8222"/>
        </w:tabs>
        <w:spacing w:line="276" w:lineRule="auto"/>
        <w:ind w:left="1134" w:right="282" w:hanging="1134"/>
        <w:rPr>
          <w:rFonts w:asciiTheme="minorHAnsi" w:hAnsiTheme="minorHAnsi" w:cstheme="minorBidi"/>
          <w:noProof/>
          <w:sz w:val="22"/>
          <w:szCs w:val="22"/>
          <w:rtl/>
        </w:rPr>
      </w:pPr>
      <w:hyperlink w:anchor="_Toc60183498" w:history="1">
        <w:r w:rsidR="00B47A18" w:rsidRPr="00824D58">
          <w:rPr>
            <w:rStyle w:val="Hyperlink"/>
            <w:noProof/>
            <w:color w:val="auto"/>
          </w:rPr>
          <w:t>Figure 4.4.The relation between Control group and patient group with Mean of FSH</w:t>
        </w:r>
        <w:r w:rsidR="00B47A18" w:rsidRPr="00824D58">
          <w:rPr>
            <w:noProof/>
            <w:webHidden/>
            <w:rtl/>
          </w:rPr>
          <w:tab/>
        </w:r>
      </w:hyperlink>
      <w:r w:rsidR="005819E7">
        <w:rPr>
          <w:rStyle w:val="Hyperlink"/>
          <w:noProof/>
          <w:color w:val="auto"/>
        </w:rPr>
        <w:t>59</w:t>
      </w:r>
    </w:p>
    <w:p w:rsidR="00B47A18" w:rsidRPr="00824D58" w:rsidRDefault="000A66F6" w:rsidP="005819E7">
      <w:pPr>
        <w:pStyle w:val="TableofFigures"/>
        <w:tabs>
          <w:tab w:val="right" w:pos="1134"/>
          <w:tab w:val="right" w:leader="dot" w:pos="8222"/>
        </w:tabs>
        <w:spacing w:line="276" w:lineRule="auto"/>
        <w:ind w:left="1134" w:right="282" w:hanging="1134"/>
        <w:rPr>
          <w:rFonts w:asciiTheme="minorHAnsi" w:hAnsiTheme="minorHAnsi" w:cstheme="minorBidi"/>
          <w:noProof/>
          <w:sz w:val="22"/>
          <w:szCs w:val="22"/>
          <w:rtl/>
        </w:rPr>
      </w:pPr>
      <w:hyperlink w:anchor="_Toc60183499" w:history="1">
        <w:r w:rsidR="00B47A18" w:rsidRPr="00824D58">
          <w:rPr>
            <w:rStyle w:val="Hyperlink"/>
            <w:noProof/>
            <w:color w:val="auto"/>
          </w:rPr>
          <w:t>Figure 4.5.The relation between Control group and patient group with Mean of PSA</w:t>
        </w:r>
        <w:r w:rsidR="00B47A18" w:rsidRPr="00824D58">
          <w:rPr>
            <w:noProof/>
            <w:webHidden/>
            <w:rtl/>
          </w:rPr>
          <w:tab/>
        </w:r>
        <w:r w:rsidR="002470BB" w:rsidRPr="00824D58">
          <w:rPr>
            <w:rStyle w:val="Hyperlink"/>
            <w:noProof/>
            <w:color w:val="auto"/>
            <w:rtl/>
          </w:rPr>
          <w:fldChar w:fldCharType="begin"/>
        </w:r>
        <w:r w:rsidR="00B47A18" w:rsidRPr="00824D58">
          <w:rPr>
            <w:noProof/>
            <w:webHidden/>
            <w:rtl/>
          </w:rPr>
          <w:instrText xml:space="preserve"> </w:instrText>
        </w:r>
        <w:r w:rsidR="00B47A18" w:rsidRPr="00824D58">
          <w:rPr>
            <w:noProof/>
            <w:webHidden/>
          </w:rPr>
          <w:instrText>PAGEREF</w:instrText>
        </w:r>
        <w:r w:rsidR="00B47A18" w:rsidRPr="00824D58">
          <w:rPr>
            <w:noProof/>
            <w:webHidden/>
            <w:rtl/>
          </w:rPr>
          <w:instrText xml:space="preserve"> _</w:instrText>
        </w:r>
        <w:r w:rsidR="00B47A18" w:rsidRPr="00824D58">
          <w:rPr>
            <w:noProof/>
            <w:webHidden/>
          </w:rPr>
          <w:instrText>Toc60183499 \h</w:instrText>
        </w:r>
        <w:r w:rsidR="00B47A18" w:rsidRPr="00824D58">
          <w:rPr>
            <w:noProof/>
            <w:webHidden/>
            <w:rtl/>
          </w:rPr>
          <w:instrText xml:space="preserve"> </w:instrText>
        </w:r>
        <w:r w:rsidR="002470BB" w:rsidRPr="00824D58">
          <w:rPr>
            <w:rStyle w:val="Hyperlink"/>
            <w:noProof/>
            <w:color w:val="auto"/>
            <w:rtl/>
          </w:rPr>
        </w:r>
        <w:r w:rsidR="002470BB" w:rsidRPr="00824D58">
          <w:rPr>
            <w:rStyle w:val="Hyperlink"/>
            <w:noProof/>
            <w:color w:val="auto"/>
            <w:rtl/>
          </w:rPr>
          <w:fldChar w:fldCharType="separate"/>
        </w:r>
        <w:r w:rsidR="00713623">
          <w:rPr>
            <w:noProof/>
            <w:webHidden/>
          </w:rPr>
          <w:t>60</w:t>
        </w:r>
        <w:r w:rsidR="002470BB" w:rsidRPr="00824D58">
          <w:rPr>
            <w:rStyle w:val="Hyperlink"/>
            <w:noProof/>
            <w:color w:val="auto"/>
            <w:rtl/>
          </w:rPr>
          <w:fldChar w:fldCharType="end"/>
        </w:r>
      </w:hyperlink>
    </w:p>
    <w:p w:rsidR="00B47A18" w:rsidRPr="00824D58" w:rsidRDefault="000A66F6" w:rsidP="005819E7">
      <w:pPr>
        <w:pStyle w:val="TableofFigures"/>
        <w:tabs>
          <w:tab w:val="right" w:pos="1134"/>
          <w:tab w:val="right" w:leader="dot" w:pos="8222"/>
        </w:tabs>
        <w:spacing w:line="276" w:lineRule="auto"/>
        <w:ind w:left="1134" w:right="282" w:hanging="1134"/>
        <w:rPr>
          <w:rFonts w:asciiTheme="minorHAnsi" w:hAnsiTheme="minorHAnsi" w:cstheme="minorBidi"/>
          <w:noProof/>
          <w:sz w:val="22"/>
          <w:szCs w:val="22"/>
          <w:rtl/>
        </w:rPr>
      </w:pPr>
      <w:hyperlink w:anchor="_Toc60183500" w:history="1">
        <w:r w:rsidR="00B47A18" w:rsidRPr="00824D58">
          <w:rPr>
            <w:rStyle w:val="Hyperlink"/>
            <w:noProof/>
            <w:color w:val="auto"/>
          </w:rPr>
          <w:t>Figure 4.6. The relation between Control group and patient group with Mean of HH</w:t>
        </w:r>
        <w:r w:rsidR="00B47A18" w:rsidRPr="00824D58">
          <w:rPr>
            <w:noProof/>
            <w:webHidden/>
            <w:rtl/>
          </w:rPr>
          <w:tab/>
        </w:r>
        <w:r w:rsidR="00F7310F">
          <w:rPr>
            <w:rStyle w:val="Hyperlink"/>
            <w:noProof/>
            <w:color w:val="auto"/>
          </w:rPr>
          <w:t>6</w:t>
        </w:r>
        <w:r w:rsidR="005819E7">
          <w:rPr>
            <w:rStyle w:val="Hyperlink"/>
            <w:noProof/>
            <w:color w:val="auto"/>
          </w:rPr>
          <w:t>1</w:t>
        </w:r>
      </w:hyperlink>
    </w:p>
    <w:p w:rsidR="00B47A18" w:rsidRPr="00824D58" w:rsidRDefault="000A66F6" w:rsidP="005819E7">
      <w:pPr>
        <w:pStyle w:val="TableofFigures"/>
        <w:tabs>
          <w:tab w:val="right" w:pos="1134"/>
          <w:tab w:val="right" w:leader="dot" w:pos="8222"/>
        </w:tabs>
        <w:spacing w:line="276" w:lineRule="auto"/>
        <w:ind w:left="1134" w:right="282" w:hanging="1134"/>
        <w:rPr>
          <w:rFonts w:asciiTheme="minorHAnsi" w:hAnsiTheme="minorHAnsi" w:cstheme="minorBidi"/>
          <w:noProof/>
          <w:sz w:val="22"/>
          <w:szCs w:val="22"/>
          <w:rtl/>
        </w:rPr>
      </w:pPr>
      <w:hyperlink w:anchor="_Toc60183501" w:history="1">
        <w:r w:rsidR="00B47A18" w:rsidRPr="00824D58">
          <w:rPr>
            <w:rStyle w:val="Hyperlink"/>
            <w:noProof/>
            <w:color w:val="auto"/>
          </w:rPr>
          <w:t>Figure 4.7. The relation between Control group and patient group with Mean of GDF15</w:t>
        </w:r>
        <w:r w:rsidR="00B47A18" w:rsidRPr="00824D58">
          <w:rPr>
            <w:noProof/>
            <w:webHidden/>
            <w:rtl/>
          </w:rPr>
          <w:tab/>
        </w:r>
        <w:r w:rsidR="002470BB" w:rsidRPr="00824D58">
          <w:rPr>
            <w:rStyle w:val="Hyperlink"/>
            <w:noProof/>
            <w:color w:val="auto"/>
            <w:rtl/>
          </w:rPr>
          <w:fldChar w:fldCharType="begin"/>
        </w:r>
        <w:r w:rsidR="00B47A18" w:rsidRPr="00824D58">
          <w:rPr>
            <w:noProof/>
            <w:webHidden/>
            <w:rtl/>
          </w:rPr>
          <w:instrText xml:space="preserve"> </w:instrText>
        </w:r>
        <w:r w:rsidR="00B47A18" w:rsidRPr="00824D58">
          <w:rPr>
            <w:noProof/>
            <w:webHidden/>
          </w:rPr>
          <w:instrText>PAGEREF</w:instrText>
        </w:r>
        <w:r w:rsidR="00B47A18" w:rsidRPr="00824D58">
          <w:rPr>
            <w:noProof/>
            <w:webHidden/>
            <w:rtl/>
          </w:rPr>
          <w:instrText xml:space="preserve"> _</w:instrText>
        </w:r>
        <w:r w:rsidR="00B47A18" w:rsidRPr="00824D58">
          <w:rPr>
            <w:noProof/>
            <w:webHidden/>
          </w:rPr>
          <w:instrText>Toc60183501 \h</w:instrText>
        </w:r>
        <w:r w:rsidR="00B47A18" w:rsidRPr="00824D58">
          <w:rPr>
            <w:noProof/>
            <w:webHidden/>
            <w:rtl/>
          </w:rPr>
          <w:instrText xml:space="preserve"> </w:instrText>
        </w:r>
        <w:r w:rsidR="002470BB" w:rsidRPr="00824D58">
          <w:rPr>
            <w:rStyle w:val="Hyperlink"/>
            <w:noProof/>
            <w:color w:val="auto"/>
            <w:rtl/>
          </w:rPr>
        </w:r>
        <w:r w:rsidR="002470BB" w:rsidRPr="00824D58">
          <w:rPr>
            <w:rStyle w:val="Hyperlink"/>
            <w:noProof/>
            <w:color w:val="auto"/>
            <w:rtl/>
          </w:rPr>
          <w:fldChar w:fldCharType="separate"/>
        </w:r>
        <w:r w:rsidR="00713623">
          <w:rPr>
            <w:noProof/>
            <w:webHidden/>
          </w:rPr>
          <w:t>62</w:t>
        </w:r>
        <w:r w:rsidR="002470BB" w:rsidRPr="00824D58">
          <w:rPr>
            <w:rStyle w:val="Hyperlink"/>
            <w:noProof/>
            <w:color w:val="auto"/>
            <w:rtl/>
          </w:rPr>
          <w:fldChar w:fldCharType="end"/>
        </w:r>
      </w:hyperlink>
    </w:p>
    <w:p w:rsidR="00B47A18" w:rsidRPr="00824D58" w:rsidRDefault="002470BB" w:rsidP="00B47A18">
      <w:pPr>
        <w:pStyle w:val="Heading1"/>
        <w:tabs>
          <w:tab w:val="right" w:pos="1134"/>
          <w:tab w:val="right" w:leader="dot" w:pos="8222"/>
        </w:tabs>
        <w:spacing w:after="0" w:afterAutospacing="0" w:line="276" w:lineRule="auto"/>
        <w:ind w:left="1134" w:right="282" w:hanging="1134"/>
      </w:pPr>
      <w:r w:rsidRPr="00824D58">
        <w:fldChar w:fldCharType="end"/>
      </w:r>
    </w:p>
    <w:p w:rsidR="00B755BD" w:rsidRPr="00824D58" w:rsidRDefault="00EC7A97" w:rsidP="00397EC2">
      <w:pPr>
        <w:pStyle w:val="Heading1"/>
        <w:spacing w:before="0" w:beforeAutospacing="0" w:after="0" w:afterAutospacing="0"/>
        <w:rPr>
          <w:rFonts w:eastAsia="Calibri"/>
        </w:rPr>
      </w:pPr>
      <w:r w:rsidRPr="00824D58">
        <w:br w:type="page"/>
      </w:r>
      <w:bookmarkStart w:id="97" w:name="_Toc60183431"/>
      <w:r w:rsidR="00B47A18" w:rsidRPr="00824D58">
        <w:t xml:space="preserve">LIST OF </w:t>
      </w:r>
      <w:r w:rsidR="00B755BD" w:rsidRPr="00824D58">
        <w:t>TABLE</w:t>
      </w:r>
      <w:bookmarkEnd w:id="97"/>
      <w:r w:rsidR="00397EC2" w:rsidRPr="00824D58">
        <w:t xml:space="preserve">                                                                                         </w:t>
      </w:r>
      <w:r w:rsidR="00570670" w:rsidRPr="00824D58">
        <w:t xml:space="preserve">     </w:t>
      </w:r>
      <w:r w:rsidR="00397EC2" w:rsidRPr="00824D58">
        <w:t xml:space="preserve">       Page</w:t>
      </w:r>
    </w:p>
    <w:p w:rsidR="00B755BD" w:rsidRPr="00824D58" w:rsidRDefault="00B755BD" w:rsidP="00397EC2">
      <w:pPr>
        <w:spacing w:after="0"/>
        <w:jc w:val="right"/>
        <w:rPr>
          <w:rFonts w:eastAsia="Calibri"/>
          <w:b/>
        </w:rPr>
      </w:pPr>
      <w:r w:rsidRPr="00824D58">
        <w:rPr>
          <w:rFonts w:eastAsia="Calibri"/>
          <w:b/>
        </w:rPr>
        <w:t xml:space="preserve">                                                                                                                              </w:t>
      </w:r>
    </w:p>
    <w:p w:rsidR="00FB7A96" w:rsidRPr="00824D58" w:rsidRDefault="002470BB" w:rsidP="00FA415E">
      <w:pPr>
        <w:pStyle w:val="TableofFigures"/>
        <w:tabs>
          <w:tab w:val="right" w:leader="dot" w:pos="8210"/>
        </w:tabs>
        <w:spacing w:line="276" w:lineRule="auto"/>
        <w:ind w:left="851" w:hanging="1135"/>
        <w:jc w:val="right"/>
        <w:rPr>
          <w:rFonts w:asciiTheme="minorHAnsi" w:hAnsiTheme="minorHAnsi" w:cstheme="minorBidi"/>
          <w:noProof/>
          <w:sz w:val="22"/>
          <w:szCs w:val="22"/>
          <w:rtl/>
        </w:rPr>
      </w:pPr>
      <w:r w:rsidRPr="00824D58">
        <w:fldChar w:fldCharType="begin"/>
      </w:r>
      <w:r w:rsidR="00FB7A96" w:rsidRPr="00824D58">
        <w:instrText xml:space="preserve"> TOC \h \z \c "Tablo 3." </w:instrText>
      </w:r>
      <w:r w:rsidRPr="00824D58">
        <w:fldChar w:fldCharType="separate"/>
      </w:r>
      <w:hyperlink w:anchor="_Toc60183173" w:history="1">
        <w:r w:rsidR="00FB7A96" w:rsidRPr="00824D58">
          <w:rPr>
            <w:rStyle w:val="Hyperlink"/>
            <w:noProof/>
            <w:color w:val="auto"/>
          </w:rPr>
          <w:t>Tablo 3.1. Specifications of the system and other details</w:t>
        </w:r>
        <w:r w:rsidR="00FB7A96" w:rsidRPr="00824D58">
          <w:rPr>
            <w:noProof/>
            <w:webHidden/>
            <w:rtl/>
          </w:rPr>
          <w:tab/>
        </w:r>
        <w:r w:rsidRPr="00824D58">
          <w:rPr>
            <w:rStyle w:val="Hyperlink"/>
            <w:noProof/>
            <w:color w:val="auto"/>
            <w:rtl/>
          </w:rPr>
          <w:fldChar w:fldCharType="begin"/>
        </w:r>
        <w:r w:rsidR="00FB7A96" w:rsidRPr="00824D58">
          <w:rPr>
            <w:noProof/>
            <w:webHidden/>
            <w:rtl/>
          </w:rPr>
          <w:instrText xml:space="preserve"> </w:instrText>
        </w:r>
        <w:r w:rsidR="00FB7A96" w:rsidRPr="00824D58">
          <w:rPr>
            <w:noProof/>
            <w:webHidden/>
          </w:rPr>
          <w:instrText>PAGEREF</w:instrText>
        </w:r>
        <w:r w:rsidR="00FB7A96" w:rsidRPr="00824D58">
          <w:rPr>
            <w:noProof/>
            <w:webHidden/>
            <w:rtl/>
          </w:rPr>
          <w:instrText xml:space="preserve"> _</w:instrText>
        </w:r>
        <w:r w:rsidR="00FB7A96" w:rsidRPr="00824D58">
          <w:rPr>
            <w:noProof/>
            <w:webHidden/>
          </w:rPr>
          <w:instrText>Toc60183173 \h</w:instrText>
        </w:r>
        <w:r w:rsidR="00FB7A96" w:rsidRPr="00824D58">
          <w:rPr>
            <w:noProof/>
            <w:webHidden/>
            <w:rtl/>
          </w:rPr>
          <w:instrText xml:space="preserve"> </w:instrText>
        </w:r>
        <w:r w:rsidRPr="00824D58">
          <w:rPr>
            <w:rStyle w:val="Hyperlink"/>
            <w:noProof/>
            <w:color w:val="auto"/>
            <w:rtl/>
          </w:rPr>
        </w:r>
        <w:r w:rsidRPr="00824D58">
          <w:rPr>
            <w:rStyle w:val="Hyperlink"/>
            <w:noProof/>
            <w:color w:val="auto"/>
            <w:rtl/>
          </w:rPr>
          <w:fldChar w:fldCharType="separate"/>
        </w:r>
        <w:r w:rsidR="00713623">
          <w:rPr>
            <w:noProof/>
            <w:webHidden/>
          </w:rPr>
          <w:t>39</w:t>
        </w:r>
        <w:r w:rsidRPr="00824D58">
          <w:rPr>
            <w:rStyle w:val="Hyperlink"/>
            <w:noProof/>
            <w:color w:val="auto"/>
            <w:rtl/>
          </w:rPr>
          <w:fldChar w:fldCharType="end"/>
        </w:r>
      </w:hyperlink>
    </w:p>
    <w:p w:rsidR="00FB7A96" w:rsidRPr="00824D58" w:rsidRDefault="000A66F6" w:rsidP="00FA415E">
      <w:pPr>
        <w:pStyle w:val="TableofFigures"/>
        <w:tabs>
          <w:tab w:val="right" w:leader="dot" w:pos="8210"/>
        </w:tabs>
        <w:spacing w:line="276" w:lineRule="auto"/>
        <w:ind w:left="851" w:hanging="1135"/>
        <w:jc w:val="right"/>
        <w:rPr>
          <w:rFonts w:asciiTheme="minorHAnsi" w:hAnsiTheme="minorHAnsi" w:cstheme="minorBidi"/>
          <w:noProof/>
          <w:sz w:val="22"/>
          <w:szCs w:val="22"/>
          <w:rtl/>
        </w:rPr>
      </w:pPr>
      <w:hyperlink w:anchor="_Toc60183175" w:history="1">
        <w:r w:rsidR="00FB7A96" w:rsidRPr="00824D58">
          <w:rPr>
            <w:rStyle w:val="Hyperlink"/>
            <w:noProof/>
            <w:color w:val="auto"/>
          </w:rPr>
          <w:t>Tablo 3.3. Kit Components</w:t>
        </w:r>
        <w:r w:rsidR="00FB7A96" w:rsidRPr="00824D58">
          <w:rPr>
            <w:noProof/>
            <w:webHidden/>
            <w:rtl/>
          </w:rPr>
          <w:tab/>
        </w:r>
        <w:r w:rsidR="002470BB" w:rsidRPr="00824D58">
          <w:rPr>
            <w:rStyle w:val="Hyperlink"/>
            <w:noProof/>
            <w:color w:val="auto"/>
            <w:rtl/>
          </w:rPr>
          <w:fldChar w:fldCharType="begin"/>
        </w:r>
        <w:r w:rsidR="00FB7A96" w:rsidRPr="00824D58">
          <w:rPr>
            <w:noProof/>
            <w:webHidden/>
            <w:rtl/>
          </w:rPr>
          <w:instrText xml:space="preserve"> </w:instrText>
        </w:r>
        <w:r w:rsidR="00FB7A96" w:rsidRPr="00824D58">
          <w:rPr>
            <w:noProof/>
            <w:webHidden/>
          </w:rPr>
          <w:instrText>PAGEREF</w:instrText>
        </w:r>
        <w:r w:rsidR="00FB7A96" w:rsidRPr="00824D58">
          <w:rPr>
            <w:noProof/>
            <w:webHidden/>
            <w:rtl/>
          </w:rPr>
          <w:instrText xml:space="preserve"> _</w:instrText>
        </w:r>
        <w:r w:rsidR="00FB7A96" w:rsidRPr="00824D58">
          <w:rPr>
            <w:noProof/>
            <w:webHidden/>
          </w:rPr>
          <w:instrText>Toc60183175 \h</w:instrText>
        </w:r>
        <w:r w:rsidR="00FB7A96" w:rsidRPr="00824D58">
          <w:rPr>
            <w:noProof/>
            <w:webHidden/>
            <w:rtl/>
          </w:rPr>
          <w:instrText xml:space="preserve"> </w:instrText>
        </w:r>
        <w:r w:rsidR="002470BB" w:rsidRPr="00824D58">
          <w:rPr>
            <w:rStyle w:val="Hyperlink"/>
            <w:noProof/>
            <w:color w:val="auto"/>
            <w:rtl/>
          </w:rPr>
        </w:r>
        <w:r w:rsidR="002470BB" w:rsidRPr="00824D58">
          <w:rPr>
            <w:rStyle w:val="Hyperlink"/>
            <w:noProof/>
            <w:color w:val="auto"/>
            <w:rtl/>
          </w:rPr>
          <w:fldChar w:fldCharType="separate"/>
        </w:r>
        <w:r w:rsidR="00713623">
          <w:rPr>
            <w:noProof/>
            <w:webHidden/>
          </w:rPr>
          <w:t>45</w:t>
        </w:r>
        <w:r w:rsidR="002470BB" w:rsidRPr="00824D58">
          <w:rPr>
            <w:rStyle w:val="Hyperlink"/>
            <w:noProof/>
            <w:color w:val="auto"/>
            <w:rtl/>
          </w:rPr>
          <w:fldChar w:fldCharType="end"/>
        </w:r>
      </w:hyperlink>
    </w:p>
    <w:p w:rsidR="00B47A18" w:rsidRPr="00824D58" w:rsidRDefault="002470BB" w:rsidP="00FA415E">
      <w:pPr>
        <w:tabs>
          <w:tab w:val="left" w:pos="8364"/>
        </w:tabs>
        <w:spacing w:after="0" w:line="276" w:lineRule="auto"/>
        <w:ind w:left="709" w:hanging="709"/>
        <w:jc w:val="left"/>
        <w:rPr>
          <w:noProof/>
          <w:rtl/>
        </w:rPr>
      </w:pPr>
      <w:r w:rsidRPr="00824D58">
        <w:fldChar w:fldCharType="end"/>
      </w:r>
      <w:r w:rsidRPr="00824D58">
        <w:fldChar w:fldCharType="begin"/>
      </w:r>
      <w:r w:rsidR="00B47A18" w:rsidRPr="00824D58">
        <w:instrText xml:space="preserve"> TOC \h \z \c "Tablo 4." </w:instrText>
      </w:r>
      <w:r w:rsidRPr="00824D58">
        <w:fldChar w:fldCharType="separate"/>
      </w:r>
      <w:hyperlink w:anchor="_Toc60183212" w:history="1">
        <w:r w:rsidR="00B47A18" w:rsidRPr="00824D58">
          <w:rPr>
            <w:rStyle w:val="Hyperlink"/>
            <w:noProof/>
            <w:color w:val="auto"/>
          </w:rPr>
          <w:t>Tablo 4.1. Age in Patients and Control……………………………………………</w:t>
        </w:r>
        <w:r w:rsidR="00442859" w:rsidRPr="00824D58">
          <w:rPr>
            <w:rStyle w:val="Hyperlink"/>
            <w:noProof/>
            <w:color w:val="auto"/>
          </w:rPr>
          <w:t>…</w:t>
        </w:r>
        <w:r w:rsidR="00442859" w:rsidRPr="00824D58">
          <w:rPr>
            <w:noProof/>
            <w:webHidden/>
          </w:rPr>
          <w:t>...</w:t>
        </w:r>
        <w:r w:rsidRPr="00824D58">
          <w:rPr>
            <w:noProof/>
            <w:webHidden/>
            <w:rtl/>
          </w:rPr>
          <w:fldChar w:fldCharType="begin"/>
        </w:r>
        <w:r w:rsidR="00B47A18" w:rsidRPr="00824D58">
          <w:rPr>
            <w:noProof/>
            <w:webHidden/>
            <w:rtl/>
          </w:rPr>
          <w:instrText xml:space="preserve"> </w:instrText>
        </w:r>
        <w:r w:rsidR="00B47A18" w:rsidRPr="00824D58">
          <w:rPr>
            <w:noProof/>
            <w:webHidden/>
          </w:rPr>
          <w:instrText>PAGEREF</w:instrText>
        </w:r>
        <w:r w:rsidR="00B47A18" w:rsidRPr="00824D58">
          <w:rPr>
            <w:noProof/>
            <w:webHidden/>
            <w:rtl/>
          </w:rPr>
          <w:instrText xml:space="preserve"> _</w:instrText>
        </w:r>
        <w:r w:rsidR="00B47A18" w:rsidRPr="00824D58">
          <w:rPr>
            <w:noProof/>
            <w:webHidden/>
          </w:rPr>
          <w:instrText>Toc60183212 \h</w:instrText>
        </w:r>
        <w:r w:rsidR="00B47A18" w:rsidRPr="00824D58">
          <w:rPr>
            <w:noProof/>
            <w:webHidden/>
            <w:rtl/>
          </w:rPr>
          <w:instrText xml:space="preserve"> </w:instrText>
        </w:r>
        <w:r w:rsidRPr="00824D58">
          <w:rPr>
            <w:noProof/>
            <w:webHidden/>
            <w:rtl/>
          </w:rPr>
        </w:r>
        <w:r w:rsidRPr="00824D58">
          <w:rPr>
            <w:noProof/>
            <w:webHidden/>
            <w:rtl/>
          </w:rPr>
          <w:fldChar w:fldCharType="separate"/>
        </w:r>
        <w:r w:rsidR="00713623">
          <w:rPr>
            <w:noProof/>
            <w:webHidden/>
          </w:rPr>
          <w:t>55</w:t>
        </w:r>
        <w:r w:rsidRPr="00824D58">
          <w:rPr>
            <w:noProof/>
            <w:webHidden/>
            <w:rtl/>
          </w:rPr>
          <w:fldChar w:fldCharType="end"/>
        </w:r>
      </w:hyperlink>
    </w:p>
    <w:p w:rsidR="00B47A18" w:rsidRPr="00824D58" w:rsidRDefault="000A66F6" w:rsidP="00FA415E">
      <w:pPr>
        <w:pStyle w:val="TableofFigures"/>
        <w:tabs>
          <w:tab w:val="right" w:leader="dot" w:pos="8505"/>
        </w:tabs>
        <w:spacing w:line="276" w:lineRule="auto"/>
        <w:ind w:left="993" w:hanging="993"/>
        <w:rPr>
          <w:rFonts w:asciiTheme="minorHAnsi" w:hAnsiTheme="minorHAnsi" w:cstheme="minorBidi"/>
          <w:noProof/>
          <w:sz w:val="22"/>
          <w:szCs w:val="22"/>
          <w:rtl/>
        </w:rPr>
      </w:pPr>
      <w:hyperlink w:anchor="_Toc60183213" w:history="1">
        <w:r w:rsidR="00B47A18" w:rsidRPr="00824D58">
          <w:rPr>
            <w:rStyle w:val="Hyperlink"/>
            <w:noProof/>
            <w:color w:val="auto"/>
          </w:rPr>
          <w:t>Tablo 4.2. Correlation between Hepcidin Hormone and Some Variables in all Case of Prostate cancer</w:t>
        </w:r>
        <w:r w:rsidR="00B47A18" w:rsidRPr="00824D58">
          <w:rPr>
            <w:noProof/>
            <w:webHidden/>
            <w:rtl/>
          </w:rPr>
          <w:tab/>
        </w:r>
        <w:r w:rsidR="002470BB" w:rsidRPr="00824D58">
          <w:rPr>
            <w:noProof/>
            <w:webHidden/>
            <w:rtl/>
          </w:rPr>
          <w:fldChar w:fldCharType="begin"/>
        </w:r>
        <w:r w:rsidR="00B47A18" w:rsidRPr="00824D58">
          <w:rPr>
            <w:noProof/>
            <w:webHidden/>
            <w:rtl/>
          </w:rPr>
          <w:instrText xml:space="preserve"> </w:instrText>
        </w:r>
        <w:r w:rsidR="00B47A18" w:rsidRPr="00824D58">
          <w:rPr>
            <w:noProof/>
            <w:webHidden/>
          </w:rPr>
          <w:instrText>PAGEREF</w:instrText>
        </w:r>
        <w:r w:rsidR="00B47A18" w:rsidRPr="00824D58">
          <w:rPr>
            <w:noProof/>
            <w:webHidden/>
            <w:rtl/>
          </w:rPr>
          <w:instrText xml:space="preserve"> _</w:instrText>
        </w:r>
        <w:r w:rsidR="00B47A18" w:rsidRPr="00824D58">
          <w:rPr>
            <w:noProof/>
            <w:webHidden/>
          </w:rPr>
          <w:instrText>Toc60183213 \h</w:instrText>
        </w:r>
        <w:r w:rsidR="00B47A18" w:rsidRPr="00824D58">
          <w:rPr>
            <w:noProof/>
            <w:webHidden/>
            <w:rtl/>
          </w:rPr>
          <w:instrText xml:space="preserve"> </w:instrText>
        </w:r>
        <w:r w:rsidR="002470BB" w:rsidRPr="00824D58">
          <w:rPr>
            <w:noProof/>
            <w:webHidden/>
            <w:rtl/>
          </w:rPr>
        </w:r>
        <w:r w:rsidR="002470BB" w:rsidRPr="00824D58">
          <w:rPr>
            <w:noProof/>
            <w:webHidden/>
            <w:rtl/>
          </w:rPr>
          <w:fldChar w:fldCharType="separate"/>
        </w:r>
        <w:r w:rsidR="00713623">
          <w:rPr>
            <w:noProof/>
            <w:webHidden/>
          </w:rPr>
          <w:t>56</w:t>
        </w:r>
        <w:r w:rsidR="002470BB" w:rsidRPr="00824D58">
          <w:rPr>
            <w:noProof/>
            <w:webHidden/>
            <w:rtl/>
          </w:rPr>
          <w:fldChar w:fldCharType="end"/>
        </w:r>
      </w:hyperlink>
    </w:p>
    <w:p w:rsidR="00FB7A96" w:rsidRPr="00824D58" w:rsidRDefault="002470BB" w:rsidP="00B47A18">
      <w:pPr>
        <w:spacing w:after="0" w:line="276" w:lineRule="auto"/>
        <w:jc w:val="right"/>
        <w:sectPr w:rsidR="00FB7A96" w:rsidRPr="00824D58" w:rsidSect="00881B7F">
          <w:footerReference w:type="default" r:id="rId12"/>
          <w:pgSz w:w="11906" w:h="16838"/>
          <w:pgMar w:top="1701" w:right="1134" w:bottom="1134" w:left="2268" w:header="709" w:footer="709" w:gutter="0"/>
          <w:pgNumType w:fmt="lowerRoman" w:start="1"/>
          <w:cols w:space="708"/>
          <w:bidi/>
          <w:rtlGutter/>
          <w:docGrid w:linePitch="360"/>
        </w:sectPr>
      </w:pPr>
      <w:r w:rsidRPr="00824D58">
        <w:fldChar w:fldCharType="end"/>
      </w:r>
    </w:p>
    <w:p w:rsidR="00230F05" w:rsidRPr="00824D58" w:rsidRDefault="00476CD1" w:rsidP="00397EC2">
      <w:pPr>
        <w:pStyle w:val="Heading1"/>
        <w:numPr>
          <w:ilvl w:val="0"/>
          <w:numId w:val="2"/>
        </w:numPr>
        <w:spacing w:before="0" w:beforeAutospacing="0" w:after="0" w:afterAutospacing="0"/>
        <w:ind w:left="284" w:hanging="284"/>
      </w:pPr>
      <w:bookmarkStart w:id="98" w:name="_Toc60183432"/>
      <w:r w:rsidRPr="00824D58">
        <w:t>INTRODUCTION</w:t>
      </w:r>
      <w:bookmarkEnd w:id="98"/>
    </w:p>
    <w:p w:rsidR="00397EC2" w:rsidRPr="00824D58" w:rsidRDefault="00397EC2" w:rsidP="00397EC2">
      <w:pPr>
        <w:pStyle w:val="Heading1"/>
        <w:spacing w:before="0" w:beforeAutospacing="0" w:after="0" w:afterAutospacing="0"/>
        <w:ind w:left="284"/>
      </w:pPr>
    </w:p>
    <w:p w:rsidR="00230F05" w:rsidRPr="00824D58" w:rsidRDefault="003C0A60" w:rsidP="00397EC2">
      <w:pPr>
        <w:spacing w:after="0"/>
      </w:pPr>
      <w:r w:rsidRPr="00824D58">
        <w:t xml:space="preserve">Cancer affects more than just a single cell or a community of homogeneous tumor cells. </w:t>
      </w:r>
      <w:r w:rsidR="00DB7CE4" w:rsidRPr="00824D58">
        <w:t>As a result, research into the mechanisms that modulate the tumour cells, particularly the relationship with tumor and stromal cells, as well as the immune response, is essential.</w:t>
      </w:r>
      <w:r w:rsidRPr="00824D58">
        <w:t xml:space="preserve"> </w:t>
      </w:r>
      <w:r w:rsidR="00EA79B2" w:rsidRPr="00824D58">
        <w:t xml:space="preserve">Humans are adamant that cancer are being healed as soon as practicable; indeed, this isn't always the case. </w:t>
      </w:r>
      <w:r w:rsidRPr="00824D58">
        <w:t xml:space="preserve">Humans, on the other hand, hold this belief. This prevalent ideas that have negative implications for certain types of cancer, such as prostate cancer </w:t>
      </w:r>
      <w:r w:rsidR="00230F05" w:rsidRPr="00824D58">
        <w:t xml:space="preserve">(Jemal, A., </w:t>
      </w:r>
      <w:r w:rsidR="00230F05" w:rsidRPr="00824D58">
        <w:rPr>
          <w:i/>
          <w:iCs/>
        </w:rPr>
        <w:t>et al.,</w:t>
      </w:r>
      <w:r w:rsidR="00230F05" w:rsidRPr="00824D58">
        <w:t xml:space="preserve"> 2002).</w:t>
      </w:r>
    </w:p>
    <w:p w:rsidR="00397EC2" w:rsidRPr="00824D58" w:rsidRDefault="00397EC2" w:rsidP="00397EC2">
      <w:pPr>
        <w:spacing w:after="0"/>
        <w:rPr>
          <w:spacing w:val="37"/>
        </w:rPr>
      </w:pPr>
    </w:p>
    <w:p w:rsidR="00230F05" w:rsidRPr="00824D58" w:rsidRDefault="00CD7936" w:rsidP="00397EC2">
      <w:pPr>
        <w:spacing w:after="0"/>
      </w:pPr>
      <w:r w:rsidRPr="00824D58">
        <w:t>Prostate cancer is the most common form of cancer among men in many countries. A man's lifetime risk of developing prostate cancer is about 30%, with a 10% to 11% chance of dying from it. Prostate cancer starts out small and then develops into an invasive, migratory</w:t>
      </w:r>
      <w:r w:rsidR="00FC5CC1">
        <w:t>,&amp;</w:t>
      </w:r>
      <w:r w:rsidRPr="00824D58">
        <w:t xml:space="preserve"> metastatic disease. </w:t>
      </w:r>
      <w:r w:rsidR="00EC4C55" w:rsidRPr="00824D58">
        <w:t>A l</w:t>
      </w:r>
      <w:r w:rsidRPr="00824D58">
        <w:t xml:space="preserve">ocalized prostate cancer is usually androgen-dependent and can be treated with surgery or other treatments such as radiation therapy </w:t>
      </w:r>
      <w:r w:rsidR="00230F05" w:rsidRPr="00824D58">
        <w:t>(</w:t>
      </w:r>
      <w:r w:rsidR="00230F05" w:rsidRPr="00824D58">
        <w:rPr>
          <w:shd w:val="clear" w:color="auto" w:fill="FFFFFF"/>
        </w:rPr>
        <w:t>Davison, B. J.,</w:t>
      </w:r>
      <w:r w:rsidR="00230F05" w:rsidRPr="00824D58">
        <w:rPr>
          <w:i/>
          <w:iCs/>
          <w:shd w:val="clear" w:color="auto" w:fill="FFFFFF"/>
        </w:rPr>
        <w:t xml:space="preserve"> et al.,</w:t>
      </w:r>
      <w:r w:rsidR="00230F05" w:rsidRPr="00824D58">
        <w:rPr>
          <w:shd w:val="clear" w:color="auto" w:fill="FFFFFF"/>
        </w:rPr>
        <w:t xml:space="preserve"> 2003)</w:t>
      </w:r>
      <w:r w:rsidR="00230F05" w:rsidRPr="00824D58">
        <w:t>.</w:t>
      </w:r>
    </w:p>
    <w:p w:rsidR="00397EC2" w:rsidRPr="00824D58" w:rsidRDefault="00397EC2" w:rsidP="00397EC2">
      <w:pPr>
        <w:spacing w:after="0"/>
      </w:pPr>
    </w:p>
    <w:p w:rsidR="00230F05" w:rsidRPr="00824D58" w:rsidRDefault="00CD7936" w:rsidP="00397EC2">
      <w:pPr>
        <w:pStyle w:val="BodyText"/>
        <w:spacing w:after="0"/>
      </w:pPr>
      <w:r w:rsidRPr="00824D58">
        <w:t xml:space="preserve">A tubuloalveolar gland of the reproductive area makes up the male prostate gland. The genitourinary system of a male's body is situated inside the pelvic cavity. </w:t>
      </w:r>
      <w:r w:rsidR="00230F05" w:rsidRPr="00824D58">
        <w:t xml:space="preserve">It is situated down part of the bladder and in front of the rectum. It is considered both muscular and glandular. </w:t>
      </w:r>
      <w:r w:rsidRPr="00824D58">
        <w:t xml:space="preserve">The prostate gland in a young male weighs about 20 grams and has a volume similar to that of a golf ball (4×2×3cm). </w:t>
      </w:r>
      <w:r w:rsidR="000E1DA3" w:rsidRPr="00824D58">
        <w:t>Because of benign conditions like prostate cancer (BPH) or cancerous conditions like adenocarcinoma, men are more likely to develop prostate cancer,</w:t>
      </w:r>
      <w:r w:rsidRPr="00824D58">
        <w:t xml:space="preserve"> the prostate volume rises with increasing the ménage. </w:t>
      </w:r>
      <w:r w:rsidR="000E1DA3" w:rsidRPr="00824D58">
        <w:t xml:space="preserve">It is composed of 70 percent of overall glandular tissue and 30 percent of overall fibromuscular stroma, according to Figure 1.1 </w:t>
      </w:r>
      <w:r w:rsidR="00230F05" w:rsidRPr="00824D58">
        <w:rPr>
          <w:spacing w:val="-8"/>
        </w:rPr>
        <w:t>(</w:t>
      </w:r>
      <w:r w:rsidR="00230F05" w:rsidRPr="00824D58">
        <w:rPr>
          <w:shd w:val="clear" w:color="auto" w:fill="FFFFFF"/>
        </w:rPr>
        <w:t xml:space="preserve">Ward, A. D., Crukley, </w:t>
      </w:r>
      <w:r w:rsidR="00230F05" w:rsidRPr="00824D58">
        <w:rPr>
          <w:i/>
          <w:iCs/>
          <w:shd w:val="clear" w:color="auto" w:fill="FFFFFF"/>
        </w:rPr>
        <w:t>et al.,</w:t>
      </w:r>
      <w:r w:rsidR="00230F05" w:rsidRPr="00824D58">
        <w:rPr>
          <w:shd w:val="clear" w:color="auto" w:fill="FFFFFF"/>
        </w:rPr>
        <w:t xml:space="preserve"> 2012; </w:t>
      </w:r>
      <w:r w:rsidR="00230F05" w:rsidRPr="00824D58">
        <w:t xml:space="preserve">Balk, S. P., </w:t>
      </w:r>
      <w:r w:rsidR="00230F05" w:rsidRPr="00824D58">
        <w:rPr>
          <w:i/>
          <w:iCs/>
        </w:rPr>
        <w:t>et al.,</w:t>
      </w:r>
      <w:r w:rsidR="00230F05" w:rsidRPr="00824D58">
        <w:t xml:space="preserve"> 2003</w:t>
      </w:r>
      <w:r w:rsidR="00230F05" w:rsidRPr="00824D58">
        <w:rPr>
          <w:shd w:val="clear" w:color="auto" w:fill="FFFFFF"/>
        </w:rPr>
        <w:t>).</w:t>
      </w:r>
    </w:p>
    <w:p w:rsidR="00230F05" w:rsidRPr="00824D58" w:rsidRDefault="00230F05" w:rsidP="00230F05">
      <w:pPr>
        <w:pStyle w:val="BodyText"/>
        <w:spacing w:before="234" w:after="240"/>
        <w:ind w:right="49"/>
        <w:jc w:val="center"/>
      </w:pPr>
    </w:p>
    <w:p w:rsidR="00476CD1" w:rsidRPr="00824D58" w:rsidRDefault="00230F05" w:rsidP="00476CD1">
      <w:pPr>
        <w:pStyle w:val="BodyText"/>
        <w:keepNext/>
        <w:spacing w:before="234" w:after="240"/>
        <w:ind w:right="49"/>
        <w:jc w:val="center"/>
      </w:pPr>
      <w:r w:rsidRPr="00824D58">
        <w:rPr>
          <w:noProof/>
        </w:rPr>
        <w:drawing>
          <wp:inline distT="0" distB="0" distL="0" distR="0" wp14:anchorId="330B53D3" wp14:editId="549B84D1">
            <wp:extent cx="5215279" cy="3579962"/>
            <wp:effectExtent l="19050" t="0" r="4421" b="0"/>
            <wp:docPr id="1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duotone>
                        <a:prstClr val="black"/>
                        <a:schemeClr val="accent6">
                          <a:tint val="45000"/>
                          <a:satMod val="400000"/>
                        </a:schemeClr>
                      </a:duotone>
                    </a:blip>
                    <a:srcRect/>
                    <a:stretch>
                      <a:fillRect/>
                    </a:stretch>
                  </pic:blipFill>
                  <pic:spPr bwMode="auto">
                    <a:xfrm>
                      <a:off x="0" y="0"/>
                      <a:ext cx="5222240" cy="3584740"/>
                    </a:xfrm>
                    <a:prstGeom prst="rect">
                      <a:avLst/>
                    </a:prstGeom>
                    <a:noFill/>
                    <a:ln w="9525">
                      <a:noFill/>
                      <a:miter lim="800000"/>
                      <a:headEnd/>
                      <a:tailEnd/>
                    </a:ln>
                  </pic:spPr>
                </pic:pic>
              </a:graphicData>
            </a:graphic>
          </wp:inline>
        </w:drawing>
      </w:r>
    </w:p>
    <w:p w:rsidR="00230F05" w:rsidRPr="00824D58" w:rsidRDefault="00476CD1" w:rsidP="00476CD1">
      <w:pPr>
        <w:pStyle w:val="Caption"/>
        <w:spacing w:line="276" w:lineRule="auto"/>
        <w:rPr>
          <w:noProof/>
        </w:rPr>
      </w:pPr>
      <w:bookmarkStart w:id="99" w:name="_Toc60183378"/>
      <w:r w:rsidRPr="00824D58">
        <w:rPr>
          <w:b/>
          <w:bCs/>
        </w:rPr>
        <w:t>Figure 1.</w:t>
      </w:r>
      <w:r w:rsidR="002470BB" w:rsidRPr="00824D58">
        <w:rPr>
          <w:b/>
          <w:bCs/>
        </w:rPr>
        <w:fldChar w:fldCharType="begin"/>
      </w:r>
      <w:r w:rsidR="00D80F1D" w:rsidRPr="00824D58">
        <w:rPr>
          <w:b/>
          <w:bCs/>
        </w:rPr>
        <w:instrText xml:space="preserve"> SEQ Figure_1. \* ARABIC </w:instrText>
      </w:r>
      <w:r w:rsidR="002470BB" w:rsidRPr="00824D58">
        <w:rPr>
          <w:b/>
          <w:bCs/>
        </w:rPr>
        <w:fldChar w:fldCharType="separate"/>
      </w:r>
      <w:r w:rsidR="00713623">
        <w:rPr>
          <w:b/>
          <w:bCs/>
          <w:noProof/>
        </w:rPr>
        <w:t>1</w:t>
      </w:r>
      <w:r w:rsidR="002470BB" w:rsidRPr="00824D58">
        <w:rPr>
          <w:b/>
          <w:bCs/>
          <w:noProof/>
        </w:rPr>
        <w:fldChar w:fldCharType="end"/>
      </w:r>
      <w:r w:rsidRPr="00824D58">
        <w:rPr>
          <w:b/>
          <w:bCs/>
          <w:noProof/>
        </w:rPr>
        <w:t>.</w:t>
      </w:r>
      <w:r w:rsidRPr="00824D58">
        <w:rPr>
          <w:noProof/>
        </w:rPr>
        <w:t xml:space="preserve"> The normal prostate area in young males contains only 5% -10% of the glandular tissue. The central region of the prostate base and passes through the ejaculation ducts. The prostate is made up of the peripheral region, especially away from veromontanum</w:t>
      </w:r>
      <w:bookmarkEnd w:id="99"/>
    </w:p>
    <w:p w:rsidR="00476CD1" w:rsidRPr="00824D58" w:rsidRDefault="00476CD1" w:rsidP="00476CD1"/>
    <w:p w:rsidR="00476CD1" w:rsidRPr="00824D58" w:rsidRDefault="00476CD1" w:rsidP="00476CD1"/>
    <w:p w:rsidR="00476CD1" w:rsidRPr="00824D58" w:rsidRDefault="00476CD1" w:rsidP="00476CD1"/>
    <w:p w:rsidR="00476CD1" w:rsidRPr="00824D58" w:rsidRDefault="00476CD1" w:rsidP="00476CD1"/>
    <w:p w:rsidR="00476CD1" w:rsidRPr="00824D58" w:rsidRDefault="00476CD1" w:rsidP="00476CD1"/>
    <w:p w:rsidR="00476CD1" w:rsidRPr="00824D58" w:rsidRDefault="00476CD1" w:rsidP="00476CD1"/>
    <w:p w:rsidR="00476CD1" w:rsidRPr="00824D58" w:rsidRDefault="00476CD1" w:rsidP="00476CD1"/>
    <w:p w:rsidR="00476CD1" w:rsidRPr="00824D58" w:rsidRDefault="00476CD1" w:rsidP="00476CD1"/>
    <w:p w:rsidR="00476CD1" w:rsidRPr="00824D58" w:rsidRDefault="00476CD1" w:rsidP="00476CD1"/>
    <w:p w:rsidR="00476CD1" w:rsidRPr="00824D58" w:rsidRDefault="00476CD1" w:rsidP="00397EC2">
      <w:pPr>
        <w:pStyle w:val="Heading1"/>
        <w:numPr>
          <w:ilvl w:val="0"/>
          <w:numId w:val="2"/>
        </w:numPr>
        <w:spacing w:before="0" w:beforeAutospacing="0" w:after="0" w:afterAutospacing="0"/>
        <w:ind w:left="284" w:hanging="284"/>
      </w:pPr>
      <w:bookmarkStart w:id="100" w:name="_Toc60183433"/>
      <w:r w:rsidRPr="00824D58">
        <w:t>LITRATURE REVIEW</w:t>
      </w:r>
      <w:bookmarkEnd w:id="100"/>
    </w:p>
    <w:p w:rsidR="00397EC2" w:rsidRPr="00824D58" w:rsidRDefault="00397EC2" w:rsidP="00397EC2">
      <w:pPr>
        <w:pStyle w:val="Heading1"/>
        <w:spacing w:before="0" w:beforeAutospacing="0" w:after="0" w:afterAutospacing="0"/>
        <w:ind w:left="284"/>
      </w:pPr>
    </w:p>
    <w:p w:rsidR="00230F05" w:rsidRPr="00824D58" w:rsidRDefault="00230F05" w:rsidP="00397EC2">
      <w:pPr>
        <w:pStyle w:val="Heading2"/>
        <w:numPr>
          <w:ilvl w:val="1"/>
          <w:numId w:val="2"/>
        </w:numPr>
        <w:spacing w:before="0"/>
        <w:ind w:left="426" w:hanging="426"/>
      </w:pPr>
      <w:bookmarkStart w:id="101" w:name="_Toc60183434"/>
      <w:r w:rsidRPr="00824D58">
        <w:t>Prostate Cancer</w:t>
      </w:r>
      <w:bookmarkEnd w:id="101"/>
    </w:p>
    <w:p w:rsidR="00397EC2" w:rsidRPr="00824D58" w:rsidRDefault="00397EC2" w:rsidP="00397EC2">
      <w:pPr>
        <w:spacing w:after="0"/>
      </w:pPr>
    </w:p>
    <w:p w:rsidR="00230F05" w:rsidRPr="00824D58" w:rsidRDefault="00230F05" w:rsidP="00397EC2">
      <w:pPr>
        <w:pStyle w:val="BodyText"/>
        <w:spacing w:after="0"/>
      </w:pPr>
      <w:r w:rsidRPr="00824D58">
        <w:t>Male</w:t>
      </w:r>
      <w:r w:rsidRPr="00824D58">
        <w:rPr>
          <w:spacing w:val="37"/>
          <w:lang w:val="tr-TR"/>
        </w:rPr>
        <w:t>s</w:t>
      </w:r>
      <w:r w:rsidRPr="00824D58">
        <w:t>suffered from PCa disease have to select either continuous monitoring or more radical t</w:t>
      </w:r>
      <w:r w:rsidR="0084588E" w:rsidRPr="00824D58">
        <w:t>reatment, see Figure 2.1</w:t>
      </w:r>
      <w:r w:rsidRPr="00824D58">
        <w:t xml:space="preserve">. </w:t>
      </w:r>
      <w:r w:rsidR="00F106E5" w:rsidRPr="00824D58">
        <w:t>Males who fail to make this decision when suffering from untreated cancer are met with suspicion.</w:t>
      </w:r>
      <w:r w:rsidR="00541878" w:rsidRPr="00824D58">
        <w:t xml:space="preserve"> </w:t>
      </w:r>
      <w:r w:rsidR="00F106E5" w:rsidRPr="00824D58">
        <w:t xml:space="preserve">Furthermore, because of the widespread belief that cancer is always fatal, </w:t>
      </w:r>
      <w:r w:rsidR="007B7380" w:rsidRPr="00824D58">
        <w:t xml:space="preserve">males with a low cancer risk will receive treating even it's not needed. </w:t>
      </w:r>
      <w:r w:rsidR="00541878" w:rsidRPr="00824D58">
        <w:t>Overtreatment is the term for this occurrence</w:t>
      </w:r>
      <w:r w:rsidRPr="00824D58">
        <w:rPr>
          <w:shd w:val="clear" w:color="auto" w:fill="FFFFFF"/>
        </w:rPr>
        <w:t xml:space="preserve"> (Broeke, N. C. 2018; </w:t>
      </w:r>
      <w:r w:rsidRPr="00824D58">
        <w:t>Stephan, C., 2014</w:t>
      </w:r>
      <w:r w:rsidRPr="00824D58">
        <w:rPr>
          <w:shd w:val="clear" w:color="auto" w:fill="FFFFFF"/>
        </w:rPr>
        <w:t>)</w:t>
      </w:r>
      <w:r w:rsidRPr="00824D58">
        <w:t>.</w:t>
      </w:r>
    </w:p>
    <w:p w:rsidR="00397EC2" w:rsidRPr="00824D58" w:rsidRDefault="00397EC2" w:rsidP="00397EC2">
      <w:pPr>
        <w:pStyle w:val="BodyText"/>
        <w:spacing w:after="0"/>
      </w:pPr>
    </w:p>
    <w:p w:rsidR="00895965" w:rsidRPr="00824D58" w:rsidRDefault="00230F05" w:rsidP="00895965">
      <w:pPr>
        <w:pStyle w:val="BodyText"/>
        <w:keepNext/>
        <w:spacing w:before="240" w:after="240"/>
        <w:ind w:right="113"/>
      </w:pPr>
      <w:r w:rsidRPr="00824D58">
        <w:rPr>
          <w:noProof/>
        </w:rPr>
        <w:drawing>
          <wp:inline distT="0" distB="0" distL="0" distR="0" wp14:anchorId="6D43247C" wp14:editId="43DB8BBA">
            <wp:extent cx="5398339" cy="3338423"/>
            <wp:effectExtent l="1905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4" cstate="print"/>
                    <a:stretch>
                      <a:fillRect/>
                    </a:stretch>
                  </pic:blipFill>
                  <pic:spPr>
                    <a:xfrm>
                      <a:off x="0" y="0"/>
                      <a:ext cx="5400675" cy="3339868"/>
                    </a:xfrm>
                    <a:prstGeom prst="rect">
                      <a:avLst/>
                    </a:prstGeom>
                  </pic:spPr>
                </pic:pic>
              </a:graphicData>
            </a:graphic>
          </wp:inline>
        </w:drawing>
      </w:r>
    </w:p>
    <w:p w:rsidR="00397EC2" w:rsidRPr="00824D58" w:rsidRDefault="00895965" w:rsidP="00477493">
      <w:pPr>
        <w:pStyle w:val="Caption"/>
        <w:spacing w:after="480"/>
        <w:rPr>
          <w:noProof/>
        </w:rPr>
      </w:pPr>
      <w:bookmarkStart w:id="102" w:name="_Toc60183476"/>
      <w:r w:rsidRPr="00824D58">
        <w:t>Figure 2.</w:t>
      </w:r>
      <w:fldSimple w:instr=" SEQ Figure_2. \* ARABIC ">
        <w:r w:rsidR="00713623">
          <w:rPr>
            <w:noProof/>
          </w:rPr>
          <w:t>1</w:t>
        </w:r>
      </w:fldSimple>
      <w:r w:rsidRPr="00824D58">
        <w:rPr>
          <w:noProof/>
        </w:rPr>
        <w:t xml:space="preserve">. </w:t>
      </w:r>
      <w:r w:rsidR="00541878" w:rsidRPr="00824D58">
        <w:rPr>
          <w:noProof/>
        </w:rPr>
        <w:t xml:space="preserve">An immunohistochemical examination of paraffin-embedded tissue parts of benign prostatic glandular tissue (A) and prostatic adenocarcinoma (B) </w:t>
      </w:r>
      <w:r w:rsidRPr="00824D58">
        <w:rPr>
          <w:noProof/>
        </w:rPr>
        <w:t>(Karan, D.</w:t>
      </w:r>
      <w:r w:rsidR="00881B7F">
        <w:rPr>
          <w:i/>
          <w:iCs/>
          <w:noProof/>
        </w:rPr>
        <w:t xml:space="preserve"> et al</w:t>
      </w:r>
      <w:r w:rsidRPr="00824D58">
        <w:rPr>
          <w:noProof/>
        </w:rPr>
        <w:t xml:space="preserve"> 2003)</w:t>
      </w:r>
      <w:bookmarkEnd w:id="102"/>
    </w:p>
    <w:p w:rsidR="00230F05" w:rsidRPr="00824D58" w:rsidRDefault="00230F05" w:rsidP="00477493">
      <w:pPr>
        <w:pStyle w:val="Heading3"/>
        <w:numPr>
          <w:ilvl w:val="2"/>
          <w:numId w:val="2"/>
        </w:numPr>
        <w:spacing w:before="0" w:after="480"/>
        <w:ind w:left="567" w:hanging="567"/>
      </w:pPr>
      <w:bookmarkStart w:id="103" w:name="_Toc60183435"/>
      <w:r w:rsidRPr="00824D58">
        <w:t>Introduction to Prostate Cancer Gland</w:t>
      </w:r>
      <w:bookmarkEnd w:id="103"/>
    </w:p>
    <w:p w:rsidR="00230F05" w:rsidRPr="00824D58" w:rsidRDefault="00230F05" w:rsidP="00397EC2">
      <w:pPr>
        <w:spacing w:after="0"/>
      </w:pPr>
      <w:r w:rsidRPr="00824D58">
        <w:t>The prostate gland of the male body is situated in the genitourinary region. These sections below illustrate the relative fundamental information about Prostate gland of the human and its cancer such as the anatomy, physiology prostate gland</w:t>
      </w:r>
      <w:r w:rsidR="00FC5CC1">
        <w:t>,&amp;</w:t>
      </w:r>
      <w:r w:rsidRPr="00824D58">
        <w:t xml:space="preserve"> other sufficient details. </w:t>
      </w:r>
    </w:p>
    <w:p w:rsidR="00397EC2" w:rsidRPr="00824D58" w:rsidRDefault="00397EC2" w:rsidP="00397EC2">
      <w:pPr>
        <w:spacing w:after="0"/>
      </w:pPr>
    </w:p>
    <w:p w:rsidR="00230F05" w:rsidRPr="00824D58" w:rsidRDefault="00230F05" w:rsidP="00397EC2">
      <w:pPr>
        <w:pStyle w:val="Heading3"/>
        <w:numPr>
          <w:ilvl w:val="2"/>
          <w:numId w:val="2"/>
        </w:numPr>
        <w:spacing w:before="0" w:after="0"/>
        <w:ind w:left="709" w:hanging="709"/>
      </w:pPr>
      <w:bookmarkStart w:id="104" w:name="_Toc60183436"/>
      <w:r w:rsidRPr="00824D58">
        <w:t>Prostate Anatomy</w:t>
      </w:r>
      <w:bookmarkEnd w:id="104"/>
    </w:p>
    <w:p w:rsidR="00397EC2" w:rsidRPr="00824D58" w:rsidRDefault="00397EC2" w:rsidP="00397EC2">
      <w:pPr>
        <w:spacing w:after="0"/>
      </w:pPr>
    </w:p>
    <w:p w:rsidR="00230F05" w:rsidRPr="00824D58" w:rsidRDefault="00C8720A" w:rsidP="00397EC2">
      <w:pPr>
        <w:pStyle w:val="BodyText"/>
        <w:spacing w:after="0"/>
      </w:pPr>
      <w:r w:rsidRPr="00824D58">
        <w:t>The base of the prostate gland is situated just below the bladder</w:t>
      </w:r>
      <w:r w:rsidR="00FC5CC1">
        <w:t>,&amp;</w:t>
      </w:r>
      <w:r w:rsidRPr="00824D58">
        <w:t xml:space="preserve"> the urethra runs across the center of the prostate gland (Figure 1.3). </w:t>
      </w:r>
      <w:r w:rsidR="00476F42" w:rsidRPr="00824D58">
        <w:t xml:space="preserve">There are 2 ejaculatory ducts </w:t>
      </w:r>
      <w:r w:rsidR="00F106E5" w:rsidRPr="00824D58">
        <w:t xml:space="preserve">that pass </w:t>
      </w:r>
      <w:r w:rsidR="00476F42" w:rsidRPr="00824D58">
        <w:t>during</w:t>
      </w:r>
      <w:r w:rsidR="00F106E5" w:rsidRPr="00824D58">
        <w:t xml:space="preserve"> the prostate transport </w:t>
      </w:r>
      <w:r w:rsidR="009A1CF8" w:rsidRPr="00824D58">
        <w:t>the seminal makeup of semen of the seminal vesicle in the urethra</w:t>
      </w:r>
      <w:r w:rsidRPr="00824D58">
        <w:t xml:space="preserve"> </w:t>
      </w:r>
      <w:r w:rsidR="00230F05" w:rsidRPr="00824D58">
        <w:t>(</w:t>
      </w:r>
      <w:r w:rsidR="00230F05" w:rsidRPr="00824D58">
        <w:rPr>
          <w:shd w:val="clear" w:color="auto" w:fill="FFFFFF"/>
        </w:rPr>
        <w:t>Hayes, V. M.</w:t>
      </w:r>
      <w:r w:rsidR="00230F05" w:rsidRPr="00824D58">
        <w:t xml:space="preserve">, </w:t>
      </w:r>
      <w:r w:rsidR="00230F05" w:rsidRPr="00824D58">
        <w:rPr>
          <w:i/>
          <w:iCs/>
        </w:rPr>
        <w:t>et al.,</w:t>
      </w:r>
      <w:r w:rsidR="00230F05" w:rsidRPr="00824D58">
        <w:t xml:space="preserve"> 2006</w:t>
      </w:r>
      <w:r w:rsidR="00230F05" w:rsidRPr="00824D58">
        <w:rPr>
          <w:shd w:val="clear" w:color="auto" w:fill="FFFFFF"/>
        </w:rPr>
        <w:t xml:space="preserve">; Thulborn, K. R., </w:t>
      </w:r>
      <w:r w:rsidR="00230F05" w:rsidRPr="00824D58">
        <w:rPr>
          <w:i/>
          <w:iCs/>
          <w:shd w:val="clear" w:color="auto" w:fill="FFFFFF"/>
        </w:rPr>
        <w:t>et al.,</w:t>
      </w:r>
      <w:r w:rsidR="00230F05" w:rsidRPr="00824D58">
        <w:rPr>
          <w:shd w:val="clear" w:color="auto" w:fill="FFFFFF"/>
        </w:rPr>
        <w:t xml:space="preserve"> 1999)</w:t>
      </w:r>
      <w:r w:rsidR="00230F05" w:rsidRPr="00824D58">
        <w:t>.</w:t>
      </w:r>
      <w:r w:rsidR="00230F05" w:rsidRPr="00824D58">
        <w:rPr>
          <w:spacing w:val="13"/>
        </w:rPr>
        <w:t xml:space="preserve"> </w:t>
      </w:r>
      <w:r w:rsidR="00230F05" w:rsidRPr="00824D58">
        <w:t>The main structure of the gland is included four unlike zones</w:t>
      </w:r>
      <w:r w:rsidR="0084588E" w:rsidRPr="00824D58">
        <w:t xml:space="preserve"> (Figure 2.2</w:t>
      </w:r>
      <w:r w:rsidR="00230F05" w:rsidRPr="00824D58">
        <w:t xml:space="preserve">); </w:t>
      </w:r>
      <w:r w:rsidR="009A1CF8" w:rsidRPr="00824D58">
        <w:t xml:space="preserve">central zone (CZ), </w:t>
      </w:r>
      <w:r w:rsidR="00230F05" w:rsidRPr="00824D58">
        <w:t xml:space="preserve">peripheral zone (PZ), transitional zone (TZ) </w:t>
      </w:r>
      <w:r w:rsidR="009A1CF8" w:rsidRPr="00824D58">
        <w:t>indeed</w:t>
      </w:r>
      <w:r w:rsidR="00230F05" w:rsidRPr="00824D58">
        <w:t xml:space="preserve"> anterior-fibro muscular stroma (Sadar, M. D, </w:t>
      </w:r>
      <w:r w:rsidR="00230F05" w:rsidRPr="00824D58">
        <w:rPr>
          <w:i/>
          <w:iCs/>
        </w:rPr>
        <w:t>et al.,</w:t>
      </w:r>
      <w:r w:rsidR="00230F05" w:rsidRPr="00824D58">
        <w:t xml:space="preserve"> 1999; Qi, H., Labrie, 2001).</w:t>
      </w:r>
    </w:p>
    <w:p w:rsidR="00397EC2" w:rsidRPr="00824D58" w:rsidRDefault="00397EC2" w:rsidP="00397EC2">
      <w:pPr>
        <w:pStyle w:val="BodyText"/>
        <w:spacing w:after="0"/>
      </w:pPr>
    </w:p>
    <w:p w:rsidR="00230F05" w:rsidRPr="00824D58" w:rsidRDefault="00230F05" w:rsidP="00397EC2">
      <w:pPr>
        <w:pStyle w:val="BodyText"/>
        <w:spacing w:after="0"/>
      </w:pPr>
      <w:r w:rsidRPr="00824D58">
        <w:t xml:space="preserve">The mustache-shaped that surrounded the prostate is the </w:t>
      </w:r>
      <w:r w:rsidR="000F374D" w:rsidRPr="00824D58">
        <w:t>biggest</w:t>
      </w:r>
      <w:r w:rsidRPr="00824D58">
        <w:t xml:space="preserve"> zone</w:t>
      </w:r>
      <w:r w:rsidR="0084588E" w:rsidRPr="00824D58">
        <w:t>, as can be seen from Figure 2.2</w:t>
      </w:r>
      <w:r w:rsidRPr="00824D58">
        <w:t xml:space="preserve">. </w:t>
      </w:r>
      <w:r w:rsidR="00786A34" w:rsidRPr="00824D58">
        <w:t xml:space="preserve">Prostate inflammation often occurs </w:t>
      </w:r>
      <w:r w:rsidR="000F374D" w:rsidRPr="00824D58">
        <w:t xml:space="preserve">mostly </w:t>
      </w:r>
      <w:r w:rsidR="00786A34" w:rsidRPr="00824D58">
        <w:t xml:space="preserve">in the surrounded-shaped prostate tissue, which accounts for approximately three-quarters of glandular prostate tissue (chronic prostatitis). </w:t>
      </w:r>
      <w:r w:rsidR="00F84381" w:rsidRPr="00824D58">
        <w:t>In the PZ, approximately 70-80 percent of prostatic cancers occur</w:t>
      </w:r>
      <w:r w:rsidRPr="00824D58">
        <w:t xml:space="preserve"> (</w:t>
      </w:r>
      <w:r w:rsidRPr="00824D58">
        <w:rPr>
          <w:shd w:val="clear" w:color="auto" w:fill="FFFFFF"/>
        </w:rPr>
        <w:t>McNeal, J. E.,</w:t>
      </w:r>
      <w:r w:rsidRPr="00824D58">
        <w:t xml:space="preserve"> </w:t>
      </w:r>
      <w:r w:rsidRPr="00824D58">
        <w:rPr>
          <w:i/>
          <w:iCs/>
        </w:rPr>
        <w:t>et al.,</w:t>
      </w:r>
      <w:r w:rsidRPr="00824D58">
        <w:t xml:space="preserve"> 1988; </w:t>
      </w:r>
      <w:r w:rsidRPr="00824D58">
        <w:rPr>
          <w:shd w:val="clear" w:color="auto" w:fill="FFFFFF"/>
        </w:rPr>
        <w:t>Hammerich, K. H.</w:t>
      </w:r>
      <w:r w:rsidRPr="00824D58">
        <w:t xml:space="preserve">, 2009). </w:t>
      </w:r>
      <w:r w:rsidR="00786A34" w:rsidRPr="00824D58">
        <w:t>The superior-posterior part of the gland contains the central zone (CZ)</w:t>
      </w:r>
      <w:r w:rsidRPr="00824D58">
        <w:t xml:space="preserve">, it makes up 25% of the glandular tissue and its  known to enlarge as men age, </w:t>
      </w:r>
      <w:r w:rsidR="009A1CF8" w:rsidRPr="00824D58">
        <w:t xml:space="preserve">the final region of the prostate </w:t>
      </w:r>
      <w:r w:rsidRPr="00824D58">
        <w:t>is the anterior-fibro-muscular stroma in the apex and its comprises muscle fibers and connective tissue</w:t>
      </w:r>
      <w:r w:rsidRPr="00824D58">
        <w:rPr>
          <w:b/>
          <w:bCs/>
          <w:spacing w:val="4"/>
        </w:rPr>
        <w:t xml:space="preserve"> </w:t>
      </w:r>
      <w:r w:rsidRPr="00824D58">
        <w:rPr>
          <w:spacing w:val="4"/>
        </w:rPr>
        <w:t>(</w:t>
      </w:r>
      <w:r w:rsidRPr="00824D58">
        <w:rPr>
          <w:shd w:val="clear" w:color="auto" w:fill="FFFFFF"/>
        </w:rPr>
        <w:t xml:space="preserve">McNeal, J. E., 1981; </w:t>
      </w:r>
      <w:r w:rsidRPr="00824D58">
        <w:t xml:space="preserve">Uhlén, M., </w:t>
      </w:r>
      <w:r w:rsidRPr="00824D58">
        <w:rPr>
          <w:i/>
          <w:iCs/>
        </w:rPr>
        <w:t>et al.,</w:t>
      </w:r>
      <w:r w:rsidRPr="00824D58">
        <w:t xml:space="preserve"> 2015</w:t>
      </w:r>
      <w:r w:rsidRPr="00824D58">
        <w:rPr>
          <w:shd w:val="clear" w:color="auto" w:fill="FFFFFF"/>
        </w:rPr>
        <w:t>)</w:t>
      </w:r>
      <w:r w:rsidRPr="00824D58">
        <w:t>.</w:t>
      </w:r>
    </w:p>
    <w:p w:rsidR="0084588E" w:rsidRPr="00824D58" w:rsidRDefault="00230F05" w:rsidP="00835DE7">
      <w:pPr>
        <w:pStyle w:val="BodyText"/>
        <w:keepNext/>
        <w:spacing w:after="0" w:line="240" w:lineRule="auto"/>
        <w:jc w:val="center"/>
      </w:pPr>
      <w:r w:rsidRPr="00824D58">
        <w:rPr>
          <w:noProof/>
        </w:rPr>
        <w:drawing>
          <wp:inline distT="0" distB="0" distL="0" distR="0" wp14:anchorId="09A62B44" wp14:editId="46D67D42">
            <wp:extent cx="5217160" cy="2819400"/>
            <wp:effectExtent l="19050" t="19050" r="21590" b="19050"/>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5" cstate="print">
                      <a:grayscl/>
                    </a:blip>
                    <a:stretch>
                      <a:fillRect/>
                    </a:stretch>
                  </pic:blipFill>
                  <pic:spPr>
                    <a:xfrm>
                      <a:off x="0" y="0"/>
                      <a:ext cx="5250482" cy="2837408"/>
                    </a:xfrm>
                    <a:prstGeom prst="rect">
                      <a:avLst/>
                    </a:prstGeom>
                    <a:ln w="9525">
                      <a:solidFill>
                        <a:schemeClr val="tx1"/>
                      </a:solidFill>
                    </a:ln>
                  </pic:spPr>
                </pic:pic>
              </a:graphicData>
            </a:graphic>
          </wp:inline>
        </w:drawing>
      </w:r>
    </w:p>
    <w:p w:rsidR="00835DE7" w:rsidRPr="00824D58" w:rsidRDefault="00835DE7" w:rsidP="00835DE7">
      <w:pPr>
        <w:pStyle w:val="Caption"/>
        <w:spacing w:after="0"/>
      </w:pPr>
      <w:bookmarkStart w:id="105" w:name="_Toc60183477"/>
    </w:p>
    <w:p w:rsidR="00230F05" w:rsidRPr="00824D58" w:rsidRDefault="0084588E" w:rsidP="00835DE7">
      <w:pPr>
        <w:pStyle w:val="Caption"/>
        <w:spacing w:after="0"/>
        <w:rPr>
          <w:noProof/>
        </w:rPr>
      </w:pPr>
      <w:r w:rsidRPr="00824D58">
        <w:t>Figure 2.</w:t>
      </w:r>
      <w:fldSimple w:instr=" SEQ Figure_2. \* ARABIC ">
        <w:r w:rsidR="00713623">
          <w:rPr>
            <w:noProof/>
          </w:rPr>
          <w:t>2</w:t>
        </w:r>
      </w:fldSimple>
      <w:r w:rsidRPr="00824D58">
        <w:rPr>
          <w:noProof/>
        </w:rPr>
        <w:t>. The prostate gland anatomy of the male body relative to the rectum and bladder (Broeke, N. C., 2018)</w:t>
      </w:r>
      <w:bookmarkEnd w:id="105"/>
    </w:p>
    <w:p w:rsidR="00835DE7" w:rsidRPr="00824D58" w:rsidRDefault="00835DE7" w:rsidP="00835DE7">
      <w:pPr>
        <w:spacing w:after="0"/>
      </w:pPr>
    </w:p>
    <w:p w:rsidR="00230F05" w:rsidRPr="00824D58" w:rsidRDefault="0084588E" w:rsidP="00835DE7">
      <w:pPr>
        <w:pStyle w:val="Heading3"/>
        <w:numPr>
          <w:ilvl w:val="2"/>
          <w:numId w:val="2"/>
        </w:numPr>
        <w:spacing w:before="0" w:after="0"/>
        <w:ind w:left="567" w:hanging="567"/>
      </w:pPr>
      <w:bookmarkStart w:id="106" w:name="_Toc60183437"/>
      <w:r w:rsidRPr="00824D58">
        <w:t>Prostate Cancer Rates</w:t>
      </w:r>
      <w:bookmarkEnd w:id="106"/>
    </w:p>
    <w:p w:rsidR="00835DE7" w:rsidRPr="00824D58" w:rsidRDefault="00835DE7" w:rsidP="00835DE7">
      <w:pPr>
        <w:spacing w:after="0"/>
      </w:pPr>
    </w:p>
    <w:p w:rsidR="00230F05" w:rsidRPr="00824D58" w:rsidRDefault="004B5C9E" w:rsidP="00835DE7">
      <w:pPr>
        <w:pStyle w:val="BodyText"/>
        <w:spacing w:after="0"/>
      </w:pPr>
      <w:r w:rsidRPr="00824D58">
        <w:t xml:space="preserve">Prostate cancer (PCa) affects one out of every seven men at some stage in their lives, </w:t>
      </w:r>
      <w:r w:rsidR="00770E5F" w:rsidRPr="00824D58">
        <w:t>It is also the most common cancer in men</w:t>
      </w:r>
      <w:r w:rsidRPr="00824D58">
        <w:t xml:space="preserve"> </w:t>
      </w:r>
      <w:r w:rsidR="00230F05" w:rsidRPr="00824D58">
        <w:t xml:space="preserve">(Kolata, G., 2016). </w:t>
      </w:r>
      <w:r w:rsidR="00DA2075" w:rsidRPr="00824D58">
        <w:t xml:space="preserve">Prostate cancer cases in dead men were approximately proportional to their age, according to post-mortem reports </w:t>
      </w:r>
      <w:r w:rsidR="00230F05" w:rsidRPr="00824D58">
        <w:t xml:space="preserve">(Sakr, W. A., 1996). </w:t>
      </w:r>
      <w:r w:rsidRPr="00824D58">
        <w:t>Non-aggressive PCa can be found in approximately 65 percent of men 65 years old in a random sample. Men in Canada were diagnosed with 103,100 new cancer cases in 2017. Prostate cancer was the most common form, accounting for 20.4 percent of all cases.</w:t>
      </w:r>
      <w:r w:rsidR="00230F05" w:rsidRPr="00824D58">
        <w:t xml:space="preserve"> </w:t>
      </w:r>
      <w:r w:rsidR="00DA2075" w:rsidRPr="00824D58">
        <w:t>Prostate cancer affects one out of every seven men, but only one out of every 28 men will die from it in their lifetime</w:t>
      </w:r>
      <w:r w:rsidR="00FC5CC1">
        <w:t>,&amp;</w:t>
      </w:r>
      <w:r w:rsidR="00720804" w:rsidRPr="00824D58">
        <w:t xml:space="preserve"> it is the most common cancer among men in the United States</w:t>
      </w:r>
      <w:r w:rsidR="00230F05" w:rsidRPr="00824D58">
        <w:t xml:space="preserve"> (Karan, D., </w:t>
      </w:r>
      <w:r w:rsidR="00230F05" w:rsidRPr="00824D58">
        <w:rPr>
          <w:i/>
          <w:iCs/>
        </w:rPr>
        <w:t>et al.,</w:t>
      </w:r>
      <w:r w:rsidR="00230F05" w:rsidRPr="00824D58">
        <w:t xml:space="preserve"> 2003).</w:t>
      </w:r>
    </w:p>
    <w:p w:rsidR="00835DE7" w:rsidRPr="00824D58" w:rsidRDefault="00835DE7" w:rsidP="00835DE7">
      <w:pPr>
        <w:pStyle w:val="BodyText"/>
        <w:spacing w:after="0"/>
      </w:pPr>
    </w:p>
    <w:p w:rsidR="00230F05" w:rsidRPr="00824D58" w:rsidRDefault="00720804" w:rsidP="00835DE7">
      <w:pPr>
        <w:pStyle w:val="BodyText"/>
        <w:spacing w:after="0"/>
      </w:pPr>
      <w:r w:rsidRPr="00824D58">
        <w:t xml:space="preserve">This is far lower than the overall cancer death rate, </w:t>
      </w:r>
      <w:r w:rsidR="00852782" w:rsidRPr="00824D58">
        <w:t>1 in every 3.5 people is thought to be affected.</w:t>
      </w:r>
      <w:r w:rsidRPr="00824D58">
        <w:t xml:space="preserve"> </w:t>
      </w:r>
      <w:r w:rsidR="00852782" w:rsidRPr="00824D58">
        <w:t>Because of improved therapeutic options for both early and late-stage disease, the overall mortality rate for PCa has decreased by 3.3 percent per year since 2001.</w:t>
      </w:r>
      <w:r w:rsidR="004D5363" w:rsidRPr="00824D58">
        <w:t xml:space="preserve"> Prostate cancer is more likely to kill men who have diabetes and have a higher body mass index </w:t>
      </w:r>
      <w:r w:rsidRPr="00824D58">
        <w:t xml:space="preserve">(BMI) </w:t>
      </w:r>
      <w:r w:rsidR="00230F05" w:rsidRPr="00824D58">
        <w:t>(Cao, Y., &amp; Ma, J., 2011).</w:t>
      </w:r>
    </w:p>
    <w:p w:rsidR="00230F05" w:rsidRPr="00824D58" w:rsidRDefault="00D10614" w:rsidP="0031558E">
      <w:pPr>
        <w:pStyle w:val="BodyText"/>
        <w:tabs>
          <w:tab w:val="left" w:pos="1260"/>
        </w:tabs>
        <w:spacing w:after="0"/>
      </w:pPr>
      <w:r w:rsidRPr="00824D58">
        <w:t xml:space="preserve">A man age is a good indicator of new prostate cancer diagnoses. Prostate cancer was diagnosed in 21,300 Canadian men in 2017. The 30-39 age group was the smallest in terms of new diagnoses, accounting for just 0.02 percent of all new diagnoses. </w:t>
      </w:r>
      <w:r w:rsidR="0031558E" w:rsidRPr="0031558E">
        <w:t>Up until the age of 60 to 69, the number of new cases increases monotonically with age group: 1.7% for males aged 40 to 49, 16.9% for men aged 50 to 59, and 38.5% for men aged 60 to 69. Men aged 60 to 69 were the age group most frequently diagnosed. Men aged 70 to 79 accounted for 29% of all new PCa diagnoses, whereas men aged 80 and older accounted for 14% of all new PCa diagnoses.</w:t>
      </w:r>
      <w:r w:rsidR="00852782" w:rsidRPr="00824D58">
        <w:t xml:space="preserve"> </w:t>
      </w:r>
      <w:r w:rsidR="006135C0" w:rsidRPr="00824D58">
        <w:t>Prostate cancer has very high 5-, 10-</w:t>
      </w:r>
      <w:r w:rsidR="00FC5CC1">
        <w:t>,&amp;</w:t>
      </w:r>
      <w:r w:rsidR="006135C0" w:rsidRPr="00824D58">
        <w:t xml:space="preserve"> 15-year survival rates after diagnosis: 99 percent, 98 percent</w:t>
      </w:r>
      <w:r w:rsidR="00FC5CC1">
        <w:t>,&amp;</w:t>
      </w:r>
      <w:r w:rsidR="006135C0" w:rsidRPr="00824D58">
        <w:t xml:space="preserve"> 96 percent, respectively</w:t>
      </w:r>
      <w:r w:rsidR="00230F05" w:rsidRPr="00824D58">
        <w:rPr>
          <w:b/>
          <w:bCs/>
        </w:rPr>
        <w:t xml:space="preserve"> </w:t>
      </w:r>
      <w:r w:rsidR="00230F05" w:rsidRPr="00824D58">
        <w:t>(Kolata, G., 2016).</w:t>
      </w:r>
    </w:p>
    <w:p w:rsidR="00835DE7" w:rsidRPr="00824D58" w:rsidRDefault="00835DE7" w:rsidP="00835DE7">
      <w:pPr>
        <w:pStyle w:val="BodyText"/>
        <w:tabs>
          <w:tab w:val="left" w:pos="1260"/>
        </w:tabs>
        <w:spacing w:after="0"/>
        <w:rPr>
          <w:spacing w:val="45"/>
        </w:rPr>
      </w:pPr>
    </w:p>
    <w:p w:rsidR="00230F05" w:rsidRPr="00824D58" w:rsidRDefault="0031558E" w:rsidP="00835DE7">
      <w:pPr>
        <w:pStyle w:val="BodyText"/>
        <w:spacing w:after="0"/>
      </w:pPr>
      <w:r w:rsidRPr="0031558E">
        <w:t>The adenocarcinoma subtype of prostate cancer accounts for around 98 percent of all occurrences.</w:t>
      </w:r>
      <w:r w:rsidR="00F24AB6" w:rsidRPr="00824D58">
        <w:t xml:space="preserve"> Adenocarcinoma starts in the cells of the epithelial glands, which responsible to form the mucus and the prostatic fluid of the sperm.</w:t>
      </w:r>
      <w:r w:rsidR="00230F05" w:rsidRPr="00824D58">
        <w:rPr>
          <w:spacing w:val="44"/>
        </w:rPr>
        <w:t xml:space="preserve"> </w:t>
      </w:r>
      <w:r w:rsidR="00F24AB6" w:rsidRPr="00824D58">
        <w:t xml:space="preserve">The most common location for adenocarcinomas is the peripheral region, which can be palpated during a digital rectal test. </w:t>
      </w:r>
      <w:r w:rsidR="00331335" w:rsidRPr="00824D58">
        <w:t xml:space="preserve">The low-risk cancer group is assigned to half of men newly diagnosed with prostate cancer. </w:t>
      </w:r>
      <w:r w:rsidR="002071B9" w:rsidRPr="00824D58">
        <w:t xml:space="preserve">Low-risk cancer, also known as indolent cancer, has a low associated mortality rate and a low risk of </w:t>
      </w:r>
      <w:r w:rsidR="00331335" w:rsidRPr="00824D58">
        <w:t>a spread of cancer  (</w:t>
      </w:r>
      <w:r w:rsidR="002071B9" w:rsidRPr="00824D58">
        <w:t>metastasis</w:t>
      </w:r>
      <w:r w:rsidR="00331335" w:rsidRPr="00824D58">
        <w:t>)</w:t>
      </w:r>
      <w:r w:rsidR="002071B9" w:rsidRPr="00824D58">
        <w:t xml:space="preserve">. </w:t>
      </w:r>
      <w:r w:rsidR="00852782" w:rsidRPr="00824D58">
        <w:t>Active surveillance (AS) is becoming more common among low-risk men who prefer it to care</w:t>
      </w:r>
      <w:r w:rsidR="00331335" w:rsidRPr="00824D58">
        <w:t xml:space="preserve">, with more than half opting for AS rather than </w:t>
      </w:r>
      <w:r w:rsidR="00852782" w:rsidRPr="00824D58">
        <w:t>therapy</w:t>
      </w:r>
      <w:r w:rsidR="00331335" w:rsidRPr="00824D58">
        <w:t xml:space="preserve">; </w:t>
      </w:r>
      <w:r w:rsidR="00395A24" w:rsidRPr="00824D58">
        <w:t>nevertheless</w:t>
      </w:r>
      <w:r w:rsidR="00331335" w:rsidRPr="00824D58">
        <w:t xml:space="preserve">, this number is </w:t>
      </w:r>
      <w:r w:rsidR="00395A24" w:rsidRPr="00824D58">
        <w:t>remain</w:t>
      </w:r>
      <w:r w:rsidR="00331335" w:rsidRPr="00824D58">
        <w:t xml:space="preserve"> small compared to the </w:t>
      </w:r>
      <w:r w:rsidR="00395A24" w:rsidRPr="00824D58">
        <w:t>numeral</w:t>
      </w:r>
      <w:r w:rsidR="00331335" w:rsidRPr="00824D58">
        <w:t xml:space="preserve"> of m</w:t>
      </w:r>
      <w:r w:rsidR="00395A24" w:rsidRPr="00824D58">
        <w:t>ale</w:t>
      </w:r>
      <w:r w:rsidR="00331335" w:rsidRPr="00824D58">
        <w:t xml:space="preserve"> who may benefit from AS treatment</w:t>
      </w:r>
      <w:r w:rsidR="002071B9" w:rsidRPr="00824D58">
        <w:t xml:space="preserve"> </w:t>
      </w:r>
      <w:r w:rsidR="00230F05" w:rsidRPr="00824D58">
        <w:t xml:space="preserve">(Fendler, W. P., </w:t>
      </w:r>
      <w:r w:rsidR="00230F05" w:rsidRPr="00824D58">
        <w:rPr>
          <w:i/>
          <w:iCs/>
        </w:rPr>
        <w:t>et al.,</w:t>
      </w:r>
      <w:r w:rsidR="00230F05" w:rsidRPr="00824D58">
        <w:t xml:space="preserve"> 2019; Kolata, G., 2016).</w:t>
      </w:r>
    </w:p>
    <w:p w:rsidR="00835DE7" w:rsidRPr="00824D58" w:rsidRDefault="00835DE7" w:rsidP="00835DE7">
      <w:pPr>
        <w:pStyle w:val="BodyText"/>
        <w:spacing w:after="0"/>
      </w:pPr>
    </w:p>
    <w:p w:rsidR="00230F05" w:rsidRPr="00824D58" w:rsidRDefault="002071B9" w:rsidP="0031558E">
      <w:pPr>
        <w:pStyle w:val="BodyText"/>
        <w:spacing w:after="0"/>
      </w:pPr>
      <w:r w:rsidRPr="00824D58">
        <w:t xml:space="preserve">The range of what is considered healthy can be affected by age and racial demographics. </w:t>
      </w:r>
      <w:r w:rsidR="00331335" w:rsidRPr="00824D58">
        <w:t xml:space="preserve">PSA levels of 0 </w:t>
      </w:r>
      <w:r w:rsidR="00395A24" w:rsidRPr="00824D58">
        <w:t>–</w:t>
      </w:r>
      <w:r w:rsidR="00331335" w:rsidRPr="00824D58">
        <w:t xml:space="preserve"> 2</w:t>
      </w:r>
      <w:r w:rsidR="00395A24" w:rsidRPr="00824D58">
        <w:t xml:space="preserve"> </w:t>
      </w:r>
      <w:r w:rsidR="00331335" w:rsidRPr="00824D58">
        <w:t>ng/m</w:t>
      </w:r>
      <w:r w:rsidR="0031558E">
        <w:t>L</w:t>
      </w:r>
      <w:r w:rsidR="00395A24" w:rsidRPr="00824D58">
        <w:t xml:space="preserve"> , 0 - 2</w:t>
      </w:r>
      <w:r w:rsidR="00331335" w:rsidRPr="00824D58">
        <w:t xml:space="preserve"> ng/m</w:t>
      </w:r>
      <w:r w:rsidR="0031558E">
        <w:t>L and</w:t>
      </w:r>
      <w:r w:rsidR="00331335" w:rsidRPr="00824D58">
        <w:t xml:space="preserve"> 0 - 2.5 ng/m</w:t>
      </w:r>
      <w:r w:rsidR="0031558E">
        <w:t>L</w:t>
      </w:r>
      <w:r w:rsidR="00331335" w:rsidRPr="00824D58">
        <w:t>, respectively, were found to be appropriate for Asian Americans, African Americans</w:t>
      </w:r>
      <w:r w:rsidR="00FC5CC1">
        <w:t>,&amp;</w:t>
      </w:r>
      <w:r w:rsidR="00331335" w:rsidRPr="00824D58">
        <w:t xml:space="preserve"> Caucasians under the age of 50.</w:t>
      </w:r>
      <w:r w:rsidRPr="00824D58">
        <w:t xml:space="preserve"> These figures are expected to rise as people get older</w:t>
      </w:r>
      <w:r w:rsidR="00FC5CC1">
        <w:t>,&amp;</w:t>
      </w:r>
      <w:r w:rsidRPr="00824D58">
        <w:t xml:space="preserve"> this is believed </w:t>
      </w:r>
      <w:r w:rsidR="00395A24" w:rsidRPr="00824D58">
        <w:t xml:space="preserve">to begin with </w:t>
      </w:r>
      <w:r w:rsidRPr="00824D58">
        <w:t xml:space="preserve">due to a natural, </w:t>
      </w:r>
      <w:r w:rsidR="00395A24" w:rsidRPr="00824D58">
        <w:t>age-associated raise in prostate size</w:t>
      </w:r>
      <w:r w:rsidRPr="00824D58">
        <w:t xml:space="preserve"> </w:t>
      </w:r>
      <w:r w:rsidR="00230F05" w:rsidRPr="00824D58">
        <w:t>(Ellsworth, P. I., 2018).</w:t>
      </w:r>
    </w:p>
    <w:p w:rsidR="00835DE7" w:rsidRPr="00824D58" w:rsidRDefault="00835DE7" w:rsidP="00835DE7">
      <w:pPr>
        <w:pStyle w:val="BodyText"/>
        <w:spacing w:after="0"/>
      </w:pPr>
    </w:p>
    <w:p w:rsidR="00230F05" w:rsidRPr="00824D58" w:rsidRDefault="00230F05" w:rsidP="00835DE7">
      <w:pPr>
        <w:pStyle w:val="Heading3"/>
        <w:numPr>
          <w:ilvl w:val="2"/>
          <w:numId w:val="2"/>
        </w:numPr>
        <w:spacing w:before="0" w:after="0"/>
        <w:ind w:left="709" w:hanging="709"/>
      </w:pPr>
      <w:bookmarkStart w:id="107" w:name="_Toc60183438"/>
      <w:r w:rsidRPr="00824D58">
        <w:t>Grading Prostate cancer Aggression</w:t>
      </w:r>
      <w:bookmarkEnd w:id="107"/>
    </w:p>
    <w:p w:rsidR="00835DE7" w:rsidRPr="00824D58" w:rsidRDefault="00835DE7" w:rsidP="00835DE7">
      <w:pPr>
        <w:spacing w:after="0"/>
      </w:pPr>
    </w:p>
    <w:p w:rsidR="00230F05" w:rsidRPr="00824D58" w:rsidRDefault="00230F05" w:rsidP="00835DE7">
      <w:pPr>
        <w:pStyle w:val="BodyText"/>
        <w:spacing w:after="0"/>
        <w:rPr>
          <w:rFonts w:eastAsiaTheme="minorHAnsi"/>
        </w:rPr>
      </w:pPr>
      <w:r w:rsidRPr="00824D58">
        <w:rPr>
          <w:rFonts w:eastAsiaTheme="minorHAnsi"/>
        </w:rPr>
        <w:t>The Gleason Scoring System was the main aggression of the prostate cancer, this clinical became the standard until 2015 for characterizing of prostate cancer aggression</w:t>
      </w:r>
      <w:r w:rsidRPr="00824D58">
        <w:rPr>
          <w:rFonts w:eastAsiaTheme="minorHAnsi"/>
          <w:b/>
          <w:bCs/>
        </w:rPr>
        <w:t xml:space="preserve"> </w:t>
      </w:r>
      <w:r w:rsidRPr="00824D58">
        <w:rPr>
          <w:rFonts w:eastAsiaTheme="minorHAnsi"/>
        </w:rPr>
        <w:t>(Gleason, D. F., 1992).</w:t>
      </w:r>
    </w:p>
    <w:p w:rsidR="00835DE7" w:rsidRPr="00824D58" w:rsidRDefault="00835DE7" w:rsidP="00835DE7">
      <w:pPr>
        <w:pStyle w:val="BodyText"/>
        <w:spacing w:after="0"/>
        <w:ind w:right="113"/>
        <w:rPr>
          <w:rFonts w:eastAsiaTheme="minorHAnsi"/>
        </w:rPr>
      </w:pPr>
    </w:p>
    <w:p w:rsidR="00230F05" w:rsidRPr="00824D58" w:rsidRDefault="00230F05" w:rsidP="00835DE7">
      <w:pPr>
        <w:pStyle w:val="BodyText"/>
        <w:spacing w:after="0"/>
        <w:ind w:right="113"/>
        <w:rPr>
          <w:rFonts w:eastAsiaTheme="minorHAnsi"/>
        </w:rPr>
      </w:pPr>
      <w:r w:rsidRPr="00824D58">
        <w:rPr>
          <w:rFonts w:eastAsiaTheme="minorHAnsi"/>
        </w:rPr>
        <w:t xml:space="preserve">The aggression of the PCa of men according the grade grouping standard, this standard grouping combines a Gleason score to isolate male to one of five groups according to the microscopic observation in the samples' tissue </w:t>
      </w:r>
      <w:r w:rsidR="0084588E" w:rsidRPr="00824D58">
        <w:rPr>
          <w:rFonts w:eastAsiaTheme="minorHAnsi"/>
        </w:rPr>
        <w:t>of the prostatic (see Figure 2.3</w:t>
      </w:r>
      <w:r w:rsidRPr="00824D58">
        <w:rPr>
          <w:rFonts w:eastAsiaTheme="minorHAnsi"/>
        </w:rPr>
        <w:t xml:space="preserve">) </w:t>
      </w:r>
      <w:r w:rsidR="003122BE" w:rsidRPr="00824D58">
        <w:rPr>
          <w:rFonts w:eastAsiaTheme="minorHAnsi"/>
        </w:rPr>
        <w:t xml:space="preserve">these samples are taken from needle biopsies or entire prostate gland sections, depending on which process is used </w:t>
      </w:r>
      <w:r w:rsidRPr="00824D58">
        <w:rPr>
          <w:rFonts w:eastAsiaTheme="minorHAnsi"/>
        </w:rPr>
        <w:t>(Gordetsky, J., &amp; Epstein, J., 2016).</w:t>
      </w:r>
    </w:p>
    <w:p w:rsidR="00835DE7" w:rsidRPr="00824D58" w:rsidRDefault="00835DE7" w:rsidP="00835DE7">
      <w:pPr>
        <w:pStyle w:val="BodyText"/>
        <w:spacing w:after="0"/>
        <w:rPr>
          <w:rFonts w:eastAsiaTheme="minorHAnsi"/>
        </w:rPr>
      </w:pPr>
    </w:p>
    <w:p w:rsidR="0084588E" w:rsidRPr="00824D58" w:rsidRDefault="00230F05" w:rsidP="0088641A">
      <w:pPr>
        <w:pStyle w:val="BodyText"/>
        <w:keepNext/>
        <w:spacing w:after="0"/>
      </w:pPr>
      <w:r w:rsidRPr="00824D58">
        <w:rPr>
          <w:noProof/>
        </w:rPr>
        <w:drawing>
          <wp:inline distT="0" distB="0" distL="0" distR="0" wp14:anchorId="0EF43608" wp14:editId="49C988CD">
            <wp:extent cx="5130920" cy="3010618"/>
            <wp:effectExtent l="19050" t="19050" r="12580" b="18332"/>
            <wp:docPr id="1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6" cstate="print">
                      <a:grayscl/>
                    </a:blip>
                    <a:stretch>
                      <a:fillRect/>
                    </a:stretch>
                  </pic:blipFill>
                  <pic:spPr>
                    <a:xfrm>
                      <a:off x="0" y="0"/>
                      <a:ext cx="5137262" cy="3014339"/>
                    </a:xfrm>
                    <a:prstGeom prst="rect">
                      <a:avLst/>
                    </a:prstGeom>
                    <a:ln w="3175">
                      <a:solidFill>
                        <a:schemeClr val="tx1"/>
                      </a:solidFill>
                    </a:ln>
                  </pic:spPr>
                </pic:pic>
              </a:graphicData>
            </a:graphic>
          </wp:inline>
        </w:drawing>
      </w:r>
    </w:p>
    <w:p w:rsidR="00230F05" w:rsidRPr="00824D58" w:rsidRDefault="0084588E" w:rsidP="00835DE7">
      <w:pPr>
        <w:pStyle w:val="Caption"/>
        <w:spacing w:after="0"/>
        <w:rPr>
          <w:noProof/>
        </w:rPr>
      </w:pPr>
      <w:bookmarkStart w:id="108" w:name="_Toc60183478"/>
      <w:r w:rsidRPr="00824D58">
        <w:t>Figure 2.</w:t>
      </w:r>
      <w:fldSimple w:instr=" SEQ Figure_2. \* ARABIC ">
        <w:r w:rsidR="00713623">
          <w:rPr>
            <w:noProof/>
          </w:rPr>
          <w:t>3</w:t>
        </w:r>
      </w:fldSimple>
      <w:r w:rsidRPr="00824D58">
        <w:rPr>
          <w:noProof/>
        </w:rPr>
        <w:t>. Gleason grades characteristics System for tissue and Cellular of 1-5 from left to right (1 is the lowest classification and 5 is the highest grade) (Epstein J. I.,</w:t>
      </w:r>
      <w:r w:rsidRPr="00824D58">
        <w:rPr>
          <w:i/>
          <w:iCs/>
          <w:noProof/>
        </w:rPr>
        <w:t xml:space="preserve"> et al.,</w:t>
      </w:r>
      <w:r w:rsidRPr="00824D58">
        <w:rPr>
          <w:noProof/>
        </w:rPr>
        <w:t xml:space="preserve"> 2005)</w:t>
      </w:r>
      <w:bookmarkEnd w:id="108"/>
    </w:p>
    <w:p w:rsidR="00835DE7" w:rsidRPr="00824D58" w:rsidRDefault="00835DE7" w:rsidP="00835DE7">
      <w:pPr>
        <w:spacing w:after="0"/>
      </w:pPr>
    </w:p>
    <w:p w:rsidR="00230F05" w:rsidRPr="00824D58" w:rsidRDefault="00AE58F1" w:rsidP="00835DE7">
      <w:pPr>
        <w:pStyle w:val="BodyText"/>
        <w:spacing w:after="0"/>
      </w:pPr>
      <w:r w:rsidRPr="00824D58">
        <w:t>Grades 1 and 2 on the Gleason scale are the lowest levels of cancer. Gleason scores of 2–4 frequently indicate a misclassification of more aggressive lesions</w:t>
      </w:r>
      <w:r w:rsidR="00230F05" w:rsidRPr="00824D58">
        <w:t xml:space="preserve"> (Epstein, J. I., 2000). </w:t>
      </w:r>
      <w:r w:rsidR="00656528" w:rsidRPr="00824D58">
        <w:t xml:space="preserve">Previous research found that after radical prostatectomy, 55 percent of needle biopsies with Gleason scores of 2-4 revealed extra-prostatic extensions </w:t>
      </w:r>
      <w:r w:rsidR="00230F05" w:rsidRPr="00824D58">
        <w:t xml:space="preserve">(Steinberg, D. M., </w:t>
      </w:r>
      <w:r w:rsidR="00230F05" w:rsidRPr="00824D58">
        <w:rPr>
          <w:i/>
          <w:iCs/>
        </w:rPr>
        <w:t>et al.,</w:t>
      </w:r>
      <w:r w:rsidR="00230F05" w:rsidRPr="00824D58">
        <w:t xml:space="preserve"> 1997). </w:t>
      </w:r>
      <w:r w:rsidR="00656528" w:rsidRPr="00824D58">
        <w:t xml:space="preserve">Other studies have linked a Gleason score 2-4 diagnosis with a </w:t>
      </w:r>
      <w:r w:rsidR="00392359" w:rsidRPr="00824D58">
        <w:t xml:space="preserve">so low hazard of patient </w:t>
      </w:r>
      <w:r w:rsidR="00656528" w:rsidRPr="00824D58">
        <w:t xml:space="preserve">mortality </w:t>
      </w:r>
      <w:r w:rsidR="00392359" w:rsidRPr="00824D58">
        <w:t>through</w:t>
      </w:r>
      <w:r w:rsidR="00656528" w:rsidRPr="00824D58">
        <w:t xml:space="preserve"> </w:t>
      </w:r>
      <w:r w:rsidR="00541D1C" w:rsidRPr="00824D58">
        <w:t>fifteen</w:t>
      </w:r>
      <w:r w:rsidR="00656528" w:rsidRPr="00824D58">
        <w:t xml:space="preserve"> years </w:t>
      </w:r>
      <w:r w:rsidR="00230F05" w:rsidRPr="00824D58">
        <w:t xml:space="preserve">(Albertsen, P. C., </w:t>
      </w:r>
      <w:r w:rsidR="00230F05" w:rsidRPr="00824D58">
        <w:rPr>
          <w:i/>
          <w:iCs/>
        </w:rPr>
        <w:t>et al.,</w:t>
      </w:r>
      <w:r w:rsidR="00230F05" w:rsidRPr="00824D58">
        <w:t xml:space="preserve"> 1998; Allsbrook Jr, </w:t>
      </w:r>
      <w:r w:rsidR="00230F05" w:rsidRPr="00824D58">
        <w:rPr>
          <w:i/>
          <w:iCs/>
        </w:rPr>
        <w:t>et al.,</w:t>
      </w:r>
      <w:r w:rsidR="00230F05" w:rsidRPr="00824D58">
        <w:t xml:space="preserve"> 2001).</w:t>
      </w:r>
    </w:p>
    <w:p w:rsidR="00835DE7" w:rsidRPr="00824D58" w:rsidRDefault="00835DE7" w:rsidP="00835DE7">
      <w:pPr>
        <w:pStyle w:val="BodyText"/>
        <w:spacing w:after="0"/>
      </w:pPr>
    </w:p>
    <w:p w:rsidR="00230F05" w:rsidRPr="00824D58" w:rsidRDefault="00656528" w:rsidP="00835DE7">
      <w:pPr>
        <w:pStyle w:val="BodyText"/>
        <w:spacing w:after="0"/>
      </w:pPr>
      <w:r w:rsidRPr="00824D58">
        <w:t>According to the literature, patients with a Gleason score of 5 or 6 pose little risk</w:t>
      </w:r>
      <w:r w:rsidR="00230F05" w:rsidRPr="00824D58">
        <w:t xml:space="preserve"> (Epstein, J. I., 2000). </w:t>
      </w:r>
      <w:r w:rsidR="00044837" w:rsidRPr="00824D58">
        <w:t>The most prevalent Gleason type found on biopsy substance is Gleason grade 3</w:t>
      </w:r>
      <w:r w:rsidR="00713085" w:rsidRPr="00824D58">
        <w:t xml:space="preserve">, which is a reliable determination. (Category 3 in Figure 2.3), Grade 3 gland cells, for example, still have a distinct boundary. Poorly shaped or fused gland cells are known as Gleason grade 4 </w:t>
      </w:r>
      <w:r w:rsidR="00230F05" w:rsidRPr="00824D58">
        <w:t>(Gordetsky, J., &amp; Epstein, J., 2016).</w:t>
      </w:r>
    </w:p>
    <w:p w:rsidR="00835DE7" w:rsidRPr="00824D58" w:rsidRDefault="00835DE7" w:rsidP="00835DE7">
      <w:pPr>
        <w:pStyle w:val="BodyText"/>
        <w:spacing w:after="0"/>
      </w:pPr>
    </w:p>
    <w:p w:rsidR="00230F05" w:rsidRPr="00824D58" w:rsidRDefault="00A133C2" w:rsidP="00835DE7">
      <w:pPr>
        <w:pStyle w:val="BodyText"/>
        <w:spacing w:after="0"/>
        <w:ind w:right="113"/>
      </w:pPr>
      <w:r w:rsidRPr="00824D58">
        <w:t xml:space="preserve">The edges </w:t>
      </w:r>
      <w:r w:rsidR="000F374D" w:rsidRPr="00824D58">
        <w:t>of prostate cells are irregular</w:t>
      </w:r>
      <w:r w:rsidRPr="00824D58">
        <w:t xml:space="preserve"> and the lumen is unrecognizable (Figure 1.5. </w:t>
      </w:r>
      <w:r w:rsidR="00B83330" w:rsidRPr="00824D58">
        <w:t>Cat.</w:t>
      </w:r>
      <w:r w:rsidRPr="00824D58">
        <w:t xml:space="preserve"> 4). </w:t>
      </w:r>
      <w:r w:rsidR="004F7243" w:rsidRPr="00824D58">
        <w:t>Gleason grade 4 cells are commonly integrate jointly, without stroma to distinguish them.</w:t>
      </w:r>
      <w:r w:rsidR="00541D1C" w:rsidRPr="00824D58">
        <w:t xml:space="preserve"> </w:t>
      </w:r>
      <w:r w:rsidR="00DB1A61" w:rsidRPr="00824D58">
        <w:t xml:space="preserve">The highest (most aggressive) grade of cancer that the Gleason system can grant is Gleason grade 5. </w:t>
      </w:r>
      <w:r w:rsidR="00541D1C" w:rsidRPr="00824D58">
        <w:t xml:space="preserve">Gleason grade 5 tissue has minimal gland development but </w:t>
      </w:r>
      <w:r w:rsidR="004F7243" w:rsidRPr="00824D58">
        <w:t xml:space="preserve">does not look like common prostate tissue. </w:t>
      </w:r>
      <w:r w:rsidR="00DB1A61" w:rsidRPr="00824D58">
        <w:t>Individual cells, planar sheets of tumor</w:t>
      </w:r>
      <w:r w:rsidR="00FC5CC1">
        <w:t>,&amp;</w:t>
      </w:r>
      <w:r w:rsidR="00DB1A61" w:rsidRPr="00824D58">
        <w:t xml:space="preserve"> long cords of cells are all common GG5 patterns </w:t>
      </w:r>
      <w:r w:rsidR="00230F05" w:rsidRPr="00824D58">
        <w:rPr>
          <w:b/>
          <w:bCs/>
        </w:rPr>
        <w:t xml:space="preserve"> </w:t>
      </w:r>
      <w:r w:rsidR="00230F05" w:rsidRPr="00824D58">
        <w:t xml:space="preserve">(Kweldam, C. F., </w:t>
      </w:r>
      <w:r w:rsidR="00230F05" w:rsidRPr="00824D58">
        <w:rPr>
          <w:i/>
          <w:iCs/>
        </w:rPr>
        <w:t>et al.,</w:t>
      </w:r>
      <w:r w:rsidR="00230F05" w:rsidRPr="00824D58">
        <w:t xml:space="preserve"> 2015; Epstein, J. I., 2010).</w:t>
      </w:r>
    </w:p>
    <w:p w:rsidR="00835DE7" w:rsidRPr="00824D58" w:rsidRDefault="00835DE7" w:rsidP="00835DE7">
      <w:pPr>
        <w:pStyle w:val="BodyText"/>
        <w:spacing w:after="0"/>
        <w:ind w:right="113"/>
        <w:rPr>
          <w:b/>
          <w:bCs/>
          <w:spacing w:val="47"/>
        </w:rPr>
      </w:pPr>
    </w:p>
    <w:p w:rsidR="00230F05" w:rsidRPr="00824D58" w:rsidRDefault="00541D1C" w:rsidP="00835DE7">
      <w:pPr>
        <w:pStyle w:val="BodyText"/>
        <w:spacing w:after="0"/>
        <w:ind w:right="113"/>
      </w:pPr>
      <w:r w:rsidRPr="00824D58">
        <w:t xml:space="preserve">Grade 5 Gleason cells are often under-graded. </w:t>
      </w:r>
      <w:r w:rsidR="00F77640" w:rsidRPr="00824D58">
        <w:t xml:space="preserve">This aspect of Figure 1.5 is not shown the BPH and atypical small acinar proliferation (ASAP) are two "precancerous" diseases of the prostate, as are prostatic intraepithelial neoplasia (PIN) and proliferative inflammatory atrophy (PIA) </w:t>
      </w:r>
      <w:r w:rsidR="00230F05" w:rsidRPr="00824D58">
        <w:t>(</w:t>
      </w:r>
      <w:r w:rsidR="00230F05" w:rsidRPr="00824D58">
        <w:rPr>
          <w:shd w:val="clear" w:color="auto" w:fill="FFFFFF"/>
        </w:rPr>
        <w:t>Gasparrini, S.</w:t>
      </w:r>
      <w:r w:rsidR="00230F05" w:rsidRPr="00824D58">
        <w:t xml:space="preserve">, </w:t>
      </w:r>
      <w:r w:rsidR="00230F05" w:rsidRPr="00824D58">
        <w:rPr>
          <w:i/>
          <w:iCs/>
        </w:rPr>
        <w:t>et al.,</w:t>
      </w:r>
      <w:r w:rsidR="00230F05" w:rsidRPr="00824D58">
        <w:t xml:space="preserve"> 2017</w:t>
      </w:r>
      <w:r w:rsidR="00230F05" w:rsidRPr="00824D58">
        <w:rPr>
          <w:shd w:val="clear" w:color="auto" w:fill="FFFFFF"/>
        </w:rPr>
        <w:t>; Bechis, S. K.,</w:t>
      </w:r>
      <w:r w:rsidR="00230F05" w:rsidRPr="00824D58">
        <w:t xml:space="preserve"> </w:t>
      </w:r>
      <w:r w:rsidR="00230F05" w:rsidRPr="00824D58">
        <w:rPr>
          <w:i/>
          <w:iCs/>
        </w:rPr>
        <w:t>et al.,</w:t>
      </w:r>
      <w:r w:rsidR="00230F05" w:rsidRPr="00824D58">
        <w:t xml:space="preserve"> 2014).</w:t>
      </w:r>
    </w:p>
    <w:p w:rsidR="00835DE7" w:rsidRPr="00824D58" w:rsidRDefault="00835DE7" w:rsidP="00835DE7">
      <w:pPr>
        <w:pStyle w:val="BodyText"/>
        <w:spacing w:after="0"/>
        <w:ind w:right="113"/>
        <w:rPr>
          <w:spacing w:val="-4"/>
        </w:rPr>
      </w:pPr>
    </w:p>
    <w:p w:rsidR="00230F05" w:rsidRPr="00824D58" w:rsidRDefault="00230F05" w:rsidP="00835DE7">
      <w:pPr>
        <w:pStyle w:val="Heading3"/>
        <w:numPr>
          <w:ilvl w:val="2"/>
          <w:numId w:val="2"/>
        </w:numPr>
        <w:spacing w:before="0" w:after="0"/>
        <w:ind w:left="567" w:hanging="567"/>
      </w:pPr>
      <w:bookmarkStart w:id="109" w:name="_Toc60183439"/>
      <w:r w:rsidRPr="00824D58">
        <w:t>Prostate Cancer Diagnosis</w:t>
      </w:r>
      <w:bookmarkEnd w:id="109"/>
    </w:p>
    <w:p w:rsidR="00835DE7" w:rsidRPr="00824D58" w:rsidRDefault="00835DE7" w:rsidP="00835DE7">
      <w:pPr>
        <w:spacing w:after="0"/>
      </w:pPr>
    </w:p>
    <w:p w:rsidR="00230F05" w:rsidRPr="00824D58" w:rsidRDefault="00230F05" w:rsidP="00835DE7">
      <w:pPr>
        <w:spacing w:after="0"/>
      </w:pPr>
      <w:r w:rsidRPr="00824D58">
        <w:t xml:space="preserve">Asymptomatic male can be classified according to The National Comprehensive Cancer Network’s (NCCN) as having suspected cancer in the prostate after an </w:t>
      </w:r>
      <w:r w:rsidR="0055007B" w:rsidRPr="00824D58">
        <w:t>unusual</w:t>
      </w:r>
      <w:r w:rsidRPr="00824D58">
        <w:t xml:space="preserve"> digital rectal exam (DRE). </w:t>
      </w:r>
      <w:r w:rsidR="00C84AC6" w:rsidRPr="00824D58">
        <w:rPr>
          <w:spacing w:val="2"/>
        </w:rPr>
        <w:t>A digital rectal examination involves palpating the prostate's peripheral zone to determine its expansion. DRE screening was first used to monitor the progression of PCa patient staging in the early 1900s</w:t>
      </w:r>
      <w:r w:rsidR="00FC5CC1">
        <w:rPr>
          <w:spacing w:val="2"/>
        </w:rPr>
        <w:t>,&amp;</w:t>
      </w:r>
      <w:r w:rsidR="00C84AC6" w:rsidRPr="00824D58">
        <w:rPr>
          <w:spacing w:val="2"/>
        </w:rPr>
        <w:t xml:space="preserve"> it was later prescribed as an annual male test for men over the age of 50 </w:t>
      </w:r>
      <w:r w:rsidRPr="00824D58">
        <w:rPr>
          <w:spacing w:val="2"/>
        </w:rPr>
        <w:t>(</w:t>
      </w:r>
      <w:r w:rsidRPr="00824D58">
        <w:rPr>
          <w:shd w:val="clear" w:color="auto" w:fill="FFFFFF"/>
        </w:rPr>
        <w:t>Kash, D. P.</w:t>
      </w:r>
      <w:r w:rsidR="00D1457F" w:rsidRPr="00824D58">
        <w:rPr>
          <w:shd w:val="clear" w:color="auto" w:fill="FFFFFF"/>
        </w:rPr>
        <w:t>,</w:t>
      </w:r>
      <w:r w:rsidRPr="00824D58">
        <w:rPr>
          <w:shd w:val="clear" w:color="auto" w:fill="FFFFFF"/>
        </w:rPr>
        <w:t xml:space="preserve"> </w:t>
      </w:r>
      <w:r w:rsidRPr="00824D58">
        <w:rPr>
          <w:i/>
          <w:iCs/>
          <w:shd w:val="clear" w:color="auto" w:fill="FFFFFF"/>
        </w:rPr>
        <w:t>et al.,</w:t>
      </w:r>
      <w:r w:rsidRPr="00824D58">
        <w:rPr>
          <w:shd w:val="clear" w:color="auto" w:fill="FFFFFF"/>
        </w:rPr>
        <w:t xml:space="preserve"> 2014)</w:t>
      </w:r>
      <w:r w:rsidRPr="00824D58">
        <w:t>.</w:t>
      </w:r>
    </w:p>
    <w:p w:rsidR="00835DE7" w:rsidRPr="00824D58" w:rsidRDefault="00835DE7" w:rsidP="00835DE7">
      <w:pPr>
        <w:spacing w:after="0"/>
        <w:rPr>
          <w:spacing w:val="-6"/>
        </w:rPr>
      </w:pPr>
    </w:p>
    <w:p w:rsidR="00230F05" w:rsidRPr="00824D58" w:rsidRDefault="00B3507C" w:rsidP="0088641A">
      <w:pPr>
        <w:spacing w:after="0"/>
        <w:rPr>
          <w:spacing w:val="10"/>
        </w:rPr>
      </w:pPr>
      <w:r w:rsidRPr="00824D58">
        <w:t>However, the normal test is inconvenient to the male and rely on an experience</w:t>
      </w:r>
      <w:r w:rsidR="00230F05" w:rsidRPr="00824D58">
        <w:t xml:space="preserve">, </w:t>
      </w:r>
      <w:r w:rsidR="006F34A4" w:rsidRPr="00824D58">
        <w:t xml:space="preserve">skill-based on evaluation via the doctor around the gland properties </w:t>
      </w:r>
      <w:r w:rsidR="00230F05" w:rsidRPr="00824D58">
        <w:t>such as the stiffness and volume. Presently, DRE issued</w:t>
      </w:r>
      <w:r w:rsidR="00230F05" w:rsidRPr="00824D58">
        <w:rPr>
          <w:spacing w:val="10"/>
        </w:rPr>
        <w:t xml:space="preserve"> to detect with other tools such as PSA blood test in conjunction for prostate cancer diagnostic, </w:t>
      </w:r>
      <w:r w:rsidR="00230F05" w:rsidRPr="00824D58">
        <w:t>approximately, the PSA levels about 4 ng/ml</w:t>
      </w:r>
      <w:r w:rsidR="00230F05" w:rsidRPr="00824D58">
        <w:rPr>
          <w:spacing w:val="10"/>
        </w:rPr>
        <w:t xml:space="preserve"> were found in the 33% of male </w:t>
      </w:r>
      <w:r w:rsidR="00230F05" w:rsidRPr="00824D58">
        <w:t>to have biopsy detected malignancy</w:t>
      </w:r>
      <w:r w:rsidR="00230F05" w:rsidRPr="00824D58">
        <w:rPr>
          <w:b/>
          <w:bCs/>
        </w:rPr>
        <w:t xml:space="preserve"> </w:t>
      </w:r>
      <w:r w:rsidR="00230F05" w:rsidRPr="00824D58">
        <w:t>(</w:t>
      </w:r>
      <w:r w:rsidR="00230F05" w:rsidRPr="00824D58">
        <w:rPr>
          <w:shd w:val="clear" w:color="auto" w:fill="FFFFFF"/>
        </w:rPr>
        <w:t xml:space="preserve">Catalona, W. J., </w:t>
      </w:r>
      <w:r w:rsidR="00230F05" w:rsidRPr="00824D58">
        <w:rPr>
          <w:i/>
          <w:iCs/>
          <w:shd w:val="clear" w:color="auto" w:fill="FFFFFF"/>
        </w:rPr>
        <w:t>et al.</w:t>
      </w:r>
      <w:r w:rsidR="00230F05" w:rsidRPr="00824D58">
        <w:rPr>
          <w:shd w:val="clear" w:color="auto" w:fill="FFFFFF"/>
        </w:rPr>
        <w:t xml:space="preserve"> 1991)</w:t>
      </w:r>
      <w:r w:rsidR="00230F05" w:rsidRPr="00824D58">
        <w:rPr>
          <w:spacing w:val="10"/>
        </w:rPr>
        <w:t>.</w:t>
      </w:r>
    </w:p>
    <w:p w:rsidR="00835DE7" w:rsidRPr="00824D58" w:rsidRDefault="00835DE7" w:rsidP="00835DE7">
      <w:pPr>
        <w:spacing w:after="0"/>
        <w:rPr>
          <w:b/>
          <w:bCs/>
          <w:spacing w:val="10"/>
        </w:rPr>
      </w:pPr>
    </w:p>
    <w:p w:rsidR="00230F05" w:rsidRPr="00824D58" w:rsidRDefault="0031558E" w:rsidP="00835DE7">
      <w:pPr>
        <w:pStyle w:val="BodyText"/>
        <w:spacing w:after="0"/>
        <w:ind w:right="113"/>
      </w:pPr>
      <w:r w:rsidRPr="0031558E">
        <w:t>A 2D transrectal ultra-sound (TRUS) guided biopsy is another diagnostic method utilized in the clinic for patients with a suspected DRE and elevated blood PSA levels.</w:t>
      </w:r>
      <w:r w:rsidR="003F4DD2" w:rsidRPr="00824D58">
        <w:t xml:space="preserve"> The clinical standard for diagnosing prostate cancer is a TRUS-guided biopsy.</w:t>
      </w:r>
      <w:r w:rsidR="00772FE7" w:rsidRPr="00824D58">
        <w:t xml:space="preserve"> This procedure involves inserting 12 needles into the prostate gland along </w:t>
      </w:r>
      <w:r w:rsidR="00D03A8A" w:rsidRPr="00824D58">
        <w:t>pathways</w:t>
      </w:r>
      <w:r w:rsidR="00772FE7" w:rsidRPr="00824D58">
        <w:t xml:space="preserve"> led by an ultra</w:t>
      </w:r>
      <w:r w:rsidR="00D03A8A" w:rsidRPr="00824D58">
        <w:t>-</w:t>
      </w:r>
      <w:r w:rsidR="00772FE7" w:rsidRPr="00824D58">
        <w:t>sound probe. Tissue</w:t>
      </w:r>
      <w:r w:rsidR="00D03A8A" w:rsidRPr="00824D58">
        <w:t xml:space="preserve"> piths</w:t>
      </w:r>
      <w:r w:rsidR="00772FE7" w:rsidRPr="00824D58">
        <w:t xml:space="preserve"> are extracted using these needles, which are then pathologically tested for Gleason grade</w:t>
      </w:r>
      <w:r w:rsidR="00230F05" w:rsidRPr="00824D58">
        <w:rPr>
          <w:b/>
          <w:bCs/>
        </w:rPr>
        <w:t xml:space="preserve"> </w:t>
      </w:r>
      <w:r w:rsidR="00230F05" w:rsidRPr="00824D58">
        <w:t xml:space="preserve">(Gleason, D. F., 1966). </w:t>
      </w:r>
    </w:p>
    <w:p w:rsidR="00835DE7" w:rsidRPr="00824D58" w:rsidRDefault="00835DE7" w:rsidP="00835DE7">
      <w:pPr>
        <w:pStyle w:val="BodyText"/>
        <w:spacing w:after="0"/>
        <w:ind w:right="113"/>
      </w:pPr>
    </w:p>
    <w:p w:rsidR="00230F05" w:rsidRPr="00824D58" w:rsidRDefault="00037B25" w:rsidP="00835DE7">
      <w:pPr>
        <w:pStyle w:val="BodyText"/>
        <w:spacing w:after="0"/>
      </w:pPr>
      <w:r w:rsidRPr="00037B25">
        <w:t>According to the American Joint Committee on Cancer (AJCC), prostate cancer may be staged using the TNM classification system. The T-category refers to the tumor inside the prostate gland, the N-category to the status of any surrounding lymph nodes</w:t>
      </w:r>
      <w:r w:rsidR="00FC5CC1">
        <w:t>,&amp;</w:t>
      </w:r>
      <w:r w:rsidRPr="00037B25">
        <w:t xml:space="preserve"> the M-category to any metastases to other regions of the body. Metastases are most often seen in the bone, lymph nodes, lungs</w:t>
      </w:r>
      <w:r w:rsidR="00FC5CC1">
        <w:t>,&amp;</w:t>
      </w:r>
      <w:r w:rsidRPr="00037B25">
        <w:t xml:space="preserve"> liver. The para aortic, predominant iliac, inguinal area, supraclavicular fossa, scalene muscles</w:t>
      </w:r>
      <w:r w:rsidR="00FC5CC1">
        <w:t>,&amp;</w:t>
      </w:r>
      <w:r w:rsidRPr="00037B25">
        <w:t xml:space="preserve"> cervical lymph nodes are the mos</w:t>
      </w:r>
      <w:r w:rsidR="002832E0">
        <w:t xml:space="preserve">t often metastasized locations </w:t>
      </w:r>
      <w:r w:rsidR="00230F05" w:rsidRPr="00824D58">
        <w:t xml:space="preserve">(Fendler, W. P., </w:t>
      </w:r>
      <w:r w:rsidR="00230F05" w:rsidRPr="00824D58">
        <w:rPr>
          <w:i/>
          <w:iCs/>
        </w:rPr>
        <w:t>et al</w:t>
      </w:r>
      <w:r w:rsidR="00292C29" w:rsidRPr="00824D58">
        <w:rPr>
          <w:i/>
          <w:iCs/>
        </w:rPr>
        <w:t>.,</w:t>
      </w:r>
      <w:r w:rsidR="00230F05" w:rsidRPr="00824D58">
        <w:t xml:space="preserve"> 2019).</w:t>
      </w:r>
    </w:p>
    <w:p w:rsidR="00835DE7" w:rsidRPr="00824D58" w:rsidRDefault="00835DE7" w:rsidP="00835DE7">
      <w:pPr>
        <w:pStyle w:val="BodyText"/>
        <w:spacing w:after="0"/>
      </w:pPr>
    </w:p>
    <w:p w:rsidR="00230F05" w:rsidRPr="00824D58" w:rsidRDefault="00230F05" w:rsidP="00835DE7">
      <w:pPr>
        <w:pStyle w:val="Heading3"/>
        <w:numPr>
          <w:ilvl w:val="2"/>
          <w:numId w:val="2"/>
        </w:numPr>
        <w:spacing w:before="0" w:after="0"/>
        <w:ind w:left="709" w:hanging="709"/>
      </w:pPr>
      <w:bookmarkStart w:id="110" w:name="_Toc60183440"/>
      <w:r w:rsidRPr="00824D58">
        <w:t>Prostate Cancer Treatment and Overtreatment</w:t>
      </w:r>
      <w:bookmarkEnd w:id="110"/>
    </w:p>
    <w:p w:rsidR="00835DE7" w:rsidRPr="00824D58" w:rsidRDefault="00835DE7" w:rsidP="00835DE7">
      <w:pPr>
        <w:spacing w:after="0"/>
      </w:pPr>
    </w:p>
    <w:p w:rsidR="00230F05" w:rsidRPr="00824D58" w:rsidRDefault="00230F05" w:rsidP="00835DE7">
      <w:pPr>
        <w:pStyle w:val="BodyText"/>
        <w:spacing w:after="0"/>
        <w:ind w:right="113"/>
      </w:pPr>
      <w:r w:rsidRPr="00824D58">
        <w:t xml:space="preserve">Many treatment selections are offered for males suffered with prostate cancer, as </w:t>
      </w:r>
      <w:r w:rsidR="008E496A" w:rsidRPr="00824D58">
        <w:t xml:space="preserve">male patients must choose between aggressive monitoring (AS) and more invasive medical procedures right away. </w:t>
      </w:r>
      <w:r w:rsidR="00C730EF" w:rsidRPr="00824D58">
        <w:t xml:space="preserve">Active monitoring is a form of observation that helps patients to postpone or even stop treatment entirely. This is accomplished without jeopardizing the patient's cancer-specific long-term survival. </w:t>
      </w:r>
      <w:r w:rsidRPr="00824D58">
        <w:t>(</w:t>
      </w:r>
      <w:r w:rsidRPr="00824D58">
        <w:rPr>
          <w:shd w:val="clear" w:color="auto" w:fill="FFFFFF"/>
        </w:rPr>
        <w:t>Thomsen, F. B., 2014; Parker, C., 2003)</w:t>
      </w:r>
      <w:r w:rsidRPr="00824D58">
        <w:t>.</w:t>
      </w:r>
      <w:r w:rsidRPr="00824D58">
        <w:rPr>
          <w:b/>
          <w:bCs/>
          <w:spacing w:val="26"/>
        </w:rPr>
        <w:t xml:space="preserve"> </w:t>
      </w:r>
      <w:r w:rsidR="008E496A" w:rsidRPr="00824D58">
        <w:t>For PSA blood tests and an annual DRE, men can see their doctor twice a year (every six months).</w:t>
      </w:r>
      <w:r w:rsidR="00404F5C" w:rsidRPr="00824D58">
        <w:t xml:space="preserve"> Additionally, a biopsy is performed on these illnesses males once a year to aid in determining the stage of the lesions </w:t>
      </w:r>
      <w:r w:rsidRPr="00824D58">
        <w:rPr>
          <w:shd w:val="clear" w:color="auto" w:fill="FFFFFF"/>
        </w:rPr>
        <w:t>(Parker, C., 2003</w:t>
      </w:r>
      <w:r w:rsidRPr="00824D58">
        <w:t xml:space="preserve">; </w:t>
      </w:r>
      <w:r w:rsidRPr="00824D58">
        <w:rPr>
          <w:shd w:val="clear" w:color="auto" w:fill="FFFFFF"/>
        </w:rPr>
        <w:t xml:space="preserve">Sanyal, C., </w:t>
      </w:r>
      <w:r w:rsidRPr="00824D58">
        <w:rPr>
          <w:i/>
          <w:iCs/>
          <w:shd w:val="clear" w:color="auto" w:fill="FFFFFF"/>
        </w:rPr>
        <w:t>et al.,</w:t>
      </w:r>
      <w:r w:rsidRPr="00824D58">
        <w:rPr>
          <w:shd w:val="clear" w:color="auto" w:fill="FFFFFF"/>
        </w:rPr>
        <w:t xml:space="preserve"> 2016)</w:t>
      </w:r>
      <w:r w:rsidRPr="00824D58">
        <w:t>.</w:t>
      </w:r>
    </w:p>
    <w:p w:rsidR="00835DE7" w:rsidRPr="00824D58" w:rsidRDefault="00835DE7" w:rsidP="00835DE7">
      <w:pPr>
        <w:pStyle w:val="BodyText"/>
        <w:spacing w:after="0"/>
        <w:ind w:right="113"/>
      </w:pPr>
    </w:p>
    <w:p w:rsidR="00230F05" w:rsidRPr="00824D58" w:rsidRDefault="00230F05" w:rsidP="00835DE7">
      <w:pPr>
        <w:spacing w:after="0"/>
        <w:rPr>
          <w:shd w:val="clear" w:color="auto" w:fill="FFFFFF"/>
        </w:rPr>
      </w:pPr>
      <w:r w:rsidRPr="00824D58">
        <w:rPr>
          <w:rFonts w:eastAsia="Times New Roman"/>
        </w:rPr>
        <w:t xml:space="preserve">Because of the society idea that all kinds of cancer are lethal and must process, there is a big psychological load on the patients whom selecting </w:t>
      </w:r>
      <w:r w:rsidR="00D262BE" w:rsidRPr="00824D58">
        <w:rPr>
          <w:rFonts w:eastAsia="Times New Roman"/>
        </w:rPr>
        <w:t>active observation through radical therapy,</w:t>
      </w:r>
      <w:r w:rsidRPr="00824D58">
        <w:rPr>
          <w:rFonts w:eastAsia="Times New Roman"/>
        </w:rPr>
        <w:t xml:space="preserve"> </w:t>
      </w:r>
      <w:r w:rsidR="00D262BE" w:rsidRPr="00824D58">
        <w:rPr>
          <w:rFonts w:eastAsia="Times New Roman"/>
        </w:rPr>
        <w:t>t</w:t>
      </w:r>
      <w:r w:rsidR="008E496A" w:rsidRPr="00824D58">
        <w:rPr>
          <w:rFonts w:eastAsia="Times New Roman"/>
        </w:rPr>
        <w:t xml:space="preserve">his </w:t>
      </w:r>
      <w:r w:rsidR="00D262BE" w:rsidRPr="00824D58">
        <w:rPr>
          <w:rFonts w:eastAsia="Times New Roman"/>
        </w:rPr>
        <w:t>gives rise</w:t>
      </w:r>
      <w:r w:rsidR="008E496A" w:rsidRPr="00824D58">
        <w:rPr>
          <w:rFonts w:eastAsia="Times New Roman"/>
        </w:rPr>
        <w:t xml:space="preserve"> to a muddled decision-making process for both physicians and patients over the final treatment choice for each patient's cancer, such as radical prostatectomy or brachytherapy</w:t>
      </w:r>
      <w:r w:rsidRPr="00824D58">
        <w:rPr>
          <w:rFonts w:eastAsia="Times New Roman"/>
        </w:rPr>
        <w:t xml:space="preserve"> (</w:t>
      </w:r>
      <w:r w:rsidRPr="00824D58">
        <w:rPr>
          <w:shd w:val="clear" w:color="auto" w:fill="FFFFFF"/>
        </w:rPr>
        <w:t>Yao, S. L., &amp; Lu-Yao, G., 2002; Li, Y., Yao, D., &amp; Chen, W., 2005, July)</w:t>
      </w:r>
    </w:p>
    <w:p w:rsidR="00835DE7" w:rsidRPr="00824D58" w:rsidRDefault="00835DE7" w:rsidP="00835DE7">
      <w:pPr>
        <w:spacing w:after="0"/>
        <w:rPr>
          <w:rFonts w:eastAsia="Times New Roman"/>
        </w:rPr>
      </w:pPr>
    </w:p>
    <w:p w:rsidR="00230F05" w:rsidRPr="00824D58" w:rsidRDefault="00230F05" w:rsidP="00835DE7">
      <w:pPr>
        <w:pStyle w:val="Heading2"/>
        <w:numPr>
          <w:ilvl w:val="1"/>
          <w:numId w:val="2"/>
        </w:numPr>
        <w:spacing w:before="0"/>
        <w:ind w:left="426" w:hanging="426"/>
      </w:pPr>
      <w:bookmarkStart w:id="111" w:name="_Toc60183441"/>
      <w:r w:rsidRPr="00824D58">
        <w:t>Hepcidin</w:t>
      </w:r>
      <w:bookmarkEnd w:id="111"/>
    </w:p>
    <w:p w:rsidR="00835DE7" w:rsidRPr="00824D58" w:rsidRDefault="00835DE7" w:rsidP="00835DE7">
      <w:pPr>
        <w:spacing w:after="0"/>
      </w:pPr>
    </w:p>
    <w:p w:rsidR="00230F05" w:rsidRPr="00824D58" w:rsidRDefault="00230F05" w:rsidP="00835DE7">
      <w:pPr>
        <w:pStyle w:val="Heading3"/>
        <w:numPr>
          <w:ilvl w:val="2"/>
          <w:numId w:val="2"/>
        </w:numPr>
        <w:spacing w:before="0" w:after="0"/>
        <w:ind w:left="567" w:hanging="567"/>
      </w:pPr>
      <w:bookmarkStart w:id="112" w:name="_Toc60183442"/>
      <w:r w:rsidRPr="00824D58">
        <w:t>Discover and Role</w:t>
      </w:r>
      <w:bookmarkEnd w:id="112"/>
    </w:p>
    <w:p w:rsidR="00835DE7" w:rsidRPr="00824D58" w:rsidRDefault="00835DE7" w:rsidP="00835DE7">
      <w:pPr>
        <w:spacing w:after="0"/>
      </w:pPr>
    </w:p>
    <w:p w:rsidR="00230F05" w:rsidRPr="00824D58" w:rsidRDefault="00230F05" w:rsidP="00835DE7">
      <w:pPr>
        <w:pStyle w:val="BodyText"/>
        <w:spacing w:after="0"/>
        <w:rPr>
          <w:spacing w:val="-1"/>
        </w:rPr>
      </w:pPr>
      <w:r w:rsidRPr="00824D58">
        <w:rPr>
          <w:spacing w:val="-1"/>
        </w:rPr>
        <w:t xml:space="preserve">Hepcidin investigated and isolated at first from the plasma of human </w:t>
      </w:r>
      <w:r w:rsidR="00404F5C" w:rsidRPr="00824D58">
        <w:rPr>
          <w:spacing w:val="-1"/>
        </w:rPr>
        <w:t>ultra-filtrate</w:t>
      </w:r>
      <w:r w:rsidRPr="00824D58">
        <w:rPr>
          <w:spacing w:val="-1"/>
        </w:rPr>
        <w:t xml:space="preserve"> by an antimicrobial peptides group's, they used the term liver-expressed antimicrobial peptide (LEAP-1)(Krause A., </w:t>
      </w:r>
      <w:r w:rsidRPr="00824D58">
        <w:rPr>
          <w:i/>
          <w:iCs/>
          <w:spacing w:val="-1"/>
        </w:rPr>
        <w:t>et al.,</w:t>
      </w:r>
      <w:r w:rsidRPr="00824D58">
        <w:rPr>
          <w:spacing w:val="-1"/>
        </w:rPr>
        <w:t xml:space="preserve"> 2000). Another investigated researcher isolated this peptide from the urine of the human and used the term the peptide hepcidin, as a sequence of its effect in vitro such as bacterial and hepatic origin (Park C. H., </w:t>
      </w:r>
      <w:r w:rsidRPr="00824D58">
        <w:rPr>
          <w:i/>
          <w:iCs/>
          <w:spacing w:val="-1"/>
        </w:rPr>
        <w:t>et al.,</w:t>
      </w:r>
      <w:r w:rsidRPr="00824D58">
        <w:rPr>
          <w:spacing w:val="-1"/>
        </w:rPr>
        <w:t xml:space="preserve"> 2001).</w:t>
      </w:r>
    </w:p>
    <w:p w:rsidR="00835DE7" w:rsidRPr="00824D58" w:rsidRDefault="00835DE7" w:rsidP="00835DE7">
      <w:pPr>
        <w:pStyle w:val="BodyText"/>
        <w:spacing w:after="0"/>
        <w:rPr>
          <w:spacing w:val="-1"/>
        </w:rPr>
      </w:pPr>
    </w:p>
    <w:p w:rsidR="00230F05" w:rsidRPr="00824D58" w:rsidRDefault="00230F05" w:rsidP="005B3F54">
      <w:pPr>
        <w:pStyle w:val="BodyText"/>
        <w:spacing w:after="240"/>
        <w:ind w:right="113"/>
        <w:rPr>
          <w:spacing w:val="-1"/>
        </w:rPr>
      </w:pPr>
      <w:r w:rsidRPr="00824D58">
        <w:rPr>
          <w:spacing w:val="-1"/>
        </w:rPr>
        <w:t xml:space="preserve">The first common information on hepcidin such as structure, regulation, expression,  and properties were came from vitro approaches and investigations applying on mouse models. Hepcidin was discovered to be important </w:t>
      </w:r>
      <w:r w:rsidR="005B3F54" w:rsidRPr="00824D58">
        <w:rPr>
          <w:spacing w:val="-1"/>
        </w:rPr>
        <w:t xml:space="preserve">liable to regulation </w:t>
      </w:r>
      <w:r w:rsidRPr="00824D58">
        <w:rPr>
          <w:spacing w:val="-1"/>
        </w:rPr>
        <w:t xml:space="preserve">in Iron loaded mice (Pigeonetal. 2001), while the gene of mouse targeted confusing of </w:t>
      </w:r>
      <w:r w:rsidR="00B07683" w:rsidRPr="00824D58">
        <w:rPr>
          <w:spacing w:val="-1"/>
        </w:rPr>
        <w:t>its</w:t>
      </w:r>
      <w:r w:rsidRPr="00824D58">
        <w:rPr>
          <w:spacing w:val="-1"/>
        </w:rPr>
        <w:t xml:space="preserve"> hepcidin because of Iron overload (Choulika, A., &amp; Nicolas </w:t>
      </w:r>
      <w:r w:rsidRPr="00824D58">
        <w:rPr>
          <w:i/>
          <w:iCs/>
          <w:spacing w:val="-1"/>
        </w:rPr>
        <w:t>et al</w:t>
      </w:r>
      <w:r w:rsidR="00CB0D10" w:rsidRPr="00824D58">
        <w:rPr>
          <w:i/>
          <w:iCs/>
          <w:spacing w:val="-1"/>
        </w:rPr>
        <w:t xml:space="preserve"> </w:t>
      </w:r>
      <w:r w:rsidRPr="00824D58">
        <w:rPr>
          <w:i/>
          <w:iCs/>
          <w:spacing w:val="-1"/>
        </w:rPr>
        <w:t>.,</w:t>
      </w:r>
      <w:r w:rsidRPr="00824D58">
        <w:rPr>
          <w:spacing w:val="-1"/>
        </w:rPr>
        <w:t xml:space="preserve"> 2001</w:t>
      </w:r>
      <w:r w:rsidR="003C7594" w:rsidRPr="00824D58">
        <w:rPr>
          <w:spacing w:val="-1"/>
        </w:rPr>
        <w:t xml:space="preserve">;  Viatte </w:t>
      </w:r>
      <w:r w:rsidR="003C7594" w:rsidRPr="00824D58">
        <w:rPr>
          <w:i/>
          <w:iCs/>
          <w:spacing w:val="-1"/>
        </w:rPr>
        <w:t>et al.,</w:t>
      </w:r>
      <w:r w:rsidR="003C7594" w:rsidRPr="00824D58">
        <w:rPr>
          <w:spacing w:val="-1"/>
        </w:rPr>
        <w:t xml:space="preserve"> 2005</w:t>
      </w:r>
      <w:r w:rsidRPr="00824D58">
        <w:rPr>
          <w:spacing w:val="-1"/>
        </w:rPr>
        <w:t>).</w:t>
      </w:r>
    </w:p>
    <w:p w:rsidR="00835DE7" w:rsidRPr="00824D58" w:rsidRDefault="00835DE7" w:rsidP="005B3F54">
      <w:pPr>
        <w:pStyle w:val="BodyText"/>
        <w:spacing w:after="240"/>
        <w:ind w:right="113"/>
        <w:rPr>
          <w:spacing w:val="-1"/>
        </w:rPr>
      </w:pPr>
    </w:p>
    <w:p w:rsidR="00230F05" w:rsidRPr="00824D58" w:rsidRDefault="00292C29" w:rsidP="00835DE7">
      <w:pPr>
        <w:pStyle w:val="Heading3"/>
        <w:numPr>
          <w:ilvl w:val="2"/>
          <w:numId w:val="2"/>
        </w:numPr>
        <w:spacing w:before="0" w:after="0"/>
        <w:ind w:left="567" w:hanging="567"/>
      </w:pPr>
      <w:bookmarkStart w:id="113" w:name="_Toc60183443"/>
      <w:r w:rsidRPr="00824D58">
        <w:t>Hepcidin Function</w:t>
      </w:r>
      <w:bookmarkEnd w:id="113"/>
    </w:p>
    <w:p w:rsidR="00835DE7" w:rsidRPr="00824D58" w:rsidRDefault="00835DE7" w:rsidP="00835DE7">
      <w:pPr>
        <w:spacing w:after="0"/>
      </w:pPr>
    </w:p>
    <w:p w:rsidR="00230F05" w:rsidRPr="00824D58" w:rsidRDefault="008E496A" w:rsidP="0088641A">
      <w:pPr>
        <w:pStyle w:val="BodyText"/>
        <w:spacing w:after="0"/>
        <w:ind w:right="113"/>
        <w:rPr>
          <w:spacing w:val="-1"/>
        </w:rPr>
      </w:pPr>
      <w:r w:rsidRPr="00824D58">
        <w:rPr>
          <w:spacing w:val="-1"/>
        </w:rPr>
        <w:t xml:space="preserve">It was discovered that mice with high hepcidin levels developed serious Iron Deficiency Anemia (IDA) </w:t>
      </w:r>
      <w:r w:rsidR="001C7C14" w:rsidRPr="00824D58">
        <w:rPr>
          <w:spacing w:val="-1"/>
        </w:rPr>
        <w:t xml:space="preserve">also that most </w:t>
      </w:r>
      <w:r w:rsidR="00CB0D10" w:rsidRPr="00824D58">
        <w:rPr>
          <w:spacing w:val="-1"/>
        </w:rPr>
        <w:t>endear</w:t>
      </w:r>
      <w:r w:rsidR="001C7C14" w:rsidRPr="00824D58">
        <w:rPr>
          <w:spacing w:val="-1"/>
        </w:rPr>
        <w:t xml:space="preserve"> </w:t>
      </w:r>
      <w:r w:rsidR="00CB0D10" w:rsidRPr="00824D58">
        <w:rPr>
          <w:spacing w:val="-1"/>
        </w:rPr>
        <w:t>during</w:t>
      </w:r>
      <w:r w:rsidR="001C7C14" w:rsidRPr="00824D58">
        <w:rPr>
          <w:spacing w:val="-1"/>
        </w:rPr>
        <w:t xml:space="preserve"> childbirth </w:t>
      </w:r>
      <w:r w:rsidR="00230F05" w:rsidRPr="00824D58">
        <w:rPr>
          <w:spacing w:val="-1"/>
        </w:rPr>
        <w:t xml:space="preserve">(Nicolas, G. </w:t>
      </w:r>
      <w:r w:rsidR="00230F05" w:rsidRPr="00824D58">
        <w:rPr>
          <w:i/>
          <w:iCs/>
          <w:spacing w:val="-1"/>
        </w:rPr>
        <w:t>et a</w:t>
      </w:r>
      <w:r w:rsidR="00CB0D10" w:rsidRPr="00824D58">
        <w:rPr>
          <w:i/>
          <w:iCs/>
          <w:spacing w:val="-1"/>
        </w:rPr>
        <w:t xml:space="preserve"> </w:t>
      </w:r>
      <w:r w:rsidR="00230F05" w:rsidRPr="00824D58">
        <w:rPr>
          <w:i/>
          <w:iCs/>
          <w:spacing w:val="-1"/>
        </w:rPr>
        <w:t>l.,</w:t>
      </w:r>
      <w:r w:rsidR="00230F05" w:rsidRPr="00824D58">
        <w:rPr>
          <w:spacing w:val="-1"/>
        </w:rPr>
        <w:t xml:space="preserve"> 2002a). </w:t>
      </w:r>
      <w:r w:rsidRPr="00824D58">
        <w:rPr>
          <w:spacing w:val="-1"/>
        </w:rPr>
        <w:t>Extreme Iron overload evolution in HAMP gene knock-out mice (Choulika</w:t>
      </w:r>
      <w:r w:rsidR="00CB0D10" w:rsidRPr="00824D58">
        <w:rPr>
          <w:spacing w:val="-1"/>
        </w:rPr>
        <w:t xml:space="preserve"> </w:t>
      </w:r>
      <w:r w:rsidRPr="00824D58">
        <w:rPr>
          <w:spacing w:val="-1"/>
        </w:rPr>
        <w:t>, A., &amp; Nicolas, et al., 2001) indicated that hepcidin</w:t>
      </w:r>
      <w:r w:rsidR="00523B5C" w:rsidRPr="00824D58">
        <w:rPr>
          <w:spacing w:val="-1"/>
        </w:rPr>
        <w:t xml:space="preserve"> is involved in Iron metabolism</w:t>
      </w:r>
      <w:r w:rsidR="00FC5CC1">
        <w:rPr>
          <w:spacing w:val="-1"/>
        </w:rPr>
        <w:t>,&amp;</w:t>
      </w:r>
      <w:r w:rsidR="00D2785D" w:rsidRPr="00824D58">
        <w:rPr>
          <w:spacing w:val="-1"/>
        </w:rPr>
        <w:t xml:space="preserve"> that the phenol form of hepcidin mutations in sick people highlight the system's common control.</w:t>
      </w:r>
      <w:r w:rsidR="00230F05" w:rsidRPr="00824D58">
        <w:rPr>
          <w:spacing w:val="-1"/>
        </w:rPr>
        <w:t xml:space="preserve"> </w:t>
      </w:r>
      <w:r w:rsidR="0088641A" w:rsidRPr="0088641A">
        <w:rPr>
          <w:spacing w:val="-1"/>
        </w:rPr>
        <w:t xml:space="preserve">Inflammation, iron storage, hypoxia, and anemia are all known to influence the activity of a recently discovered peptide. Hepcidin is responsible for its function, which is to regulate the production of new Fpn on the plasma membrane. Fpn is the primary or </w:t>
      </w:r>
      <w:r w:rsidR="0088641A">
        <w:rPr>
          <w:spacing w:val="-1"/>
        </w:rPr>
        <w:t>only source of iron in the cell</w:t>
      </w:r>
      <w:r w:rsidR="00566B90" w:rsidRPr="00566B90">
        <w:rPr>
          <w:spacing w:val="-1"/>
        </w:rPr>
        <w:t xml:space="preserve"> </w:t>
      </w:r>
      <w:r w:rsidR="00230F05" w:rsidRPr="00824D58">
        <w:rPr>
          <w:spacing w:val="-1"/>
        </w:rPr>
        <w:t xml:space="preserve">(Nemeth </w:t>
      </w:r>
      <w:r w:rsidR="00230F05" w:rsidRPr="00824D58">
        <w:rPr>
          <w:i/>
          <w:iCs/>
          <w:spacing w:val="-1"/>
        </w:rPr>
        <w:t>et al.,</w:t>
      </w:r>
      <w:r w:rsidR="00230F05" w:rsidRPr="00824D58">
        <w:rPr>
          <w:spacing w:val="-1"/>
        </w:rPr>
        <w:t xml:space="preserve"> 2004).</w:t>
      </w:r>
    </w:p>
    <w:p w:rsidR="00835DE7" w:rsidRPr="00824D58" w:rsidRDefault="00835DE7" w:rsidP="00835DE7">
      <w:pPr>
        <w:pStyle w:val="BodyText"/>
        <w:spacing w:after="0"/>
        <w:ind w:right="113"/>
        <w:rPr>
          <w:spacing w:val="-1"/>
        </w:rPr>
      </w:pPr>
    </w:p>
    <w:p w:rsidR="00230F05" w:rsidRPr="00824D58" w:rsidRDefault="00523B5C" w:rsidP="00835DE7">
      <w:pPr>
        <w:pStyle w:val="BodyText"/>
        <w:spacing w:after="0"/>
        <w:ind w:right="113"/>
        <w:rPr>
          <w:spacing w:val="-1"/>
        </w:rPr>
      </w:pPr>
      <w:r w:rsidRPr="00824D58">
        <w:rPr>
          <w:spacing w:val="-1"/>
        </w:rPr>
        <w:t xml:space="preserve">Hepcidin causes Fpn degradation and internalization, </w:t>
      </w:r>
      <w:r w:rsidR="00CB0D10" w:rsidRPr="00824D58">
        <w:rPr>
          <w:spacing w:val="-1"/>
        </w:rPr>
        <w:t>that</w:t>
      </w:r>
      <w:r w:rsidRPr="00824D58">
        <w:rPr>
          <w:spacing w:val="-1"/>
        </w:rPr>
        <w:t xml:space="preserve"> prevents Iron from entering the plasma (commonly from macrophages, enterocytes, placenta</w:t>
      </w:r>
      <w:r w:rsidR="00FC5CC1">
        <w:rPr>
          <w:spacing w:val="-1"/>
        </w:rPr>
        <w:t>,&amp;</w:t>
      </w:r>
      <w:r w:rsidRPr="00824D58">
        <w:rPr>
          <w:spacing w:val="-1"/>
        </w:rPr>
        <w:t xml:space="preserve"> hepatocytes), thereby saving the cell's Iron and of the importance of Iron distribution. </w:t>
      </w:r>
      <w:r w:rsidR="00AD7A57" w:rsidRPr="00824D58">
        <w:rPr>
          <w:spacing w:val="-1"/>
        </w:rPr>
        <w:t xml:space="preserve">The irregular duodenal iron uptake that distinguish most </w:t>
      </w:r>
      <w:r w:rsidRPr="00824D58">
        <w:rPr>
          <w:spacing w:val="-1"/>
        </w:rPr>
        <w:t xml:space="preserve">hereditary hemochromatosis disorders is caused by insufficient hepcidin expression in relation to body iron stores </w:t>
      </w:r>
      <w:r w:rsidR="00230F05" w:rsidRPr="00824D58">
        <w:rPr>
          <w:spacing w:val="-1"/>
        </w:rPr>
        <w:t xml:space="preserve">(Roetto, A., </w:t>
      </w:r>
      <w:r w:rsidR="00230F05" w:rsidRPr="00824D58">
        <w:rPr>
          <w:i/>
          <w:iCs/>
          <w:spacing w:val="-1"/>
        </w:rPr>
        <w:t>et al.,</w:t>
      </w:r>
      <w:r w:rsidR="00230F05" w:rsidRPr="00824D58">
        <w:rPr>
          <w:spacing w:val="-1"/>
        </w:rPr>
        <w:t xml:space="preserve"> 2003).</w:t>
      </w:r>
    </w:p>
    <w:p w:rsidR="00835DE7" w:rsidRPr="00824D58" w:rsidRDefault="00835DE7" w:rsidP="00835DE7">
      <w:pPr>
        <w:pStyle w:val="BodyText"/>
        <w:spacing w:after="0"/>
        <w:rPr>
          <w:spacing w:val="-1"/>
        </w:rPr>
      </w:pPr>
    </w:p>
    <w:p w:rsidR="00230F05" w:rsidRPr="00824D58" w:rsidRDefault="00230F05" w:rsidP="002832E0">
      <w:pPr>
        <w:pStyle w:val="BodyText"/>
        <w:spacing w:after="0"/>
      </w:pPr>
      <w:r w:rsidRPr="00824D58">
        <w:rPr>
          <w:spacing w:val="-1"/>
        </w:rPr>
        <w:t>Hepcidin because of scale down of the iron decrease in serum. Injections of the hepcidin agonist in mice result in hypo ferremia already within one hour</w:t>
      </w:r>
      <w:r w:rsidR="00FC5CC1">
        <w:rPr>
          <w:spacing w:val="-1"/>
        </w:rPr>
        <w:t>,&amp;</w:t>
      </w:r>
      <w:r w:rsidRPr="00824D58">
        <w:rPr>
          <w:spacing w:val="-1"/>
        </w:rPr>
        <w:t xml:space="preserve"> a same impact </w:t>
      </w:r>
      <w:r w:rsidR="002832E0" w:rsidRPr="002832E0">
        <w:rPr>
          <w:spacing w:val="-1"/>
        </w:rPr>
        <w:t>was seen after tetracycline-induced acute stimulation of hepcidin expression in genetically engineered animals. Hypoferremia occurs as a consequence of hepcidin blocking the availability of iron from plasma, while the comparatively tiny plasma iron group is quickly consumed by erythrocyte precursors. Hepcidin prevents iron from being recycled by macrophages, from being stored in the liver</w:t>
      </w:r>
      <w:r w:rsidR="00FC5CC1">
        <w:rPr>
          <w:spacing w:val="-1"/>
        </w:rPr>
        <w:t>,&amp;</w:t>
      </w:r>
      <w:r w:rsidR="002832E0" w:rsidRPr="002832E0">
        <w:rPr>
          <w:spacing w:val="-1"/>
        </w:rPr>
        <w:t xml:space="preserve"> from being absorbed by intestinal cells.</w:t>
      </w:r>
      <w:r w:rsidR="00292C29" w:rsidRPr="00824D58">
        <w:rPr>
          <w:spacing w:val="-1"/>
        </w:rPr>
        <w:t xml:space="preserve">, Figure 2.4 </w:t>
      </w:r>
      <w:r w:rsidRPr="00824D58">
        <w:rPr>
          <w:spacing w:val="-1"/>
        </w:rPr>
        <w:t xml:space="preserve">(Viatte, L. </w:t>
      </w:r>
      <w:r w:rsidRPr="00824D58">
        <w:rPr>
          <w:i/>
          <w:iCs/>
          <w:spacing w:val="-1"/>
        </w:rPr>
        <w:t xml:space="preserve">et al., </w:t>
      </w:r>
      <w:r w:rsidRPr="00824D58">
        <w:rPr>
          <w:spacing w:val="-1"/>
        </w:rPr>
        <w:t>2005).</w:t>
      </w:r>
    </w:p>
    <w:p w:rsidR="00292C29" w:rsidRPr="00824D58" w:rsidRDefault="00230F05" w:rsidP="0088641A">
      <w:pPr>
        <w:pStyle w:val="BodyText"/>
        <w:keepNext/>
        <w:spacing w:after="0"/>
        <w:jc w:val="center"/>
      </w:pPr>
      <w:r w:rsidRPr="00824D58">
        <w:rPr>
          <w:noProof/>
        </w:rPr>
        <w:drawing>
          <wp:inline distT="0" distB="0" distL="0" distR="0" wp14:anchorId="5B681F9A" wp14:editId="44912D1D">
            <wp:extent cx="4991862" cy="3386938"/>
            <wp:effectExtent l="1905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7" cstate="print">
                      <a:duotone>
                        <a:prstClr val="black"/>
                        <a:schemeClr val="accent6">
                          <a:tint val="45000"/>
                          <a:satMod val="400000"/>
                        </a:schemeClr>
                      </a:duotone>
                    </a:blip>
                    <a:stretch>
                      <a:fillRect/>
                    </a:stretch>
                  </pic:blipFill>
                  <pic:spPr>
                    <a:xfrm>
                      <a:off x="0" y="0"/>
                      <a:ext cx="4996991" cy="3390418"/>
                    </a:xfrm>
                    <a:prstGeom prst="rect">
                      <a:avLst/>
                    </a:prstGeom>
                  </pic:spPr>
                </pic:pic>
              </a:graphicData>
            </a:graphic>
          </wp:inline>
        </w:drawing>
      </w:r>
    </w:p>
    <w:p w:rsidR="00230F05" w:rsidRPr="00824D58" w:rsidRDefault="00292C29" w:rsidP="0088641A">
      <w:pPr>
        <w:pStyle w:val="Caption"/>
        <w:spacing w:after="0" w:line="360" w:lineRule="auto"/>
        <w:rPr>
          <w:noProof/>
        </w:rPr>
      </w:pPr>
      <w:bookmarkStart w:id="114" w:name="_Toc60183479"/>
      <w:r w:rsidRPr="0088641A">
        <w:rPr>
          <w:b/>
          <w:bCs/>
        </w:rPr>
        <w:t>Figure 2.</w:t>
      </w:r>
      <w:r w:rsidR="003B75F5" w:rsidRPr="0088641A">
        <w:rPr>
          <w:b/>
          <w:bCs/>
        </w:rPr>
        <w:fldChar w:fldCharType="begin"/>
      </w:r>
      <w:r w:rsidR="003B75F5" w:rsidRPr="0088641A">
        <w:rPr>
          <w:b/>
          <w:bCs/>
        </w:rPr>
        <w:instrText xml:space="preserve"> SEQ Figure_2. \* ARABIC </w:instrText>
      </w:r>
      <w:r w:rsidR="003B75F5" w:rsidRPr="0088641A">
        <w:rPr>
          <w:b/>
          <w:bCs/>
        </w:rPr>
        <w:fldChar w:fldCharType="separate"/>
      </w:r>
      <w:r w:rsidR="00713623" w:rsidRPr="0088641A">
        <w:rPr>
          <w:b/>
          <w:bCs/>
          <w:noProof/>
        </w:rPr>
        <w:t>4</w:t>
      </w:r>
      <w:r w:rsidR="003B75F5" w:rsidRPr="0088641A">
        <w:rPr>
          <w:b/>
          <w:bCs/>
          <w:noProof/>
        </w:rPr>
        <w:fldChar w:fldCharType="end"/>
      </w:r>
      <w:r w:rsidRPr="0088641A">
        <w:rPr>
          <w:b/>
          <w:bCs/>
          <w:noProof/>
        </w:rPr>
        <w:t>.</w:t>
      </w:r>
      <w:r w:rsidRPr="00824D58">
        <w:rPr>
          <w:noProof/>
        </w:rPr>
        <w:t xml:space="preserve"> Physiology of hepcidin-ferroportin interaction (Badawy, A. E. A., 2010)</w:t>
      </w:r>
      <w:bookmarkEnd w:id="114"/>
    </w:p>
    <w:p w:rsidR="00835DE7" w:rsidRPr="00824D58" w:rsidRDefault="00835DE7" w:rsidP="00835DE7">
      <w:pPr>
        <w:spacing w:after="0"/>
      </w:pPr>
    </w:p>
    <w:p w:rsidR="00523B5C" w:rsidRPr="00824D58" w:rsidRDefault="00523B5C" w:rsidP="00835DE7">
      <w:pPr>
        <w:pStyle w:val="ListParagraph"/>
        <w:numPr>
          <w:ilvl w:val="2"/>
          <w:numId w:val="2"/>
        </w:numPr>
        <w:spacing w:after="0"/>
        <w:ind w:left="720"/>
        <w:rPr>
          <w:b/>
          <w:bCs/>
        </w:rPr>
      </w:pPr>
      <w:r w:rsidRPr="00824D58">
        <w:rPr>
          <w:b/>
          <w:bCs/>
        </w:rPr>
        <w:t>Synthesis and Structure of Hepcidin</w:t>
      </w:r>
    </w:p>
    <w:p w:rsidR="00835DE7" w:rsidRPr="00824D58" w:rsidRDefault="00835DE7" w:rsidP="00835DE7">
      <w:pPr>
        <w:pStyle w:val="ListParagraph"/>
        <w:spacing w:after="0"/>
        <w:ind w:left="0"/>
        <w:rPr>
          <w:b/>
          <w:bCs/>
        </w:rPr>
      </w:pPr>
    </w:p>
    <w:p w:rsidR="00230F05" w:rsidRPr="00824D58" w:rsidRDefault="00230F05" w:rsidP="00566B90">
      <w:pPr>
        <w:spacing w:after="0"/>
      </w:pPr>
      <w:r w:rsidRPr="00824D58">
        <w:t xml:space="preserve">The human hepcidin gene structure has 3 exons, the data is unclear about the origin of the mini shape of hepcidin, although, the tissue activity of calcium-independent at pancreas extracts probably refers </w:t>
      </w:r>
      <w:r w:rsidR="00566B90" w:rsidRPr="00566B90">
        <w:t>to hepcidin's systemic N-terminal decomposition into hepcidin-22,</w:t>
      </w:r>
      <w:r w:rsidR="00FC5CC1">
        <w:t>&amp;</w:t>
      </w:r>
      <w:r w:rsidR="00AD7A57" w:rsidRPr="00824D58">
        <w:t xml:space="preserve"> in order to</w:t>
      </w:r>
      <w:r w:rsidRPr="00824D58">
        <w:t xml:space="preserve"> dipeptide peptidase</w:t>
      </w:r>
      <w:r w:rsidR="00AD7A57" w:rsidRPr="00824D58">
        <w:t xml:space="preserve"> is share in the conversion of hepcidin-22 to hepcidin-20</w:t>
      </w:r>
      <w:r w:rsidRPr="00824D58">
        <w:t xml:space="preserve"> (Schmeichel, K. L., &amp; Bissell, M. J., 2003).</w:t>
      </w:r>
    </w:p>
    <w:p w:rsidR="00835DE7" w:rsidRPr="00824D58" w:rsidRDefault="00835DE7" w:rsidP="00AD7A57">
      <w:pPr>
        <w:spacing w:after="0"/>
      </w:pPr>
    </w:p>
    <w:p w:rsidR="00230F05" w:rsidRDefault="001C3B56" w:rsidP="001C3B56">
      <w:pPr>
        <w:spacing w:after="0"/>
      </w:pPr>
      <w:r w:rsidRPr="001C3B56">
        <w:t>Examples of chronic sickness anemia include acute myocardial infarction (also known as AMI), blood poisoning, chronic disease anemia (also known as ACD), and metabolic syndrome.</w:t>
      </w:r>
      <w:r w:rsidR="002832E0" w:rsidRPr="002832E0">
        <w:t xml:space="preserve"> </w:t>
      </w:r>
      <w:r>
        <w:t>A</w:t>
      </w:r>
      <w:r w:rsidR="002832E0" w:rsidRPr="002832E0">
        <w:t xml:space="preserve">ll generate the smaller hepcidin isoform, which is exclusively detected in the serum of individuals with illnesses associated with elevated hepcidin levels </w:t>
      </w:r>
      <w:r w:rsidR="00230F05" w:rsidRPr="00824D58">
        <w:t xml:space="preserve">(CKD) (Ganz, T., 2002; Suzuki, h., </w:t>
      </w:r>
      <w:r w:rsidR="00230F05" w:rsidRPr="00824D58">
        <w:rPr>
          <w:i/>
          <w:iCs/>
        </w:rPr>
        <w:t>et al.</w:t>
      </w:r>
      <w:r w:rsidR="00292C29" w:rsidRPr="00824D58">
        <w:rPr>
          <w:i/>
          <w:iCs/>
        </w:rPr>
        <w:t>,</w:t>
      </w:r>
      <w:r w:rsidR="00230F05" w:rsidRPr="00824D58">
        <w:t xml:space="preserve"> 2009).</w:t>
      </w:r>
    </w:p>
    <w:p w:rsidR="002832E0" w:rsidRPr="00824D58" w:rsidRDefault="002832E0" w:rsidP="00E92FCF">
      <w:pPr>
        <w:spacing w:after="0"/>
      </w:pPr>
    </w:p>
    <w:p w:rsidR="00835DE7" w:rsidRPr="00824D58" w:rsidRDefault="00835DE7" w:rsidP="00E92FCF">
      <w:pPr>
        <w:spacing w:after="0"/>
      </w:pPr>
    </w:p>
    <w:p w:rsidR="00230F05" w:rsidRPr="00824D58" w:rsidRDefault="00D44709" w:rsidP="00566B90">
      <w:pPr>
        <w:spacing w:after="0"/>
      </w:pPr>
      <w:r w:rsidRPr="00824D58">
        <w:t xml:space="preserve">When full-length mature hepcidin is injected intraperitoneally, </w:t>
      </w:r>
      <w:r w:rsidR="002832E0">
        <w:t xml:space="preserve">According to some studies, only full-length mature hepcidin causes severe hyperemia. Recent investigations demonstrate that </w:t>
      </w:r>
      <w:r w:rsidR="00566B90" w:rsidRPr="00566B90">
        <w:t>Other than hepatocytes, other cells express hepcidin, although in much smaller amounts. The renal tubule, the heart, and the retina are all examples of these structures, as are monocytes, neutrophils, fat cells, alveolar cells, pancreatic cells, and cardio myocardial cells. While the synthesis of hepcidin by these cells is unlikely to have a substantial impact on systemic circulating levels, it may ha</w:t>
      </w:r>
      <w:r w:rsidR="001C3B56">
        <w:t>ve an effect on specific organs</w:t>
      </w:r>
      <w:r w:rsidR="00230F05" w:rsidRPr="00824D58">
        <w:t xml:space="preserve"> </w:t>
      </w:r>
      <w:r w:rsidR="00230F05" w:rsidRPr="00824D58">
        <w:rPr>
          <w:b/>
          <w:bCs/>
        </w:rPr>
        <w:t>(</w:t>
      </w:r>
      <w:r w:rsidR="00230F05" w:rsidRPr="00824D58">
        <w:t xml:space="preserve">Kulaksiz, H. </w:t>
      </w:r>
      <w:r w:rsidR="00230F05" w:rsidRPr="00824D58">
        <w:rPr>
          <w:i/>
          <w:iCs/>
        </w:rPr>
        <w:t>et al.,</w:t>
      </w:r>
      <w:r w:rsidR="00230F05" w:rsidRPr="00824D58">
        <w:t xml:space="preserve"> 2008; Merle, U. </w:t>
      </w:r>
      <w:r w:rsidR="00230F05" w:rsidRPr="00824D58">
        <w:rPr>
          <w:i/>
          <w:iCs/>
        </w:rPr>
        <w:t>et al.,</w:t>
      </w:r>
      <w:r w:rsidR="00230F05" w:rsidRPr="00824D58">
        <w:t xml:space="preserve"> 2007).</w:t>
      </w:r>
    </w:p>
    <w:p w:rsidR="00835DE7" w:rsidRPr="00824D58" w:rsidRDefault="00835DE7" w:rsidP="00835DE7">
      <w:pPr>
        <w:spacing w:after="0"/>
      </w:pPr>
    </w:p>
    <w:p w:rsidR="00230F05" w:rsidRPr="00824D58" w:rsidRDefault="00E92FCF" w:rsidP="00003E13">
      <w:pPr>
        <w:spacing w:after="0"/>
      </w:pPr>
      <w:r w:rsidRPr="00824D58">
        <w:t xml:space="preserve">The composition of human hepcidin </w:t>
      </w:r>
      <w:r w:rsidR="004C384C" w:rsidRPr="00824D58">
        <w:t>is</w:t>
      </w:r>
      <w:r w:rsidRPr="00824D58">
        <w:t xml:space="preserve"> revealed by nuclear magnetic resonance (NMR). </w:t>
      </w:r>
      <w:r w:rsidR="002832E0" w:rsidRPr="002832E0">
        <w:t xml:space="preserve">Hepcidin has </w:t>
      </w:r>
      <w:r w:rsidR="00003E13" w:rsidRPr="00003E13">
        <w:t>four preserved disulfide connections, three of which function as anchors for its fundamental beta sheet hairpin structure's antiparallel strands.</w:t>
      </w:r>
      <w:r w:rsidR="002832E0" w:rsidRPr="002832E0">
        <w:t>.</w:t>
      </w:r>
      <w:r w:rsidR="00983161" w:rsidRPr="00824D58">
        <w:t xml:space="preserve"> (Figure 2.5).</w:t>
      </w:r>
      <w:r w:rsidR="00464227" w:rsidRPr="00824D58">
        <w:t xml:space="preserve"> The </w:t>
      </w:r>
      <w:r w:rsidR="00E921BC" w:rsidRPr="00824D58">
        <w:t>4th</w:t>
      </w:r>
      <w:r w:rsidR="00464227" w:rsidRPr="00824D58">
        <w:t xml:space="preserve"> disulphide forms an unusual vicinal disulfide bridge between two adjacent cysteine residues at the hairpin's turn, which is likely functional. Hepcidin has an amphiphilic structure, similar to other antimicrobial peptides, </w:t>
      </w:r>
      <w:r w:rsidR="002278F6" w:rsidRPr="00824D58">
        <w:t>On the convex side, there are hydrophobic residues</w:t>
      </w:r>
      <w:r w:rsidR="00FC5CC1">
        <w:t>,&amp;</w:t>
      </w:r>
      <w:r w:rsidR="002278F6" w:rsidRPr="00824D58">
        <w:t xml:space="preserve"> on the concave side, there are more positively charged residues</w:t>
      </w:r>
      <w:r w:rsidR="00464227" w:rsidRPr="00824D58">
        <w:t xml:space="preserve"> </w:t>
      </w:r>
      <w:r w:rsidR="00230F05" w:rsidRPr="00824D58">
        <w:t>(Peyssonnaux, C.</w:t>
      </w:r>
      <w:r w:rsidR="00230F05" w:rsidRPr="00824D58">
        <w:rPr>
          <w:i/>
          <w:iCs/>
        </w:rPr>
        <w:t xml:space="preserve"> et al.,</w:t>
      </w:r>
      <w:r w:rsidR="00230F05" w:rsidRPr="00824D58">
        <w:t xml:space="preserve"> 2006</w:t>
      </w:r>
      <w:r w:rsidR="002278F6" w:rsidRPr="00824D58">
        <w:t xml:space="preserve"> ; Crichton, R. 2016</w:t>
      </w:r>
      <w:r w:rsidR="00230F05" w:rsidRPr="00824D58">
        <w:t>).</w:t>
      </w:r>
    </w:p>
    <w:p w:rsidR="00835DE7" w:rsidRPr="00824D58" w:rsidRDefault="00835DE7" w:rsidP="00835DE7">
      <w:pPr>
        <w:spacing w:after="0"/>
      </w:pPr>
    </w:p>
    <w:p w:rsidR="00292C29" w:rsidRPr="00824D58" w:rsidRDefault="00230F05" w:rsidP="00835DE7">
      <w:pPr>
        <w:keepNext/>
        <w:spacing w:after="0"/>
      </w:pPr>
      <w:r w:rsidRPr="00824D58">
        <w:rPr>
          <w:noProof/>
        </w:rPr>
        <w:drawing>
          <wp:inline distT="0" distB="0" distL="0" distR="0" wp14:anchorId="19CBF5A8" wp14:editId="409BE1BB">
            <wp:extent cx="5082540" cy="2987040"/>
            <wp:effectExtent l="0" t="0" r="3810" b="3810"/>
            <wp:docPr id="2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088890" cy="2990772"/>
                    </a:xfrm>
                    <a:prstGeom prst="rect">
                      <a:avLst/>
                    </a:prstGeom>
                    <a:noFill/>
                    <a:ln w="9525">
                      <a:noFill/>
                      <a:miter lim="800000"/>
                      <a:headEnd/>
                      <a:tailEnd/>
                    </a:ln>
                  </pic:spPr>
                </pic:pic>
              </a:graphicData>
            </a:graphic>
          </wp:inline>
        </w:drawing>
      </w:r>
    </w:p>
    <w:p w:rsidR="00230F05" w:rsidRPr="00824D58" w:rsidRDefault="00292C29" w:rsidP="00835DE7">
      <w:pPr>
        <w:pStyle w:val="Caption"/>
        <w:spacing w:after="0" w:line="360" w:lineRule="auto"/>
        <w:jc w:val="center"/>
        <w:rPr>
          <w:rFonts w:eastAsia="Arial"/>
          <w:iCs/>
        </w:rPr>
      </w:pPr>
      <w:bookmarkStart w:id="115" w:name="_Toc60183480"/>
      <w:r w:rsidRPr="00824D58">
        <w:rPr>
          <w:b/>
          <w:bCs/>
        </w:rPr>
        <w:t>Figure 2.</w:t>
      </w:r>
      <w:r w:rsidR="008F1049" w:rsidRPr="00824D58">
        <w:rPr>
          <w:b/>
          <w:bCs/>
        </w:rPr>
        <w:fldChar w:fldCharType="begin"/>
      </w:r>
      <w:r w:rsidR="008F1049" w:rsidRPr="00824D58">
        <w:rPr>
          <w:b/>
          <w:bCs/>
        </w:rPr>
        <w:instrText xml:space="preserve"> SEQ Figure_2. \* ARABIC </w:instrText>
      </w:r>
      <w:r w:rsidR="008F1049" w:rsidRPr="00824D58">
        <w:rPr>
          <w:b/>
          <w:bCs/>
        </w:rPr>
        <w:fldChar w:fldCharType="separate"/>
      </w:r>
      <w:r w:rsidR="00713623">
        <w:rPr>
          <w:b/>
          <w:bCs/>
          <w:noProof/>
        </w:rPr>
        <w:t>5</w:t>
      </w:r>
      <w:r w:rsidR="008F1049" w:rsidRPr="00824D58">
        <w:rPr>
          <w:b/>
          <w:bCs/>
          <w:noProof/>
        </w:rPr>
        <w:fldChar w:fldCharType="end"/>
      </w:r>
      <w:r w:rsidRPr="00824D58">
        <w:rPr>
          <w:b/>
          <w:bCs/>
        </w:rPr>
        <w:t>.</w:t>
      </w:r>
      <w:r w:rsidRPr="00824D58">
        <w:t xml:space="preserve"> The human molecular structure of synthetichepcidin-25 </w:t>
      </w:r>
      <w:r w:rsidRPr="00824D58">
        <w:rPr>
          <w:rFonts w:eastAsia="Arial"/>
          <w:iCs/>
        </w:rPr>
        <w:t>(Ganz, T., 2006)</w:t>
      </w:r>
      <w:bookmarkEnd w:id="115"/>
    </w:p>
    <w:p w:rsidR="00230F05" w:rsidRPr="00824D58" w:rsidRDefault="00230F05" w:rsidP="0031558E">
      <w:pPr>
        <w:tabs>
          <w:tab w:val="left" w:pos="1602"/>
        </w:tabs>
        <w:spacing w:after="0"/>
        <w:rPr>
          <w:rFonts w:eastAsia="Arial"/>
          <w:iCs/>
        </w:rPr>
      </w:pPr>
      <w:r w:rsidRPr="00824D58">
        <w:rPr>
          <w:rFonts w:eastAsia="Arial"/>
          <w:iCs/>
        </w:rPr>
        <w:t xml:space="preserve">Distorted β leaves appear as gray arrows, gray peptide backbone. Colorful yellow disulfide bonds, </w:t>
      </w:r>
      <w:r w:rsidR="002832E0" w:rsidRPr="002832E0">
        <w:rPr>
          <w:rFonts w:eastAsia="Arial"/>
          <w:iCs/>
        </w:rPr>
        <w:t xml:space="preserve">emphasizing the unique relationship between neighboring cystines. </w:t>
      </w:r>
      <w:r w:rsidR="0031558E" w:rsidRPr="0031558E">
        <w:rPr>
          <w:rFonts w:eastAsia="Arial"/>
          <w:iCs/>
        </w:rPr>
        <w:t>In this diagram, positively charged arginine (Arg) and lysine (Lys) residues are depicted in blue, negatively charged aspartic acid (Asp) residues are depicted in red, and a binding motif including histidine Cu2 + -Ni2</w:t>
      </w:r>
      <w:r w:rsidR="0031558E">
        <w:rPr>
          <w:rFonts w:eastAsia="Arial"/>
          <w:iCs/>
        </w:rPr>
        <w:t xml:space="preserve"> + (ATCUN) is depicted in green </w:t>
      </w:r>
      <w:r w:rsidR="001C3B56">
        <w:rPr>
          <w:rFonts w:eastAsia="Arial"/>
          <w:iCs/>
        </w:rPr>
        <w:t>(Ganz</w:t>
      </w:r>
      <w:r w:rsidRPr="00824D58">
        <w:rPr>
          <w:rFonts w:eastAsia="Arial"/>
          <w:iCs/>
        </w:rPr>
        <w:t xml:space="preserve"> 2006).</w:t>
      </w:r>
    </w:p>
    <w:p w:rsidR="00835DE7" w:rsidRPr="00824D58" w:rsidRDefault="00835DE7" w:rsidP="00835DE7">
      <w:pPr>
        <w:tabs>
          <w:tab w:val="left" w:pos="1602"/>
        </w:tabs>
        <w:spacing w:after="0"/>
        <w:rPr>
          <w:rFonts w:eastAsia="Arial"/>
          <w:b/>
          <w:bCs/>
          <w:iCs/>
        </w:rPr>
      </w:pPr>
    </w:p>
    <w:p w:rsidR="00230F05" w:rsidRPr="00824D58" w:rsidRDefault="00230F05" w:rsidP="00835DE7">
      <w:pPr>
        <w:pStyle w:val="Heading3"/>
        <w:numPr>
          <w:ilvl w:val="2"/>
          <w:numId w:val="2"/>
        </w:numPr>
        <w:spacing w:before="0" w:after="0"/>
        <w:ind w:left="709" w:hanging="709"/>
      </w:pPr>
      <w:bookmarkStart w:id="116" w:name="_Toc60183445"/>
      <w:r w:rsidRPr="00824D58">
        <w:t>Hepcidin Kinetics</w:t>
      </w:r>
      <w:bookmarkEnd w:id="116"/>
    </w:p>
    <w:p w:rsidR="00835DE7" w:rsidRPr="00824D58" w:rsidRDefault="00835DE7" w:rsidP="00835DE7">
      <w:pPr>
        <w:spacing w:after="0"/>
      </w:pPr>
    </w:p>
    <w:p w:rsidR="00230F05" w:rsidRPr="00824D58" w:rsidRDefault="00230F05" w:rsidP="001C3B56">
      <w:pPr>
        <w:spacing w:after="0"/>
        <w:rPr>
          <w:spacing w:val="-1"/>
        </w:rPr>
      </w:pPr>
      <w:r w:rsidRPr="00824D58">
        <w:t xml:space="preserve">The first stage of the hepcidin kinetic during secreted by the hepatocytes into the circulation, after the secretion of the Hepcidin, </w:t>
      </w:r>
      <w:r w:rsidR="002278F6" w:rsidRPr="00824D58">
        <w:t xml:space="preserve">iron absorption and excretion </w:t>
      </w:r>
      <w:r w:rsidRPr="00824D58">
        <w:t>from the human cellular in the urine is the main hepcidin kinetic while the performing its regulation  role. The excreted by</w:t>
      </w:r>
      <w:r w:rsidR="008329CA" w:rsidRPr="00824D58">
        <w:t xml:space="preserve"> </w:t>
      </w:r>
      <w:r w:rsidRPr="00824D58">
        <w:t xml:space="preserve">the </w:t>
      </w:r>
      <w:r w:rsidRPr="00824D58">
        <w:rPr>
          <w:spacing w:val="-1"/>
        </w:rPr>
        <w:t>kidneys</w:t>
      </w:r>
      <w:r w:rsidRPr="00824D58">
        <w:t xml:space="preserve"> is supposed to happen </w:t>
      </w:r>
      <w:r w:rsidRPr="00824D58">
        <w:rPr>
          <w:spacing w:val="-2"/>
        </w:rPr>
        <w:t xml:space="preserve">through </w:t>
      </w:r>
      <w:r w:rsidR="002832E0" w:rsidRPr="002832E0">
        <w:rPr>
          <w:spacing w:val="-1"/>
        </w:rPr>
        <w:t xml:space="preserve">co-degradation of Fpn at its action sites in cells. </w:t>
      </w:r>
      <w:r w:rsidR="001C3B56" w:rsidRPr="001C3B56">
        <w:rPr>
          <w:spacing w:val="-1"/>
        </w:rPr>
        <w:t xml:space="preserve">In a recent theoretical computation of circulating hepcidin, it was determined that with relatively high agreement between 2-macroglobulin and albumin and with relatively poor agreement between albumin and hepcidin, it was determined that approximately 11% of hepcidin is indicated to be freely circulating. This was determined with relatively high agreement between 2-macroglobulin and albumin and with relatively poor agreement between albumin and hepcidin </w:t>
      </w:r>
      <w:r w:rsidRPr="00824D58">
        <w:rPr>
          <w:spacing w:val="-1"/>
        </w:rPr>
        <w:t xml:space="preserve">(Peslova, G. </w:t>
      </w:r>
      <w:r w:rsidRPr="00824D58">
        <w:rPr>
          <w:i/>
          <w:iCs/>
          <w:spacing w:val="-1"/>
        </w:rPr>
        <w:t>et al.,</w:t>
      </w:r>
      <w:r w:rsidRPr="00824D58">
        <w:rPr>
          <w:spacing w:val="-1"/>
        </w:rPr>
        <w:t xml:space="preserve"> 2009; </w:t>
      </w:r>
      <w:r w:rsidRPr="00824D58">
        <w:t xml:space="preserve">Isoda, M., </w:t>
      </w:r>
      <w:r w:rsidRPr="00824D58">
        <w:rPr>
          <w:i/>
          <w:iCs/>
        </w:rPr>
        <w:t>et al.,</w:t>
      </w:r>
      <w:r w:rsidRPr="00824D58">
        <w:t xml:space="preserve"> 2010</w:t>
      </w:r>
      <w:r w:rsidRPr="00824D58">
        <w:rPr>
          <w:spacing w:val="-1"/>
        </w:rPr>
        <w:t>).</w:t>
      </w:r>
    </w:p>
    <w:p w:rsidR="00486909" w:rsidRPr="00824D58" w:rsidRDefault="00486909" w:rsidP="00486909">
      <w:pPr>
        <w:spacing w:after="0"/>
        <w:rPr>
          <w:spacing w:val="-1"/>
        </w:rPr>
      </w:pPr>
    </w:p>
    <w:p w:rsidR="00230F05" w:rsidRPr="00824D58" w:rsidRDefault="00230F05" w:rsidP="0031558E">
      <w:pPr>
        <w:pStyle w:val="BodyText"/>
        <w:spacing w:after="0"/>
        <w:ind w:right="112"/>
        <w:rPr>
          <w:spacing w:val="-1"/>
        </w:rPr>
      </w:pPr>
      <w:r w:rsidRPr="00824D58">
        <w:rPr>
          <w:spacing w:val="-2"/>
        </w:rPr>
        <w:t xml:space="preserve">The behavior of the free hepcidin </w:t>
      </w:r>
      <w:r w:rsidRPr="00824D58">
        <w:rPr>
          <w:spacing w:val="-1"/>
        </w:rPr>
        <w:t xml:space="preserve">passing into </w:t>
      </w:r>
      <w:r w:rsidRPr="00824D58">
        <w:t xml:space="preserve">the </w:t>
      </w:r>
      <w:r w:rsidRPr="00824D58">
        <w:rPr>
          <w:spacing w:val="-1"/>
        </w:rPr>
        <w:t>glomerular filtrate is similar freely</w:t>
      </w:r>
      <w:r w:rsidRPr="00824D58">
        <w:rPr>
          <w:spacing w:val="7"/>
        </w:rPr>
        <w:t xml:space="preserve"> via </w:t>
      </w:r>
      <w:r w:rsidRPr="00824D58">
        <w:rPr>
          <w:spacing w:val="-2"/>
        </w:rPr>
        <w:t xml:space="preserve">of </w:t>
      </w:r>
      <w:r w:rsidRPr="00824D58">
        <w:rPr>
          <w:spacing w:val="-1"/>
        </w:rPr>
        <w:t>its low molecular weight</w:t>
      </w:r>
      <w:r w:rsidRPr="00824D58">
        <w:rPr>
          <w:spacing w:val="-2"/>
        </w:rPr>
        <w:t xml:space="preserve">. </w:t>
      </w:r>
      <w:r w:rsidRPr="00824D58">
        <w:t xml:space="preserve">In </w:t>
      </w:r>
      <w:r w:rsidRPr="00824D58">
        <w:rPr>
          <w:spacing w:val="-1"/>
        </w:rPr>
        <w:t xml:space="preserve">some previous investigations </w:t>
      </w:r>
      <w:r w:rsidRPr="00824D58">
        <w:rPr>
          <w:spacing w:val="-2"/>
        </w:rPr>
        <w:t xml:space="preserve">of </w:t>
      </w:r>
      <w:r w:rsidRPr="00824D58">
        <w:rPr>
          <w:spacing w:val="-1"/>
        </w:rPr>
        <w:t xml:space="preserve">hepcidin </w:t>
      </w:r>
      <w:r w:rsidRPr="00824D58">
        <w:rPr>
          <w:spacing w:val="-2"/>
        </w:rPr>
        <w:t xml:space="preserve">in </w:t>
      </w:r>
      <w:r w:rsidRPr="00824D58">
        <w:rPr>
          <w:spacing w:val="-1"/>
        </w:rPr>
        <w:t xml:space="preserve">humans, </w:t>
      </w:r>
      <w:r w:rsidRPr="00824D58">
        <w:t>the</w:t>
      </w:r>
      <w:r w:rsidRPr="00824D58">
        <w:rPr>
          <w:spacing w:val="14"/>
        </w:rPr>
        <w:t xml:space="preserve"> computing of the </w:t>
      </w:r>
      <w:r w:rsidRPr="00824D58">
        <w:rPr>
          <w:spacing w:val="-1"/>
        </w:rPr>
        <w:t xml:space="preserve">fractional excretion concentrations </w:t>
      </w:r>
      <w:r w:rsidRPr="00824D58">
        <w:t>value tobeas</w:t>
      </w:r>
      <w:r w:rsidRPr="00824D58">
        <w:rPr>
          <w:spacing w:val="-1"/>
        </w:rPr>
        <w:t>low</w:t>
      </w:r>
      <w:r w:rsidRPr="00824D58">
        <w:t>as0%</w:t>
      </w:r>
      <w:r w:rsidRPr="00824D58">
        <w:rPr>
          <w:rFonts w:cs="Arial"/>
        </w:rPr>
        <w:t>–</w:t>
      </w:r>
      <w:r w:rsidRPr="00824D58">
        <w:t>5%,</w:t>
      </w:r>
      <w:r w:rsidRPr="00824D58">
        <w:rPr>
          <w:spacing w:val="-1"/>
        </w:rPr>
        <w:t xml:space="preserve"> this low rang may be via of its abso</w:t>
      </w:r>
      <w:r w:rsidR="0031558E">
        <w:rPr>
          <w:spacing w:val="-1"/>
        </w:rPr>
        <w:t xml:space="preserve">rption or freely filtered (Ganz </w:t>
      </w:r>
      <w:r w:rsidR="00310913" w:rsidRPr="00824D58">
        <w:t xml:space="preserve"> </w:t>
      </w:r>
      <w:r w:rsidRPr="00824D58">
        <w:rPr>
          <w:i/>
          <w:iCs/>
        </w:rPr>
        <w:t>et</w:t>
      </w:r>
      <w:r w:rsidR="00310913" w:rsidRPr="00824D58">
        <w:rPr>
          <w:i/>
          <w:iCs/>
        </w:rPr>
        <w:t xml:space="preserve"> </w:t>
      </w:r>
      <w:r w:rsidRPr="00824D58">
        <w:rPr>
          <w:i/>
          <w:iCs/>
          <w:spacing w:val="-1"/>
        </w:rPr>
        <w:t>al.,</w:t>
      </w:r>
      <w:r w:rsidR="00310913" w:rsidRPr="00824D58">
        <w:rPr>
          <w:spacing w:val="-1"/>
        </w:rPr>
        <w:t xml:space="preserve"> </w:t>
      </w:r>
      <w:r w:rsidRPr="00824D58">
        <w:rPr>
          <w:spacing w:val="-1"/>
        </w:rPr>
        <w:t>2008; Swinkels</w:t>
      </w:r>
      <w:r w:rsidR="0031558E">
        <w:rPr>
          <w:spacing w:val="13"/>
        </w:rPr>
        <w:t xml:space="preserve"> and</w:t>
      </w:r>
      <w:r w:rsidRPr="00824D58">
        <w:rPr>
          <w:spacing w:val="7"/>
        </w:rPr>
        <w:t xml:space="preserve"> </w:t>
      </w:r>
      <w:r w:rsidR="0031558E">
        <w:rPr>
          <w:spacing w:val="-1"/>
        </w:rPr>
        <w:t>Wetzels</w:t>
      </w:r>
      <w:r w:rsidR="00310913" w:rsidRPr="00824D58">
        <w:t xml:space="preserve"> </w:t>
      </w:r>
      <w:r w:rsidRPr="00824D58">
        <w:t>2008)</w:t>
      </w:r>
      <w:r w:rsidRPr="00824D58">
        <w:rPr>
          <w:spacing w:val="-1"/>
        </w:rPr>
        <w:t>.</w:t>
      </w:r>
    </w:p>
    <w:p w:rsidR="00486909" w:rsidRPr="00824D58" w:rsidRDefault="00486909" w:rsidP="00486909">
      <w:pPr>
        <w:pStyle w:val="BodyText"/>
        <w:spacing w:after="0"/>
        <w:rPr>
          <w:spacing w:val="-1"/>
        </w:rPr>
      </w:pPr>
    </w:p>
    <w:p w:rsidR="00230F05" w:rsidRPr="00824D58" w:rsidRDefault="0031558E" w:rsidP="0031558E">
      <w:pPr>
        <w:pStyle w:val="BodyText"/>
        <w:spacing w:after="480"/>
        <w:rPr>
          <w:spacing w:val="-1"/>
        </w:rPr>
      </w:pPr>
      <w:r w:rsidRPr="0031558E">
        <w:rPr>
          <w:spacing w:val="-1"/>
        </w:rPr>
        <w:t>Recent research suggests that patients with glomerular dysfunction had modest increases in hepcidin concentrations (1–6-fold) compared to the 20–30-fold increases in blood -2-microglobulin (2M)</w:t>
      </w:r>
      <w:r w:rsidR="00BD3EE1" w:rsidRPr="00824D58">
        <w:rPr>
          <w:spacing w:val="-1"/>
        </w:rPr>
        <w:t>. Glomerular filtration is considered to regulate almost entirely the excretion of β2M</w:t>
      </w:r>
      <w:r w:rsidR="002832E0" w:rsidRPr="002832E0">
        <w:rPr>
          <w:spacing w:val="-1"/>
        </w:rPr>
        <w:t>. Binding to 2-macroglobulin or other carrier proteins may obstruct the fr</w:t>
      </w:r>
      <w:r w:rsidR="002832E0">
        <w:rPr>
          <w:spacing w:val="-1"/>
        </w:rPr>
        <w:t>ee flow of circulatory hepcidin,</w:t>
      </w:r>
      <w:r w:rsidR="002832E0" w:rsidRPr="002832E0">
        <w:rPr>
          <w:spacing w:val="-1"/>
        </w:rPr>
        <w:t xml:space="preserve"> Alternatively. Binding to 2-macroglobulin or other carrier proteins may obstruct the free flow of circulatory hepcidin. Alternatively</w:t>
      </w:r>
      <w:r w:rsidR="00BD3EE1" w:rsidRPr="00824D58">
        <w:rPr>
          <w:spacing w:val="-1"/>
        </w:rPr>
        <w:t xml:space="preserve">, in patients with reduced renal filtration, the otherwise predicted increased circulating concentrations could be compensated </w:t>
      </w:r>
      <w:r w:rsidR="006B1407" w:rsidRPr="00824D58">
        <w:rPr>
          <w:spacing w:val="-1"/>
        </w:rPr>
        <w:t>as a result of a compensatory decrease in hepatic hepcidin production</w:t>
      </w:r>
      <w:r w:rsidR="001A35DE" w:rsidRPr="00824D58">
        <w:rPr>
          <w:spacing w:val="-1"/>
        </w:rPr>
        <w:t xml:space="preserve"> </w:t>
      </w:r>
      <w:r w:rsidR="00230F05" w:rsidRPr="00824D58">
        <w:rPr>
          <w:spacing w:val="-1"/>
        </w:rPr>
        <w:t>(Peters</w:t>
      </w:r>
      <w:r>
        <w:rPr>
          <w:spacing w:val="-1"/>
        </w:rPr>
        <w:t xml:space="preserve"> </w:t>
      </w:r>
      <w:r w:rsidR="00230F05" w:rsidRPr="00824D58">
        <w:rPr>
          <w:i/>
          <w:iCs/>
        </w:rPr>
        <w:t>et</w:t>
      </w:r>
      <w:r w:rsidR="00310913" w:rsidRPr="00824D58">
        <w:rPr>
          <w:i/>
          <w:iCs/>
        </w:rPr>
        <w:t xml:space="preserve"> </w:t>
      </w:r>
      <w:r w:rsidR="00230F05" w:rsidRPr="00824D58">
        <w:rPr>
          <w:i/>
          <w:iCs/>
          <w:spacing w:val="-1"/>
        </w:rPr>
        <w:t>al.</w:t>
      </w:r>
      <w:r w:rsidR="00310913" w:rsidRPr="00824D58">
        <w:rPr>
          <w:i/>
          <w:iCs/>
          <w:spacing w:val="-1"/>
        </w:rPr>
        <w:t>,</w:t>
      </w:r>
      <w:r w:rsidR="00310913" w:rsidRPr="00824D58">
        <w:rPr>
          <w:spacing w:val="-1"/>
        </w:rPr>
        <w:t xml:space="preserve"> </w:t>
      </w:r>
      <w:r w:rsidR="00230F05" w:rsidRPr="00824D58">
        <w:rPr>
          <w:spacing w:val="-1"/>
        </w:rPr>
        <w:t xml:space="preserve">2010; </w:t>
      </w:r>
      <w:r w:rsidR="00230F05" w:rsidRPr="00824D58">
        <w:t>Gnana-Prakasam</w:t>
      </w:r>
      <w:r>
        <w:t xml:space="preserve"> </w:t>
      </w:r>
      <w:r w:rsidR="00230F05" w:rsidRPr="00824D58">
        <w:rPr>
          <w:i/>
          <w:iCs/>
        </w:rPr>
        <w:t>et al.,</w:t>
      </w:r>
      <w:r w:rsidR="00230F05" w:rsidRPr="00824D58">
        <w:t xml:space="preserve"> 2008</w:t>
      </w:r>
      <w:r w:rsidR="00230F05" w:rsidRPr="00824D58">
        <w:rPr>
          <w:spacing w:val="-1"/>
        </w:rPr>
        <w:t>).</w:t>
      </w:r>
    </w:p>
    <w:p w:rsidR="00230F05" w:rsidRPr="00824D58" w:rsidRDefault="002832E0" w:rsidP="00486909">
      <w:pPr>
        <w:pStyle w:val="Heading3"/>
        <w:numPr>
          <w:ilvl w:val="2"/>
          <w:numId w:val="2"/>
        </w:numPr>
        <w:spacing w:before="0" w:after="0"/>
        <w:ind w:left="567" w:hanging="567"/>
      </w:pPr>
      <w:bookmarkStart w:id="117" w:name="_Toc60183446"/>
      <w:r w:rsidRPr="00824D58">
        <w:t>Hepcidin</w:t>
      </w:r>
      <w:r w:rsidR="00230F05" w:rsidRPr="00824D58">
        <w:t>, Iron and inflammation</w:t>
      </w:r>
      <w:bookmarkEnd w:id="117"/>
    </w:p>
    <w:p w:rsidR="00486909" w:rsidRPr="00824D58" w:rsidRDefault="00486909" w:rsidP="00486909">
      <w:pPr>
        <w:spacing w:after="0"/>
      </w:pPr>
    </w:p>
    <w:p w:rsidR="00230F05" w:rsidRPr="00824D58" w:rsidRDefault="00230F05" w:rsidP="00003E13">
      <w:pPr>
        <w:pStyle w:val="BodyText"/>
        <w:spacing w:after="0"/>
        <w:ind w:right="2"/>
        <w:rPr>
          <w:spacing w:val="-1"/>
        </w:rPr>
      </w:pPr>
      <w:r w:rsidRPr="00824D58">
        <w:rPr>
          <w:spacing w:val="-1"/>
        </w:rPr>
        <w:t>Initial</w:t>
      </w:r>
      <w:r w:rsidRPr="00824D58">
        <w:rPr>
          <w:spacing w:val="23"/>
        </w:rPr>
        <w:t xml:space="preserve"> </w:t>
      </w:r>
      <w:r w:rsidRPr="00824D58">
        <w:rPr>
          <w:spacing w:val="-1"/>
        </w:rPr>
        <w:t>investigations</w:t>
      </w:r>
      <w:r w:rsidRPr="00824D58">
        <w:rPr>
          <w:spacing w:val="24"/>
        </w:rPr>
        <w:t xml:space="preserve"> </w:t>
      </w:r>
      <w:r w:rsidRPr="00824D58">
        <w:rPr>
          <w:spacing w:val="-2"/>
        </w:rPr>
        <w:t>with</w:t>
      </w:r>
      <w:r w:rsidRPr="00824D58">
        <w:rPr>
          <w:spacing w:val="24"/>
        </w:rPr>
        <w:t xml:space="preserve"> </w:t>
      </w:r>
      <w:r w:rsidRPr="00824D58">
        <w:rPr>
          <w:spacing w:val="-1"/>
        </w:rPr>
        <w:t>mouse</w:t>
      </w:r>
      <w:r w:rsidRPr="00824D58">
        <w:rPr>
          <w:spacing w:val="24"/>
        </w:rPr>
        <w:t xml:space="preserve"> </w:t>
      </w:r>
      <w:r w:rsidRPr="00824D58">
        <w:rPr>
          <w:spacing w:val="-1"/>
        </w:rPr>
        <w:t>models</w:t>
      </w:r>
      <w:r w:rsidRPr="00824D58">
        <w:rPr>
          <w:spacing w:val="24"/>
        </w:rPr>
        <w:t xml:space="preserve"> </w:t>
      </w:r>
      <w:r w:rsidRPr="00824D58">
        <w:rPr>
          <w:spacing w:val="-1"/>
        </w:rPr>
        <w:t>illustrated</w:t>
      </w:r>
      <w:r w:rsidRPr="00824D58">
        <w:rPr>
          <w:spacing w:val="24"/>
        </w:rPr>
        <w:t xml:space="preserve"> </w:t>
      </w:r>
      <w:r w:rsidRPr="00824D58">
        <w:rPr>
          <w:spacing w:val="-1"/>
        </w:rPr>
        <w:t>that</w:t>
      </w:r>
      <w:r w:rsidRPr="00824D58">
        <w:rPr>
          <w:spacing w:val="25"/>
        </w:rPr>
        <w:t xml:space="preserve"> the </w:t>
      </w:r>
      <w:r w:rsidRPr="00824D58">
        <w:rPr>
          <w:spacing w:val="-1"/>
        </w:rPr>
        <w:t>indication</w:t>
      </w:r>
      <w:r w:rsidRPr="00824D58">
        <w:rPr>
          <w:spacing w:val="24"/>
        </w:rPr>
        <w:t xml:space="preserve"> of the </w:t>
      </w:r>
      <w:r w:rsidRPr="00824D58">
        <w:rPr>
          <w:spacing w:val="-1"/>
        </w:rPr>
        <w:t>hepcidin</w:t>
      </w:r>
      <w:r w:rsidRPr="00824D58">
        <w:rPr>
          <w:spacing w:val="26"/>
        </w:rPr>
        <w:t xml:space="preserve"> </w:t>
      </w:r>
      <w:r w:rsidRPr="00824D58">
        <w:rPr>
          <w:spacing w:val="-1"/>
        </w:rPr>
        <w:t>mRNA</w:t>
      </w:r>
      <w:r w:rsidRPr="00824D58">
        <w:rPr>
          <w:spacing w:val="25"/>
        </w:rPr>
        <w:t xml:space="preserve"> </w:t>
      </w:r>
      <w:r w:rsidRPr="00824D58">
        <w:rPr>
          <w:spacing w:val="-1"/>
        </w:rPr>
        <w:t>is</w:t>
      </w:r>
      <w:r w:rsidRPr="00824D58">
        <w:rPr>
          <w:spacing w:val="77"/>
        </w:rPr>
        <w:t xml:space="preserve"> </w:t>
      </w:r>
      <w:r w:rsidRPr="00824D58">
        <w:rPr>
          <w:spacing w:val="-1"/>
        </w:rPr>
        <w:t>result of</w:t>
      </w:r>
      <w:r w:rsidRPr="00824D58">
        <w:rPr>
          <w:spacing w:val="15"/>
        </w:rPr>
        <w:t xml:space="preserve"> </w:t>
      </w:r>
      <w:r w:rsidRPr="00824D58">
        <w:rPr>
          <w:spacing w:val="-1"/>
        </w:rPr>
        <w:t>parenteral</w:t>
      </w:r>
      <w:r w:rsidRPr="00824D58">
        <w:rPr>
          <w:spacing w:val="14"/>
        </w:rPr>
        <w:t xml:space="preserve"> </w:t>
      </w:r>
      <w:r w:rsidRPr="00824D58">
        <w:rPr>
          <w:spacing w:val="-1"/>
        </w:rPr>
        <w:t>and dietary</w:t>
      </w:r>
      <w:r w:rsidRPr="00824D58">
        <w:rPr>
          <w:spacing w:val="13"/>
        </w:rPr>
        <w:t xml:space="preserve"> </w:t>
      </w:r>
      <w:r w:rsidRPr="00824D58">
        <w:rPr>
          <w:spacing w:val="-1"/>
        </w:rPr>
        <w:t>iron</w:t>
      </w:r>
      <w:r w:rsidRPr="00824D58">
        <w:rPr>
          <w:spacing w:val="18"/>
        </w:rPr>
        <w:t xml:space="preserve"> </w:t>
      </w:r>
      <w:r w:rsidRPr="00824D58">
        <w:rPr>
          <w:spacing w:val="-1"/>
        </w:rPr>
        <w:t>loading.</w:t>
      </w:r>
      <w:r w:rsidRPr="00824D58">
        <w:rPr>
          <w:spacing w:val="16"/>
        </w:rPr>
        <w:t xml:space="preserve"> </w:t>
      </w:r>
      <w:r w:rsidR="00B1220B" w:rsidRPr="00B1220B">
        <w:t xml:space="preserve">The physiological significance of hepcidin organization through iron is supported by the phenotypes of many hereditary diseases </w:t>
      </w:r>
      <w:r w:rsidR="00003E13" w:rsidRPr="00003E13">
        <w:t>iron balance disorders defined by deregulation of hepcidin</w:t>
      </w:r>
      <w:r w:rsidR="00B1220B" w:rsidRPr="00B1220B">
        <w:t>.</w:t>
      </w:r>
      <w:r w:rsidR="00E921BC" w:rsidRPr="00824D58">
        <w:t xml:space="preserve"> </w:t>
      </w:r>
      <w:r w:rsidRPr="00824D58">
        <w:rPr>
          <w:spacing w:val="-1"/>
        </w:rPr>
        <w:t xml:space="preserve"> (Pietrangelo, A.,</w:t>
      </w:r>
      <w:r w:rsidR="00FD12D8" w:rsidRPr="00824D58">
        <w:rPr>
          <w:spacing w:val="-1"/>
        </w:rPr>
        <w:t xml:space="preserve"> </w:t>
      </w:r>
      <w:r w:rsidRPr="00824D58">
        <w:rPr>
          <w:spacing w:val="-1"/>
        </w:rPr>
        <w:t xml:space="preserve">2011; </w:t>
      </w:r>
      <w:r w:rsidRPr="00824D58">
        <w:t xml:space="preserve">Bekri, S., </w:t>
      </w:r>
      <w:r w:rsidRPr="00824D58">
        <w:rPr>
          <w:i/>
          <w:iCs/>
        </w:rPr>
        <w:t>et al.</w:t>
      </w:r>
      <w:r w:rsidRPr="00824D58">
        <w:t xml:space="preserve"> 2006</w:t>
      </w:r>
      <w:r w:rsidRPr="00824D58">
        <w:rPr>
          <w:spacing w:val="-1"/>
        </w:rPr>
        <w:t>).</w:t>
      </w:r>
    </w:p>
    <w:p w:rsidR="004C3C0E" w:rsidRPr="00824D58" w:rsidRDefault="004C3C0E" w:rsidP="004C3C0E">
      <w:pPr>
        <w:pStyle w:val="BodyText"/>
        <w:spacing w:after="0"/>
        <w:ind w:right="2"/>
        <w:rPr>
          <w:spacing w:val="31"/>
        </w:rPr>
      </w:pPr>
    </w:p>
    <w:p w:rsidR="00230F05" w:rsidRPr="00824D58" w:rsidRDefault="00C65C5E" w:rsidP="001C3B56">
      <w:pPr>
        <w:pStyle w:val="BodyText"/>
        <w:spacing w:after="0"/>
        <w:rPr>
          <w:spacing w:val="-1"/>
        </w:rPr>
      </w:pPr>
      <w:r w:rsidRPr="00824D58">
        <w:rPr>
          <w:spacing w:val="-1"/>
        </w:rPr>
        <w:t>Hepcidin reduction is a distinguishing trait of inherited hemochromatosis's recessive forms (HH).</w:t>
      </w:r>
      <w:r w:rsidR="00230F05" w:rsidRPr="00824D58">
        <w:rPr>
          <w:spacing w:val="-1"/>
        </w:rPr>
        <w:t xml:space="preserve"> </w:t>
      </w:r>
      <w:r w:rsidR="001C3B56" w:rsidRPr="001C3B56">
        <w:rPr>
          <w:spacing w:val="-1"/>
        </w:rPr>
        <w:t>IRIDA is a hereditary disorder that is caused by mutations in the TMPRSS6 gene. This gene encodes a type II transmembrane protease serine-6, which is also known as matripase-2. It has been discovered that IRIDA patients have a failure in their ability to down-r</w:t>
      </w:r>
      <w:r w:rsidR="001C3B56">
        <w:rPr>
          <w:spacing w:val="-1"/>
        </w:rPr>
        <w:t>egulate the release of hepcidin</w:t>
      </w:r>
      <w:r w:rsidR="001A35DE" w:rsidRPr="00824D58">
        <w:rPr>
          <w:spacing w:val="-1"/>
        </w:rPr>
        <w:t xml:space="preserve"> </w:t>
      </w:r>
      <w:r w:rsidR="00230F05" w:rsidRPr="00824D58">
        <w:rPr>
          <w:spacing w:val="-1"/>
        </w:rPr>
        <w:t>(Ramsay, A.</w:t>
      </w:r>
      <w:r w:rsidR="00FD12D8" w:rsidRPr="00824D58">
        <w:rPr>
          <w:spacing w:val="-1"/>
        </w:rPr>
        <w:t>,</w:t>
      </w:r>
      <w:r w:rsidR="00230F05" w:rsidRPr="00824D58">
        <w:rPr>
          <w:spacing w:val="-1"/>
        </w:rPr>
        <w:t xml:space="preserve"> </w:t>
      </w:r>
      <w:r w:rsidR="00230F05" w:rsidRPr="00824D58">
        <w:rPr>
          <w:i/>
          <w:iCs/>
          <w:spacing w:val="-1"/>
        </w:rPr>
        <w:t>et al.,</w:t>
      </w:r>
      <w:r w:rsidR="00230F05" w:rsidRPr="00824D58">
        <w:rPr>
          <w:spacing w:val="-1"/>
        </w:rPr>
        <w:t xml:space="preserve"> 2009).</w:t>
      </w:r>
    </w:p>
    <w:p w:rsidR="004C3C0E" w:rsidRPr="00824D58" w:rsidRDefault="004C3C0E" w:rsidP="004C3C0E">
      <w:pPr>
        <w:pStyle w:val="BodyText"/>
        <w:spacing w:after="0"/>
      </w:pPr>
    </w:p>
    <w:p w:rsidR="00230F05" w:rsidRPr="00824D58" w:rsidRDefault="00C65C5E" w:rsidP="004C3C0E">
      <w:pPr>
        <w:pStyle w:val="BodyText"/>
        <w:spacing w:after="0"/>
        <w:rPr>
          <w:spacing w:val="11"/>
        </w:rPr>
      </w:pPr>
      <w:r w:rsidRPr="00824D58">
        <w:rPr>
          <w:spacing w:val="-1"/>
        </w:rPr>
        <w:t>Since genetic disorders are necessary to maintain systemic iron balance in these disorders, coded gene products tend to play a role in the hepidine response to systemic iron.</w:t>
      </w:r>
      <w:r w:rsidR="001A35DE" w:rsidRPr="00824D58">
        <w:rPr>
          <w:spacing w:val="-1"/>
        </w:rPr>
        <w:t xml:space="preserve"> </w:t>
      </w:r>
      <w:r w:rsidR="00230F05" w:rsidRPr="00824D58">
        <w:rPr>
          <w:spacing w:val="-1"/>
        </w:rPr>
        <w:t>BMPs signals have emerged as a major pathway that the liver promotes hepcidin expression. The BMPR-I and BMPR-II are the two kinds of trans-membrane BMP Involved receivers in the signal mediation of BMP</w:t>
      </w:r>
      <w:r w:rsidR="00230F05" w:rsidRPr="00824D58">
        <w:rPr>
          <w:b/>
          <w:bCs/>
          <w:spacing w:val="11"/>
        </w:rPr>
        <w:t xml:space="preserve"> (</w:t>
      </w:r>
      <w:r w:rsidR="00230F05" w:rsidRPr="00824D58">
        <w:rPr>
          <w:spacing w:val="11"/>
        </w:rPr>
        <w:t xml:space="preserve">Nohe, A. </w:t>
      </w:r>
      <w:r w:rsidR="00230F05" w:rsidRPr="00824D58">
        <w:rPr>
          <w:i/>
          <w:iCs/>
          <w:spacing w:val="11"/>
        </w:rPr>
        <w:t>et al.,</w:t>
      </w:r>
      <w:r w:rsidR="00230F05" w:rsidRPr="00824D58">
        <w:rPr>
          <w:spacing w:val="11"/>
        </w:rPr>
        <w:t xml:space="preserve"> 2003; </w:t>
      </w:r>
      <w:r w:rsidR="00230F05" w:rsidRPr="00824D58">
        <w:t xml:space="preserve">Nguyen, N. B. </w:t>
      </w:r>
      <w:r w:rsidR="00230F05" w:rsidRPr="00824D58">
        <w:rPr>
          <w:i/>
          <w:iCs/>
        </w:rPr>
        <w:t>et al.,</w:t>
      </w:r>
      <w:r w:rsidR="00230F05" w:rsidRPr="00824D58">
        <w:t xml:space="preserve"> 2006</w:t>
      </w:r>
      <w:r w:rsidR="00230F05" w:rsidRPr="00824D58">
        <w:rPr>
          <w:spacing w:val="11"/>
        </w:rPr>
        <w:t>).</w:t>
      </w:r>
    </w:p>
    <w:p w:rsidR="004C3C0E" w:rsidRPr="00824D58" w:rsidRDefault="004C3C0E" w:rsidP="004C3C0E">
      <w:pPr>
        <w:pStyle w:val="BodyText"/>
        <w:spacing w:after="0"/>
        <w:rPr>
          <w:b/>
          <w:bCs/>
          <w:spacing w:val="-1"/>
        </w:rPr>
      </w:pPr>
    </w:p>
    <w:p w:rsidR="00230F05" w:rsidRDefault="00C65C5E" w:rsidP="0031558E">
      <w:pPr>
        <w:pStyle w:val="BodyText"/>
        <w:spacing w:after="0"/>
      </w:pPr>
      <w:r w:rsidRPr="00824D58">
        <w:rPr>
          <w:spacing w:val="6"/>
        </w:rPr>
        <w:t>BMPs are restricted by receptors related (the type II receptor), which are essentially energetic protein kinases, as are all cytokines in the TGF superfamily.</w:t>
      </w:r>
      <w:r w:rsidR="00230F05" w:rsidRPr="00824D58">
        <w:t xml:space="preserve"> </w:t>
      </w:r>
      <w:r w:rsidR="00922F9E" w:rsidRPr="00824D58">
        <w:t>This</w:t>
      </w:r>
      <w:r w:rsidR="00230F05" w:rsidRPr="00824D58">
        <w:t xml:space="preserve"> evidence leads to the combination</w:t>
      </w:r>
      <w:r w:rsidR="00230F05" w:rsidRPr="00824D58">
        <w:rPr>
          <w:shd w:val="clear" w:color="auto" w:fill="FFFFFF"/>
        </w:rPr>
        <w:t xml:space="preserve">. </w:t>
      </w:r>
      <w:r w:rsidR="007251B6" w:rsidRPr="00824D58">
        <w:rPr>
          <w:shd w:val="clear" w:color="auto" w:fill="FFFFFF"/>
        </w:rPr>
        <w:t xml:space="preserve">BMP6 regulates </w:t>
      </w:r>
      <w:r w:rsidR="00B1220B" w:rsidRPr="00B1220B">
        <w:rPr>
          <w:shd w:val="clear" w:color="auto" w:fill="FFFFFF"/>
        </w:rPr>
        <w:t>In the body, hepcidin expression and iron metabolism</w:t>
      </w:r>
      <w:r w:rsidR="007251B6" w:rsidRPr="00824D58">
        <w:rPr>
          <w:shd w:val="clear" w:color="auto" w:fill="FFFFFF"/>
        </w:rPr>
        <w:t>.</w:t>
      </w:r>
      <w:r w:rsidR="00230F05" w:rsidRPr="00824D58">
        <w:rPr>
          <w:shd w:val="clear" w:color="auto" w:fill="FFFFFF"/>
        </w:rPr>
        <w:t> Nature genetics, 41(4), 482-487.</w:t>
      </w:r>
      <w:r w:rsidR="00230F05" w:rsidRPr="00824D58">
        <w:rPr>
          <w:shd w:val="clear" w:color="auto" w:fill="FFFFFF"/>
          <w:rtl/>
        </w:rPr>
        <w:t>‏</w:t>
      </w:r>
      <w:r w:rsidR="00230F05" w:rsidRPr="00824D58">
        <w:t>n for both of phosphorylate BMPR-I and BMPR-II r</w:t>
      </w:r>
      <w:r w:rsidR="00FD12D8" w:rsidRPr="00824D58">
        <w:t>eceptor (Figure 2.6 &amp; Figure 2.7</w:t>
      </w:r>
      <w:r w:rsidR="00230F05" w:rsidRPr="00824D58">
        <w:t xml:space="preserve">). </w:t>
      </w:r>
      <w:r w:rsidR="00661802" w:rsidRPr="00824D58">
        <w:t>SMAD4 phosphorylation at the C terminus of a subset of activated receptors (SMADs 1, 5</w:t>
      </w:r>
      <w:r w:rsidR="00FC5CC1">
        <w:t>,&amp;</w:t>
      </w:r>
      <w:r w:rsidR="00661802" w:rsidRPr="00824D58">
        <w:t xml:space="preserve"> 8) that link to the co-SMAD protein SMAD4 in the cytoplasm</w:t>
      </w:r>
      <w:r w:rsidR="005F2B8C" w:rsidRPr="00824D58">
        <w:t>, activates the activity of kinase</w:t>
      </w:r>
      <w:r w:rsidR="00230F05" w:rsidRPr="00824D58">
        <w:rPr>
          <w:b/>
          <w:bCs/>
        </w:rPr>
        <w:t xml:space="preserve"> </w:t>
      </w:r>
      <w:r w:rsidR="00230F05" w:rsidRPr="00824D58">
        <w:t>(</w:t>
      </w:r>
      <w:r w:rsidR="00230F05" w:rsidRPr="00824D58">
        <w:rPr>
          <w:spacing w:val="-1"/>
        </w:rPr>
        <w:t>Andriopoulos</w:t>
      </w:r>
      <w:r w:rsidR="0031558E">
        <w:rPr>
          <w:spacing w:val="-1"/>
        </w:rPr>
        <w:t xml:space="preserve"> </w:t>
      </w:r>
      <w:r w:rsidR="00230F05" w:rsidRPr="00824D58">
        <w:rPr>
          <w:i/>
          <w:iCs/>
        </w:rPr>
        <w:t xml:space="preserve">et </w:t>
      </w:r>
      <w:r w:rsidR="00230F05" w:rsidRPr="00824D58">
        <w:rPr>
          <w:i/>
          <w:iCs/>
          <w:spacing w:val="-1"/>
        </w:rPr>
        <w:t>al.,</w:t>
      </w:r>
      <w:r w:rsidR="00230F05" w:rsidRPr="00824D58">
        <w:rPr>
          <w:spacing w:val="-1"/>
        </w:rPr>
        <w:t xml:space="preserve"> 2009; Wallace</w:t>
      </w:r>
      <w:r w:rsidR="00230F05" w:rsidRPr="00824D58">
        <w:rPr>
          <w:spacing w:val="9"/>
        </w:rPr>
        <w:t xml:space="preserve"> </w:t>
      </w:r>
      <w:r w:rsidR="00230F05" w:rsidRPr="00824D58">
        <w:rPr>
          <w:i/>
          <w:iCs/>
        </w:rPr>
        <w:t>et</w:t>
      </w:r>
      <w:r w:rsidR="00230F05" w:rsidRPr="00824D58">
        <w:rPr>
          <w:i/>
          <w:iCs/>
          <w:spacing w:val="11"/>
        </w:rPr>
        <w:t xml:space="preserve"> </w:t>
      </w:r>
      <w:r w:rsidR="00230F05" w:rsidRPr="00824D58">
        <w:rPr>
          <w:i/>
          <w:iCs/>
          <w:spacing w:val="-1"/>
        </w:rPr>
        <w:t>al.</w:t>
      </w:r>
      <w:r w:rsidR="00FD12D8" w:rsidRPr="00824D58">
        <w:rPr>
          <w:i/>
          <w:iCs/>
          <w:spacing w:val="-1"/>
        </w:rPr>
        <w:t>,</w:t>
      </w:r>
      <w:r w:rsidR="00230F05" w:rsidRPr="00824D58">
        <w:rPr>
          <w:spacing w:val="9"/>
        </w:rPr>
        <w:t xml:space="preserve"> </w:t>
      </w:r>
      <w:r w:rsidR="00230F05" w:rsidRPr="00824D58">
        <w:rPr>
          <w:spacing w:val="-1"/>
        </w:rPr>
        <w:t>2004)</w:t>
      </w:r>
      <w:r w:rsidR="00230F05" w:rsidRPr="00824D58">
        <w:t xml:space="preserve">. </w:t>
      </w:r>
    </w:p>
    <w:p w:rsidR="0031558E" w:rsidRPr="00824D58" w:rsidRDefault="0031558E" w:rsidP="00B1220B">
      <w:pPr>
        <w:pStyle w:val="BodyText"/>
        <w:spacing w:after="0"/>
      </w:pPr>
    </w:p>
    <w:p w:rsidR="00230F05" w:rsidRPr="00824D58" w:rsidRDefault="0031558E" w:rsidP="0031558E">
      <w:pPr>
        <w:pStyle w:val="BodyText"/>
        <w:spacing w:after="0"/>
      </w:pPr>
      <w:r w:rsidRPr="0031558E">
        <w:t>After that, the molecule makes its way to the nucleus, where it binds to a wide variety of distinct types of DNA and stimulates the transcription of a huge number of genes, one of which is the hepcidin gene (HAMP). In addition, freelancing routes, most notably the mitogen-activated protein kinase (MAP) route, have the potential to be utilized in the process of identifying BMPs. This may have been accomplished in the case of mitogen-activated protein kinase (p38) rout by a TGF-</w:t>
      </w:r>
      <w:r w:rsidRPr="00824D58">
        <w:rPr>
          <w:rFonts w:ascii="Symbol" w:eastAsia="Symbol" w:hAnsi="Symbol" w:cs="Symbol"/>
          <w:spacing w:val="-2"/>
        </w:rPr>
        <w:t></w:t>
      </w:r>
      <w:r>
        <w:rPr>
          <w:rFonts w:ascii="Symbol" w:eastAsia="Symbol" w:hAnsi="Symbol" w:cs="Symbol"/>
          <w:spacing w:val="-2"/>
        </w:rPr>
        <w:t></w:t>
      </w:r>
      <w:r w:rsidRPr="0031558E">
        <w:t>act</w:t>
      </w:r>
      <w:r>
        <w:t>ivated kinase 1 complex</w:t>
      </w:r>
      <w:r w:rsidR="00230F05" w:rsidRPr="00824D58">
        <w:rPr>
          <w:spacing w:val="63"/>
        </w:rPr>
        <w:t xml:space="preserve"> </w:t>
      </w:r>
      <w:r w:rsidR="00230F05" w:rsidRPr="00824D58">
        <w:rPr>
          <w:spacing w:val="-1"/>
        </w:rPr>
        <w:t>(Nohe</w:t>
      </w:r>
      <w:r w:rsidR="00230F05" w:rsidRPr="00824D58">
        <w:t xml:space="preserve"> </w:t>
      </w:r>
      <w:r w:rsidR="00230F05" w:rsidRPr="00824D58">
        <w:rPr>
          <w:i/>
          <w:iCs/>
        </w:rPr>
        <w:t>et al.,</w:t>
      </w:r>
      <w:r w:rsidR="00230F05" w:rsidRPr="00824D58">
        <w:t xml:space="preserve"> </w:t>
      </w:r>
      <w:r w:rsidR="00230F05" w:rsidRPr="00824D58">
        <w:rPr>
          <w:spacing w:val="-1"/>
        </w:rPr>
        <w:t xml:space="preserve">2003; </w:t>
      </w:r>
      <w:r w:rsidR="00230F05" w:rsidRPr="00824D58">
        <w:rPr>
          <w:shd w:val="clear" w:color="auto" w:fill="FFFFFF"/>
        </w:rPr>
        <w:t>Valore</w:t>
      </w:r>
      <w:r>
        <w:rPr>
          <w:shd w:val="clear" w:color="auto" w:fill="FFFFFF"/>
        </w:rPr>
        <w:t xml:space="preserve"> and</w:t>
      </w:r>
      <w:r w:rsidR="00230F05" w:rsidRPr="00824D58">
        <w:rPr>
          <w:shd w:val="clear" w:color="auto" w:fill="FFFFFF"/>
        </w:rPr>
        <w:t xml:space="preserve"> Ganz</w:t>
      </w:r>
      <w:r>
        <w:rPr>
          <w:shd w:val="clear" w:color="auto" w:fill="FFFFFF"/>
        </w:rPr>
        <w:t xml:space="preserve"> </w:t>
      </w:r>
      <w:r w:rsidR="00230F05" w:rsidRPr="00824D58">
        <w:rPr>
          <w:shd w:val="clear" w:color="auto" w:fill="FFFFFF"/>
        </w:rPr>
        <w:t>2008</w:t>
      </w:r>
      <w:r w:rsidR="00230F05" w:rsidRPr="00824D58">
        <w:rPr>
          <w:spacing w:val="-1"/>
        </w:rPr>
        <w:t>).</w:t>
      </w:r>
      <w:r>
        <w:rPr>
          <w:spacing w:val="-1"/>
        </w:rPr>
        <w:t xml:space="preserve"> </w:t>
      </w:r>
      <w:r w:rsidR="00230F05" w:rsidRPr="00824D58">
        <w:rPr>
          <w:spacing w:val="-2"/>
        </w:rPr>
        <w:t xml:space="preserve">SMAD4 inhibition of the liver </w:t>
      </w:r>
      <w:r w:rsidR="005D01C5" w:rsidRPr="00824D58">
        <w:rPr>
          <w:spacing w:val="-2"/>
        </w:rPr>
        <w:t xml:space="preserve">leads to fail to make the hepcidin </w:t>
      </w:r>
      <w:r w:rsidR="00230F05" w:rsidRPr="00824D58">
        <w:rPr>
          <w:spacing w:val="-2"/>
        </w:rPr>
        <w:t xml:space="preserve">and a phenotype of iron overload </w:t>
      </w:r>
      <w:r w:rsidR="00511B49" w:rsidRPr="00824D58">
        <w:rPr>
          <w:spacing w:val="-2"/>
        </w:rPr>
        <w:t xml:space="preserve">similar to that which has been observed </w:t>
      </w:r>
      <w:r w:rsidR="00230F05" w:rsidRPr="00824D58">
        <w:rPr>
          <w:spacing w:val="-2"/>
        </w:rPr>
        <w:t xml:space="preserve">in mice emerging with hepcidin. </w:t>
      </w:r>
      <w:r w:rsidR="001C3B56" w:rsidRPr="001C3B56">
        <w:rPr>
          <w:spacing w:val="-2"/>
        </w:rPr>
        <w:t>Processing with BMPs causes an increase in the production of hepcidin. The expression of a dominant negative BMP receptor or a positively regulated SMAD protein is required for hepci</w:t>
      </w:r>
      <w:r w:rsidR="001C3B56">
        <w:rPr>
          <w:spacing w:val="-2"/>
        </w:rPr>
        <w:t>din production to be controlled</w:t>
      </w:r>
      <w:r w:rsidR="00230F05" w:rsidRPr="00824D58">
        <w:rPr>
          <w:spacing w:val="-2"/>
        </w:rPr>
        <w:t xml:space="preserve"> </w:t>
      </w:r>
      <w:r w:rsidR="00230F05" w:rsidRPr="00824D58">
        <w:rPr>
          <w:spacing w:val="-1"/>
        </w:rPr>
        <w:t>(Babitt</w:t>
      </w:r>
      <w:r w:rsidR="00FD12D8" w:rsidRPr="00824D58">
        <w:rPr>
          <w:spacing w:val="-1"/>
        </w:rPr>
        <w:t xml:space="preserve"> </w:t>
      </w:r>
      <w:r w:rsidR="00230F05" w:rsidRPr="00824D58">
        <w:rPr>
          <w:i/>
          <w:iCs/>
          <w:spacing w:val="-2"/>
        </w:rPr>
        <w:t>et</w:t>
      </w:r>
      <w:r w:rsidR="00FD12D8" w:rsidRPr="00824D58">
        <w:rPr>
          <w:i/>
          <w:iCs/>
          <w:spacing w:val="-2"/>
        </w:rPr>
        <w:t xml:space="preserve"> </w:t>
      </w:r>
      <w:r w:rsidR="00230F05" w:rsidRPr="00824D58">
        <w:rPr>
          <w:i/>
          <w:iCs/>
        </w:rPr>
        <w:t>al.,</w:t>
      </w:r>
      <w:r w:rsidR="00FD12D8" w:rsidRPr="00824D58">
        <w:t xml:space="preserve"> </w:t>
      </w:r>
      <w:r w:rsidR="00230F05" w:rsidRPr="00824D58">
        <w:rPr>
          <w:spacing w:val="-1"/>
        </w:rPr>
        <w:t xml:space="preserve">2006; </w:t>
      </w:r>
      <w:r w:rsidR="00FD12D8" w:rsidRPr="00824D58">
        <w:rPr>
          <w:shd w:val="clear" w:color="auto" w:fill="FFFFFF"/>
        </w:rPr>
        <w:t xml:space="preserve">Badawy </w:t>
      </w:r>
      <w:r w:rsidR="00230F05" w:rsidRPr="00824D58">
        <w:rPr>
          <w:shd w:val="clear" w:color="auto" w:fill="FFFFFF"/>
        </w:rPr>
        <w:t>2010)</w:t>
      </w:r>
      <w:r w:rsidR="00230F05" w:rsidRPr="00824D58">
        <w:t>.</w:t>
      </w:r>
    </w:p>
    <w:p w:rsidR="004C3C0E" w:rsidRPr="00824D58" w:rsidRDefault="004C3C0E" w:rsidP="004C3C0E">
      <w:pPr>
        <w:pStyle w:val="BodyText"/>
        <w:spacing w:after="0"/>
      </w:pPr>
    </w:p>
    <w:p w:rsidR="00FD12D8" w:rsidRPr="00824D58" w:rsidRDefault="00230F05" w:rsidP="004C3C0E">
      <w:pPr>
        <w:keepNext/>
        <w:spacing w:after="0" w:line="200" w:lineRule="atLeast"/>
        <w:ind w:left="103"/>
      </w:pPr>
      <w:r w:rsidRPr="00824D58">
        <w:rPr>
          <w:rFonts w:ascii="Arial" w:eastAsia="Arial" w:hAnsi="Arial" w:cs="Arial"/>
          <w:noProof/>
          <w:sz w:val="20"/>
          <w:szCs w:val="20"/>
        </w:rPr>
        <w:drawing>
          <wp:inline distT="0" distB="0" distL="0" distR="0" wp14:anchorId="0C1CFD15" wp14:editId="4F25BBF6">
            <wp:extent cx="5297474" cy="3162245"/>
            <wp:effectExtent l="0" t="0" r="0" b="635"/>
            <wp:docPr id="2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9" cstate="print">
                      <a:duotone>
                        <a:prstClr val="black"/>
                        <a:schemeClr val="accent6">
                          <a:tint val="45000"/>
                          <a:satMod val="400000"/>
                        </a:schemeClr>
                      </a:duotone>
                    </a:blip>
                    <a:stretch>
                      <a:fillRect/>
                    </a:stretch>
                  </pic:blipFill>
                  <pic:spPr>
                    <a:xfrm>
                      <a:off x="0" y="0"/>
                      <a:ext cx="5308050" cy="3168558"/>
                    </a:xfrm>
                    <a:prstGeom prst="rect">
                      <a:avLst/>
                    </a:prstGeom>
                  </pic:spPr>
                </pic:pic>
              </a:graphicData>
            </a:graphic>
          </wp:inline>
        </w:drawing>
      </w:r>
    </w:p>
    <w:p w:rsidR="004C3C0E" w:rsidRPr="00824D58" w:rsidRDefault="004C3C0E" w:rsidP="004C3C0E">
      <w:pPr>
        <w:pStyle w:val="Caption"/>
        <w:spacing w:after="0" w:line="360" w:lineRule="auto"/>
      </w:pPr>
      <w:bookmarkStart w:id="118" w:name="_Toc60183481"/>
    </w:p>
    <w:p w:rsidR="00230F05" w:rsidRPr="00824D58" w:rsidRDefault="00FD12D8" w:rsidP="004C3C0E">
      <w:pPr>
        <w:pStyle w:val="Caption"/>
        <w:spacing w:after="0" w:line="360" w:lineRule="auto"/>
        <w:rPr>
          <w:noProof/>
        </w:rPr>
      </w:pPr>
      <w:r w:rsidRPr="00824D58">
        <w:t>Figure 2.</w:t>
      </w:r>
      <w:fldSimple w:instr=" SEQ Figure_2. \* ARABIC ">
        <w:r w:rsidR="00713623">
          <w:rPr>
            <w:noProof/>
          </w:rPr>
          <w:t>6</w:t>
        </w:r>
      </w:fldSimple>
      <w:r w:rsidRPr="00824D58">
        <w:rPr>
          <w:noProof/>
        </w:rPr>
        <w:t>. Modulation of hepcidin transcription by iron (Zhang, A. S. et al., 2011)</w:t>
      </w:r>
      <w:bookmarkEnd w:id="118"/>
    </w:p>
    <w:p w:rsidR="00230F05" w:rsidRPr="00B1220B" w:rsidRDefault="00003E13" w:rsidP="00E84DB3">
      <w:pPr>
        <w:spacing w:after="0"/>
        <w:rPr>
          <w:rFonts w:eastAsia="Arial"/>
        </w:rPr>
      </w:pPr>
      <w:r w:rsidRPr="00003E13">
        <w:rPr>
          <w:rFonts w:eastAsia="Arial"/>
        </w:rPr>
        <w:t xml:space="preserve">Numerous transport connections (Holo) are used to convey a single receptor (TfR1). TfR1 facilitates the interaction of the human hemochromatosis (HFE) protein with TfR2, which is found on the cell surface. </w:t>
      </w:r>
      <w:r w:rsidR="0031558E" w:rsidRPr="0031558E">
        <w:rPr>
          <w:rFonts w:eastAsia="Arial"/>
        </w:rPr>
        <w:t>The mechanism by which HFE and TfR2 work together synergistically to change hepcidin transcription upon contact was just recently elucidated. A rise in intracellular iron levels triggers the transcriptional expression of BMP6 in sinusoid endothelial cells (SEC) and other non-parenchymal cells.</w:t>
      </w:r>
      <w:r w:rsidRPr="00003E13">
        <w:rPr>
          <w:rFonts w:eastAsia="Arial"/>
        </w:rPr>
        <w:t xml:space="preserve"> </w:t>
      </w:r>
      <w:r w:rsidR="00E84DB3" w:rsidRPr="00E84DB3">
        <w:rPr>
          <w:rFonts w:eastAsia="Arial"/>
        </w:rPr>
        <w:t>Hepatocyte-specific BMP co-receptor hemojuvelin (HJV) interacts to both the TI and T2 BMP receptors in the BMP receptor complex when BMP6 is present. Maternal offspring phosphorylation and interaction with decapentaplegic are facilitated by the formation of the multiprotein complex on the surface of hepatocytes (SMAD).</w:t>
      </w:r>
      <w:r w:rsidRPr="00003E13">
        <w:rPr>
          <w:rFonts w:eastAsia="Arial"/>
        </w:rPr>
        <w:t xml:space="preserve"> Complications of SMAD are carried to the nucleus and activate hepcidin. Hypoxia / acute iron shortage is required to increase the activity of the transmembrane protease serine TMPRSS6, which inhibits the degradation of hepsidin mRNA by HJV. ERK; extracellular signal-regulating kinases MAPK; mitogen-activated protein kinases ERK; extracellular signal-regulating kinases ERK; extracellular signal-regulating kinases (Camaschella, C., &amp; Poggiali, E., 2011; Nemeth, E., &amp; Ganz, T., 2006).</w:t>
      </w:r>
    </w:p>
    <w:p w:rsidR="004C3C0E" w:rsidRPr="00824D58" w:rsidRDefault="004C3C0E" w:rsidP="004C3C0E">
      <w:pPr>
        <w:spacing w:after="0"/>
        <w:rPr>
          <w:rFonts w:eastAsia="Arial"/>
        </w:rPr>
      </w:pPr>
    </w:p>
    <w:p w:rsidR="00FD12D8" w:rsidRPr="00824D58" w:rsidRDefault="00230F05" w:rsidP="004C3C0E">
      <w:pPr>
        <w:keepNext/>
        <w:spacing w:after="0"/>
        <w:jc w:val="center"/>
      </w:pPr>
      <w:r w:rsidRPr="00824D58">
        <w:rPr>
          <w:rFonts w:ascii="Arial" w:eastAsia="Arial" w:hAnsi="Arial" w:cs="Arial"/>
          <w:noProof/>
        </w:rPr>
        <w:drawing>
          <wp:inline distT="0" distB="0" distL="0" distR="0" wp14:anchorId="75A8A215" wp14:editId="615EF809">
            <wp:extent cx="5353050" cy="3733800"/>
            <wp:effectExtent l="19050" t="0" r="0" b="0"/>
            <wp:docPr id="2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duotone>
                        <a:prstClr val="black"/>
                        <a:schemeClr val="accent6">
                          <a:tint val="45000"/>
                          <a:satMod val="400000"/>
                        </a:schemeClr>
                      </a:duotone>
                    </a:blip>
                    <a:stretch>
                      <a:fillRect/>
                    </a:stretch>
                  </pic:blipFill>
                  <pic:spPr>
                    <a:xfrm>
                      <a:off x="0" y="0"/>
                      <a:ext cx="5360478" cy="3738981"/>
                    </a:xfrm>
                    <a:prstGeom prst="rect">
                      <a:avLst/>
                    </a:prstGeom>
                  </pic:spPr>
                </pic:pic>
              </a:graphicData>
            </a:graphic>
          </wp:inline>
        </w:drawing>
      </w:r>
    </w:p>
    <w:p w:rsidR="00230F05" w:rsidRPr="00824D58" w:rsidRDefault="00FD12D8" w:rsidP="001C3B56">
      <w:pPr>
        <w:pStyle w:val="Caption"/>
        <w:spacing w:after="480" w:line="360" w:lineRule="auto"/>
        <w:rPr>
          <w:noProof/>
        </w:rPr>
      </w:pPr>
      <w:bookmarkStart w:id="119" w:name="_Toc60183482"/>
      <w:r w:rsidRPr="00824D58">
        <w:rPr>
          <w:b/>
          <w:bCs/>
        </w:rPr>
        <w:t>Figure 2.</w:t>
      </w:r>
      <w:r w:rsidR="008F1049" w:rsidRPr="00824D58">
        <w:rPr>
          <w:b/>
          <w:bCs/>
        </w:rPr>
        <w:fldChar w:fldCharType="begin"/>
      </w:r>
      <w:r w:rsidR="008F1049" w:rsidRPr="00824D58">
        <w:rPr>
          <w:b/>
          <w:bCs/>
        </w:rPr>
        <w:instrText xml:space="preserve"> SEQ Figure_2. \* ARABIC </w:instrText>
      </w:r>
      <w:r w:rsidR="008F1049" w:rsidRPr="00824D58">
        <w:rPr>
          <w:b/>
          <w:bCs/>
        </w:rPr>
        <w:fldChar w:fldCharType="separate"/>
      </w:r>
      <w:r w:rsidR="00713623">
        <w:rPr>
          <w:b/>
          <w:bCs/>
          <w:noProof/>
        </w:rPr>
        <w:t>7</w:t>
      </w:r>
      <w:r w:rsidR="008F1049" w:rsidRPr="00824D58">
        <w:rPr>
          <w:b/>
          <w:bCs/>
          <w:noProof/>
        </w:rPr>
        <w:fldChar w:fldCharType="end"/>
      </w:r>
      <w:r w:rsidRPr="00824D58">
        <w:rPr>
          <w:b/>
          <w:bCs/>
          <w:noProof/>
        </w:rPr>
        <w:t>.</w:t>
      </w:r>
      <w:r w:rsidRPr="00824D58">
        <w:rPr>
          <w:noProof/>
        </w:rPr>
        <w:t xml:space="preserve"> Normal distribution and storage of body </w:t>
      </w:r>
      <w:r w:rsidR="00D01D9F">
        <w:rPr>
          <w:noProof/>
        </w:rPr>
        <w:t>iron (Andrews</w:t>
      </w:r>
      <w:r w:rsidRPr="00824D58">
        <w:rPr>
          <w:noProof/>
        </w:rPr>
        <w:t xml:space="preserve"> 2008)</w:t>
      </w:r>
      <w:bookmarkEnd w:id="119"/>
    </w:p>
    <w:p w:rsidR="00230F05" w:rsidRPr="00824D58" w:rsidRDefault="00B1220B" w:rsidP="00D01D9F">
      <w:pPr>
        <w:pStyle w:val="BodyText"/>
        <w:spacing w:after="0"/>
        <w:rPr>
          <w:spacing w:val="-1"/>
        </w:rPr>
      </w:pPr>
      <w:r w:rsidRPr="00B1220B">
        <w:t>The relative ability of chosen individuals BMPs in promoting hepcidin transcription by rat primary hepatocytes is BMP9 &gt; BMP4 &gt; BMP2. BMPs have been found to function independently of the human pigment repository protein (HFE), transferrin-2 receptor (TfR2) and interleukin-6</w:t>
      </w:r>
      <w:r w:rsidR="00230F05" w:rsidRPr="00824D58">
        <w:t xml:space="preserve"> (IL-6)</w:t>
      </w:r>
      <w:r w:rsidR="00230F05" w:rsidRPr="00824D58">
        <w:rPr>
          <w:b/>
          <w:bCs/>
          <w:spacing w:val="-1"/>
        </w:rPr>
        <w:t xml:space="preserve"> </w:t>
      </w:r>
      <w:r w:rsidR="00D01D9F">
        <w:rPr>
          <w:spacing w:val="-1"/>
        </w:rPr>
        <w:t>(Truksa</w:t>
      </w:r>
      <w:r w:rsidR="00FD12D8" w:rsidRPr="00824D58">
        <w:rPr>
          <w:spacing w:val="-1"/>
        </w:rPr>
        <w:t xml:space="preserve"> </w:t>
      </w:r>
      <w:r w:rsidR="00230F05" w:rsidRPr="00824D58">
        <w:rPr>
          <w:i/>
          <w:iCs/>
        </w:rPr>
        <w:t>et</w:t>
      </w:r>
      <w:r w:rsidR="00FD12D8" w:rsidRPr="00824D58">
        <w:rPr>
          <w:i/>
          <w:iCs/>
        </w:rPr>
        <w:t xml:space="preserve"> </w:t>
      </w:r>
      <w:r w:rsidR="00230F05" w:rsidRPr="00824D58">
        <w:rPr>
          <w:i/>
          <w:iCs/>
        </w:rPr>
        <w:t>al.,</w:t>
      </w:r>
      <w:r w:rsidR="00230F05" w:rsidRPr="00824D58">
        <w:rPr>
          <w:spacing w:val="-1"/>
        </w:rPr>
        <w:t xml:space="preserve"> 2006).</w:t>
      </w:r>
    </w:p>
    <w:p w:rsidR="004C3C0E" w:rsidRPr="00824D58" w:rsidRDefault="004C3C0E" w:rsidP="004C3C0E">
      <w:pPr>
        <w:pStyle w:val="BodyText"/>
        <w:spacing w:after="0"/>
      </w:pPr>
    </w:p>
    <w:p w:rsidR="00230F05" w:rsidRPr="00824D58" w:rsidRDefault="002D4DBF" w:rsidP="00D01D9F">
      <w:pPr>
        <w:pStyle w:val="BodyText"/>
        <w:spacing w:after="0"/>
        <w:rPr>
          <w:spacing w:val="-1"/>
        </w:rPr>
      </w:pPr>
      <w:r w:rsidRPr="002D4DBF">
        <w:rPr>
          <w:rFonts w:eastAsia="Arial"/>
        </w:rPr>
        <w:t>Co-receptors are the main regulatory mechanism that facilitates or inhibits the binding of BMR ligands to their respective receptors. Members of the RGM (protein believed to be important for neurodevelopment) family, RGMb, and RGMa, have been found to act as co-receptors to enhance BMP signaling. HJV, Protein gets infected, HH begins early, 50-60% of amino acid identity is implicated, and essential building elements for both RGMa and RGMb are involved. The HJV mission has been identified as a coreceptor that increases BMP signaling through the traditional BMP pathway in the hepatocyte</w:t>
      </w:r>
      <w:r w:rsidR="00B1220B" w:rsidRPr="00B1220B">
        <w:rPr>
          <w:rFonts w:eastAsia="Arial"/>
        </w:rPr>
        <w:t xml:space="preserve"> </w:t>
      </w:r>
      <w:r w:rsidR="00230F05" w:rsidRPr="00824D58">
        <w:rPr>
          <w:spacing w:val="-1"/>
        </w:rPr>
        <w:t>(Babitt</w:t>
      </w:r>
      <w:r w:rsidR="00230F05" w:rsidRPr="00824D58">
        <w:rPr>
          <w:spacing w:val="2"/>
        </w:rPr>
        <w:t>, J. L.</w:t>
      </w:r>
      <w:r w:rsidR="00FD12D8" w:rsidRPr="00824D58">
        <w:rPr>
          <w:spacing w:val="2"/>
        </w:rPr>
        <w:t xml:space="preserve">, </w:t>
      </w:r>
      <w:r w:rsidR="00230F05" w:rsidRPr="00824D58">
        <w:rPr>
          <w:i/>
          <w:iCs/>
        </w:rPr>
        <w:t>et</w:t>
      </w:r>
      <w:r w:rsidR="00FD12D8" w:rsidRPr="00824D58">
        <w:rPr>
          <w:i/>
          <w:iCs/>
        </w:rPr>
        <w:t xml:space="preserve"> </w:t>
      </w:r>
      <w:r w:rsidR="00230F05" w:rsidRPr="00824D58">
        <w:rPr>
          <w:i/>
          <w:iCs/>
        </w:rPr>
        <w:t>al.,</w:t>
      </w:r>
      <w:r w:rsidR="00FD12D8" w:rsidRPr="00824D58">
        <w:t xml:space="preserve"> </w:t>
      </w:r>
      <w:r w:rsidR="00230F05" w:rsidRPr="00824D58">
        <w:rPr>
          <w:spacing w:val="-1"/>
        </w:rPr>
        <w:t>2006).</w:t>
      </w:r>
    </w:p>
    <w:p w:rsidR="004C3C0E" w:rsidRPr="00824D58" w:rsidRDefault="004C3C0E" w:rsidP="004C3C0E">
      <w:pPr>
        <w:pStyle w:val="BodyText"/>
        <w:spacing w:after="0"/>
        <w:rPr>
          <w:b/>
          <w:bCs/>
        </w:rPr>
      </w:pPr>
    </w:p>
    <w:p w:rsidR="00230F05" w:rsidRPr="00824D58" w:rsidRDefault="00230F05" w:rsidP="004C3C0E">
      <w:pPr>
        <w:pStyle w:val="Heading3"/>
        <w:numPr>
          <w:ilvl w:val="2"/>
          <w:numId w:val="2"/>
        </w:numPr>
        <w:spacing w:before="0" w:after="0"/>
        <w:ind w:left="567" w:hanging="567"/>
      </w:pPr>
      <w:bookmarkStart w:id="120" w:name="_Toc60183447"/>
      <w:r w:rsidRPr="00824D58">
        <w:t>Hepcidin and peripheral blood leukocytes</w:t>
      </w:r>
      <w:bookmarkEnd w:id="120"/>
    </w:p>
    <w:p w:rsidR="004C3C0E" w:rsidRPr="00824D58" w:rsidRDefault="004C3C0E" w:rsidP="004C3C0E">
      <w:pPr>
        <w:spacing w:after="0"/>
      </w:pPr>
    </w:p>
    <w:p w:rsidR="00230F05" w:rsidRPr="00824D58" w:rsidRDefault="00230F05" w:rsidP="002B2E10">
      <w:pPr>
        <w:spacing w:after="0"/>
      </w:pPr>
      <w:r w:rsidRPr="00824D58">
        <w:t xml:space="preserve">Many investigation proved the expression of hexidine by cells other than liver cells (hepatocytes), despite significantly lower levels compared with. </w:t>
      </w:r>
      <w:r w:rsidR="005F2B8C" w:rsidRPr="00824D58">
        <w:t>These cells' hepcidin may have more local than systemic effects in these tissues.</w:t>
      </w:r>
      <w:r w:rsidRPr="00824D58">
        <w:t xml:space="preserve"> </w:t>
      </w:r>
      <w:r w:rsidR="00154950" w:rsidRPr="00824D58">
        <w:t>Hepatocytes excrete the majority of hepsidine in the circulatory system, with macrophages, T-lymphocytes</w:t>
      </w:r>
      <w:r w:rsidR="00FC5CC1">
        <w:t>,&amp;</w:t>
      </w:r>
      <w:r w:rsidR="00154950" w:rsidRPr="00824D58">
        <w:t xml:space="preserve"> adipocytes excreting a smaller volume</w:t>
      </w:r>
      <w:r w:rsidRPr="00824D58">
        <w:t xml:space="preserve"> (</w:t>
      </w:r>
      <w:r w:rsidRPr="00824D58">
        <w:rPr>
          <w:shd w:val="clear" w:color="auto" w:fill="FFFFFF"/>
        </w:rPr>
        <w:t>Maliken</w:t>
      </w:r>
      <w:r w:rsidRPr="00824D58">
        <w:t xml:space="preserve"> </w:t>
      </w:r>
      <w:r w:rsidRPr="00824D58">
        <w:rPr>
          <w:i/>
          <w:iCs/>
        </w:rPr>
        <w:t>et al.,</w:t>
      </w:r>
      <w:r w:rsidRPr="00824D58">
        <w:t xml:space="preserve"> 2011).</w:t>
      </w:r>
    </w:p>
    <w:p w:rsidR="004C3C0E" w:rsidRPr="00824D58" w:rsidRDefault="004C3C0E" w:rsidP="004C3C0E">
      <w:pPr>
        <w:spacing w:after="0"/>
        <w:rPr>
          <w:b/>
          <w:bCs/>
        </w:rPr>
      </w:pPr>
    </w:p>
    <w:p w:rsidR="00230F05" w:rsidRPr="00824D58" w:rsidRDefault="00154950" w:rsidP="00E84DB3">
      <w:pPr>
        <w:spacing w:after="0"/>
        <w:rPr>
          <w:shd w:val="clear" w:color="auto" w:fill="FFFFFF"/>
        </w:rPr>
      </w:pPr>
      <w:r w:rsidRPr="00824D58">
        <w:t xml:space="preserve">Within three hours of </w:t>
      </w:r>
      <w:r w:rsidR="002D4DBF" w:rsidRPr="002D4DBF">
        <w:t>LPS or IL-6 stimulation</w:t>
      </w:r>
      <w:r w:rsidRPr="00824D58">
        <w:t>, human monocyteshepcidin mRNA expression is induced.</w:t>
      </w:r>
      <w:r w:rsidR="00230F05" w:rsidRPr="00824D58">
        <w:t xml:space="preserve"> </w:t>
      </w:r>
      <w:r w:rsidR="00E84DB3" w:rsidRPr="00E84DB3">
        <w:t>As a result of the interaction between hepcidin and its receptor ferroportin, the amount of iron that was initially present in the body was reduced. This, in turn, caused hypovolemia, a decreased ability of serum iron to bind iron, and an increase in ferritin levels above the normal range, which inhi</w:t>
      </w:r>
      <w:r w:rsidR="00E84DB3">
        <w:t>bited the expansion of microbes</w:t>
      </w:r>
      <w:r w:rsidR="00230F05" w:rsidRPr="00824D58">
        <w:rPr>
          <w:b/>
          <w:bCs/>
        </w:rPr>
        <w:t xml:space="preserve"> </w:t>
      </w:r>
      <w:r w:rsidR="00230F05" w:rsidRPr="00824D58">
        <w:t>(</w:t>
      </w:r>
      <w:r w:rsidR="00230F05" w:rsidRPr="00824D58">
        <w:rPr>
          <w:shd w:val="clear" w:color="auto" w:fill="FFFFFF"/>
        </w:rPr>
        <w:t xml:space="preserve">Theurl </w:t>
      </w:r>
      <w:r w:rsidR="00230F05" w:rsidRPr="00824D58">
        <w:rPr>
          <w:i/>
          <w:iCs/>
          <w:shd w:val="clear" w:color="auto" w:fill="FFFFFF"/>
        </w:rPr>
        <w:t>et al.,</w:t>
      </w:r>
      <w:r w:rsidR="00230F05" w:rsidRPr="00824D58">
        <w:rPr>
          <w:shd w:val="clear" w:color="auto" w:fill="FFFFFF"/>
        </w:rPr>
        <w:t xml:space="preserve"> 2008).</w:t>
      </w:r>
    </w:p>
    <w:p w:rsidR="004C3C0E" w:rsidRPr="00824D58" w:rsidRDefault="004C3C0E" w:rsidP="004C3C0E">
      <w:pPr>
        <w:spacing w:after="0"/>
      </w:pPr>
    </w:p>
    <w:p w:rsidR="00230F05" w:rsidRPr="00824D58" w:rsidRDefault="00230F05" w:rsidP="002B2E10">
      <w:pPr>
        <w:spacing w:after="0"/>
      </w:pPr>
      <w:r w:rsidRPr="00824D58">
        <w:t xml:space="preserve">Another investigator proved the role of hepcidin in the biology of lymphocytes. </w:t>
      </w:r>
      <w:r w:rsidR="004204CC" w:rsidRPr="00824D58">
        <w:t>The</w:t>
      </w:r>
      <w:r w:rsidRPr="00824D58">
        <w:t xml:space="preserve"> term hepcidin in peripheral blood ly</w:t>
      </w:r>
      <w:r w:rsidR="004204CC" w:rsidRPr="00824D58">
        <w:t>mphocyte (PBLs) was described s</w:t>
      </w:r>
      <w:r w:rsidRPr="00824D58">
        <w:t xml:space="preserve"> and proved that it </w:t>
      </w:r>
      <w:r w:rsidR="00B1220B" w:rsidRPr="00B1220B">
        <w:t xml:space="preserve">A positive following laboratory T-lymphocyte activation (Pinto et al., 2010). The expression and signal mechanism that control the expression of hexidine mRNA in peripheral white blood cells has recently been found (leukocytes). Previous in vivo investigations found that NF-kB is a critical mediator for the production of hexidine in LPS-induced peripheral </w:t>
      </w:r>
      <w:r w:rsidR="002B2E10">
        <w:t>blood cells (leukocytes)</w:t>
      </w:r>
      <w:r w:rsidR="00B1220B" w:rsidRPr="00B1220B">
        <w:t xml:space="preserve"> </w:t>
      </w:r>
      <w:r w:rsidRPr="00824D58">
        <w:t xml:space="preserve">(Wu </w:t>
      </w:r>
      <w:r w:rsidRPr="00824D58">
        <w:rPr>
          <w:i/>
          <w:iCs/>
        </w:rPr>
        <w:t>et al.,</w:t>
      </w:r>
      <w:r w:rsidRPr="00824D58">
        <w:t xml:space="preserve"> 2012).</w:t>
      </w:r>
    </w:p>
    <w:p w:rsidR="004C3C0E" w:rsidRPr="00824D58" w:rsidRDefault="004C3C0E" w:rsidP="004C3C0E">
      <w:pPr>
        <w:spacing w:after="0"/>
      </w:pPr>
    </w:p>
    <w:p w:rsidR="00230F05" w:rsidRPr="00824D58" w:rsidRDefault="00BF4018" w:rsidP="004C3C0E">
      <w:pPr>
        <w:pStyle w:val="Heading3"/>
        <w:numPr>
          <w:ilvl w:val="2"/>
          <w:numId w:val="2"/>
        </w:numPr>
        <w:spacing w:before="0" w:after="0"/>
        <w:ind w:left="709" w:hanging="709"/>
      </w:pPr>
      <w:bookmarkStart w:id="121" w:name="_Toc60183448"/>
      <w:r w:rsidRPr="00824D58">
        <w:t>Reg</w:t>
      </w:r>
      <w:r w:rsidR="00230F05" w:rsidRPr="00824D58">
        <w:t>ulation of Hepcidin</w:t>
      </w:r>
      <w:bookmarkEnd w:id="121"/>
    </w:p>
    <w:p w:rsidR="004C3C0E" w:rsidRPr="00824D58" w:rsidRDefault="004C3C0E" w:rsidP="004C3C0E">
      <w:pPr>
        <w:spacing w:after="0"/>
      </w:pPr>
    </w:p>
    <w:p w:rsidR="004C3C0E" w:rsidRDefault="000D6263" w:rsidP="003E595B">
      <w:pPr>
        <w:pStyle w:val="BodyText"/>
        <w:spacing w:after="0"/>
      </w:pPr>
      <w:r w:rsidRPr="00824D58">
        <w:t xml:space="preserve">Because of the fundamental function of </w:t>
      </w:r>
      <w:r w:rsidR="003E595B" w:rsidRPr="003E595B">
        <w:t>Hepatic hepcidin has been researched extensively since it was identified in maintaining systemic iron homeostasis, ways to orgnize hepcidin. Mechanisms have been identified that positive and negative regulation of peptide hormone based on the needs for hepcidin and hepatic iron levels.</w:t>
      </w:r>
    </w:p>
    <w:p w:rsidR="009376D6" w:rsidRPr="00824D58" w:rsidRDefault="009376D6" w:rsidP="003E595B">
      <w:pPr>
        <w:pStyle w:val="BodyText"/>
        <w:spacing w:after="0"/>
      </w:pPr>
    </w:p>
    <w:p w:rsidR="00230F05" w:rsidRPr="00824D58" w:rsidRDefault="00230F05" w:rsidP="004C3C0E">
      <w:pPr>
        <w:pStyle w:val="Heading4"/>
        <w:numPr>
          <w:ilvl w:val="3"/>
          <w:numId w:val="2"/>
        </w:numPr>
        <w:spacing w:before="0"/>
        <w:ind w:left="851" w:hanging="851"/>
      </w:pPr>
      <w:r w:rsidRPr="00824D58">
        <w:t xml:space="preserve">Positive Regulation </w:t>
      </w:r>
    </w:p>
    <w:p w:rsidR="004C3C0E" w:rsidRPr="00824D58" w:rsidRDefault="004C3C0E" w:rsidP="004C3C0E">
      <w:pPr>
        <w:spacing w:after="0"/>
      </w:pPr>
    </w:p>
    <w:p w:rsidR="00230F05" w:rsidRPr="00824D58" w:rsidRDefault="00154950" w:rsidP="004C3C0E">
      <w:pPr>
        <w:pStyle w:val="BodyText"/>
        <w:spacing w:after="0"/>
        <w:rPr>
          <w:spacing w:val="-1"/>
        </w:rPr>
      </w:pPr>
      <w:r w:rsidRPr="00824D58">
        <w:rPr>
          <w:spacing w:val="-1"/>
        </w:rPr>
        <w:t xml:space="preserve">With a view to </w:t>
      </w:r>
      <w:r w:rsidR="00230F05" w:rsidRPr="00824D58">
        <w:rPr>
          <w:spacing w:val="-1"/>
        </w:rPr>
        <w:t>decrease the outflow of iron for</w:t>
      </w:r>
      <w:r w:rsidR="00BF4018" w:rsidRPr="00824D58">
        <w:rPr>
          <w:spacing w:val="-1"/>
        </w:rPr>
        <w:t xml:space="preserve"> </w:t>
      </w:r>
      <w:r w:rsidR="00230F05" w:rsidRPr="00824D58">
        <w:rPr>
          <w:spacing w:val="-1"/>
        </w:rPr>
        <w:t xml:space="preserve">both of the macrophages and intestinal enterocytes, the production of hepcidin must be raised to decrease iron values in the circulation of the blood. to obtain that aim, </w:t>
      </w:r>
      <w:r w:rsidRPr="00824D58">
        <w:rPr>
          <w:spacing w:val="-1"/>
        </w:rPr>
        <w:t>the iron regulates hepcidin in a constructive way</w:t>
      </w:r>
      <w:r w:rsidR="00230F05" w:rsidRPr="00824D58">
        <w:rPr>
          <w:spacing w:val="-1"/>
        </w:rPr>
        <w:t xml:space="preserve"> through a rout that includes the rout of bone morphogenic protein (BMP) and components of </w:t>
      </w:r>
      <w:r w:rsidRPr="00824D58">
        <w:rPr>
          <w:spacing w:val="-1"/>
        </w:rPr>
        <w:t>the downstream</w:t>
      </w:r>
      <w:r w:rsidR="00230F05" w:rsidRPr="00824D58">
        <w:rPr>
          <w:spacing w:val="-1"/>
        </w:rPr>
        <w:t xml:space="preserve"> signaling, SMA and mothers against decapentaplegic vertebrate homologs (SMADs)</w:t>
      </w:r>
      <w:r w:rsidR="00230F05" w:rsidRPr="00824D58">
        <w:rPr>
          <w:b/>
          <w:bCs/>
          <w:spacing w:val="-1"/>
        </w:rPr>
        <w:t xml:space="preserve"> </w:t>
      </w:r>
      <w:r w:rsidR="00230F05" w:rsidRPr="00824D58">
        <w:rPr>
          <w:spacing w:val="-1"/>
        </w:rPr>
        <w:t>(</w:t>
      </w:r>
      <w:r w:rsidR="00230F05" w:rsidRPr="00824D58">
        <w:rPr>
          <w:shd w:val="clear" w:color="auto" w:fill="FFFFFF"/>
        </w:rPr>
        <w:t>Miyazono, K</w:t>
      </w:r>
      <w:r w:rsidR="00230F05" w:rsidRPr="00824D58">
        <w:rPr>
          <w:spacing w:val="-1"/>
        </w:rPr>
        <w:t xml:space="preserve">. </w:t>
      </w:r>
      <w:r w:rsidR="00230F05" w:rsidRPr="00824D58">
        <w:rPr>
          <w:i/>
          <w:iCs/>
          <w:spacing w:val="-1"/>
        </w:rPr>
        <w:t>et al.,</w:t>
      </w:r>
      <w:r w:rsidR="00230F05" w:rsidRPr="00824D58">
        <w:rPr>
          <w:spacing w:val="-1"/>
        </w:rPr>
        <w:t xml:space="preserve"> 2010).</w:t>
      </w:r>
    </w:p>
    <w:p w:rsidR="004C3C0E" w:rsidRPr="00824D58" w:rsidRDefault="004C3C0E" w:rsidP="004C3C0E">
      <w:pPr>
        <w:pStyle w:val="BodyText"/>
        <w:spacing w:after="0"/>
        <w:rPr>
          <w:spacing w:val="-1"/>
        </w:rPr>
      </w:pPr>
    </w:p>
    <w:p w:rsidR="00230F05" w:rsidRPr="00824D58" w:rsidRDefault="00796E1E" w:rsidP="00796E1E">
      <w:pPr>
        <w:pStyle w:val="BodyText"/>
        <w:spacing w:after="240"/>
        <w:ind w:right="179"/>
        <w:rPr>
          <w:spacing w:val="61"/>
        </w:rPr>
      </w:pPr>
      <w:r w:rsidRPr="00824D58">
        <w:rPr>
          <w:spacing w:val="-1"/>
        </w:rPr>
        <w:t>The transforming growth factor beta (TGF-) superfamily includes the BMPs as a subfamily</w:t>
      </w:r>
      <w:r w:rsidR="00230F05" w:rsidRPr="00824D58">
        <w:rPr>
          <w:spacing w:val="-1"/>
        </w:rPr>
        <w:t>,</w:t>
      </w:r>
      <w:r w:rsidR="00230F05" w:rsidRPr="00824D58">
        <w:t xml:space="preserve"> that response of controlling a variation range of growth factor functions, for example the bone formation. </w:t>
      </w:r>
      <w:r w:rsidRPr="00824D58">
        <w:t>When hepatocyte-specific SMAD4 knockout mice with a serious iron overload phenotype were discovered, the correlation between iron homeostasis and BMP rout was discovered.</w:t>
      </w:r>
      <w:r w:rsidR="00230F05" w:rsidRPr="00824D58">
        <w:rPr>
          <w:spacing w:val="-1"/>
        </w:rPr>
        <w:t xml:space="preserve"> It</w:t>
      </w:r>
      <w:r w:rsidR="00230F05" w:rsidRPr="00824D58">
        <w:rPr>
          <w:spacing w:val="2"/>
        </w:rPr>
        <w:t xml:space="preserve"> </w:t>
      </w:r>
      <w:r w:rsidR="00230F05" w:rsidRPr="00824D58">
        <w:rPr>
          <w:spacing w:val="-2"/>
        </w:rPr>
        <w:t>was</w:t>
      </w:r>
      <w:r w:rsidR="00230F05" w:rsidRPr="00824D58">
        <w:t xml:space="preserve"> </w:t>
      </w:r>
      <w:r w:rsidR="00230F05" w:rsidRPr="00824D58">
        <w:rPr>
          <w:spacing w:val="-1"/>
        </w:rPr>
        <w:t>found</w:t>
      </w:r>
      <w:r w:rsidR="00230F05" w:rsidRPr="00824D58">
        <w:t xml:space="preserve"> </w:t>
      </w:r>
      <w:r w:rsidR="00230F05" w:rsidRPr="00824D58">
        <w:rPr>
          <w:spacing w:val="-1"/>
        </w:rPr>
        <w:t>in</w:t>
      </w:r>
      <w:r w:rsidR="00230F05" w:rsidRPr="00824D58">
        <w:t xml:space="preserve"> the</w:t>
      </w:r>
      <w:r w:rsidR="00230F05" w:rsidRPr="00824D58">
        <w:rPr>
          <w:spacing w:val="-2"/>
        </w:rPr>
        <w:t xml:space="preserve"> livers</w:t>
      </w:r>
      <w:r w:rsidR="00230F05" w:rsidRPr="00824D58">
        <w:rPr>
          <w:spacing w:val="1"/>
        </w:rPr>
        <w:t xml:space="preserve"> </w:t>
      </w:r>
      <w:r w:rsidR="00230F05" w:rsidRPr="00824D58">
        <w:rPr>
          <w:spacing w:val="-1"/>
        </w:rPr>
        <w:t>of these animals about</w:t>
      </w:r>
      <w:r w:rsidR="00230F05" w:rsidRPr="00824D58">
        <w:rPr>
          <w:spacing w:val="61"/>
        </w:rPr>
        <w:t xml:space="preserve"> </w:t>
      </w:r>
      <w:r w:rsidR="00230F05" w:rsidRPr="00824D58">
        <w:t xml:space="preserve">a </w:t>
      </w:r>
      <w:r w:rsidR="00230F05" w:rsidRPr="00824D58">
        <w:rPr>
          <w:spacing w:val="-1"/>
        </w:rPr>
        <w:t>100-fold</w:t>
      </w:r>
      <w:r w:rsidR="00230F05" w:rsidRPr="00824D58">
        <w:t xml:space="preserve"> </w:t>
      </w:r>
      <w:r w:rsidR="00230F05" w:rsidRPr="00824D58">
        <w:rPr>
          <w:spacing w:val="-1"/>
        </w:rPr>
        <w:t>lessening</w:t>
      </w:r>
      <w:r w:rsidR="00230F05" w:rsidRPr="00824D58">
        <w:t xml:space="preserve"> </w:t>
      </w:r>
      <w:r w:rsidR="00230F05" w:rsidRPr="00824D58">
        <w:rPr>
          <w:spacing w:val="-1"/>
        </w:rPr>
        <w:t>in</w:t>
      </w:r>
      <w:r w:rsidR="00230F05" w:rsidRPr="00824D58">
        <w:t xml:space="preserve"> </w:t>
      </w:r>
      <w:r w:rsidR="00230F05" w:rsidRPr="00824D58">
        <w:rPr>
          <w:spacing w:val="-1"/>
        </w:rPr>
        <w:t>hepatic</w:t>
      </w:r>
      <w:r w:rsidR="00230F05" w:rsidRPr="00824D58">
        <w:t xml:space="preserve"> </w:t>
      </w:r>
      <w:r w:rsidR="00230F05" w:rsidRPr="00824D58">
        <w:rPr>
          <w:spacing w:val="-1"/>
        </w:rPr>
        <w:t>hepcidin</w:t>
      </w:r>
      <w:r w:rsidR="00230F05" w:rsidRPr="00824D58">
        <w:rPr>
          <w:spacing w:val="-2"/>
        </w:rPr>
        <w:t xml:space="preserve"> </w:t>
      </w:r>
      <w:r w:rsidR="00230F05" w:rsidRPr="00824D58">
        <w:rPr>
          <w:spacing w:val="-1"/>
        </w:rPr>
        <w:t>mRNA, that leads</w:t>
      </w:r>
      <w:r w:rsidR="00230F05" w:rsidRPr="00824D58">
        <w:t xml:space="preserve"> the</w:t>
      </w:r>
      <w:r w:rsidR="00230F05" w:rsidRPr="00824D58">
        <w:rPr>
          <w:spacing w:val="-2"/>
        </w:rPr>
        <w:t xml:space="preserve"> </w:t>
      </w:r>
      <w:r w:rsidR="00230F05" w:rsidRPr="00824D58">
        <w:rPr>
          <w:spacing w:val="-1"/>
        </w:rPr>
        <w:t>role</w:t>
      </w:r>
      <w:r w:rsidR="00230F05" w:rsidRPr="00824D58">
        <w:t xml:space="preserve"> </w:t>
      </w:r>
      <w:r w:rsidR="00230F05" w:rsidRPr="00824D58">
        <w:rPr>
          <w:spacing w:val="-2"/>
        </w:rPr>
        <w:t>of</w:t>
      </w:r>
      <w:r w:rsidR="00230F05" w:rsidRPr="00824D58">
        <w:rPr>
          <w:spacing w:val="65"/>
        </w:rPr>
        <w:t xml:space="preserve"> </w:t>
      </w:r>
      <w:r w:rsidR="00230F05" w:rsidRPr="00824D58">
        <w:rPr>
          <w:spacing w:val="-2"/>
        </w:rPr>
        <w:t>SMAD4</w:t>
      </w:r>
      <w:r w:rsidR="00230F05" w:rsidRPr="00824D58">
        <w:t xml:space="preserve"> as</w:t>
      </w:r>
      <w:r w:rsidR="00230F05" w:rsidRPr="00824D58">
        <w:rPr>
          <w:spacing w:val="1"/>
        </w:rPr>
        <w:t xml:space="preserve"> </w:t>
      </w:r>
      <w:r w:rsidR="00230F05" w:rsidRPr="00824D58">
        <w:t xml:space="preserve">an </w:t>
      </w:r>
      <w:r w:rsidR="00230F05" w:rsidRPr="00824D58">
        <w:rPr>
          <w:spacing w:val="-1"/>
        </w:rPr>
        <w:t>hepcidin regulator for the fundamental transcriptional (</w:t>
      </w:r>
      <w:r w:rsidR="00230F05" w:rsidRPr="00824D58">
        <w:rPr>
          <w:shd w:val="clear" w:color="auto" w:fill="FFFFFF"/>
        </w:rPr>
        <w:t>Wang, R. H.</w:t>
      </w:r>
      <w:r w:rsidR="00230F05" w:rsidRPr="00824D58">
        <w:rPr>
          <w:spacing w:val="-1"/>
        </w:rPr>
        <w:t xml:space="preserve">, </w:t>
      </w:r>
      <w:r w:rsidR="00230F05" w:rsidRPr="00824D58">
        <w:rPr>
          <w:i/>
          <w:iCs/>
          <w:spacing w:val="-1"/>
        </w:rPr>
        <w:t>et al.,</w:t>
      </w:r>
      <w:r w:rsidR="00230F05" w:rsidRPr="00824D58">
        <w:rPr>
          <w:spacing w:val="-1"/>
        </w:rPr>
        <w:t xml:space="preserve"> 2005).</w:t>
      </w:r>
    </w:p>
    <w:p w:rsidR="00230F05" w:rsidRPr="00824D58" w:rsidRDefault="00230F05" w:rsidP="004C3C0E">
      <w:pPr>
        <w:pStyle w:val="BodyText"/>
        <w:spacing w:after="0"/>
      </w:pPr>
      <w:r w:rsidRPr="00824D58">
        <w:rPr>
          <w:spacing w:val="-1"/>
        </w:rPr>
        <w:t>After that,</w:t>
      </w:r>
      <w:r w:rsidRPr="00824D58">
        <w:rPr>
          <w:spacing w:val="-3"/>
        </w:rPr>
        <w:t xml:space="preserve"> </w:t>
      </w:r>
      <w:r w:rsidRPr="00824D58">
        <w:rPr>
          <w:spacing w:val="-1"/>
        </w:rPr>
        <w:t>many</w:t>
      </w:r>
      <w:r w:rsidRPr="00824D58">
        <w:rPr>
          <w:spacing w:val="-2"/>
        </w:rPr>
        <w:t xml:space="preserve"> </w:t>
      </w:r>
      <w:r w:rsidRPr="00824D58">
        <w:rPr>
          <w:spacing w:val="-1"/>
        </w:rPr>
        <w:t>investigations</w:t>
      </w:r>
      <w:r w:rsidRPr="00824D58">
        <w:t xml:space="preserve"> </w:t>
      </w:r>
      <w:r w:rsidRPr="00824D58">
        <w:rPr>
          <w:spacing w:val="-1"/>
        </w:rPr>
        <w:t>seen</w:t>
      </w:r>
      <w:r w:rsidRPr="00824D58">
        <w:rPr>
          <w:spacing w:val="-2"/>
        </w:rPr>
        <w:t xml:space="preserve"> </w:t>
      </w:r>
      <w:r w:rsidRPr="00824D58">
        <w:rPr>
          <w:spacing w:val="-1"/>
        </w:rPr>
        <w:t xml:space="preserve">that </w:t>
      </w:r>
      <w:r w:rsidRPr="00824D58">
        <w:rPr>
          <w:spacing w:val="-2"/>
        </w:rPr>
        <w:t>BMPs</w:t>
      </w:r>
      <w:r w:rsidRPr="00824D58">
        <w:rPr>
          <w:spacing w:val="3"/>
        </w:rPr>
        <w:t xml:space="preserve"> </w:t>
      </w:r>
      <w:r w:rsidRPr="00824D58">
        <w:rPr>
          <w:spacing w:val="-1"/>
        </w:rPr>
        <w:t>and</w:t>
      </w:r>
      <w:r w:rsidRPr="00824D58">
        <w:t xml:space="preserve"> the</w:t>
      </w:r>
      <w:r w:rsidRPr="00824D58">
        <w:rPr>
          <w:spacing w:val="-5"/>
        </w:rPr>
        <w:t xml:space="preserve"> </w:t>
      </w:r>
      <w:r w:rsidRPr="00824D58">
        <w:t>TGF</w:t>
      </w:r>
      <w:r w:rsidR="00E84DB3">
        <w:t>-</w:t>
      </w:r>
      <w:r w:rsidRPr="00824D58">
        <w:t>β</w:t>
      </w:r>
      <w:r w:rsidRPr="00824D58">
        <w:rPr>
          <w:spacing w:val="-1"/>
        </w:rPr>
        <w:t xml:space="preserve"> family ligands</w:t>
      </w:r>
      <w:r w:rsidRPr="00824D58">
        <w:rPr>
          <w:spacing w:val="-2"/>
        </w:rPr>
        <w:t xml:space="preserve"> </w:t>
      </w:r>
      <w:r w:rsidRPr="00824D58">
        <w:t>are</w:t>
      </w:r>
      <w:r w:rsidRPr="00824D58">
        <w:rPr>
          <w:spacing w:val="1"/>
        </w:rPr>
        <w:t xml:space="preserve"> </w:t>
      </w:r>
      <w:r w:rsidRPr="00824D58">
        <w:rPr>
          <w:spacing w:val="-1"/>
        </w:rPr>
        <w:t>able</w:t>
      </w:r>
      <w:r w:rsidRPr="00824D58">
        <w:rPr>
          <w:spacing w:val="-2"/>
        </w:rPr>
        <w:t xml:space="preserve"> of</w:t>
      </w:r>
      <w:r w:rsidRPr="00824D58">
        <w:rPr>
          <w:spacing w:val="2"/>
        </w:rPr>
        <w:t xml:space="preserve"> </w:t>
      </w:r>
      <w:r w:rsidRPr="00824D58">
        <w:rPr>
          <w:spacing w:val="-1"/>
        </w:rPr>
        <w:t>motivating hepcidin</w:t>
      </w:r>
      <w:r w:rsidRPr="00824D58">
        <w:rPr>
          <w:spacing w:val="65"/>
        </w:rPr>
        <w:t xml:space="preserve"> </w:t>
      </w:r>
      <w:r w:rsidRPr="00824D58">
        <w:rPr>
          <w:spacing w:val="-1"/>
        </w:rPr>
        <w:t>illustration</w:t>
      </w:r>
      <w:r w:rsidRPr="00824D58">
        <w:t xml:space="preserve"> </w:t>
      </w:r>
      <w:r w:rsidRPr="00824D58">
        <w:rPr>
          <w:spacing w:val="-1"/>
        </w:rPr>
        <w:t>in</w:t>
      </w:r>
      <w:r w:rsidRPr="00824D58">
        <w:t xml:space="preserve"> </w:t>
      </w:r>
      <w:r w:rsidRPr="00824D58">
        <w:rPr>
          <w:spacing w:val="-1"/>
        </w:rPr>
        <w:t>hepatocytes</w:t>
      </w:r>
      <w:r w:rsidRPr="00824D58">
        <w:rPr>
          <w:spacing w:val="1"/>
        </w:rPr>
        <w:t xml:space="preserve"> </w:t>
      </w:r>
      <w:r w:rsidR="00C2265A" w:rsidRPr="00824D58">
        <w:rPr>
          <w:spacing w:val="-1"/>
        </w:rPr>
        <w:t>and else cell kinds</w:t>
      </w:r>
      <w:r w:rsidRPr="00824D58">
        <w:t>.</w:t>
      </w:r>
      <w:r w:rsidRPr="00824D58">
        <w:rPr>
          <w:spacing w:val="61"/>
        </w:rPr>
        <w:t xml:space="preserve"> </w:t>
      </w:r>
      <w:r w:rsidRPr="00824D58">
        <w:rPr>
          <w:spacing w:val="-2"/>
        </w:rPr>
        <w:t>However,</w:t>
      </w:r>
      <w:r w:rsidRPr="00824D58">
        <w:rPr>
          <w:spacing w:val="2"/>
        </w:rPr>
        <w:t xml:space="preserve"> </w:t>
      </w:r>
      <w:r w:rsidRPr="00824D58">
        <w:rPr>
          <w:spacing w:val="-1"/>
        </w:rPr>
        <w:t>that investigations</w:t>
      </w:r>
      <w:r w:rsidRPr="00824D58">
        <w:rPr>
          <w:spacing w:val="1"/>
        </w:rPr>
        <w:t xml:space="preserve"> </w:t>
      </w:r>
      <w:r w:rsidRPr="00824D58">
        <w:rPr>
          <w:spacing w:val="-1"/>
        </w:rPr>
        <w:t>determined the</w:t>
      </w:r>
      <w:r w:rsidRPr="00824D58">
        <w:rPr>
          <w:spacing w:val="67"/>
        </w:rPr>
        <w:t xml:space="preserve"> </w:t>
      </w:r>
      <w:r w:rsidRPr="00824D58">
        <w:rPr>
          <w:spacing w:val="-1"/>
        </w:rPr>
        <w:t>BMP6</w:t>
      </w:r>
      <w:r w:rsidRPr="00824D58">
        <w:t xml:space="preserve"> as</w:t>
      </w:r>
      <w:r w:rsidRPr="00824D58">
        <w:rPr>
          <w:spacing w:val="1"/>
        </w:rPr>
        <w:t xml:space="preserve"> </w:t>
      </w:r>
      <w:r w:rsidRPr="00824D58">
        <w:t>the</w:t>
      </w:r>
      <w:r w:rsidRPr="00824D58">
        <w:rPr>
          <w:spacing w:val="-2"/>
        </w:rPr>
        <w:t xml:space="preserve"> </w:t>
      </w:r>
      <w:r w:rsidRPr="00824D58">
        <w:rPr>
          <w:spacing w:val="-1"/>
        </w:rPr>
        <w:t>main</w:t>
      </w:r>
      <w:r w:rsidRPr="00824D58">
        <w:rPr>
          <w:spacing w:val="-2"/>
        </w:rPr>
        <w:t xml:space="preserve"> </w:t>
      </w:r>
      <w:r w:rsidRPr="00824D58">
        <w:rPr>
          <w:spacing w:val="-1"/>
        </w:rPr>
        <w:t>positive</w:t>
      </w:r>
      <w:r w:rsidRPr="00824D58">
        <w:t xml:space="preserve"> </w:t>
      </w:r>
      <w:r w:rsidRPr="00824D58">
        <w:rPr>
          <w:spacing w:val="-1"/>
        </w:rPr>
        <w:t>regulation ligand</w:t>
      </w:r>
      <w:r w:rsidRPr="00824D58">
        <w:rPr>
          <w:i/>
          <w:spacing w:val="-1"/>
        </w:rPr>
        <w:t xml:space="preserve"> in</w:t>
      </w:r>
      <w:r w:rsidRPr="00824D58">
        <w:rPr>
          <w:i/>
          <w:spacing w:val="-2"/>
        </w:rPr>
        <w:t xml:space="preserve"> </w:t>
      </w:r>
      <w:r w:rsidRPr="00824D58">
        <w:rPr>
          <w:i/>
          <w:spacing w:val="-1"/>
        </w:rPr>
        <w:t>vivo</w:t>
      </w:r>
      <w:r w:rsidRPr="00824D58">
        <w:rPr>
          <w:spacing w:val="-4"/>
        </w:rPr>
        <w:t xml:space="preserve"> </w:t>
      </w:r>
      <w:r w:rsidRPr="00824D58">
        <w:rPr>
          <w:spacing w:val="-2"/>
        </w:rPr>
        <w:t>of</w:t>
      </w:r>
      <w:r w:rsidRPr="00824D58">
        <w:rPr>
          <w:spacing w:val="2"/>
        </w:rPr>
        <w:t xml:space="preserve"> the </w:t>
      </w:r>
      <w:r w:rsidRPr="00824D58">
        <w:rPr>
          <w:spacing w:val="-1"/>
        </w:rPr>
        <w:t>hepcidin</w:t>
      </w:r>
      <w:r w:rsidRPr="00824D58">
        <w:t xml:space="preserve"> </w:t>
      </w:r>
      <w:r w:rsidRPr="00824D58">
        <w:rPr>
          <w:spacing w:val="-1"/>
        </w:rPr>
        <w:t>transcription</w:t>
      </w:r>
      <w:r w:rsidRPr="00824D58">
        <w:t xml:space="preserve"> by</w:t>
      </w:r>
      <w:r w:rsidRPr="00824D58">
        <w:rPr>
          <w:spacing w:val="-2"/>
        </w:rPr>
        <w:t xml:space="preserve"> </w:t>
      </w:r>
      <w:r w:rsidRPr="00824D58">
        <w:rPr>
          <w:spacing w:val="-1"/>
        </w:rPr>
        <w:t>iron.</w:t>
      </w:r>
      <w:r w:rsidRPr="00824D58">
        <w:rPr>
          <w:spacing w:val="47"/>
        </w:rPr>
        <w:t xml:space="preserve"> </w:t>
      </w:r>
      <w:r w:rsidRPr="00824D58">
        <w:t>The exact mechanism by which iron is stimulated</w:t>
      </w:r>
      <w:r w:rsidRPr="00824D58">
        <w:rPr>
          <w:spacing w:val="1"/>
        </w:rPr>
        <w:t xml:space="preserve"> </w:t>
      </w:r>
      <w:r w:rsidRPr="00824D58">
        <w:rPr>
          <w:spacing w:val="-2"/>
        </w:rPr>
        <w:t>BMPs</w:t>
      </w:r>
      <w:r w:rsidRPr="00824D58">
        <w:rPr>
          <w:spacing w:val="3"/>
        </w:rPr>
        <w:t xml:space="preserve"> </w:t>
      </w:r>
      <w:r w:rsidRPr="00824D58">
        <w:t xml:space="preserve">and the </w:t>
      </w:r>
      <w:r w:rsidRPr="00824D58">
        <w:rPr>
          <w:spacing w:val="-1"/>
        </w:rPr>
        <w:t>cell</w:t>
      </w:r>
      <w:r w:rsidRPr="00824D58">
        <w:rPr>
          <w:spacing w:val="-3"/>
        </w:rPr>
        <w:t xml:space="preserve"> </w:t>
      </w:r>
      <w:r w:rsidRPr="00824D58">
        <w:rPr>
          <w:spacing w:val="-2"/>
        </w:rPr>
        <w:t>type</w:t>
      </w:r>
      <w:r w:rsidRPr="00824D58">
        <w:t xml:space="preserve"> </w:t>
      </w:r>
      <w:r w:rsidR="00D513B8" w:rsidRPr="00824D58">
        <w:rPr>
          <w:spacing w:val="-1"/>
        </w:rPr>
        <w:t>provenance</w:t>
      </w:r>
      <w:r w:rsidRPr="00824D58">
        <w:t xml:space="preserve"> </w:t>
      </w:r>
      <w:r w:rsidRPr="00824D58">
        <w:rPr>
          <w:spacing w:val="-2"/>
        </w:rPr>
        <w:t>of</w:t>
      </w:r>
      <w:r w:rsidRPr="00824D58">
        <w:rPr>
          <w:spacing w:val="2"/>
        </w:rPr>
        <w:t xml:space="preserve"> </w:t>
      </w:r>
      <w:r w:rsidRPr="00824D58">
        <w:rPr>
          <w:spacing w:val="-2"/>
        </w:rPr>
        <w:t>BMPs</w:t>
      </w:r>
      <w:r w:rsidRPr="00824D58">
        <w:t xml:space="preserve"> remains </w:t>
      </w:r>
      <w:r w:rsidRPr="00824D58">
        <w:rPr>
          <w:spacing w:val="-2"/>
        </w:rPr>
        <w:t>unknown</w:t>
      </w:r>
      <w:r w:rsidRPr="00824D58">
        <w:rPr>
          <w:spacing w:val="1"/>
        </w:rPr>
        <w:t xml:space="preserve"> for</w:t>
      </w:r>
      <w:r w:rsidRPr="00824D58">
        <w:rPr>
          <w:spacing w:val="63"/>
        </w:rPr>
        <w:t xml:space="preserve"> </w:t>
      </w:r>
      <w:r w:rsidRPr="00824D58">
        <w:rPr>
          <w:spacing w:val="-1"/>
        </w:rPr>
        <w:t>hepcidin positive</w:t>
      </w:r>
      <w:r w:rsidRPr="00824D58">
        <w:t xml:space="preserve"> </w:t>
      </w:r>
      <w:r w:rsidRPr="00824D58">
        <w:rPr>
          <w:spacing w:val="-1"/>
        </w:rPr>
        <w:t>regulation (</w:t>
      </w:r>
      <w:r w:rsidRPr="00824D58">
        <w:rPr>
          <w:shd w:val="clear" w:color="auto" w:fill="FFFFFF"/>
        </w:rPr>
        <w:t xml:space="preserve">Xia, Y. </w:t>
      </w:r>
      <w:r w:rsidRPr="00824D58">
        <w:rPr>
          <w:i/>
          <w:iCs/>
          <w:shd w:val="clear" w:color="auto" w:fill="FFFFFF"/>
        </w:rPr>
        <w:t>et al.,</w:t>
      </w:r>
      <w:r w:rsidRPr="00824D58">
        <w:rPr>
          <w:shd w:val="clear" w:color="auto" w:fill="FFFFFF"/>
        </w:rPr>
        <w:t xml:space="preserve"> 2008)</w:t>
      </w:r>
      <w:r w:rsidRPr="00824D58">
        <w:t>.</w:t>
      </w:r>
    </w:p>
    <w:p w:rsidR="004C3C0E" w:rsidRPr="00824D58" w:rsidRDefault="004C3C0E" w:rsidP="004C3C0E">
      <w:pPr>
        <w:pStyle w:val="BodyText"/>
        <w:spacing w:after="0"/>
      </w:pPr>
    </w:p>
    <w:p w:rsidR="00230F05" w:rsidRPr="00824D58" w:rsidRDefault="00230F05" w:rsidP="00E84DB3">
      <w:pPr>
        <w:pStyle w:val="BodyText"/>
        <w:spacing w:after="0"/>
        <w:rPr>
          <w:spacing w:val="-1"/>
        </w:rPr>
      </w:pPr>
      <w:r w:rsidRPr="00824D58">
        <w:rPr>
          <w:spacing w:val="1"/>
        </w:rPr>
        <w:t xml:space="preserve">More recently, other members have been shown to be a pathway for BMP signals to regulate hepidin. These were determined by parasitological analysis for hereditary hemochromatosis patients. </w:t>
      </w:r>
      <w:r w:rsidRPr="00824D58">
        <w:rPr>
          <w:spacing w:val="-1"/>
        </w:rPr>
        <w:t>Specifically,</w:t>
      </w:r>
      <w:r w:rsidRPr="00824D58">
        <w:rPr>
          <w:spacing w:val="2"/>
        </w:rPr>
        <w:t xml:space="preserve"> </w:t>
      </w:r>
      <w:r w:rsidRPr="00824D58">
        <w:rPr>
          <w:spacing w:val="-1"/>
        </w:rPr>
        <w:t>illness persons</w:t>
      </w:r>
      <w:r w:rsidRPr="00824D58">
        <w:rPr>
          <w:spacing w:val="-4"/>
        </w:rPr>
        <w:t xml:space="preserve"> </w:t>
      </w:r>
      <w:r w:rsidRPr="00824D58">
        <w:rPr>
          <w:spacing w:val="-1"/>
        </w:rPr>
        <w:t>suffered from</w:t>
      </w:r>
      <w:r w:rsidRPr="00824D58">
        <w:t xml:space="preserve"> </w:t>
      </w:r>
      <w:r w:rsidRPr="00824D58">
        <w:rPr>
          <w:spacing w:val="-1"/>
        </w:rPr>
        <w:t>transition</w:t>
      </w:r>
      <w:r w:rsidRPr="00824D58">
        <w:rPr>
          <w:spacing w:val="-2"/>
        </w:rPr>
        <w:t xml:space="preserve"> </w:t>
      </w:r>
      <w:r w:rsidRPr="00824D58">
        <w:rPr>
          <w:spacing w:val="-1"/>
        </w:rPr>
        <w:t>in</w:t>
      </w:r>
      <w:r w:rsidRPr="00824D58">
        <w:rPr>
          <w:spacing w:val="2"/>
        </w:rPr>
        <w:t xml:space="preserve"> </w:t>
      </w:r>
      <w:r w:rsidR="003E595B" w:rsidRPr="003E595B">
        <w:rPr>
          <w:spacing w:val="-1"/>
        </w:rPr>
        <w:t xml:space="preserve">BMP co-receptor hemojuvelin (HJV), Inappropriately low hexidine levels were observed and the HJV played an important role in hepcidin control. </w:t>
      </w:r>
      <w:r w:rsidR="00E84DB3" w:rsidRPr="00E84DB3">
        <w:rPr>
          <w:spacing w:val="-1"/>
        </w:rPr>
        <w:t>Mutations in other membrane iron sensors such as transfer receptor 2 (TFR2) or hemochromatosis protein (HFE) lead to small deficits in hexidine production, which in turn leads to a less severe form of hereditary hemochromatosis.</w:t>
      </w:r>
      <w:r w:rsidR="003E595B" w:rsidRPr="003E595B">
        <w:rPr>
          <w:spacing w:val="-1"/>
        </w:rPr>
        <w:t xml:space="preserve"> </w:t>
      </w:r>
      <w:r w:rsidRPr="00824D58">
        <w:rPr>
          <w:spacing w:val="-1"/>
        </w:rPr>
        <w:t>(</w:t>
      </w:r>
      <w:r w:rsidRPr="00824D58">
        <w:rPr>
          <w:shd w:val="clear" w:color="auto" w:fill="FFFFFF"/>
        </w:rPr>
        <w:t>Lee, P. L.,</w:t>
      </w:r>
      <w:r w:rsidRPr="00824D58">
        <w:rPr>
          <w:spacing w:val="-1"/>
        </w:rPr>
        <w:t xml:space="preserve"> </w:t>
      </w:r>
      <w:r w:rsidRPr="00824D58">
        <w:rPr>
          <w:i/>
          <w:iCs/>
          <w:spacing w:val="-1"/>
        </w:rPr>
        <w:t>et al.,</w:t>
      </w:r>
      <w:r w:rsidRPr="00824D58">
        <w:rPr>
          <w:spacing w:val="-1"/>
        </w:rPr>
        <w:t xml:space="preserve"> 2004).</w:t>
      </w:r>
    </w:p>
    <w:p w:rsidR="004C3C0E" w:rsidRPr="00824D58" w:rsidRDefault="004C3C0E" w:rsidP="004C3C0E">
      <w:pPr>
        <w:pStyle w:val="BodyText"/>
        <w:spacing w:after="0"/>
        <w:rPr>
          <w:spacing w:val="-2"/>
        </w:rPr>
      </w:pPr>
    </w:p>
    <w:p w:rsidR="00230F05" w:rsidRPr="00824D58" w:rsidRDefault="00E84DB3" w:rsidP="004C3C0E">
      <w:pPr>
        <w:pStyle w:val="BodyText"/>
        <w:spacing w:after="0"/>
        <w:rPr>
          <w:spacing w:val="-1"/>
        </w:rPr>
      </w:pPr>
      <w:r w:rsidRPr="00E84DB3">
        <w:rPr>
          <w:spacing w:val="-2"/>
        </w:rPr>
        <w:t>It is considered that TF-bonded iron increases in quantity and refers to displaced HFE from TFR1, which is the principal iron import protein, of the cell membrane. This allows it to subscribe to TFR2, which in turn allows it to expand.</w:t>
      </w:r>
      <w:r w:rsidR="002B2E10" w:rsidRPr="002B2E10">
        <w:rPr>
          <w:spacing w:val="-2"/>
        </w:rPr>
        <w:t xml:space="preserve"> This belief stems from the fact that concentrations of TF-bonded iron have been shown to increase.</w:t>
      </w:r>
      <w:r w:rsidR="003E595B" w:rsidRPr="003E595B">
        <w:rPr>
          <w:spacing w:val="-2"/>
        </w:rPr>
        <w:t xml:space="preserve"> This leads to the TFR2 balance to stimulate the source of the BMP route but the direct relationship between TFR2 and the BMP-SMAD path is not established. In addition, hepsidine is strongly regulated by activation, with hepsidine initially administered as a peptide with antibacterial characteristics. </w:t>
      </w:r>
      <w:r w:rsidR="00230F05" w:rsidRPr="00824D58">
        <w:rPr>
          <w:spacing w:val="-1"/>
        </w:rPr>
        <w:t>(</w:t>
      </w:r>
      <w:r w:rsidR="00230F05" w:rsidRPr="00824D58">
        <w:rPr>
          <w:shd w:val="clear" w:color="auto" w:fill="FFFFFF"/>
        </w:rPr>
        <w:t>Goswami, T., &amp; Andrews, N. C., 2006)</w:t>
      </w:r>
      <w:r w:rsidR="00230F05" w:rsidRPr="00824D58">
        <w:rPr>
          <w:spacing w:val="-1"/>
        </w:rPr>
        <w:t>.</w:t>
      </w:r>
    </w:p>
    <w:p w:rsidR="004C3C0E" w:rsidRPr="00824D58" w:rsidRDefault="004C3C0E" w:rsidP="004C3C0E">
      <w:pPr>
        <w:pStyle w:val="BodyText"/>
        <w:spacing w:after="0"/>
        <w:rPr>
          <w:b/>
          <w:bCs/>
          <w:spacing w:val="59"/>
        </w:rPr>
      </w:pPr>
    </w:p>
    <w:p w:rsidR="00230F05" w:rsidRPr="00824D58" w:rsidRDefault="004D4C37" w:rsidP="004C3C0E">
      <w:pPr>
        <w:pStyle w:val="BodyText"/>
        <w:spacing w:after="0"/>
        <w:rPr>
          <w:spacing w:val="-1"/>
        </w:rPr>
      </w:pPr>
      <w:r w:rsidRPr="00824D58">
        <w:rPr>
          <w:spacing w:val="1"/>
        </w:rPr>
        <w:t xml:space="preserve">It is think that the organization of hepcidin by inflammation improved as a family's preventative technique against microbes by minimization </w:t>
      </w:r>
      <w:r w:rsidR="00230F05" w:rsidRPr="00824D58">
        <w:rPr>
          <w:spacing w:val="1"/>
        </w:rPr>
        <w:t>the amount of iron in the body that are required by microbes to thrive</w:t>
      </w:r>
      <w:r w:rsidR="00230F05" w:rsidRPr="00824D58">
        <w:rPr>
          <w:spacing w:val="-1"/>
        </w:rPr>
        <w:t>.</w:t>
      </w:r>
      <w:r w:rsidR="00D513B8" w:rsidRPr="00824D58">
        <w:rPr>
          <w:spacing w:val="-1"/>
        </w:rPr>
        <w:t xml:space="preserve"> </w:t>
      </w:r>
      <w:r w:rsidR="00230F05" w:rsidRPr="00824D58">
        <w:rPr>
          <w:spacing w:val="-2"/>
        </w:rPr>
        <w:t>A clear association between inflammation and iron appeared firstly when treating liver cells (</w:t>
      </w:r>
      <w:r w:rsidR="00230F05" w:rsidRPr="00824D58">
        <w:rPr>
          <w:spacing w:val="-1"/>
        </w:rPr>
        <w:t>hepatocytes)</w:t>
      </w:r>
      <w:r w:rsidR="00230F05" w:rsidRPr="00824D58">
        <w:rPr>
          <w:spacing w:val="-2"/>
        </w:rPr>
        <w:t xml:space="preserve"> with lipid polysaccharide</w:t>
      </w:r>
      <w:r w:rsidR="00230F05" w:rsidRPr="00824D58">
        <w:rPr>
          <w:spacing w:val="-1"/>
        </w:rPr>
        <w:t>(LPS) activated</w:t>
      </w:r>
      <w:r w:rsidR="00230F05" w:rsidRPr="00824D58">
        <w:t xml:space="preserve"> the</w:t>
      </w:r>
      <w:r w:rsidR="00230F05" w:rsidRPr="00824D58">
        <w:rPr>
          <w:spacing w:val="-1"/>
        </w:rPr>
        <w:t xml:space="preserve"> transcription of the hepcidin</w:t>
      </w:r>
      <w:r w:rsidR="00230F05" w:rsidRPr="00824D58">
        <w:rPr>
          <w:b/>
          <w:bCs/>
          <w:spacing w:val="-1"/>
        </w:rPr>
        <w:t xml:space="preserve"> </w:t>
      </w:r>
      <w:r w:rsidR="00230F05" w:rsidRPr="00824D58">
        <w:rPr>
          <w:spacing w:val="-1"/>
        </w:rPr>
        <w:t>(</w:t>
      </w:r>
      <w:r w:rsidR="00230F05" w:rsidRPr="00824D58">
        <w:rPr>
          <w:shd w:val="clear" w:color="auto" w:fill="FFFFFF"/>
        </w:rPr>
        <w:t>Ganz, T., 2002)</w:t>
      </w:r>
      <w:r w:rsidR="00230F05" w:rsidRPr="00824D58">
        <w:rPr>
          <w:spacing w:val="-1"/>
        </w:rPr>
        <w:t>.</w:t>
      </w:r>
    </w:p>
    <w:p w:rsidR="004C3C0E" w:rsidRPr="00824D58" w:rsidRDefault="004C3C0E" w:rsidP="004C3C0E">
      <w:pPr>
        <w:pStyle w:val="BodyText"/>
        <w:spacing w:after="0"/>
        <w:rPr>
          <w:spacing w:val="-1"/>
        </w:rPr>
      </w:pPr>
    </w:p>
    <w:p w:rsidR="00230F05" w:rsidRPr="00824D58" w:rsidRDefault="001E00A5" w:rsidP="003E595B">
      <w:pPr>
        <w:pStyle w:val="BodyText"/>
        <w:spacing w:after="0"/>
        <w:rPr>
          <w:spacing w:val="-1"/>
        </w:rPr>
      </w:pPr>
      <w:r w:rsidRPr="00824D58">
        <w:rPr>
          <w:spacing w:val="-1"/>
        </w:rPr>
        <w:t>Further relevant studies that pattern II acute cytokines, not pattern I cytokines, is responsible for the hepcidin induction.</w:t>
      </w:r>
      <w:r w:rsidR="00057CFC" w:rsidRPr="00824D58">
        <w:rPr>
          <w:spacing w:val="-1"/>
        </w:rPr>
        <w:t xml:space="preserve"> Specially, The major and most </w:t>
      </w:r>
      <w:r w:rsidR="00230F05" w:rsidRPr="00824D58">
        <w:t>powerful cytokine for copying hepsin</w:t>
      </w:r>
      <w:r w:rsidR="00230F05" w:rsidRPr="00824D58">
        <w:rPr>
          <w:i/>
          <w:spacing w:val="-1"/>
        </w:rPr>
        <w:t>invivo</w:t>
      </w:r>
      <w:r w:rsidR="00230F05" w:rsidRPr="00824D58">
        <w:rPr>
          <w:spacing w:val="-2"/>
        </w:rPr>
        <w:t>seen</w:t>
      </w:r>
      <w:r w:rsidR="00230F05" w:rsidRPr="00824D58">
        <w:t>tobeIL-6</w:t>
      </w:r>
      <w:r w:rsidR="00230F05" w:rsidRPr="00824D58">
        <w:rPr>
          <w:spacing w:val="-1"/>
        </w:rPr>
        <w:t xml:space="preserve">. IL-6stimulate </w:t>
      </w:r>
      <w:r w:rsidR="003E595B" w:rsidRPr="003E595B">
        <w:rPr>
          <w:spacing w:val="-1"/>
        </w:rPr>
        <w:t xml:space="preserve">Janus kinase 2(JAK2)and the appropriate downstream signal transformers and transcription stimulants 3 (STAT3). STAT3 transmits the bands and nucleus to the STAT3 according to the stimulation during phosphorylation A chemical that induces copies of hepidine on the catalyst for hepidine. This cross-discussion between the BMPs and IL-6 is important to note. It was found that induction was controlled more </w:t>
      </w:r>
      <w:r w:rsidR="00230F05" w:rsidRPr="00824D58">
        <w:t>of hepecidin</w:t>
      </w:r>
      <w:r w:rsidR="00230F05" w:rsidRPr="00824D58">
        <w:rPr>
          <w:b/>
          <w:bCs/>
          <w:spacing w:val="-1"/>
        </w:rPr>
        <w:t xml:space="preserve"> </w:t>
      </w:r>
      <w:r w:rsidR="00230F05" w:rsidRPr="00824D58">
        <w:rPr>
          <w:spacing w:val="-1"/>
        </w:rPr>
        <w:t>(</w:t>
      </w:r>
      <w:r w:rsidR="00230F05" w:rsidRPr="00824D58">
        <w:rPr>
          <w:shd w:val="clear" w:color="auto" w:fill="FFFFFF"/>
        </w:rPr>
        <w:t>Mayeur, C.</w:t>
      </w:r>
      <w:r w:rsidR="00230F05" w:rsidRPr="00824D58">
        <w:rPr>
          <w:spacing w:val="-1"/>
        </w:rPr>
        <w:t xml:space="preserve"> </w:t>
      </w:r>
      <w:r w:rsidR="00230F05" w:rsidRPr="00824D58">
        <w:rPr>
          <w:i/>
          <w:iCs/>
          <w:spacing w:val="-1"/>
        </w:rPr>
        <w:t>et al.,</w:t>
      </w:r>
      <w:r w:rsidR="00230F05" w:rsidRPr="00824D58">
        <w:rPr>
          <w:spacing w:val="-1"/>
        </w:rPr>
        <w:t xml:space="preserve"> 2014).</w:t>
      </w:r>
    </w:p>
    <w:p w:rsidR="004C3C0E" w:rsidRPr="00824D58" w:rsidRDefault="004C3C0E" w:rsidP="004C3C0E">
      <w:pPr>
        <w:pStyle w:val="BodyText"/>
        <w:spacing w:after="0"/>
        <w:rPr>
          <w:spacing w:val="-1"/>
        </w:rPr>
      </w:pPr>
    </w:p>
    <w:p w:rsidR="00230F05" w:rsidRPr="00824D58" w:rsidRDefault="00230F05" w:rsidP="004C3C0E">
      <w:pPr>
        <w:pStyle w:val="Heading4"/>
        <w:numPr>
          <w:ilvl w:val="3"/>
          <w:numId w:val="2"/>
        </w:numPr>
        <w:spacing w:before="0"/>
        <w:ind w:left="851" w:hanging="851"/>
      </w:pPr>
      <w:r w:rsidRPr="00824D58">
        <w:t>Negative Regulation</w:t>
      </w:r>
    </w:p>
    <w:p w:rsidR="004C3C0E" w:rsidRPr="00824D58" w:rsidRDefault="004C3C0E" w:rsidP="004C3C0E">
      <w:pPr>
        <w:spacing w:after="0"/>
      </w:pPr>
    </w:p>
    <w:p w:rsidR="00230F05" w:rsidRPr="00824D58" w:rsidRDefault="002B2E10" w:rsidP="004C3C0E">
      <w:pPr>
        <w:pStyle w:val="BodyText"/>
        <w:spacing w:after="0"/>
      </w:pPr>
      <w:r w:rsidRPr="002B2E10">
        <w:rPr>
          <w:spacing w:val="-1"/>
        </w:rPr>
        <w:t>Hepcidin is the primary regulator of systemic iron homeostasis; hence, it is important to inhibit its expression when elevated iron levels in the body are required. Whenever elevated iron levels in the body are called for, measures should be taken to suppress the expression of hepcidin, the primary control unit for systemic iron homeostasis.</w:t>
      </w:r>
      <w:r w:rsidR="003C46A1" w:rsidRPr="00824D58">
        <w:rPr>
          <w:spacing w:val="-1"/>
        </w:rPr>
        <w:t xml:space="preserve"> </w:t>
      </w:r>
      <w:r w:rsidR="00F955B6" w:rsidRPr="00824D58">
        <w:rPr>
          <w:spacing w:val="-1"/>
        </w:rPr>
        <w:t xml:space="preserve">Hepcidin must be suppressed because of the increased demand during the formation of red blood cells. </w:t>
      </w:r>
      <w:r w:rsidR="003C46A1" w:rsidRPr="00824D58">
        <w:rPr>
          <w:spacing w:val="-1"/>
        </w:rPr>
        <w:t xml:space="preserve">Other studies have indicated that the erythroferrone factor or growth differentiation 15 (GDF-15) is an erythroid factor that negatively regulates </w:t>
      </w:r>
      <w:r w:rsidR="00741276" w:rsidRPr="00824D58">
        <w:rPr>
          <w:spacing w:val="-1"/>
        </w:rPr>
        <w:t>hepcidin</w:t>
      </w:r>
      <w:r w:rsidR="003C46A1" w:rsidRPr="00824D58">
        <w:rPr>
          <w:spacing w:val="-1"/>
        </w:rPr>
        <w:t xml:space="preserve">, though </w:t>
      </w:r>
      <w:r w:rsidR="00741276" w:rsidRPr="00824D58">
        <w:rPr>
          <w:spacing w:val="-1"/>
        </w:rPr>
        <w:t xml:space="preserve">a few of these studies </w:t>
      </w:r>
      <w:r w:rsidR="003C46A1" w:rsidRPr="00824D58">
        <w:rPr>
          <w:spacing w:val="-1"/>
        </w:rPr>
        <w:t xml:space="preserve">were performed in pathological conditions </w:t>
      </w:r>
      <w:r w:rsidR="00741276" w:rsidRPr="00824D58">
        <w:rPr>
          <w:spacing w:val="-1"/>
        </w:rPr>
        <w:t>like</w:t>
      </w:r>
      <w:r w:rsidR="003C46A1" w:rsidRPr="00824D58">
        <w:rPr>
          <w:spacing w:val="-1"/>
        </w:rPr>
        <w:t xml:space="preserve"> –thalassemia</w:t>
      </w:r>
      <w:r w:rsidR="00F955B6" w:rsidRPr="00824D58">
        <w:rPr>
          <w:spacing w:val="-1"/>
        </w:rPr>
        <w:t xml:space="preserve"> </w:t>
      </w:r>
      <w:r w:rsidR="00230F05" w:rsidRPr="00824D58">
        <w:t>(</w:t>
      </w:r>
      <w:r w:rsidR="00230F05" w:rsidRPr="00824D58">
        <w:rPr>
          <w:shd w:val="clear" w:color="auto" w:fill="FFFFFF"/>
        </w:rPr>
        <w:t xml:space="preserve">Kautz, L., </w:t>
      </w:r>
      <w:r w:rsidR="00230F05" w:rsidRPr="00824D58">
        <w:rPr>
          <w:i/>
          <w:iCs/>
          <w:shd w:val="clear" w:color="auto" w:fill="FFFFFF"/>
        </w:rPr>
        <w:t>et al.,</w:t>
      </w:r>
      <w:r w:rsidR="00230F05" w:rsidRPr="00824D58">
        <w:rPr>
          <w:shd w:val="clear" w:color="auto" w:fill="FFFFFF"/>
        </w:rPr>
        <w:t xml:space="preserve"> 2014)</w:t>
      </w:r>
      <w:r w:rsidR="00230F05" w:rsidRPr="00824D58">
        <w:t>.</w:t>
      </w:r>
    </w:p>
    <w:p w:rsidR="004C3C0E" w:rsidRPr="00824D58" w:rsidRDefault="004C3C0E" w:rsidP="004C3C0E">
      <w:pPr>
        <w:pStyle w:val="BodyText"/>
        <w:spacing w:after="0"/>
      </w:pPr>
    </w:p>
    <w:p w:rsidR="00230F05" w:rsidRPr="00824D58" w:rsidRDefault="00230F05" w:rsidP="004C3C0E">
      <w:pPr>
        <w:pStyle w:val="BodyText"/>
        <w:spacing w:after="0"/>
        <w:rPr>
          <w:spacing w:val="-1"/>
        </w:rPr>
      </w:pPr>
      <w:r w:rsidRPr="00824D58">
        <w:t xml:space="preserve">A complete understanding of </w:t>
      </w:r>
      <w:r w:rsidRPr="00824D58">
        <w:rPr>
          <w:spacing w:val="-2"/>
        </w:rPr>
        <w:t>negative</w:t>
      </w:r>
      <w:r w:rsidRPr="00824D58">
        <w:t xml:space="preserve"> regulation by erythroid is still </w:t>
      </w:r>
      <w:r w:rsidR="003C46A1" w:rsidRPr="00824D58">
        <w:t>unaccomplished</w:t>
      </w:r>
      <w:r w:rsidRPr="00824D58">
        <w:t xml:space="preserve">. </w:t>
      </w:r>
      <w:r w:rsidRPr="00824D58">
        <w:rPr>
          <w:spacing w:val="-1"/>
        </w:rPr>
        <w:t xml:space="preserve">In </w:t>
      </w:r>
      <w:r w:rsidR="004204CC" w:rsidRPr="00824D58">
        <w:rPr>
          <w:spacing w:val="-1"/>
        </w:rPr>
        <w:t>parallel</w:t>
      </w:r>
      <w:r w:rsidRPr="00824D58">
        <w:rPr>
          <w:spacing w:val="-1"/>
        </w:rPr>
        <w:t xml:space="preserve"> to the control of erythropoietic in the </w:t>
      </w:r>
      <w:r w:rsidR="003C46A1" w:rsidRPr="00824D58">
        <w:rPr>
          <w:spacing w:val="-1"/>
        </w:rPr>
        <w:t>inhibition</w:t>
      </w:r>
      <w:r w:rsidRPr="00824D58">
        <w:rPr>
          <w:spacing w:val="-1"/>
        </w:rPr>
        <w:t xml:space="preserve"> of hexidine, hypoxia seen to minimize values of hepecidin. </w:t>
      </w:r>
      <w:r w:rsidR="00B56C9F" w:rsidRPr="00824D58">
        <w:rPr>
          <w:spacing w:val="-1"/>
        </w:rPr>
        <w:t xml:space="preserve">Low levels of oxygen </w:t>
      </w:r>
      <w:r w:rsidRPr="00824D58">
        <w:rPr>
          <w:spacing w:val="-1"/>
        </w:rPr>
        <w:t xml:space="preserve">stimulate the production of red blood cells, </w:t>
      </w:r>
      <w:r w:rsidR="00FB2376" w:rsidRPr="00824D58">
        <w:rPr>
          <w:spacing w:val="-1"/>
        </w:rPr>
        <w:t>this triggers a rise in iron demand and, as a result, hepcidin suppression.</w:t>
      </w:r>
      <w:r w:rsidRPr="00824D58">
        <w:rPr>
          <w:spacing w:val="-1"/>
        </w:rPr>
        <w:t xml:space="preserve"> (</w:t>
      </w:r>
      <w:r w:rsidRPr="00824D58">
        <w:rPr>
          <w:shd w:val="clear" w:color="auto" w:fill="FFFFFF"/>
        </w:rPr>
        <w:t xml:space="preserve">Huh, S. </w:t>
      </w:r>
      <w:r w:rsidRPr="00824D58">
        <w:rPr>
          <w:i/>
          <w:iCs/>
          <w:shd w:val="clear" w:color="auto" w:fill="FFFFFF"/>
        </w:rPr>
        <w:t>et al.,</w:t>
      </w:r>
      <w:r w:rsidRPr="00824D58">
        <w:rPr>
          <w:shd w:val="clear" w:color="auto" w:fill="FFFFFF"/>
        </w:rPr>
        <w:t xml:space="preserve"> 2010)</w:t>
      </w:r>
      <w:r w:rsidRPr="00824D58">
        <w:rPr>
          <w:spacing w:val="-1"/>
        </w:rPr>
        <w:t>.</w:t>
      </w:r>
    </w:p>
    <w:p w:rsidR="004C3C0E" w:rsidRPr="00824D58" w:rsidRDefault="004C3C0E" w:rsidP="004C3C0E">
      <w:pPr>
        <w:pStyle w:val="BodyText"/>
        <w:spacing w:after="0"/>
        <w:rPr>
          <w:spacing w:val="-1"/>
        </w:rPr>
      </w:pPr>
    </w:p>
    <w:p w:rsidR="00230F05" w:rsidRPr="00824D58" w:rsidRDefault="00230F05" w:rsidP="004C3C0E">
      <w:pPr>
        <w:pStyle w:val="BodyText"/>
        <w:spacing w:after="0"/>
        <w:rPr>
          <w:spacing w:val="-1"/>
        </w:rPr>
      </w:pPr>
      <w:r w:rsidRPr="00824D58">
        <w:rPr>
          <w:spacing w:val="-1"/>
        </w:rPr>
        <w:t xml:space="preserve">The primary molecular relation between the levels of oxygen and hepidin was a investigate in which the deletion of the hypoxia inducible </w:t>
      </w:r>
      <w:r w:rsidRPr="00824D58">
        <w:t>facto</w:t>
      </w:r>
      <w:r w:rsidRPr="00824D58">
        <w:rPr>
          <w:spacing w:val="-1"/>
        </w:rPr>
        <w:t xml:space="preserve"> 1 (HIF1α) showed that there was no hepcidin during iron deficiency or hypoxia, indicating that the regulation of hypoxia in hepsidine was mediated by HIF1α. </w:t>
      </w:r>
      <w:r w:rsidR="00741276" w:rsidRPr="00824D58">
        <w:rPr>
          <w:spacing w:val="-1"/>
        </w:rPr>
        <w:t xml:space="preserve">Research continued </w:t>
      </w:r>
      <w:r w:rsidRPr="00824D58">
        <w:rPr>
          <w:spacing w:val="-1"/>
        </w:rPr>
        <w:t xml:space="preserve">to </w:t>
      </w:r>
      <w:r w:rsidR="00741276" w:rsidRPr="00824D58">
        <w:rPr>
          <w:spacing w:val="-1"/>
        </w:rPr>
        <w:t>assure</w:t>
      </w:r>
      <w:r w:rsidRPr="00824D58">
        <w:rPr>
          <w:spacing w:val="-1"/>
        </w:rPr>
        <w:t xml:space="preserve"> that HIF1α was associated with the hypoxia response component of the hepidin stimulator to inhibit gene transcription. </w:t>
      </w:r>
      <w:r w:rsidR="00741276" w:rsidRPr="00824D58">
        <w:t>Nonetheless</w:t>
      </w:r>
      <w:r w:rsidRPr="00824D58">
        <w:t xml:space="preserve">, other investigations supposed a negative regulation of hepidin </w:t>
      </w:r>
      <w:r w:rsidR="00741276" w:rsidRPr="00824D58">
        <w:t>by</w:t>
      </w:r>
      <w:r w:rsidRPr="00824D58">
        <w:t xml:space="preserve"> hypoxia to include HIF2α or an indirect </w:t>
      </w:r>
      <w:r w:rsidR="00741276" w:rsidRPr="00824D58">
        <w:t>techni</w:t>
      </w:r>
      <w:r w:rsidR="00A425B2" w:rsidRPr="00824D58">
        <w:t>qu</w:t>
      </w:r>
      <w:r w:rsidR="00741276" w:rsidRPr="00824D58">
        <w:t>es</w:t>
      </w:r>
      <w:r w:rsidRPr="00824D58">
        <w:t xml:space="preserve"> </w:t>
      </w:r>
      <w:r w:rsidR="00A425B2" w:rsidRPr="00824D58">
        <w:t>via</w:t>
      </w:r>
      <w:r w:rsidRPr="00824D58">
        <w:t xml:space="preserve"> hypoxia, </w:t>
      </w:r>
      <w:r w:rsidR="00A425B2" w:rsidRPr="00824D58">
        <w:t>like</w:t>
      </w:r>
      <w:r w:rsidRPr="00824D58">
        <w:t xml:space="preserve"> hypoxia which leads to more HJV splitting, which isolates BMPs and prevents their activation of the final signal </w:t>
      </w:r>
      <w:r w:rsidR="00A425B2" w:rsidRPr="00824D58">
        <w:t>a route</w:t>
      </w:r>
      <w:r w:rsidRPr="00824D58">
        <w:t xml:space="preserve">. </w:t>
      </w:r>
      <w:r w:rsidR="00FB2376" w:rsidRPr="00824D58">
        <w:t xml:space="preserve">The negative </w:t>
      </w:r>
      <w:r w:rsidR="00A425B2" w:rsidRPr="00824D58">
        <w:t>organization</w:t>
      </w:r>
      <w:r w:rsidR="00FB2376" w:rsidRPr="00824D58">
        <w:t xml:space="preserve"> of hepcidin by hypoxia, including erythropoietin regulation, is totally unfathomable </w:t>
      </w:r>
      <w:r w:rsidRPr="00824D58">
        <w:rPr>
          <w:spacing w:val="-1"/>
        </w:rPr>
        <w:t>(</w:t>
      </w:r>
      <w:r w:rsidRPr="00824D58">
        <w:rPr>
          <w:shd w:val="clear" w:color="auto" w:fill="FFFFFF"/>
        </w:rPr>
        <w:t>Mastrogiannaki, M.,</w:t>
      </w:r>
      <w:r w:rsidRPr="00824D58">
        <w:rPr>
          <w:spacing w:val="-1"/>
        </w:rPr>
        <w:t xml:space="preserve"> </w:t>
      </w:r>
      <w:r w:rsidRPr="00824D58">
        <w:rPr>
          <w:i/>
          <w:iCs/>
          <w:spacing w:val="-1"/>
        </w:rPr>
        <w:t>et al.,</w:t>
      </w:r>
      <w:r w:rsidRPr="00824D58">
        <w:rPr>
          <w:spacing w:val="-1"/>
        </w:rPr>
        <w:t xml:space="preserve"> 2009).</w:t>
      </w:r>
    </w:p>
    <w:p w:rsidR="004C3C0E" w:rsidRPr="00824D58" w:rsidRDefault="004C3C0E" w:rsidP="004C3C0E">
      <w:pPr>
        <w:pStyle w:val="BodyText"/>
        <w:spacing w:after="0"/>
      </w:pPr>
    </w:p>
    <w:p w:rsidR="00230F05" w:rsidRPr="00824D58" w:rsidRDefault="00230F05" w:rsidP="004C3C0E">
      <w:pPr>
        <w:pStyle w:val="BodyText"/>
        <w:spacing w:after="0"/>
        <w:rPr>
          <w:spacing w:val="-1"/>
        </w:rPr>
      </w:pPr>
      <w:r w:rsidRPr="00824D58">
        <w:rPr>
          <w:spacing w:val="-1"/>
        </w:rPr>
        <w:t xml:space="preserve">Finally, there is another molecular strategy to suppress hepcidin by inhibiting the </w:t>
      </w:r>
      <w:r w:rsidR="00FB2376" w:rsidRPr="00824D58">
        <w:rPr>
          <w:spacing w:val="-1"/>
        </w:rPr>
        <w:t xml:space="preserve">positive hepcidin regulators </w:t>
      </w:r>
      <w:r w:rsidRPr="00824D58">
        <w:rPr>
          <w:spacing w:val="-1"/>
        </w:rPr>
        <w:t>such as activations in the TMPRSS6 gene, that encodes a transmembrane serine protease via a type II membrane under the name of matriptase-2, lead to increased levels of hepcidin and severe anemia that does not respond to conventional treatment (</w:t>
      </w:r>
      <w:r w:rsidRPr="00824D58">
        <w:rPr>
          <w:shd w:val="clear" w:color="auto" w:fill="FFFFFF"/>
        </w:rPr>
        <w:t>Finberg, K. E.,</w:t>
      </w:r>
      <w:r w:rsidRPr="00824D58">
        <w:rPr>
          <w:spacing w:val="-1"/>
        </w:rPr>
        <w:t xml:space="preserve"> </w:t>
      </w:r>
      <w:r w:rsidRPr="00824D58">
        <w:rPr>
          <w:i/>
          <w:iCs/>
          <w:spacing w:val="-1"/>
        </w:rPr>
        <w:t>et al.,</w:t>
      </w:r>
      <w:r w:rsidRPr="00824D58">
        <w:rPr>
          <w:spacing w:val="-1"/>
        </w:rPr>
        <w:t xml:space="preserve"> 2008).</w:t>
      </w:r>
    </w:p>
    <w:p w:rsidR="004C3C0E" w:rsidRPr="00824D58" w:rsidRDefault="004C3C0E" w:rsidP="004C3C0E">
      <w:pPr>
        <w:pStyle w:val="BodyText"/>
        <w:spacing w:after="0"/>
        <w:rPr>
          <w:spacing w:val="-1"/>
        </w:rPr>
      </w:pPr>
    </w:p>
    <w:p w:rsidR="00230F05" w:rsidRPr="00824D58" w:rsidRDefault="00230F05" w:rsidP="004C3C0E">
      <w:pPr>
        <w:pStyle w:val="BodyText"/>
        <w:spacing w:after="0"/>
        <w:rPr>
          <w:shd w:val="clear" w:color="auto" w:fill="FFFFFF"/>
        </w:rPr>
      </w:pPr>
      <w:r w:rsidRPr="00824D58">
        <w:t xml:space="preserve">It was found that the matriptase-2 cleave the common BMP </w:t>
      </w:r>
      <w:r w:rsidRPr="00824D58">
        <w:rPr>
          <w:spacing w:val="-1"/>
        </w:rPr>
        <w:t>co-receptor</w:t>
      </w:r>
      <w:r w:rsidRPr="00824D58">
        <w:t>HJV which would decrease BMP signals to minimize the level of the hepcidin. Likewise, the single-protein Scelerostin range (SOSTDC1) contains BMP ligand antagonists which leads to diminished BMP signals and has seenin prostate cancer cells to be a negative regulator of hepcidin (</w:t>
      </w:r>
      <w:r w:rsidRPr="00824D58">
        <w:rPr>
          <w:shd w:val="clear" w:color="auto" w:fill="FFFFFF"/>
        </w:rPr>
        <w:t xml:space="preserve">Silvestri, L., </w:t>
      </w:r>
      <w:r w:rsidRPr="00824D58">
        <w:rPr>
          <w:i/>
          <w:iCs/>
          <w:shd w:val="clear" w:color="auto" w:fill="FFFFFF"/>
        </w:rPr>
        <w:t>et al.,</w:t>
      </w:r>
      <w:r w:rsidRPr="00824D58">
        <w:rPr>
          <w:shd w:val="clear" w:color="auto" w:fill="FFFFFF"/>
        </w:rPr>
        <w:t xml:space="preserve"> 2008).</w:t>
      </w:r>
    </w:p>
    <w:p w:rsidR="005262D9" w:rsidRPr="00824D58" w:rsidRDefault="005262D9" w:rsidP="004C3C0E">
      <w:pPr>
        <w:pStyle w:val="BodyText"/>
        <w:spacing w:after="0"/>
      </w:pPr>
    </w:p>
    <w:p w:rsidR="00230F05" w:rsidRPr="00824D58" w:rsidRDefault="00230F05" w:rsidP="00F06ECA">
      <w:pPr>
        <w:pStyle w:val="ListParagraph"/>
        <w:numPr>
          <w:ilvl w:val="3"/>
          <w:numId w:val="2"/>
        </w:numPr>
        <w:spacing w:after="0" w:line="276" w:lineRule="auto"/>
        <w:ind w:left="851" w:hanging="851"/>
        <w:jc w:val="left"/>
        <w:rPr>
          <w:b/>
          <w:bCs/>
        </w:rPr>
      </w:pPr>
      <w:r w:rsidRPr="00824D58">
        <w:rPr>
          <w:rStyle w:val="Heading4Char"/>
        </w:rPr>
        <w:t>Addition Regulators</w:t>
      </w:r>
    </w:p>
    <w:p w:rsidR="00230F05" w:rsidRPr="00824D58" w:rsidRDefault="00230F05" w:rsidP="00230F05">
      <w:pPr>
        <w:spacing w:after="0"/>
        <w:rPr>
          <w:b/>
          <w:bCs/>
        </w:rPr>
      </w:pPr>
    </w:p>
    <w:p w:rsidR="00230F05" w:rsidRPr="00824D58" w:rsidRDefault="00230F05" w:rsidP="004C3C0E">
      <w:pPr>
        <w:pStyle w:val="BodyText"/>
        <w:spacing w:after="0"/>
        <w:rPr>
          <w:spacing w:val="-1"/>
        </w:rPr>
      </w:pPr>
      <w:r w:rsidRPr="00824D58">
        <w:rPr>
          <w:spacing w:val="-1"/>
        </w:rPr>
        <w:t xml:space="preserve">Additional regulators have emerged as complementary mechanisms to regulate </w:t>
      </w:r>
      <w:r w:rsidR="00662571" w:rsidRPr="00824D58">
        <w:rPr>
          <w:spacing w:val="-1"/>
        </w:rPr>
        <w:t>Hepcidin</w:t>
      </w:r>
      <w:r w:rsidRPr="00824D58">
        <w:rPr>
          <w:spacing w:val="-1"/>
        </w:rPr>
        <w:t xml:space="preserve"> recently although they do not include all of the properties. These regulatory bodies include growth factors, hormones, </w:t>
      </w:r>
      <w:r w:rsidR="00840FBF" w:rsidRPr="00824D58">
        <w:rPr>
          <w:spacing w:val="-1"/>
        </w:rPr>
        <w:t>in addition to other signaling molecules</w:t>
      </w:r>
      <w:r w:rsidRPr="00824D58">
        <w:rPr>
          <w:spacing w:val="-1"/>
        </w:rPr>
        <w:t>. For instance, the hormonal regulator of hepsin was assumed to increase iron during the period (menstruation).</w:t>
      </w:r>
    </w:p>
    <w:p w:rsidR="004C3C0E" w:rsidRPr="00824D58" w:rsidRDefault="004C3C0E" w:rsidP="004C3C0E">
      <w:pPr>
        <w:pStyle w:val="BodyText"/>
        <w:spacing w:after="0"/>
        <w:rPr>
          <w:spacing w:val="-1"/>
        </w:rPr>
      </w:pPr>
    </w:p>
    <w:p w:rsidR="00230F05" w:rsidRPr="00824D58" w:rsidRDefault="00230F05" w:rsidP="00E84DB3">
      <w:pPr>
        <w:pStyle w:val="BodyText"/>
        <w:spacing w:after="0"/>
        <w:rPr>
          <w:spacing w:val="-1"/>
        </w:rPr>
      </w:pPr>
      <w:r w:rsidRPr="00824D58">
        <w:rPr>
          <w:spacing w:val="-1"/>
        </w:rPr>
        <w:t>Further investigations discovered</w:t>
      </w:r>
      <w:r w:rsidR="00F36721" w:rsidRPr="00824D58">
        <w:rPr>
          <w:spacing w:val="-1"/>
        </w:rPr>
        <w:t xml:space="preserve"> an estrogen </w:t>
      </w:r>
      <w:r w:rsidRPr="00824D58">
        <w:rPr>
          <w:spacing w:val="-1"/>
        </w:rPr>
        <w:t xml:space="preserve">responsive </w:t>
      </w:r>
      <w:r w:rsidR="00F36721" w:rsidRPr="00824D58">
        <w:rPr>
          <w:spacing w:val="-1"/>
        </w:rPr>
        <w:t>component</w:t>
      </w:r>
      <w:r w:rsidRPr="00824D58">
        <w:rPr>
          <w:spacing w:val="-1"/>
        </w:rPr>
        <w:t xml:space="preserve"> in the provider of the hepidin, which performed in the suppression of </w:t>
      </w:r>
      <w:r w:rsidR="00662571" w:rsidRPr="00824D58">
        <w:rPr>
          <w:spacing w:val="-1"/>
        </w:rPr>
        <w:t>Hepcidin</w:t>
      </w:r>
      <w:r w:rsidRPr="00824D58">
        <w:rPr>
          <w:spacing w:val="-1"/>
        </w:rPr>
        <w:t xml:space="preserve"> to minimize the iron level in the circulation. Nevertheless other investigations </w:t>
      </w:r>
      <w:r w:rsidRPr="00824D58">
        <w:rPr>
          <w:spacing w:val="-2"/>
        </w:rPr>
        <w:t>of</w:t>
      </w:r>
      <w:r w:rsidRPr="00824D58">
        <w:rPr>
          <w:spacing w:val="-1"/>
        </w:rPr>
        <w:t xml:space="preserve"> studied the </w:t>
      </w:r>
      <w:r w:rsidR="00662571" w:rsidRPr="00824D58">
        <w:rPr>
          <w:spacing w:val="-1"/>
        </w:rPr>
        <w:t>Hepcidin</w:t>
      </w:r>
      <w:r w:rsidRPr="00824D58">
        <w:rPr>
          <w:spacing w:val="-1"/>
        </w:rPr>
        <w:t xml:space="preserve"> referred</w:t>
      </w:r>
      <w:r w:rsidRPr="00824D58">
        <w:t xml:space="preserve"> appositive</w:t>
      </w:r>
      <w:r w:rsidRPr="00824D58">
        <w:rPr>
          <w:spacing w:val="-1"/>
        </w:rPr>
        <w:t xml:space="preserve"> regulation</w:t>
      </w:r>
      <w:r w:rsidRPr="00824D58">
        <w:rPr>
          <w:spacing w:val="-2"/>
        </w:rPr>
        <w:t xml:space="preserve"> through</w:t>
      </w:r>
      <w:r w:rsidRPr="00824D58">
        <w:t xml:space="preserve"> the estrogen</w:t>
      </w:r>
      <w:r w:rsidRPr="00824D58">
        <w:rPr>
          <w:spacing w:val="-2"/>
        </w:rPr>
        <w:t xml:space="preserve"> (</w:t>
      </w:r>
      <w:r w:rsidRPr="00824D58">
        <w:rPr>
          <w:shd w:val="clear" w:color="auto" w:fill="FFFFFF"/>
        </w:rPr>
        <w:t xml:space="preserve">Ikeda, Y., </w:t>
      </w:r>
      <w:r w:rsidRPr="00824D58">
        <w:rPr>
          <w:i/>
          <w:iCs/>
          <w:shd w:val="clear" w:color="auto" w:fill="FFFFFF"/>
        </w:rPr>
        <w:t>et al.,</w:t>
      </w:r>
      <w:r w:rsidRPr="00824D58">
        <w:rPr>
          <w:shd w:val="clear" w:color="auto" w:fill="FFFFFF"/>
        </w:rPr>
        <w:t xml:space="preserve"> 2012)</w:t>
      </w:r>
      <w:r w:rsidRPr="00824D58">
        <w:rPr>
          <w:spacing w:val="-1"/>
        </w:rPr>
        <w:t xml:space="preserve">. </w:t>
      </w:r>
      <w:r w:rsidR="00E84DB3" w:rsidRPr="00E84DB3">
        <w:rPr>
          <w:spacing w:val="-1"/>
        </w:rPr>
        <w:t>In addition, it was hypothesized that a Wnt transcription factor sensitive component in the Hepcidin supplier worked in tandem with Wnt signaling to increase Hepcidin production in prostate cancer cells. Hepcidin is organized in both positive (BMP7, IL-6) and negative (SOSTDC1) ways, as was recently discov</w:t>
      </w:r>
      <w:r w:rsidR="00E84DB3">
        <w:rPr>
          <w:spacing w:val="-1"/>
        </w:rPr>
        <w:t>ered by studying prostate cells</w:t>
      </w:r>
      <w:r w:rsidR="002D4DBF" w:rsidRPr="002D4DBF">
        <w:t xml:space="preserve"> </w:t>
      </w:r>
      <w:r w:rsidRPr="00824D58">
        <w:rPr>
          <w:spacing w:val="-1"/>
        </w:rPr>
        <w:t>(</w:t>
      </w:r>
      <w:r w:rsidR="002B2E10">
        <w:rPr>
          <w:shd w:val="clear" w:color="auto" w:fill="FFFFFF"/>
        </w:rPr>
        <w:t>Tesfay</w:t>
      </w:r>
      <w:r w:rsidRPr="00824D58">
        <w:rPr>
          <w:shd w:val="clear" w:color="auto" w:fill="FFFFFF"/>
        </w:rPr>
        <w:t xml:space="preserve"> </w:t>
      </w:r>
      <w:r w:rsidR="002B2E10">
        <w:rPr>
          <w:i/>
          <w:iCs/>
          <w:shd w:val="clear" w:color="auto" w:fill="FFFFFF"/>
        </w:rPr>
        <w:t>et al.</w:t>
      </w:r>
      <w:r w:rsidRPr="00824D58">
        <w:rPr>
          <w:shd w:val="clear" w:color="auto" w:fill="FFFFFF"/>
        </w:rPr>
        <w:t xml:space="preserve"> 2015)</w:t>
      </w:r>
      <w:r w:rsidRPr="00824D58">
        <w:rPr>
          <w:spacing w:val="-1"/>
        </w:rPr>
        <w:t>.</w:t>
      </w:r>
    </w:p>
    <w:p w:rsidR="004C3C0E" w:rsidRPr="00824D58" w:rsidRDefault="004C3C0E" w:rsidP="004C3C0E">
      <w:pPr>
        <w:pStyle w:val="BodyText"/>
        <w:spacing w:after="0"/>
      </w:pPr>
    </w:p>
    <w:p w:rsidR="00230F05" w:rsidRPr="00824D58" w:rsidRDefault="00230F05" w:rsidP="004C3C0E">
      <w:pPr>
        <w:pStyle w:val="Heading3"/>
        <w:numPr>
          <w:ilvl w:val="2"/>
          <w:numId w:val="2"/>
        </w:numPr>
        <w:spacing w:before="0" w:after="0"/>
        <w:ind w:left="709" w:hanging="709"/>
      </w:pPr>
      <w:bookmarkStart w:id="122" w:name="_Toc60183449"/>
      <w:r w:rsidRPr="00824D58">
        <w:t>Therapeutic aspects of Hepcidin</w:t>
      </w:r>
      <w:bookmarkEnd w:id="122"/>
    </w:p>
    <w:p w:rsidR="004C3C0E" w:rsidRPr="00824D58" w:rsidRDefault="004C3C0E" w:rsidP="004C3C0E">
      <w:pPr>
        <w:spacing w:after="0"/>
      </w:pPr>
    </w:p>
    <w:p w:rsidR="00230F05" w:rsidRPr="00824D58" w:rsidRDefault="00F36721" w:rsidP="00CF7EE7">
      <w:pPr>
        <w:pStyle w:val="BodyText"/>
        <w:spacing w:after="0"/>
        <w:rPr>
          <w:spacing w:val="-1"/>
        </w:rPr>
      </w:pPr>
      <w:r w:rsidRPr="00824D58">
        <w:rPr>
          <w:spacing w:val="-1"/>
        </w:rPr>
        <w:t xml:space="preserve">Although our understanding of </w:t>
      </w:r>
      <w:r w:rsidR="00CF7EE7" w:rsidRPr="00CF7EE7">
        <w:rPr>
          <w:spacing w:val="-1"/>
        </w:rPr>
        <w:t xml:space="preserve">The regulation of iron metabolism and homeostasis </w:t>
      </w:r>
      <w:r w:rsidRPr="00824D58">
        <w:rPr>
          <w:spacing w:val="-1"/>
        </w:rPr>
        <w:t xml:space="preserve">strengthened over the last </w:t>
      </w:r>
      <w:r w:rsidR="00662571" w:rsidRPr="00824D58">
        <w:rPr>
          <w:spacing w:val="-1"/>
        </w:rPr>
        <w:t>ten years</w:t>
      </w:r>
      <w:r w:rsidRPr="00824D58">
        <w:rPr>
          <w:spacing w:val="-1"/>
        </w:rPr>
        <w:t xml:space="preserve">, the effect on the treatment of iron excess and deficiency disorders has remained minor. </w:t>
      </w:r>
      <w:r w:rsidR="000543C8" w:rsidRPr="00824D58">
        <w:rPr>
          <w:spacing w:val="-1"/>
        </w:rPr>
        <w:t>Several studies have added to our knowledge of hepcidin control and functional properties</w:t>
      </w:r>
      <w:r w:rsidR="005262D9" w:rsidRPr="00824D58">
        <w:rPr>
          <w:spacing w:val="-1"/>
        </w:rPr>
        <w:t xml:space="preserve"> </w:t>
      </w:r>
      <w:r w:rsidR="00230F05" w:rsidRPr="00824D58">
        <w:rPr>
          <w:spacing w:val="-1"/>
        </w:rPr>
        <w:t>(Gardenghi, S.,</w:t>
      </w:r>
      <w:r w:rsidR="00544AF2" w:rsidRPr="00824D58">
        <w:t xml:space="preserve"> </w:t>
      </w:r>
      <w:r w:rsidR="00230F05" w:rsidRPr="00824D58">
        <w:rPr>
          <w:i/>
          <w:iCs/>
        </w:rPr>
        <w:t>et</w:t>
      </w:r>
      <w:r w:rsidR="00544AF2" w:rsidRPr="00824D58">
        <w:rPr>
          <w:i/>
          <w:iCs/>
        </w:rPr>
        <w:t xml:space="preserve"> </w:t>
      </w:r>
      <w:r w:rsidR="00230F05" w:rsidRPr="00824D58">
        <w:rPr>
          <w:i/>
          <w:iCs/>
          <w:spacing w:val="-1"/>
        </w:rPr>
        <w:t>al.,</w:t>
      </w:r>
      <w:r w:rsidR="00544AF2" w:rsidRPr="00824D58">
        <w:rPr>
          <w:spacing w:val="-1"/>
        </w:rPr>
        <w:t xml:space="preserve"> </w:t>
      </w:r>
      <w:r w:rsidR="00230F05" w:rsidRPr="00824D58">
        <w:t xml:space="preserve">2010; </w:t>
      </w:r>
      <w:r w:rsidR="00230F05" w:rsidRPr="00824D58">
        <w:rPr>
          <w:spacing w:val="-1"/>
        </w:rPr>
        <w:t>Fatih, N</w:t>
      </w:r>
      <w:r w:rsidR="00230F05" w:rsidRPr="00824D58">
        <w:rPr>
          <w:spacing w:val="15"/>
        </w:rPr>
        <w:t xml:space="preserve">. </w:t>
      </w:r>
      <w:r w:rsidR="00230F05" w:rsidRPr="00824D58">
        <w:rPr>
          <w:i/>
          <w:iCs/>
          <w:spacing w:val="-2"/>
        </w:rPr>
        <w:t>et</w:t>
      </w:r>
      <w:r w:rsidR="00230F05" w:rsidRPr="00824D58">
        <w:rPr>
          <w:i/>
          <w:iCs/>
          <w:spacing w:val="16"/>
        </w:rPr>
        <w:t xml:space="preserve"> </w:t>
      </w:r>
      <w:r w:rsidR="00230F05" w:rsidRPr="00824D58">
        <w:rPr>
          <w:i/>
          <w:iCs/>
          <w:spacing w:val="-1"/>
        </w:rPr>
        <w:t>al.,</w:t>
      </w:r>
      <w:r w:rsidR="00230F05" w:rsidRPr="00824D58">
        <w:rPr>
          <w:spacing w:val="16"/>
        </w:rPr>
        <w:t xml:space="preserve"> </w:t>
      </w:r>
      <w:r w:rsidR="00230F05" w:rsidRPr="00824D58">
        <w:rPr>
          <w:spacing w:val="-2"/>
        </w:rPr>
        <w:t xml:space="preserve">2010; </w:t>
      </w:r>
      <w:r w:rsidR="00230F05" w:rsidRPr="00824D58">
        <w:rPr>
          <w:spacing w:val="-1"/>
        </w:rPr>
        <w:t>Sasu</w:t>
      </w:r>
      <w:r w:rsidR="00230F05" w:rsidRPr="00824D58">
        <w:rPr>
          <w:spacing w:val="37"/>
        </w:rPr>
        <w:t xml:space="preserve">, B. J. </w:t>
      </w:r>
      <w:r w:rsidR="00230F05" w:rsidRPr="00824D58">
        <w:rPr>
          <w:i/>
          <w:iCs/>
        </w:rPr>
        <w:t>et</w:t>
      </w:r>
      <w:r w:rsidR="00230F05" w:rsidRPr="00824D58">
        <w:rPr>
          <w:i/>
          <w:iCs/>
          <w:spacing w:val="37"/>
        </w:rPr>
        <w:t xml:space="preserve"> </w:t>
      </w:r>
      <w:r w:rsidR="00230F05" w:rsidRPr="00824D58">
        <w:rPr>
          <w:i/>
          <w:iCs/>
        </w:rPr>
        <w:t>al.,</w:t>
      </w:r>
      <w:r w:rsidR="00230F05" w:rsidRPr="00824D58">
        <w:rPr>
          <w:spacing w:val="35"/>
        </w:rPr>
        <w:t xml:space="preserve"> </w:t>
      </w:r>
      <w:r w:rsidR="00230F05" w:rsidRPr="00824D58">
        <w:rPr>
          <w:spacing w:val="-1"/>
        </w:rPr>
        <w:t>2010</w:t>
      </w:r>
      <w:r w:rsidR="00230F05" w:rsidRPr="00824D58">
        <w:t>)</w:t>
      </w:r>
      <w:r w:rsidR="00230F05" w:rsidRPr="00824D58">
        <w:rPr>
          <w:spacing w:val="-1"/>
        </w:rPr>
        <w:t xml:space="preserve">. </w:t>
      </w:r>
    </w:p>
    <w:p w:rsidR="004C3C0E" w:rsidRPr="00824D58" w:rsidRDefault="004C3C0E" w:rsidP="004C3C0E">
      <w:pPr>
        <w:pStyle w:val="BodyText"/>
        <w:spacing w:after="0"/>
        <w:rPr>
          <w:b/>
          <w:bCs/>
          <w:spacing w:val="-1"/>
        </w:rPr>
      </w:pPr>
    </w:p>
    <w:p w:rsidR="00230F05" w:rsidRPr="00824D58" w:rsidRDefault="00E21A15" w:rsidP="002D4DBF">
      <w:pPr>
        <w:pStyle w:val="BodyText"/>
        <w:spacing w:after="0"/>
        <w:rPr>
          <w:spacing w:val="-1"/>
        </w:rPr>
      </w:pPr>
      <w:r w:rsidRPr="00E21A15">
        <w:rPr>
          <w:spacing w:val="-1"/>
        </w:rPr>
        <w:t>The advancement of research in the information that is obtainable to measure the amount of hepcidin and its similar forms in biological fluids has aided the determination of the function of hepcidin in the regulation of iron in a variety of clinical circumstances.</w:t>
      </w:r>
      <w:r w:rsidR="00230F05" w:rsidRPr="00824D58">
        <w:t xml:space="preserve"> </w:t>
      </w:r>
      <w:r w:rsidR="007E4176" w:rsidRPr="00824D58">
        <w:t>Nonetheless</w:t>
      </w:r>
      <w:r w:rsidR="00230F05" w:rsidRPr="00824D58">
        <w:t xml:space="preserve">, it is not clear that a routine measurement of hepcidin would be useful in diagnosing these </w:t>
      </w:r>
      <w:r w:rsidR="000543C8" w:rsidRPr="00824D58">
        <w:t>cases</w:t>
      </w:r>
      <w:r w:rsidR="00230F05" w:rsidRPr="00824D58">
        <w:t xml:space="preserve"> remaining in a clinical </w:t>
      </w:r>
      <w:r w:rsidR="00CE59EB" w:rsidRPr="00824D58">
        <w:t>situation</w:t>
      </w:r>
      <w:r w:rsidR="00230F05" w:rsidRPr="00824D58">
        <w:t xml:space="preserve">. </w:t>
      </w:r>
      <w:r w:rsidR="00CE59EB" w:rsidRPr="00824D58">
        <w:t xml:space="preserve">Hepcidin with an aggressive or agonizing activity against Fpn intrusion </w:t>
      </w:r>
      <w:r w:rsidR="002D4DBF" w:rsidRPr="002D4DBF">
        <w:t xml:space="preserve">Its degradation may change the treatment of genetic and secondary iron disorders, ACD, and AI syndrome, a possibility that remains intriguing. </w:t>
      </w:r>
      <w:r w:rsidR="00230F05" w:rsidRPr="00824D58">
        <w:rPr>
          <w:spacing w:val="-1"/>
        </w:rPr>
        <w:t>(Kroot</w:t>
      </w:r>
      <w:r w:rsidR="00230F05" w:rsidRPr="00824D58">
        <w:rPr>
          <w:spacing w:val="2"/>
        </w:rPr>
        <w:t>, J. J.</w:t>
      </w:r>
      <w:r w:rsidR="00544AF2" w:rsidRPr="00824D58">
        <w:rPr>
          <w:spacing w:val="2"/>
        </w:rPr>
        <w:t xml:space="preserve">, </w:t>
      </w:r>
      <w:r w:rsidR="00230F05" w:rsidRPr="00824D58">
        <w:rPr>
          <w:i/>
          <w:iCs/>
          <w:spacing w:val="-2"/>
        </w:rPr>
        <w:t>et</w:t>
      </w:r>
      <w:r w:rsidR="00544AF2" w:rsidRPr="00824D58">
        <w:rPr>
          <w:i/>
          <w:iCs/>
          <w:spacing w:val="-2"/>
        </w:rPr>
        <w:t xml:space="preserve"> </w:t>
      </w:r>
      <w:r w:rsidR="00230F05" w:rsidRPr="00824D58">
        <w:rPr>
          <w:i/>
          <w:iCs/>
        </w:rPr>
        <w:t>al.,</w:t>
      </w:r>
      <w:r w:rsidR="00230F05" w:rsidRPr="00824D58">
        <w:rPr>
          <w:spacing w:val="-1"/>
        </w:rPr>
        <w:t xml:space="preserve"> 2011; Paul, B. Y. </w:t>
      </w:r>
      <w:r w:rsidR="00230F05" w:rsidRPr="00824D58">
        <w:rPr>
          <w:i/>
          <w:iCs/>
          <w:spacing w:val="-1"/>
        </w:rPr>
        <w:t>et al.,</w:t>
      </w:r>
      <w:r w:rsidR="00230F05" w:rsidRPr="00824D58">
        <w:rPr>
          <w:spacing w:val="-1"/>
        </w:rPr>
        <w:t xml:space="preserve"> 2008; </w:t>
      </w:r>
      <w:r w:rsidR="00230F05" w:rsidRPr="00824D58">
        <w:t xml:space="preserve">Braliou, G. G. </w:t>
      </w:r>
      <w:r w:rsidR="00230F05" w:rsidRPr="00824D58">
        <w:rPr>
          <w:i/>
          <w:iCs/>
        </w:rPr>
        <w:t>et al.,</w:t>
      </w:r>
      <w:r w:rsidR="00230F05" w:rsidRPr="00824D58">
        <w:t xml:space="preserve"> 2008</w:t>
      </w:r>
      <w:r w:rsidR="00230F05" w:rsidRPr="00824D58">
        <w:rPr>
          <w:spacing w:val="-1"/>
        </w:rPr>
        <w:t>).</w:t>
      </w:r>
    </w:p>
    <w:p w:rsidR="004C3C0E" w:rsidRPr="00824D58" w:rsidRDefault="004C3C0E" w:rsidP="004C3C0E">
      <w:pPr>
        <w:pStyle w:val="BodyText"/>
        <w:spacing w:after="0"/>
      </w:pPr>
    </w:p>
    <w:p w:rsidR="00230F05" w:rsidRPr="00824D58" w:rsidRDefault="00230F05" w:rsidP="004C3C0E">
      <w:pPr>
        <w:pStyle w:val="Heading4"/>
        <w:numPr>
          <w:ilvl w:val="3"/>
          <w:numId w:val="2"/>
        </w:numPr>
        <w:spacing w:before="0"/>
        <w:ind w:left="851" w:hanging="851"/>
      </w:pPr>
      <w:r w:rsidRPr="00824D58">
        <w:t>Hepcidin agonists</w:t>
      </w:r>
    </w:p>
    <w:p w:rsidR="004C3C0E" w:rsidRPr="00824D58" w:rsidRDefault="004C3C0E" w:rsidP="004C3C0E">
      <w:pPr>
        <w:spacing w:after="0"/>
      </w:pPr>
    </w:p>
    <w:p w:rsidR="00230F05" w:rsidRPr="00824D58" w:rsidRDefault="00230F05" w:rsidP="00E21A15">
      <w:pPr>
        <w:pStyle w:val="BodyText"/>
        <w:spacing w:after="200"/>
        <w:ind w:right="113"/>
      </w:pPr>
      <w:r w:rsidRPr="00824D58">
        <w:t>Preclinical clinical investigations provided conceptual validation of synthetic hepcidin, hepecidin small peptides, HIFs stabilizers</w:t>
      </w:r>
      <w:r w:rsidR="00FC5CC1">
        <w:t>,&amp;</w:t>
      </w:r>
      <w:r w:rsidRPr="00824D58">
        <w:t xml:space="preserve"> BMP </w:t>
      </w:r>
      <w:r w:rsidRPr="00824D58">
        <w:rPr>
          <w:spacing w:val="-1"/>
        </w:rPr>
        <w:t>agonists</w:t>
      </w:r>
      <w:r w:rsidRPr="00824D58">
        <w:t xml:space="preserve">, to demonstrate iron overload attributable to hepcidin deficiency (Kroot </w:t>
      </w:r>
      <w:r w:rsidRPr="00824D58">
        <w:rPr>
          <w:i/>
          <w:iCs/>
        </w:rPr>
        <w:t>et al.,</w:t>
      </w:r>
      <w:r w:rsidRPr="00824D58">
        <w:t xml:space="preserve"> 2011). It has been shown that small hepaticin peptides act as </w:t>
      </w:r>
      <w:r w:rsidRPr="00824D58">
        <w:rPr>
          <w:spacing w:val="-1"/>
        </w:rPr>
        <w:t>agonists</w:t>
      </w:r>
      <w:r w:rsidRPr="00824D58">
        <w:t xml:space="preserve"> in vivo of mice depended on the amino terminal domain. </w:t>
      </w:r>
      <w:r w:rsidR="00E21A15" w:rsidRPr="00E21A15">
        <w:t>It was shown that increasing the amount of transgenic hepcidin in mice with intermediate beta-thalassemia can reduce iron overload, however this treatment is unsuccessful even when co</w:t>
      </w:r>
      <w:r w:rsidR="00E21A15">
        <w:t>mbined with better erythrocytes</w:t>
      </w:r>
      <w:r w:rsidRPr="00824D58">
        <w:t xml:space="preserve"> (Gardenghi </w:t>
      </w:r>
      <w:r w:rsidRPr="00824D58">
        <w:rPr>
          <w:i/>
          <w:iCs/>
        </w:rPr>
        <w:t>et al.,</w:t>
      </w:r>
      <w:r w:rsidRPr="00824D58">
        <w:t xml:space="preserve"> 2010; Babitt</w:t>
      </w:r>
      <w:r w:rsidRPr="00824D58">
        <w:rPr>
          <w:i/>
          <w:iCs/>
        </w:rPr>
        <w:t>et al.,</w:t>
      </w:r>
      <w:r w:rsidRPr="00824D58">
        <w:t xml:space="preserve"> 2006). </w:t>
      </w:r>
    </w:p>
    <w:p w:rsidR="004C3C0E" w:rsidRPr="00824D58" w:rsidRDefault="004C3C0E" w:rsidP="00230F05">
      <w:pPr>
        <w:pStyle w:val="BodyText"/>
        <w:spacing w:after="200"/>
        <w:ind w:right="113"/>
      </w:pPr>
    </w:p>
    <w:p w:rsidR="00230F05" w:rsidRPr="00824D58" w:rsidRDefault="00230F05" w:rsidP="004C3C0E">
      <w:pPr>
        <w:pStyle w:val="Heading3"/>
        <w:numPr>
          <w:ilvl w:val="2"/>
          <w:numId w:val="2"/>
        </w:numPr>
        <w:spacing w:before="0" w:after="0"/>
        <w:ind w:left="709" w:hanging="709"/>
      </w:pPr>
      <w:bookmarkStart w:id="123" w:name="_Toc60183450"/>
      <w:r w:rsidRPr="00824D58">
        <w:t>Growth differentiation factor-15 (GDF15</w:t>
      </w:r>
      <w:r w:rsidR="00544AF2" w:rsidRPr="00824D58">
        <w:t>)</w:t>
      </w:r>
      <w:bookmarkEnd w:id="123"/>
    </w:p>
    <w:p w:rsidR="004C3C0E" w:rsidRPr="00824D58" w:rsidRDefault="004C3C0E" w:rsidP="004C3C0E"/>
    <w:p w:rsidR="00230F05" w:rsidRPr="00824D58" w:rsidRDefault="005262D9" w:rsidP="00CF7EE7">
      <w:pPr>
        <w:spacing w:after="0"/>
      </w:pPr>
      <w:r w:rsidRPr="00824D58">
        <w:t xml:space="preserve">Deregulation of the growth factor-b (TGF-b) family's expression and cytokine functions is frequently linked to cancer. Many TGF-b family members' detailed cancer-related functions, however, are unknown. The Growth / Differentiation Factor-15 (GDF15), for example, is a heterogeneous of </w:t>
      </w:r>
      <w:r w:rsidR="00CF7EE7" w:rsidRPr="00CF7EE7">
        <w:t>the TGF-b family of proteins. This cytokine is believed to possess immunomodulatory characteristics, as sh</w:t>
      </w:r>
      <w:r w:rsidR="00CF7EE7">
        <w:t xml:space="preserve">own by its increased expression </w:t>
      </w:r>
      <w:r w:rsidRPr="00824D58">
        <w:t xml:space="preserve">has been linked to cancer progression. </w:t>
      </w:r>
      <w:r w:rsidR="00230F05" w:rsidRPr="00824D58">
        <w:t xml:space="preserve">However, no investigations have been done to explain </w:t>
      </w:r>
      <w:r w:rsidR="00CE59EB" w:rsidRPr="00824D58">
        <w:t>its role in tissue growth</w:t>
      </w:r>
      <w:r w:rsidR="00230F05" w:rsidRPr="00824D58">
        <w:t>, hematopoiesis</w:t>
      </w:r>
      <w:r w:rsidR="00FC5CC1">
        <w:t>,&amp;</w:t>
      </w:r>
      <w:r w:rsidR="00230F05" w:rsidRPr="00824D58">
        <w:t xml:space="preserve"> cancer development. Clarifying the physiological function of GDF15 in more detail may lead to new innovative treatment strategies for treating future illnesses person suffering from cancer (</w:t>
      </w:r>
      <w:r w:rsidR="00230F05" w:rsidRPr="00824D58">
        <w:rPr>
          <w:shd w:val="clear" w:color="auto" w:fill="FFFFFF"/>
        </w:rPr>
        <w:t xml:space="preserve">Kempf, T., </w:t>
      </w:r>
      <w:r w:rsidR="00230F05" w:rsidRPr="00824D58">
        <w:rPr>
          <w:i/>
          <w:iCs/>
          <w:shd w:val="clear" w:color="auto" w:fill="FFFFFF"/>
        </w:rPr>
        <w:t>et al</w:t>
      </w:r>
      <w:r w:rsidR="00230F05" w:rsidRPr="00824D58">
        <w:rPr>
          <w:i/>
          <w:iCs/>
        </w:rPr>
        <w:t>.,</w:t>
      </w:r>
      <w:r w:rsidR="00230F05" w:rsidRPr="00824D58">
        <w:t xml:space="preserve"> 2006).</w:t>
      </w:r>
    </w:p>
    <w:p w:rsidR="004C3C0E" w:rsidRPr="00824D58" w:rsidRDefault="004C3C0E" w:rsidP="004C3C0E">
      <w:pPr>
        <w:spacing w:after="0"/>
      </w:pPr>
    </w:p>
    <w:p w:rsidR="00230F05" w:rsidRPr="00824D58" w:rsidRDefault="00230F05" w:rsidP="004C3C0E">
      <w:pPr>
        <w:pStyle w:val="Heading4"/>
        <w:numPr>
          <w:ilvl w:val="3"/>
          <w:numId w:val="2"/>
        </w:numPr>
        <w:spacing w:before="0"/>
        <w:ind w:left="851" w:hanging="851"/>
      </w:pPr>
      <w:r w:rsidRPr="00824D58">
        <w:rPr>
          <w:shd w:val="clear" w:color="auto" w:fill="FFFFFF"/>
        </w:rPr>
        <w:t>Growth differentiation factor</w:t>
      </w:r>
      <w:r w:rsidRPr="00824D58">
        <w:t xml:space="preserve"> -15 sequence and </w:t>
      </w:r>
      <w:r w:rsidRPr="009376D6">
        <w:t>structure</w:t>
      </w:r>
    </w:p>
    <w:p w:rsidR="004C3C0E" w:rsidRPr="00824D58" w:rsidRDefault="004C3C0E" w:rsidP="004C3C0E">
      <w:pPr>
        <w:spacing w:after="0"/>
      </w:pPr>
    </w:p>
    <w:p w:rsidR="00230F05" w:rsidRPr="00824D58" w:rsidRDefault="008D3374" w:rsidP="004C3C0E">
      <w:pPr>
        <w:spacing w:after="0"/>
        <w:rPr>
          <w:shd w:val="clear" w:color="auto" w:fill="FFFFFF"/>
        </w:rPr>
      </w:pPr>
      <w:r w:rsidRPr="00824D58">
        <w:rPr>
          <w:shd w:val="clear" w:color="auto" w:fill="FFFFFF"/>
        </w:rPr>
        <w:t>The determinant of growth differentiation GDF15 was discovered in the late 1990s by a number of researcher groups at the same time</w:t>
      </w:r>
      <w:r w:rsidR="00FC5CC1">
        <w:rPr>
          <w:shd w:val="clear" w:color="auto" w:fill="FFFFFF"/>
        </w:rPr>
        <w:t>,&amp;</w:t>
      </w:r>
      <w:r w:rsidRPr="00824D58">
        <w:rPr>
          <w:shd w:val="clear" w:color="auto" w:fill="FFFFFF"/>
        </w:rPr>
        <w:t xml:space="preserve"> it is found on chromosome 19 in the p13.11 region. It has a 2746-bp DNA chain with two exons separated by a single intron as its main structure</w:t>
      </w:r>
      <w:r w:rsidR="00230F05" w:rsidRPr="00824D58">
        <w:rPr>
          <w:shd w:val="clear" w:color="auto" w:fill="FFFFFF"/>
        </w:rPr>
        <w:t xml:space="preserve"> (Bootcov, M. R., </w:t>
      </w:r>
      <w:r w:rsidR="00230F05" w:rsidRPr="00824D58">
        <w:rPr>
          <w:i/>
          <w:iCs/>
          <w:shd w:val="clear" w:color="auto" w:fill="FFFFFF"/>
        </w:rPr>
        <w:t>et al.,</w:t>
      </w:r>
      <w:r w:rsidR="00230F05" w:rsidRPr="00824D58">
        <w:rPr>
          <w:shd w:val="clear" w:color="auto" w:fill="FFFFFF"/>
        </w:rPr>
        <w:t xml:space="preserve"> 1997; Baek, S. J., </w:t>
      </w:r>
      <w:r w:rsidR="00230F05" w:rsidRPr="00824D58">
        <w:rPr>
          <w:i/>
          <w:iCs/>
          <w:shd w:val="clear" w:color="auto" w:fill="FFFFFF"/>
        </w:rPr>
        <w:t>et al.,</w:t>
      </w:r>
      <w:r w:rsidR="00230F05" w:rsidRPr="00824D58">
        <w:rPr>
          <w:shd w:val="clear" w:color="auto" w:fill="FFFFFF"/>
        </w:rPr>
        <w:t xml:space="preserve"> 2001).</w:t>
      </w:r>
    </w:p>
    <w:p w:rsidR="004C3C0E" w:rsidRPr="00824D58" w:rsidRDefault="004C3C0E" w:rsidP="004C3C0E">
      <w:pPr>
        <w:spacing w:after="0"/>
        <w:rPr>
          <w:shd w:val="clear" w:color="auto" w:fill="FFFFFF"/>
        </w:rPr>
      </w:pPr>
    </w:p>
    <w:p w:rsidR="00230F05" w:rsidRPr="00824D58" w:rsidRDefault="00E84DB3" w:rsidP="00CF7EE7">
      <w:pPr>
        <w:spacing w:after="0"/>
        <w:rPr>
          <w:shd w:val="clear" w:color="auto" w:fill="FFFFFF"/>
        </w:rPr>
      </w:pPr>
      <w:r w:rsidRPr="00E84DB3">
        <w:rPr>
          <w:shd w:val="clear" w:color="auto" w:fill="FFFFFF"/>
        </w:rPr>
        <w:t xml:space="preserve">One of the two GDF15 alleles is distinguished from the other by a single C-G transversal ion in exon II at chr2:2423 kb, resulting in a change in amino acid composition at codon 202 </w:t>
      </w:r>
      <w:r>
        <w:rPr>
          <w:shd w:val="clear" w:color="auto" w:fill="FFFFFF"/>
        </w:rPr>
        <w:t>from histidine to aspartic acid</w:t>
      </w:r>
      <w:r w:rsidR="00CF7EE7" w:rsidRPr="00CF7EE7">
        <w:rPr>
          <w:shd w:val="clear" w:color="auto" w:fill="FFFFFF"/>
        </w:rPr>
        <w:t xml:space="preserve"> </w:t>
      </w:r>
      <w:r w:rsidR="00230F05" w:rsidRPr="00824D58">
        <w:rPr>
          <w:shd w:val="clear" w:color="auto" w:fill="FFFFFF"/>
        </w:rPr>
        <w:t xml:space="preserve">(Brown, D. A., </w:t>
      </w:r>
      <w:r w:rsidR="00230F05" w:rsidRPr="00824D58">
        <w:rPr>
          <w:i/>
          <w:iCs/>
          <w:shd w:val="clear" w:color="auto" w:fill="FFFFFF"/>
        </w:rPr>
        <w:t>et al.,</w:t>
      </w:r>
      <w:r w:rsidR="00230F05" w:rsidRPr="00824D58">
        <w:rPr>
          <w:shd w:val="clear" w:color="auto" w:fill="FFFFFF"/>
        </w:rPr>
        <w:t xml:space="preserve"> 2002).</w:t>
      </w:r>
    </w:p>
    <w:p w:rsidR="004C3C0E" w:rsidRPr="00824D58" w:rsidRDefault="004C3C0E" w:rsidP="004C3C0E">
      <w:pPr>
        <w:spacing w:after="0"/>
        <w:rPr>
          <w:shd w:val="clear" w:color="auto" w:fill="FFFFFF"/>
        </w:rPr>
      </w:pPr>
    </w:p>
    <w:p w:rsidR="004C3C0E" w:rsidRPr="00824D58" w:rsidRDefault="00230F05" w:rsidP="00E21A15">
      <w:pPr>
        <w:spacing w:after="480"/>
      </w:pPr>
      <w:r w:rsidRPr="00824D58">
        <w:rPr>
          <w:shd w:val="clear" w:color="auto" w:fill="FFFFFF"/>
        </w:rPr>
        <w:t xml:space="preserve">This swapping leads to changing the biochemical features of the </w:t>
      </w:r>
      <w:r w:rsidR="00B30B20" w:rsidRPr="00824D58">
        <w:rPr>
          <w:shd w:val="clear" w:color="auto" w:fill="FFFFFF"/>
        </w:rPr>
        <w:t>ripe</w:t>
      </w:r>
      <w:r w:rsidRPr="00824D58">
        <w:rPr>
          <w:shd w:val="clear" w:color="auto" w:fill="FFFFFF"/>
        </w:rPr>
        <w:t xml:space="preserve"> </w:t>
      </w:r>
      <w:r w:rsidR="00CF7EE7" w:rsidRPr="00CF7EE7">
        <w:rPr>
          <w:shd w:val="clear" w:color="auto" w:fill="FFFFFF"/>
        </w:rPr>
        <w:t>protein and may cause mutations</w:t>
      </w:r>
      <w:r w:rsidRPr="00824D58">
        <w:rPr>
          <w:shd w:val="clear" w:color="auto" w:fill="FFFFFF"/>
        </w:rPr>
        <w:t xml:space="preserve"> GDF15 exchanging. The H6D </w:t>
      </w:r>
      <w:r w:rsidR="00C47A8C" w:rsidRPr="00824D58">
        <w:rPr>
          <w:shd w:val="clear" w:color="auto" w:fill="FFFFFF"/>
        </w:rPr>
        <w:t>kinds</w:t>
      </w:r>
      <w:r w:rsidRPr="00824D58">
        <w:rPr>
          <w:shd w:val="clear" w:color="auto" w:fill="FFFFFF"/>
        </w:rPr>
        <w:t xml:space="preserve"> of GDF15 has a prospect fundamental clinical, as many investigations referred broad prognosis in </w:t>
      </w:r>
      <w:r w:rsidR="00F146F5" w:rsidRPr="00824D58">
        <w:rPr>
          <w:shd w:val="clear" w:color="auto" w:fill="FFFFFF"/>
        </w:rPr>
        <w:t>PCa</w:t>
      </w:r>
      <w:r w:rsidRPr="00824D58">
        <w:rPr>
          <w:shd w:val="clear" w:color="auto" w:fill="FFFFFF"/>
        </w:rPr>
        <w:t xml:space="preserve"> volunteers and patients suffering from the G allele (H6D protein) </w:t>
      </w:r>
      <w:r w:rsidR="00B30B20" w:rsidRPr="00824D58">
        <w:rPr>
          <w:shd w:val="clear" w:color="auto" w:fill="FFFFFF"/>
        </w:rPr>
        <w:t xml:space="preserve">compared to those </w:t>
      </w:r>
      <w:r w:rsidRPr="00824D58">
        <w:rPr>
          <w:shd w:val="clear" w:color="auto" w:fill="FFFFFF"/>
        </w:rPr>
        <w:t xml:space="preserve">with wild-type GDF15, the genotype recurrence in the </w:t>
      </w:r>
      <w:r w:rsidR="00B30B20" w:rsidRPr="00824D58">
        <w:rPr>
          <w:shd w:val="clear" w:color="auto" w:fill="FFFFFF"/>
        </w:rPr>
        <w:t>healthy people.</w:t>
      </w:r>
      <w:r w:rsidRPr="00824D58">
        <w:rPr>
          <w:shd w:val="clear" w:color="auto" w:fill="FFFFFF"/>
        </w:rPr>
        <w:t xml:space="preserve"> </w:t>
      </w:r>
      <w:r w:rsidR="00E21A15" w:rsidRPr="00E21A15">
        <w:rPr>
          <w:shd w:val="clear" w:color="auto" w:fill="FFFFFF"/>
        </w:rPr>
        <w:t>It was anticipated that human beings will have 54% of their homozygotes composed entirely of histidine (alleles CC), 7% of their homozygotes composed wholly of aspartic acid (alleles GG), and 39% heterozygotes (CG)</w:t>
      </w:r>
      <w:r w:rsidR="00CF7EE7" w:rsidRPr="00CF7EE7">
        <w:rPr>
          <w:shd w:val="clear" w:color="auto" w:fill="FFFFFF"/>
        </w:rPr>
        <w:t xml:space="preserve"> </w:t>
      </w:r>
      <w:r w:rsidRPr="00824D58">
        <w:rPr>
          <w:shd w:val="clear" w:color="auto" w:fill="FFFFFF"/>
        </w:rPr>
        <w:t xml:space="preserve">(Hayes, V. M. </w:t>
      </w:r>
      <w:r w:rsidRPr="00824D58">
        <w:rPr>
          <w:i/>
          <w:iCs/>
          <w:shd w:val="clear" w:color="auto" w:fill="FFFFFF"/>
        </w:rPr>
        <w:t>et al.,</w:t>
      </w:r>
      <w:r w:rsidRPr="00824D58">
        <w:rPr>
          <w:shd w:val="clear" w:color="auto" w:fill="FFFFFF"/>
        </w:rPr>
        <w:t xml:space="preserve"> 2006)</w:t>
      </w:r>
      <w:r w:rsidRPr="00824D58">
        <w:t>.</w:t>
      </w:r>
    </w:p>
    <w:p w:rsidR="00230F05" w:rsidRPr="00824D58" w:rsidRDefault="00230F05" w:rsidP="004C3C0E">
      <w:pPr>
        <w:pStyle w:val="Heading4"/>
        <w:numPr>
          <w:ilvl w:val="3"/>
          <w:numId w:val="2"/>
        </w:numPr>
        <w:spacing w:before="0"/>
        <w:ind w:left="851" w:hanging="851"/>
      </w:pPr>
      <w:r w:rsidRPr="00824D58">
        <w:rPr>
          <w:shd w:val="clear" w:color="auto" w:fill="FFFFFF"/>
        </w:rPr>
        <w:t>Growth differentiation factor (GDF15)</w:t>
      </w:r>
      <w:r w:rsidRPr="00824D58">
        <w:t xml:space="preserve"> in Tissue Homeostasis and Repair</w:t>
      </w:r>
    </w:p>
    <w:p w:rsidR="004C3C0E" w:rsidRPr="00824D58" w:rsidRDefault="004C3C0E" w:rsidP="004C3C0E">
      <w:pPr>
        <w:spacing w:after="0"/>
      </w:pPr>
    </w:p>
    <w:p w:rsidR="00230F05" w:rsidRPr="00824D58" w:rsidRDefault="00FE67CC" w:rsidP="004C3C0E">
      <w:pPr>
        <w:spacing w:after="0"/>
      </w:pPr>
      <w:r w:rsidRPr="00824D58">
        <w:t xml:space="preserve">The GDF15 </w:t>
      </w:r>
      <w:r w:rsidR="00B30B20" w:rsidRPr="00824D58">
        <w:t xml:space="preserve">expression </w:t>
      </w:r>
      <w:r w:rsidRPr="00824D58">
        <w:t>is closely related to stressful situation or tissue damage</w:t>
      </w:r>
      <w:r w:rsidR="00230F05" w:rsidRPr="00824D58">
        <w:t xml:space="preserve">, which indicates </w:t>
      </w:r>
      <w:r w:rsidRPr="00824D58">
        <w:t>its significance in tissue regeneration and healing</w:t>
      </w:r>
      <w:r w:rsidR="00230F05" w:rsidRPr="00824D58">
        <w:t xml:space="preserve">, as certified in many investigation, for instance the heart muscle (myocardium). Via GDF15 is not usually expressed in the heart of the healthy person, it is quickly regulated by stress or with signs of heart bad changing, for instance blood pressure, inﬂammation, oxidative </w:t>
      </w:r>
      <w:r w:rsidR="00DE09E2" w:rsidRPr="00824D58">
        <w:t>ischemia or depression</w:t>
      </w:r>
      <w:r w:rsidR="00230F05" w:rsidRPr="00824D58">
        <w:t xml:space="preserve">, which indicates an anti-apoptotic or </w:t>
      </w:r>
      <w:r w:rsidR="00B30B20" w:rsidRPr="00824D58">
        <w:t>safeguarding</w:t>
      </w:r>
      <w:r w:rsidR="00230F05" w:rsidRPr="00824D58">
        <w:t xml:space="preserve"> function through </w:t>
      </w:r>
      <w:r w:rsidR="00B30B20" w:rsidRPr="00824D58">
        <w:t>failure of the heart</w:t>
      </w:r>
      <w:r w:rsidR="00230F05" w:rsidRPr="00824D58">
        <w:t xml:space="preserve">, </w:t>
      </w:r>
      <w:r w:rsidR="00B30B20" w:rsidRPr="00824D58">
        <w:t xml:space="preserve">hypertension of the arteries </w:t>
      </w:r>
      <w:r w:rsidR="00230F05" w:rsidRPr="00824D58">
        <w:t xml:space="preserve">or </w:t>
      </w:r>
      <w:r w:rsidR="00B30B20" w:rsidRPr="00824D58">
        <w:t>some cardiovascular conditions brutal</w:t>
      </w:r>
      <w:r w:rsidR="00230F05" w:rsidRPr="00824D58">
        <w:t>. GDF15 can also provide clinical prognostic characterizing (</w:t>
      </w:r>
      <w:r w:rsidR="00230F05" w:rsidRPr="00824D58">
        <w:rPr>
          <w:shd w:val="clear" w:color="auto" w:fill="FFFFFF"/>
        </w:rPr>
        <w:t>Daniels, L. B.,</w:t>
      </w:r>
      <w:r w:rsidR="00230F05" w:rsidRPr="00824D58">
        <w:t xml:space="preserve"> </w:t>
      </w:r>
      <w:r w:rsidR="00230F05" w:rsidRPr="00824D58">
        <w:rPr>
          <w:i/>
          <w:iCs/>
        </w:rPr>
        <w:t>et al.,</w:t>
      </w:r>
      <w:r w:rsidR="00230F05" w:rsidRPr="00824D58">
        <w:t xml:space="preserve"> 2011).</w:t>
      </w:r>
    </w:p>
    <w:p w:rsidR="004C3C0E" w:rsidRPr="00824D58" w:rsidRDefault="004C3C0E" w:rsidP="004C3C0E">
      <w:pPr>
        <w:spacing w:after="0"/>
        <w:rPr>
          <w:b/>
          <w:bCs/>
        </w:rPr>
      </w:pPr>
    </w:p>
    <w:p w:rsidR="00230F05" w:rsidRPr="00824D58" w:rsidRDefault="00230F05" w:rsidP="004C3C0E">
      <w:pPr>
        <w:spacing w:after="0"/>
      </w:pPr>
      <w:r w:rsidRPr="00824D58">
        <w:t xml:space="preserve">The scale up of GDF15 in plasma refers deteriorating results for certain cardiac failure. The GDF15 biological function for tissue </w:t>
      </w:r>
      <w:r w:rsidR="00A709E6" w:rsidRPr="00824D58">
        <w:t>renovation</w:t>
      </w:r>
      <w:r w:rsidRPr="00824D58">
        <w:t xml:space="preserve"> in the myocardium </w:t>
      </w:r>
      <w:r w:rsidR="00A709E6" w:rsidRPr="00824D58">
        <w:t xml:space="preserve">haven't been resolved satisfactorily </w:t>
      </w:r>
      <w:r w:rsidRPr="00824D58">
        <w:t xml:space="preserve">demonstrated to date; </w:t>
      </w:r>
      <w:r w:rsidR="00A709E6" w:rsidRPr="00824D58">
        <w:t>Accordingly</w:t>
      </w:r>
      <w:r w:rsidRPr="00824D58">
        <w:t xml:space="preserve">, polymer phonuclear leukocytes or macrophage white leukocytes has been suggested in filtering the affected site as target groups for GDF15. The pathological accumulation of polymorphonuc learleukocytes white blood cells in the congested heart muscle can be prevented by secretion of GDF15, as it scale down the adherence of </w:t>
      </w:r>
      <w:r w:rsidR="00A709E6" w:rsidRPr="00824D58">
        <w:t xml:space="preserve">leukocyte adhesion polymorphonuclear </w:t>
      </w:r>
      <w:r w:rsidRPr="00824D58">
        <w:t>by inhibiting the integrin</w:t>
      </w:r>
      <w:r w:rsidRPr="00824D58">
        <w:rPr>
          <w:b/>
          <w:bCs/>
        </w:rPr>
        <w:t xml:space="preserve"> </w:t>
      </w:r>
      <w:r w:rsidRPr="00824D58">
        <w:rPr>
          <w:rFonts w:eastAsia="Century"/>
          <w:b/>
          <w:bCs/>
          <w:spacing w:val="-1"/>
        </w:rPr>
        <w:t>b</w:t>
      </w:r>
      <w:r w:rsidRPr="00824D58">
        <w:rPr>
          <w:b/>
          <w:bCs/>
          <w:spacing w:val="-2"/>
        </w:rPr>
        <w:t>2</w:t>
      </w:r>
      <w:r w:rsidRPr="00824D58">
        <w:t xml:space="preserve"> and In vitro GTP as a small signal. Besides external signals, GDF15 mediated signal transmission in myocardial cells includes the canonical SMAD rout (SMAD2 / 3). Not only both procedures preventing pathological changes in the </w:t>
      </w:r>
      <w:r w:rsidRPr="00824D58">
        <w:rPr>
          <w:b/>
          <w:bCs/>
        </w:rPr>
        <w:t>a</w:t>
      </w:r>
      <w:r w:rsidRPr="00824D58">
        <w:t>rchitecture of tissues, for instance ventricular dilationand cardiachypertrophy, but can also prevent an inappropriate immune response (</w:t>
      </w:r>
      <w:r w:rsidRPr="00824D58">
        <w:rPr>
          <w:shd w:val="clear" w:color="auto" w:fill="FFFFFF"/>
        </w:rPr>
        <w:t>Wiklund, F. E.</w:t>
      </w:r>
      <w:r w:rsidR="00FA5C42" w:rsidRPr="00824D58">
        <w:rPr>
          <w:shd w:val="clear" w:color="auto" w:fill="FFFFFF"/>
        </w:rPr>
        <w:t>,</w:t>
      </w:r>
      <w:r w:rsidRPr="00824D58">
        <w:rPr>
          <w:shd w:val="clear" w:color="auto" w:fill="FFFFFF"/>
        </w:rPr>
        <w:t xml:space="preserve"> </w:t>
      </w:r>
      <w:r w:rsidRPr="00824D58">
        <w:rPr>
          <w:i/>
          <w:iCs/>
          <w:shd w:val="clear" w:color="auto" w:fill="FFFFFF"/>
        </w:rPr>
        <w:t>et al.,</w:t>
      </w:r>
      <w:r w:rsidRPr="00824D58">
        <w:rPr>
          <w:shd w:val="clear" w:color="auto" w:fill="FFFFFF"/>
        </w:rPr>
        <w:t xml:space="preserve"> 2010)</w:t>
      </w:r>
      <w:r w:rsidRPr="00824D58">
        <w:t>.</w:t>
      </w:r>
    </w:p>
    <w:p w:rsidR="004C3C0E" w:rsidRPr="00824D58" w:rsidRDefault="004C3C0E" w:rsidP="004C3C0E">
      <w:pPr>
        <w:spacing w:after="0"/>
      </w:pPr>
    </w:p>
    <w:p w:rsidR="00230F05" w:rsidRPr="00824D58" w:rsidRDefault="00A709E6" w:rsidP="00E21A15">
      <w:pPr>
        <w:spacing w:after="0"/>
        <w:rPr>
          <w:shd w:val="clear" w:color="auto" w:fill="FFFFFF"/>
        </w:rPr>
      </w:pPr>
      <w:r w:rsidRPr="00824D58">
        <w:t>In vitro, human umbilical vein endothelial cells were exposed to hypoxia</w:t>
      </w:r>
      <w:r w:rsidR="00230F05" w:rsidRPr="00824D58">
        <w:t xml:space="preserve">, progressing with GDF15 important supports expression by HIF1a-mediated by </w:t>
      </w:r>
      <w:r w:rsidR="00CF7EE7">
        <w:t xml:space="preserve">Additionally </w:t>
      </w:r>
      <w:r w:rsidR="00CF7EE7" w:rsidRPr="00CF7EE7">
        <w:t xml:space="preserve">VEGF stabilizes the p53-MDM2 complex, which results in solar ubiquitination and subsequent p53 breakdown. Along with cardiovascular tissues, elevated GDF15 expression is seen in </w:t>
      </w:r>
      <w:r w:rsidR="002D4DBF" w:rsidRPr="002D4DBF">
        <w:t>Rheumatoid arthritis patients, congenital anemia patients, and individuals with metabolic</w:t>
      </w:r>
      <w:r w:rsidR="00E21A15" w:rsidRPr="00E21A15">
        <w:rPr>
          <w:color w:val="FFFFFF" w:themeColor="background1"/>
        </w:rPr>
        <w:t>p</w:t>
      </w:r>
      <w:r w:rsidR="002D4DBF" w:rsidRPr="002D4DBF">
        <w:t>disorders</w:t>
      </w:r>
      <w:r w:rsidR="00E21A15" w:rsidRPr="00E21A15">
        <w:rPr>
          <w:color w:val="FFFFFF" w:themeColor="background1"/>
        </w:rPr>
        <w:t>o</w:t>
      </w:r>
      <w:r w:rsidR="002D4DBF" w:rsidRPr="002D4DBF">
        <w:t>such as obesity, diabetes, or preeclampsia</w:t>
      </w:r>
      <w:r w:rsidR="00230F05" w:rsidRPr="00824D58">
        <w:t xml:space="preserve"> (</w:t>
      </w:r>
      <w:r w:rsidR="00230F05" w:rsidRPr="00824D58">
        <w:rPr>
          <w:shd w:val="clear" w:color="auto" w:fill="FFFFFF"/>
        </w:rPr>
        <w:t xml:space="preserve">Wallace, E. M. </w:t>
      </w:r>
      <w:r w:rsidR="00230F05" w:rsidRPr="00824D58">
        <w:rPr>
          <w:i/>
          <w:iCs/>
          <w:shd w:val="clear" w:color="auto" w:fill="FFFFFF"/>
        </w:rPr>
        <w:t>et al.,</w:t>
      </w:r>
      <w:r w:rsidR="00230F05" w:rsidRPr="00824D58">
        <w:rPr>
          <w:shd w:val="clear" w:color="auto" w:fill="FFFFFF"/>
        </w:rPr>
        <w:t xml:space="preserve"> 2004).</w:t>
      </w:r>
    </w:p>
    <w:p w:rsidR="004C3C0E" w:rsidRPr="00824D58" w:rsidRDefault="004C3C0E" w:rsidP="004C3C0E">
      <w:pPr>
        <w:spacing w:after="0"/>
      </w:pPr>
    </w:p>
    <w:p w:rsidR="00230F05" w:rsidRPr="00824D58" w:rsidRDefault="00230F05" w:rsidP="002B0DE0">
      <w:pPr>
        <w:spacing w:after="0"/>
      </w:pPr>
      <w:r w:rsidRPr="00824D58">
        <w:t xml:space="preserve">Tissue regeneration and repair, GDF15 participates </w:t>
      </w:r>
      <w:r w:rsidR="002B0DE0" w:rsidRPr="002B0DE0">
        <w:t>In human embryonic development, where it is largely concentrated throughout pregnancy in placenta,</w:t>
      </w:r>
      <w:r w:rsidR="002B0DE0">
        <w:rPr>
          <w:rFonts w:hint="cs"/>
          <w:rtl/>
        </w:rPr>
        <w:t xml:space="preserve"> </w:t>
      </w:r>
      <w:r w:rsidR="002B0DE0" w:rsidRPr="002B0DE0">
        <w:t>&amp;a low GDF15 level is connected to the increased chance of miscarriage during the first quarter of pregnancy.</w:t>
      </w:r>
      <w:r w:rsidR="00CF7EE7" w:rsidRPr="00CF7EE7">
        <w:t xml:space="preserve"> Nevertheless, infected mice without GDF15 fetal development abnormalities seem to be completely alive and productive. </w:t>
      </w:r>
      <w:r w:rsidR="002B0DE0" w:rsidRPr="002B0DE0">
        <w:t>Seminal GDF15 seems not to affect sperm cell uptake or impair vaginal or cervical cells, but may restrict peripheral blood development in a single-core cell in a way that TGF-b-1 can only be more efficient. Additionally, in CD4+CD25+ peripheral mononuclear blood cells from healthy donors, GDF15 promoted FOXP3 expression.</w:t>
      </w:r>
      <w:r w:rsidR="00CF7EE7" w:rsidRPr="00CF7EE7">
        <w:t xml:space="preserve"> Implantation and the first stages of fetal development</w:t>
      </w:r>
      <w:r w:rsidRPr="00824D58">
        <w:rPr>
          <w:b/>
          <w:bCs/>
        </w:rPr>
        <w:t xml:space="preserve"> </w:t>
      </w:r>
      <w:r w:rsidRPr="00824D58">
        <w:t>(</w:t>
      </w:r>
      <w:r w:rsidRPr="00824D58">
        <w:rPr>
          <w:shd w:val="clear" w:color="auto" w:fill="FFFFFF"/>
        </w:rPr>
        <w:t xml:space="preserve">Tong, S., </w:t>
      </w:r>
      <w:r w:rsidRPr="00824D58">
        <w:rPr>
          <w:i/>
          <w:iCs/>
          <w:shd w:val="clear" w:color="auto" w:fill="FFFFFF"/>
        </w:rPr>
        <w:t>et al.,</w:t>
      </w:r>
      <w:r w:rsidRPr="00824D58">
        <w:rPr>
          <w:shd w:val="clear" w:color="auto" w:fill="FFFFFF"/>
        </w:rPr>
        <w:t xml:space="preserve"> 2004)</w:t>
      </w:r>
      <w:r w:rsidRPr="00824D58">
        <w:t>.</w:t>
      </w:r>
    </w:p>
    <w:p w:rsidR="004C3C0E" w:rsidRPr="00824D58" w:rsidRDefault="004C3C0E" w:rsidP="004C3C0E">
      <w:pPr>
        <w:spacing w:after="0"/>
      </w:pPr>
    </w:p>
    <w:p w:rsidR="00230F05" w:rsidRPr="00824D58" w:rsidRDefault="00230F05" w:rsidP="004C3C0E">
      <w:pPr>
        <w:spacing w:after="0"/>
      </w:pPr>
      <w:r w:rsidRPr="00824D58">
        <w:t xml:space="preserve">Investigations appearing that the GDF15 is associated with light weight body, </w:t>
      </w:r>
      <w:r w:rsidR="00E07752" w:rsidRPr="00824D58">
        <w:t>dietary problems</w:t>
      </w:r>
      <w:r w:rsidRPr="00824D58">
        <w:t xml:space="preserve">, </w:t>
      </w:r>
      <w:r w:rsidR="00E07752" w:rsidRPr="00824D58">
        <w:t xml:space="preserve">cachexia due to cancer and a metabolic response </w:t>
      </w:r>
      <w:r w:rsidRPr="00824D58">
        <w:t xml:space="preserve">in person suffering from cancer perhaps critical to clinical examination. Similar </w:t>
      </w:r>
      <w:r w:rsidR="00E07752" w:rsidRPr="00824D58">
        <w:t>impacts</w:t>
      </w:r>
      <w:r w:rsidRPr="00824D58">
        <w:t xml:space="preserve"> have also been </w:t>
      </w:r>
      <w:r w:rsidR="00E07752" w:rsidRPr="00824D58">
        <w:t>noticed</w:t>
      </w:r>
      <w:r w:rsidRPr="00824D58">
        <w:t xml:space="preserve"> in examination animals. Therefore, if GDF15 contributes in complex motivational or inhibitory circuits to regulate fixation of adipose tissue, novel therapeutic methods may be introduced to manage the consequences of unfavorable diseases or curative side effects (</w:t>
      </w:r>
      <w:r w:rsidRPr="00824D58">
        <w:rPr>
          <w:shd w:val="clear" w:color="auto" w:fill="FFFFFF"/>
        </w:rPr>
        <w:t xml:space="preserve">Vila, G. </w:t>
      </w:r>
      <w:r w:rsidRPr="00824D58">
        <w:rPr>
          <w:i/>
          <w:iCs/>
          <w:shd w:val="clear" w:color="auto" w:fill="FFFFFF"/>
        </w:rPr>
        <w:t>et al.,</w:t>
      </w:r>
      <w:r w:rsidRPr="00824D58">
        <w:rPr>
          <w:shd w:val="clear" w:color="auto" w:fill="FFFFFF"/>
        </w:rPr>
        <w:t xml:space="preserve"> 2011</w:t>
      </w:r>
      <w:r w:rsidRPr="00824D58">
        <w:t>).</w:t>
      </w:r>
    </w:p>
    <w:p w:rsidR="004C3C0E" w:rsidRPr="00824D58" w:rsidRDefault="004C3C0E" w:rsidP="004C3C0E">
      <w:pPr>
        <w:spacing w:after="0"/>
      </w:pPr>
    </w:p>
    <w:p w:rsidR="00230F05" w:rsidRPr="00824D58" w:rsidRDefault="00893498" w:rsidP="00E21A15">
      <w:pPr>
        <w:spacing w:after="0"/>
      </w:pPr>
      <w:r w:rsidRPr="00824D58">
        <w:t>Previous study (Johnen, H. et al., 2007) demonstrated that GDF15 can alter hypothalamic mediators which are both orexigenic and anorexigenic arising from unprecedented and unprecedented sources and indirectly suppress food uptake. GDF15, which is present in a variety of fatty tissue repositories and is regulated by leptin and IL1-b, has recently been discovered to play a direct role.</w:t>
      </w:r>
      <w:r w:rsidR="008A44FD" w:rsidRPr="00824D58">
        <w:t xml:space="preserve"> </w:t>
      </w:r>
      <w:r w:rsidR="00230F05" w:rsidRPr="00824D58">
        <w:t xml:space="preserve">expression of GDF15 is high </w:t>
      </w:r>
      <w:r w:rsidR="00CF7EE7" w:rsidRPr="00CF7EE7">
        <w:t>in individuals with co-morbid obesity, indicating a reaction to cellular exhaustion or tissue damage</w:t>
      </w:r>
      <w:r w:rsidR="00E613CE" w:rsidRPr="00824D58">
        <w:t xml:space="preserve"> harm</w:t>
      </w:r>
      <w:r w:rsidR="00230F05" w:rsidRPr="00824D58">
        <w:t xml:space="preserve"> (</w:t>
      </w:r>
      <w:r w:rsidR="00230F05" w:rsidRPr="00824D58">
        <w:rPr>
          <w:shd w:val="clear" w:color="auto" w:fill="FFFFFF"/>
        </w:rPr>
        <w:t>Vila</w:t>
      </w:r>
      <w:r w:rsidR="00E21A15">
        <w:rPr>
          <w:shd w:val="clear" w:color="auto" w:fill="FFFFFF"/>
        </w:rPr>
        <w:t xml:space="preserve"> </w:t>
      </w:r>
      <w:r w:rsidR="00230F05" w:rsidRPr="00824D58">
        <w:rPr>
          <w:i/>
          <w:iCs/>
          <w:shd w:val="clear" w:color="auto" w:fill="FFFFFF"/>
        </w:rPr>
        <w:t>et al.,</w:t>
      </w:r>
      <w:r w:rsidR="00230F05" w:rsidRPr="00824D58">
        <w:rPr>
          <w:shd w:val="clear" w:color="auto" w:fill="FFFFFF"/>
        </w:rPr>
        <w:t xml:space="preserve"> 2011; Dinh </w:t>
      </w:r>
      <w:r w:rsidR="00230F05" w:rsidRPr="00824D58">
        <w:rPr>
          <w:i/>
          <w:iCs/>
          <w:shd w:val="clear" w:color="auto" w:fill="FFFFFF"/>
        </w:rPr>
        <w:t>et al.,</w:t>
      </w:r>
      <w:r w:rsidR="00230F05" w:rsidRPr="00824D58">
        <w:rPr>
          <w:shd w:val="clear" w:color="auto" w:fill="FFFFFF"/>
        </w:rPr>
        <w:t xml:space="preserve"> 2011)</w:t>
      </w:r>
      <w:r w:rsidR="00230F05" w:rsidRPr="00824D58">
        <w:t>.</w:t>
      </w:r>
    </w:p>
    <w:p w:rsidR="004C3C0E" w:rsidRPr="00824D58" w:rsidRDefault="004C3C0E" w:rsidP="004C3C0E">
      <w:pPr>
        <w:spacing w:after="0"/>
      </w:pPr>
    </w:p>
    <w:p w:rsidR="00230F05" w:rsidRPr="00824D58" w:rsidRDefault="00230F05" w:rsidP="004C3C0E">
      <w:pPr>
        <w:pStyle w:val="Heading4"/>
        <w:numPr>
          <w:ilvl w:val="3"/>
          <w:numId w:val="2"/>
        </w:numPr>
        <w:spacing w:before="0"/>
        <w:ind w:left="851" w:hanging="851"/>
      </w:pPr>
      <w:r w:rsidRPr="00824D58">
        <w:t xml:space="preserve">Regulation </w:t>
      </w:r>
      <w:r w:rsidR="004204CC" w:rsidRPr="00824D58">
        <w:t>o</w:t>
      </w:r>
      <w:r w:rsidR="00883835" w:rsidRPr="00824D58">
        <w:t xml:space="preserve">f </w:t>
      </w:r>
      <w:r w:rsidR="00883835" w:rsidRPr="00824D58">
        <w:rPr>
          <w:shd w:val="clear" w:color="auto" w:fill="FFFFFF"/>
        </w:rPr>
        <w:t>Growth Differentiation Factor</w:t>
      </w:r>
      <w:r w:rsidR="00883835" w:rsidRPr="00824D58">
        <w:t xml:space="preserve"> (</w:t>
      </w:r>
      <w:r w:rsidRPr="00824D58">
        <w:t>GDF15</w:t>
      </w:r>
      <w:r w:rsidR="00883835" w:rsidRPr="00824D58">
        <w:t xml:space="preserve">) </w:t>
      </w:r>
      <w:r w:rsidRPr="00824D58">
        <w:t>Expression</w:t>
      </w:r>
    </w:p>
    <w:p w:rsidR="004C3C0E" w:rsidRPr="00824D58" w:rsidRDefault="004C3C0E" w:rsidP="004C3C0E">
      <w:pPr>
        <w:spacing w:after="0"/>
      </w:pPr>
    </w:p>
    <w:p w:rsidR="00230F05" w:rsidRPr="00824D58" w:rsidRDefault="008A44FD" w:rsidP="00DA50BE">
      <w:pPr>
        <w:spacing w:after="0"/>
      </w:pPr>
      <w:r w:rsidRPr="00824D58">
        <w:t>The transcriptional regulation of GDF15 expression is complicated, with several different pathways depending on the cellular tissue and the signals it receives</w:t>
      </w:r>
      <w:r w:rsidR="00DB1313" w:rsidRPr="00824D58">
        <w:t>.</w:t>
      </w:r>
      <w:r w:rsidR="00230F05" w:rsidRPr="00824D58">
        <w:t xml:space="preserve"> GDF15 is expressed differently </w:t>
      </w:r>
      <w:r w:rsidR="00137ECD" w:rsidRPr="00137ECD">
        <w:t xml:space="preserve">mature tissues, particularly reproductive and brain tissues. Additionally, GDF15 is </w:t>
      </w:r>
      <w:r w:rsidR="00CF7EE7" w:rsidRPr="00137ECD">
        <w:t>extra embryonal</w:t>
      </w:r>
      <w:r w:rsidR="00137ECD" w:rsidRPr="00137ECD">
        <w:t xml:space="preserve"> in tissues other than the fetus, suggesting that it has a beneficial impact on </w:t>
      </w:r>
      <w:r w:rsidR="00DA50BE" w:rsidRPr="00DA50BE">
        <w:t>development of the embryo. This degree of tissue heterogeneity</w:t>
      </w:r>
      <w:r w:rsidR="00137ECD" w:rsidRPr="00137ECD">
        <w:t xml:space="preserve"> is mirrored molecularly, via the utilization of tissue-specific transcription machinery or upstream signals. </w:t>
      </w:r>
      <w:r w:rsidR="00230F05" w:rsidRPr="00824D58">
        <w:t>(</w:t>
      </w:r>
      <w:r w:rsidR="00230F05" w:rsidRPr="00824D58">
        <w:rPr>
          <w:shd w:val="clear" w:color="auto" w:fill="FFFFFF"/>
        </w:rPr>
        <w:t>Bock, A. J.</w:t>
      </w:r>
      <w:r w:rsidR="00230F05" w:rsidRPr="00824D58">
        <w:t xml:space="preserve"> </w:t>
      </w:r>
      <w:r w:rsidR="00230F05" w:rsidRPr="00824D58">
        <w:rPr>
          <w:i/>
          <w:iCs/>
        </w:rPr>
        <w:t>et al.,</w:t>
      </w:r>
      <w:r w:rsidR="00230F05" w:rsidRPr="00824D58">
        <w:t xml:space="preserve"> 2010).</w:t>
      </w:r>
    </w:p>
    <w:p w:rsidR="004C3C0E" w:rsidRPr="00824D58" w:rsidRDefault="004C3C0E" w:rsidP="004C3C0E">
      <w:pPr>
        <w:spacing w:after="0"/>
      </w:pPr>
    </w:p>
    <w:p w:rsidR="00230F05" w:rsidRPr="00824D58" w:rsidRDefault="00230F05" w:rsidP="00DA50BE">
      <w:pPr>
        <w:spacing w:after="0"/>
      </w:pPr>
      <w:r w:rsidRPr="00824D58">
        <w:t xml:space="preserve">The GDF15 </w:t>
      </w:r>
      <w:r w:rsidR="00DA50BE" w:rsidRPr="00DA50BE">
        <w:t>In murine, human</w:t>
      </w:r>
      <w:r w:rsidR="00FC5CC1">
        <w:t>,&amp;</w:t>
      </w:r>
      <w:r w:rsidR="00DA50BE" w:rsidRPr="00DA50BE">
        <w:t xml:space="preserve"> mouse tissues, the promoter sequence is maintained</w:t>
      </w:r>
      <w:r w:rsidR="00DA50BE">
        <w:t xml:space="preserve"> and includes a TATA-like motif </w:t>
      </w:r>
      <w:r w:rsidRPr="00824D58">
        <w:t xml:space="preserve">in addition to the consensus sites SP1 and AP1/2. Promoter of GDF15 </w:t>
      </w:r>
      <w:r w:rsidR="00E613CE" w:rsidRPr="00824D58">
        <w:t xml:space="preserve">consists two distinctive P53 binding sites </w:t>
      </w:r>
      <w:r w:rsidRPr="00824D58">
        <w:t xml:space="preserve">have </w:t>
      </w:r>
      <w:r w:rsidR="00484BF6" w:rsidRPr="00824D58">
        <w:t>various</w:t>
      </w:r>
      <w:r w:rsidRPr="00824D58">
        <w:t xml:space="preserve"> </w:t>
      </w:r>
      <w:r w:rsidR="00484BF6" w:rsidRPr="00824D58">
        <w:t>link</w:t>
      </w:r>
      <w:r w:rsidRPr="00824D58">
        <w:t xml:space="preserve">ing function for p53 in vitro. It is interesting that identified a new p53 transcription component near the p53 </w:t>
      </w:r>
      <w:r w:rsidR="00397473" w:rsidRPr="00824D58">
        <w:t>link</w:t>
      </w:r>
      <w:r w:rsidRPr="00824D58">
        <w:t xml:space="preserve">ing sites, indicating a complex </w:t>
      </w:r>
      <w:r w:rsidR="00C23B72" w:rsidRPr="00824D58">
        <w:t>orginization</w:t>
      </w:r>
      <w:r w:rsidRPr="00824D58">
        <w:t xml:space="preserve"> of GDF15 activation in a </w:t>
      </w:r>
      <w:r w:rsidR="00C23B72" w:rsidRPr="00824D58">
        <w:t>method</w:t>
      </w:r>
      <w:r w:rsidRPr="00824D58">
        <w:t xml:space="preserve"> </w:t>
      </w:r>
      <w:r w:rsidR="00176FF5" w:rsidRPr="00824D58">
        <w:t xml:space="preserve">according to cell </w:t>
      </w:r>
      <w:r w:rsidRPr="00824D58">
        <w:t>(</w:t>
      </w:r>
      <w:r w:rsidRPr="00824D58">
        <w:rPr>
          <w:shd w:val="clear" w:color="auto" w:fill="FFFFFF"/>
        </w:rPr>
        <w:t>Wong, J., &amp; Klamut, H. J., 2002)</w:t>
      </w:r>
      <w:r w:rsidRPr="00824D58">
        <w:t xml:space="preserve">. </w:t>
      </w:r>
    </w:p>
    <w:p w:rsidR="004C3C0E" w:rsidRPr="00824D58" w:rsidRDefault="004C3C0E" w:rsidP="004C3C0E">
      <w:pPr>
        <w:spacing w:after="0"/>
      </w:pPr>
    </w:p>
    <w:p w:rsidR="00230F05" w:rsidRPr="00824D58" w:rsidRDefault="00230F05" w:rsidP="00DA50BE">
      <w:pPr>
        <w:spacing w:after="0"/>
      </w:pPr>
      <w:r w:rsidRPr="00824D58">
        <w:t xml:space="preserve">GDF15 is a typical gene that contribution on cellular stress, as its represents a </w:t>
      </w:r>
      <w:r w:rsidR="00DB1313" w:rsidRPr="00824D58">
        <w:t>normally</w:t>
      </w:r>
      <w:r w:rsidRPr="00824D58">
        <w:t xml:space="preserve"> low in cells that known as a quiescent, but it is fastly improving with </w:t>
      </w:r>
      <w:r w:rsidR="00B64AF3" w:rsidRPr="00824D58">
        <w:t xml:space="preserve">various </w:t>
      </w:r>
      <w:r w:rsidR="00176FF5" w:rsidRPr="00824D58">
        <w:t xml:space="preserve">stimuli that cause stress </w:t>
      </w:r>
      <w:r w:rsidRPr="00824D58">
        <w:t xml:space="preserve">use </w:t>
      </w:r>
      <w:r w:rsidR="00176FF5" w:rsidRPr="00824D58">
        <w:t>various</w:t>
      </w:r>
      <w:r w:rsidRPr="00824D58">
        <w:t xml:space="preserve"> signaling routs. </w:t>
      </w:r>
      <w:r w:rsidR="00176FF5" w:rsidRPr="00824D58">
        <w:t>Upon energizing</w:t>
      </w:r>
      <w:r w:rsidRPr="00824D58">
        <w:t xml:space="preserve">, </w:t>
      </w:r>
      <w:r w:rsidR="00B64AF3" w:rsidRPr="00824D58">
        <w:t xml:space="preserve">GDF15 is a protein that is highly expressed in response to NSAIDs and is caused by the anti-proliferative phenotype in most cases. </w:t>
      </w:r>
      <w:r w:rsidRPr="00824D58">
        <w:t>NSAIDs, basically used to</w:t>
      </w:r>
      <w:r w:rsidR="00395C9F" w:rsidRPr="00824D58">
        <w:t xml:space="preserve"> heal</w:t>
      </w:r>
      <w:r w:rsidRPr="00824D58">
        <w:t xml:space="preserve"> inﬂammation and pain, </w:t>
      </w:r>
      <w:r w:rsidR="00DA50BE" w:rsidRPr="00DA50BE">
        <w:t xml:space="preserve">Inhibit cyclooxygenase-1 and -2 and activate transcription factors Egr-1 and p53 for cell cycle arrest </w:t>
      </w:r>
      <w:r w:rsidRPr="00824D58">
        <w:t>(</w:t>
      </w:r>
      <w:r w:rsidRPr="00824D58">
        <w:rPr>
          <w:shd w:val="clear" w:color="auto" w:fill="FFFFFF"/>
        </w:rPr>
        <w:t>Baek, S. J</w:t>
      </w:r>
      <w:r w:rsidRPr="00824D58">
        <w:t xml:space="preserve">. </w:t>
      </w:r>
      <w:r w:rsidRPr="00824D58">
        <w:rPr>
          <w:i/>
          <w:iCs/>
        </w:rPr>
        <w:t>et al.,</w:t>
      </w:r>
      <w:r w:rsidRPr="00824D58">
        <w:t xml:space="preserve"> 2005).</w:t>
      </w:r>
    </w:p>
    <w:p w:rsidR="004C3C0E" w:rsidRPr="00824D58" w:rsidRDefault="004C3C0E" w:rsidP="004C3C0E">
      <w:pPr>
        <w:spacing w:after="0"/>
      </w:pPr>
    </w:p>
    <w:p w:rsidR="00230F05" w:rsidRPr="00824D58" w:rsidRDefault="00230F05" w:rsidP="00E84DB3">
      <w:pPr>
        <w:spacing w:after="0"/>
      </w:pPr>
      <w:r w:rsidRPr="00824D58">
        <w:t xml:space="preserve">It proved that GDF15 was activated by Nonsteroidal Anti-Inflammatory Drugs (NSAIDs) during p53 rout and it is assumed </w:t>
      </w:r>
      <w:r w:rsidR="00DA50BE" w:rsidRPr="00DA50BE">
        <w:t xml:space="preserve">One of the main mediators </w:t>
      </w:r>
      <w:r w:rsidRPr="00824D58">
        <w:t xml:space="preserve">for stopping the cell cycle with NSAIDs. </w:t>
      </w:r>
      <w:r w:rsidR="00176FF5" w:rsidRPr="00824D58">
        <w:t>Nonetheless</w:t>
      </w:r>
      <w:r w:rsidR="00395C9F" w:rsidRPr="00824D58">
        <w:t>, inhibition of cyclooxygenase is not necessary for NSAIDs to affect GDF15 expression</w:t>
      </w:r>
      <w:r w:rsidR="00FC5CC1">
        <w:t>,&amp;</w:t>
      </w:r>
      <w:r w:rsidRPr="00824D58">
        <w:t xml:space="preserve"> other methods were suggested. Stunted cell growth was induced by expression GDF15 or programmed cell death by </w:t>
      </w:r>
      <w:r w:rsidR="00E84DB3">
        <w:t>many</w:t>
      </w:r>
      <w:r w:rsidRPr="00824D58">
        <w:t xml:space="preserve"> chemicals, especially NSAIDs</w:t>
      </w:r>
      <w:r w:rsidR="00E84DB3">
        <w:t xml:space="preserve"> and</w:t>
      </w:r>
      <w:r w:rsidRPr="00824D58">
        <w:t xml:space="preserve"> often required activation of p53 / p21</w:t>
      </w:r>
      <w:r w:rsidRPr="00824D58">
        <w:rPr>
          <w:vertAlign w:val="superscript"/>
        </w:rPr>
        <w:t>Cip1 / Waf1</w:t>
      </w:r>
      <w:r w:rsidRPr="00824D58">
        <w:t xml:space="preserve"> (</w:t>
      </w:r>
      <w:r w:rsidR="004944C9">
        <w:rPr>
          <w:shd w:val="clear" w:color="auto" w:fill="FFFFFF"/>
        </w:rPr>
        <w:t xml:space="preserve">Baek </w:t>
      </w:r>
      <w:r w:rsidRPr="00824D58">
        <w:rPr>
          <w:i/>
          <w:iCs/>
          <w:shd w:val="clear" w:color="auto" w:fill="FFFFFF"/>
        </w:rPr>
        <w:t>et al.,</w:t>
      </w:r>
      <w:r w:rsidRPr="00824D58">
        <w:rPr>
          <w:shd w:val="clear" w:color="auto" w:fill="FFFFFF"/>
        </w:rPr>
        <w:t xml:space="preserve"> 2002)</w:t>
      </w:r>
      <w:r w:rsidRPr="00824D58">
        <w:t>.</w:t>
      </w:r>
    </w:p>
    <w:p w:rsidR="004C3C0E" w:rsidRPr="00824D58" w:rsidRDefault="004C3C0E" w:rsidP="004C3C0E">
      <w:pPr>
        <w:spacing w:after="0"/>
      </w:pPr>
    </w:p>
    <w:p w:rsidR="00230F05" w:rsidRPr="00824D58" w:rsidRDefault="00395C9F" w:rsidP="004944C9">
      <w:pPr>
        <w:spacing w:after="0"/>
      </w:pPr>
      <w:r w:rsidRPr="00824D58">
        <w:t>According to the construction and pharmacokinetic information of NSAIDs or their metabolites, GDF15 involvement in anti</w:t>
      </w:r>
      <w:r w:rsidR="005A3653" w:rsidRPr="00824D58">
        <w:t>-</w:t>
      </w:r>
      <w:r w:rsidRPr="00824D58">
        <w:t xml:space="preserve">tumorigenic activities appears to be very complex. </w:t>
      </w:r>
      <w:r w:rsidR="00230F05" w:rsidRPr="00824D58">
        <w:t xml:space="preserve">In APC feeding / min mice NSAID SOLENDAK was either an prodrug (DM-SOLINDAC) or </w:t>
      </w:r>
      <w:r w:rsidR="00176FF5" w:rsidRPr="00824D58">
        <w:t xml:space="preserve">Sulindac sulfide, not a prodrug, was used to induce GDF15 in the liver parenchyma because it is </w:t>
      </w:r>
      <w:r w:rsidR="00DA50BE" w:rsidRPr="00DA50BE">
        <w:t>Pharmacologically active anti-tumor chemicals</w:t>
      </w:r>
      <w:r w:rsidR="00DC22AE" w:rsidRPr="00824D58">
        <w:t xml:space="preserve"> </w:t>
      </w:r>
      <w:r w:rsidR="00230F05" w:rsidRPr="00824D58">
        <w:t>(</w:t>
      </w:r>
      <w:r w:rsidR="00230F05" w:rsidRPr="00824D58">
        <w:rPr>
          <w:shd w:val="clear" w:color="auto" w:fill="FFFFFF"/>
        </w:rPr>
        <w:t>Zimmers</w:t>
      </w:r>
      <w:r w:rsidR="004944C9">
        <w:rPr>
          <w:shd w:val="clear" w:color="auto" w:fill="FFFFFF"/>
        </w:rPr>
        <w:t xml:space="preserve"> </w:t>
      </w:r>
      <w:r w:rsidR="00230F05" w:rsidRPr="00824D58">
        <w:rPr>
          <w:i/>
          <w:iCs/>
          <w:shd w:val="clear" w:color="auto" w:fill="FFFFFF"/>
        </w:rPr>
        <w:t>et al.,</w:t>
      </w:r>
      <w:r w:rsidR="00230F05" w:rsidRPr="00824D58">
        <w:rPr>
          <w:shd w:val="clear" w:color="auto" w:fill="FFFFFF"/>
        </w:rPr>
        <w:t xml:space="preserve"> 2010)</w:t>
      </w:r>
      <w:r w:rsidR="00230F05" w:rsidRPr="00824D58">
        <w:t>.</w:t>
      </w:r>
    </w:p>
    <w:p w:rsidR="004C3C0E" w:rsidRPr="00824D58" w:rsidRDefault="004C3C0E" w:rsidP="004C3C0E">
      <w:pPr>
        <w:spacing w:after="0"/>
      </w:pPr>
    </w:p>
    <w:p w:rsidR="00230F05" w:rsidRPr="00824D58" w:rsidRDefault="00230F05" w:rsidP="00E84DB3">
      <w:pPr>
        <w:spacing w:after="0"/>
      </w:pPr>
      <w:r w:rsidRPr="00824D58">
        <w:t>Likewise, the expression GDF15 follows programmed cell death (apoptosis) caused by NSAIDs in the oral cavity by cancer cells SCC1483</w:t>
      </w:r>
      <w:r w:rsidR="00FC5CC1">
        <w:t>,&amp;</w:t>
      </w:r>
      <w:r w:rsidRPr="00824D58">
        <w:t xml:space="preserve"> the conditional </w:t>
      </w:r>
      <w:r w:rsidR="005A3653" w:rsidRPr="00824D58">
        <w:t>barrier</w:t>
      </w:r>
      <w:r w:rsidRPr="00824D58">
        <w:t xml:space="preserve"> including GDF15 effectively inhibits the proliferation of these cells. </w:t>
      </w:r>
      <w:r w:rsidR="00E84DB3" w:rsidRPr="00E84DB3">
        <w:t xml:space="preserve">The rapid effects of suppressing GDF15 cancer cells in ovarian cancer cell lines SKOV3 and OVCAR3 that were already undergoing treatment with a variety of NSAIDs were also detailed. These cell lines were already in the </w:t>
      </w:r>
      <w:r w:rsidR="00E84DB3">
        <w:t xml:space="preserve">process of undergoing treatment </w:t>
      </w:r>
      <w:r w:rsidRPr="00824D58">
        <w:t>(</w:t>
      </w:r>
      <w:r w:rsidRPr="00824D58">
        <w:rPr>
          <w:shd w:val="clear" w:color="auto" w:fill="FFFFFF"/>
        </w:rPr>
        <w:t>Kim</w:t>
      </w:r>
      <w:r w:rsidRPr="00824D58">
        <w:t xml:space="preserve"> </w:t>
      </w:r>
      <w:r w:rsidRPr="00824D58">
        <w:rPr>
          <w:i/>
          <w:iCs/>
        </w:rPr>
        <w:t>et al.,</w:t>
      </w:r>
      <w:r w:rsidRPr="00824D58">
        <w:t xml:space="preserve"> 2005).</w:t>
      </w:r>
    </w:p>
    <w:p w:rsidR="004C3C0E" w:rsidRPr="00824D58" w:rsidRDefault="004C3C0E" w:rsidP="005A3653">
      <w:pPr>
        <w:spacing w:after="0"/>
      </w:pPr>
    </w:p>
    <w:p w:rsidR="00230F05" w:rsidRPr="00824D58" w:rsidRDefault="00230F05" w:rsidP="004C3C0E">
      <w:pPr>
        <w:pStyle w:val="Heading4"/>
        <w:numPr>
          <w:ilvl w:val="3"/>
          <w:numId w:val="2"/>
        </w:numPr>
        <w:spacing w:before="0"/>
        <w:ind w:left="851" w:hanging="851"/>
      </w:pPr>
      <w:r w:rsidRPr="00824D58">
        <w:rPr>
          <w:shd w:val="clear" w:color="auto" w:fill="FFFFFF"/>
        </w:rPr>
        <w:t>Growth differentiation factor</w:t>
      </w:r>
      <w:r w:rsidRPr="00824D58">
        <w:t xml:space="preserve"> (GDF15) in Cancer progression, System and Immune response</w:t>
      </w:r>
    </w:p>
    <w:p w:rsidR="004C3C0E" w:rsidRPr="00824D58" w:rsidRDefault="004C3C0E" w:rsidP="004C3C0E">
      <w:pPr>
        <w:spacing w:after="0"/>
      </w:pPr>
    </w:p>
    <w:p w:rsidR="00230F05" w:rsidRPr="00824D58" w:rsidRDefault="00230F05" w:rsidP="004944C9">
      <w:pPr>
        <w:spacing w:after="0"/>
        <w:rPr>
          <w:shd w:val="clear" w:color="auto" w:fill="FFFFFF"/>
        </w:rPr>
      </w:pPr>
      <w:r w:rsidRPr="00824D58">
        <w:t>In fact, there is a generally consideration that the GDF15 is to be part of cell antitumorigenic actions, due in large part to its expression being critical to the chemopreventive protective effects of different compounds. However, a scale up expression of GDF15 always reported through the development of the cancer, Including, ovarian, gastric, prostate cancer or breast cancer with a different effect on tumors</w:t>
      </w:r>
      <w:r w:rsidRPr="00824D58">
        <w:rPr>
          <w:b/>
          <w:bCs/>
        </w:rPr>
        <w:t xml:space="preserve"> </w:t>
      </w:r>
      <w:r w:rsidRPr="00824D58">
        <w:t>(</w:t>
      </w:r>
      <w:r w:rsidRPr="00824D58">
        <w:rPr>
          <w:shd w:val="clear" w:color="auto" w:fill="FFFFFF"/>
        </w:rPr>
        <w:t xml:space="preserve">Baek </w:t>
      </w:r>
      <w:r w:rsidRPr="00824D58">
        <w:rPr>
          <w:i/>
          <w:iCs/>
          <w:shd w:val="clear" w:color="auto" w:fill="FFFFFF"/>
        </w:rPr>
        <w:t>et al.,</w:t>
      </w:r>
      <w:r w:rsidRPr="00824D58">
        <w:rPr>
          <w:shd w:val="clear" w:color="auto" w:fill="FFFFFF"/>
        </w:rPr>
        <w:t xml:space="preserve"> 2009).</w:t>
      </w:r>
    </w:p>
    <w:p w:rsidR="004C3C0E" w:rsidRPr="00824D58" w:rsidRDefault="004C3C0E" w:rsidP="004C3C0E">
      <w:pPr>
        <w:spacing w:after="0"/>
        <w:rPr>
          <w:b/>
          <w:bCs/>
        </w:rPr>
      </w:pPr>
    </w:p>
    <w:p w:rsidR="00230F05" w:rsidRPr="00824D58" w:rsidRDefault="00230F05" w:rsidP="00244C13">
      <w:pPr>
        <w:spacing w:after="0"/>
      </w:pPr>
      <w:r w:rsidRPr="00824D58">
        <w:t xml:space="preserve">Although the description of the expression GDF15 </w:t>
      </w:r>
      <w:r w:rsidR="005A3653" w:rsidRPr="00824D58">
        <w:t xml:space="preserve">has been listed in detail </w:t>
      </w:r>
      <w:r w:rsidRPr="00824D58">
        <w:t xml:space="preserve">in different types of cancers, </w:t>
      </w:r>
      <w:r w:rsidR="005A3653" w:rsidRPr="00824D58">
        <w:t xml:space="preserve">its specified function </w:t>
      </w:r>
      <w:r w:rsidRPr="00824D58">
        <w:t xml:space="preserve">in the </w:t>
      </w:r>
      <w:r w:rsidR="005A3653" w:rsidRPr="00824D58">
        <w:t>evolution</w:t>
      </w:r>
      <w:r w:rsidRPr="00824D58">
        <w:t xml:space="preserve"> of tumors still unclear </w:t>
      </w:r>
      <w:r w:rsidR="00883835" w:rsidRPr="00824D58">
        <w:t>(Figure 2.8</w:t>
      </w:r>
      <w:r w:rsidRPr="00824D58">
        <w:t xml:space="preserve">). For instance, in stomach or breast cancer, it was established that GDF15 was upregulated when MAPK-ERK1 / 2 or PKB / Akt pathways were activated to recruit the SP-1 family of transcription factors. </w:t>
      </w:r>
      <w:r w:rsidR="00244C13" w:rsidRPr="00244C13">
        <w:t>GDF15 also promotes the phosphorylation and activation of the ErbB receptors, in addition to the mTOR/</w:t>
      </w:r>
      <w:r w:rsidR="00244C13">
        <w:t xml:space="preserve">Akt and ERK1/2 signaling routes </w:t>
      </w:r>
      <w:r w:rsidRPr="00824D58">
        <w:t>(</w:t>
      </w:r>
      <w:r w:rsidR="004944C9">
        <w:rPr>
          <w:shd w:val="clear" w:color="auto" w:fill="FFFFFF"/>
        </w:rPr>
        <w:t>Wollmann</w:t>
      </w:r>
      <w:r w:rsidRPr="00824D58">
        <w:rPr>
          <w:shd w:val="clear" w:color="auto" w:fill="FFFFFF"/>
        </w:rPr>
        <w:t xml:space="preserve"> </w:t>
      </w:r>
      <w:r w:rsidRPr="00824D58">
        <w:rPr>
          <w:i/>
          <w:iCs/>
          <w:shd w:val="clear" w:color="auto" w:fill="FFFFFF"/>
        </w:rPr>
        <w:t>et al.,</w:t>
      </w:r>
      <w:r w:rsidRPr="00824D58">
        <w:rPr>
          <w:shd w:val="clear" w:color="auto" w:fill="FFFFFF"/>
        </w:rPr>
        <w:t xml:space="preserve"> 2005)</w:t>
      </w:r>
      <w:r w:rsidRPr="00824D58">
        <w:t>.</w:t>
      </w:r>
    </w:p>
    <w:p w:rsidR="004C3C0E" w:rsidRPr="00824D58" w:rsidRDefault="004C3C0E" w:rsidP="004C3C0E">
      <w:pPr>
        <w:spacing w:after="0"/>
        <w:rPr>
          <w:b/>
          <w:bCs/>
        </w:rPr>
      </w:pPr>
    </w:p>
    <w:p w:rsidR="00230F05" w:rsidRPr="00824D58" w:rsidRDefault="00137ECD" w:rsidP="004944C9">
      <w:pPr>
        <w:spacing w:after="0"/>
        <w:rPr>
          <w:shd w:val="clear" w:color="auto" w:fill="FFFFFF"/>
        </w:rPr>
      </w:pPr>
      <w:r w:rsidRPr="00137ECD">
        <w:t>HIF-1 and VEGF activation may occur as a result of these signal integrations. Additionally, inhibiting or specifically downregulating ErbB2 reduces the scale down-stream signaling mediated by GDF15. These findings suggest that GDF15 is clinically important, particularly in ErbB2 (HER2) malignancies that are susceptible to small molecu</w:t>
      </w:r>
      <w:r w:rsidR="00244C13">
        <w:t>le inhibitors such as lapatinib</w:t>
      </w:r>
      <w:r w:rsidRPr="00137ECD">
        <w:t xml:space="preserve"> </w:t>
      </w:r>
      <w:r w:rsidR="00230F05" w:rsidRPr="00824D58">
        <w:t>(</w:t>
      </w:r>
      <w:r w:rsidR="004944C9">
        <w:rPr>
          <w:shd w:val="clear" w:color="auto" w:fill="FFFFFF"/>
        </w:rPr>
        <w:t>Burris III</w:t>
      </w:r>
      <w:r w:rsidR="00230F05" w:rsidRPr="00824D58">
        <w:rPr>
          <w:shd w:val="clear" w:color="auto" w:fill="FFFFFF"/>
        </w:rPr>
        <w:t xml:space="preserve"> 2004).</w:t>
      </w:r>
    </w:p>
    <w:p w:rsidR="004C3C0E" w:rsidRPr="00824D58" w:rsidRDefault="004C3C0E" w:rsidP="004C3C0E">
      <w:pPr>
        <w:spacing w:after="0"/>
        <w:rPr>
          <w:shd w:val="clear" w:color="auto" w:fill="FFFFFF"/>
        </w:rPr>
      </w:pPr>
    </w:p>
    <w:p w:rsidR="00230F05" w:rsidRPr="00824D58" w:rsidRDefault="00230F05" w:rsidP="0038684B">
      <w:pPr>
        <w:spacing w:after="0"/>
      </w:pPr>
      <w:r w:rsidRPr="00824D58">
        <w:t xml:space="preserve">GDF15 is strongly upregulated in liver cancer (Hepato cellular carcinoma) and other illness happen in the liver, </w:t>
      </w:r>
      <w:r w:rsidR="00C170EF" w:rsidRPr="00C170EF">
        <w:t xml:space="preserve">For instance, hepatitis C virus-induced fibrosis or cirrhosis. </w:t>
      </w:r>
      <w:r w:rsidR="0038684B" w:rsidRPr="0038684B">
        <w:t>GDF15 autocrine signals caused an increase in AKT, GSK-3/b catinine, and Raf phosphorylation, in addition to a range of additional downstream targets, such as cell cycle regulators (cyclones A2, E1, and D2) and adhesion molecules (E-cadherin). It is fascinating to think that a low level of GDF15 might prevent the proliferation of viruses.</w:t>
      </w:r>
      <w:r w:rsidR="00C170EF" w:rsidRPr="00C170EF">
        <w:t xml:space="preserve"> In cancers GDF-15 is overexpressed in malignant melanomas and has the ability to imitate VEGF in the formation of new blood vessels. </w:t>
      </w:r>
      <w:r w:rsidRPr="00824D58">
        <w:t xml:space="preserve">(neovascularization) at the site of the tumor. </w:t>
      </w:r>
      <w:r w:rsidR="00AD5D07" w:rsidRPr="00824D58">
        <w:t>Likewise</w:t>
      </w:r>
      <w:r w:rsidRPr="00824D58">
        <w:t xml:space="preserve">, in malignant glioblastomas, GDF15 is regulated as </w:t>
      </w:r>
      <w:r w:rsidR="00AD5D07" w:rsidRPr="00824D58">
        <w:t>an</w:t>
      </w:r>
      <w:r w:rsidRPr="00824D58">
        <w:t xml:space="preserve"> interaction to anoxia , </w:t>
      </w:r>
      <w:r w:rsidR="00AD5D07" w:rsidRPr="00824D58">
        <w:t>w</w:t>
      </w:r>
      <w:r w:rsidRPr="00824D58">
        <w:t xml:space="preserve">hich indicates a more </w:t>
      </w:r>
      <w:r w:rsidR="00AD5D07" w:rsidRPr="00824D58">
        <w:t>wide</w:t>
      </w:r>
      <w:r w:rsidRPr="00824D58">
        <w:t xml:space="preserve"> participation in the </w:t>
      </w:r>
      <w:r w:rsidR="00AD5D07" w:rsidRPr="00824D58">
        <w:t>evolution</w:t>
      </w:r>
      <w:r w:rsidRPr="00824D58">
        <w:t xml:space="preserve"> of blood vessels (vascularization) (</w:t>
      </w:r>
      <w:r w:rsidRPr="00824D58">
        <w:rPr>
          <w:shd w:val="clear" w:color="auto" w:fill="FFFFFF"/>
        </w:rPr>
        <w:t>Si</w:t>
      </w:r>
      <w:r w:rsidRPr="00824D58">
        <w:t xml:space="preserve"> </w:t>
      </w:r>
      <w:r w:rsidRPr="00824D58">
        <w:rPr>
          <w:i/>
          <w:iCs/>
        </w:rPr>
        <w:t>et al.,</w:t>
      </w:r>
      <w:r w:rsidRPr="00824D58">
        <w:t xml:space="preserve"> 2011; </w:t>
      </w:r>
      <w:r w:rsidRPr="00824D58">
        <w:rPr>
          <w:shd w:val="clear" w:color="auto" w:fill="FFFFFF"/>
        </w:rPr>
        <w:t xml:space="preserve">Huh </w:t>
      </w:r>
      <w:r w:rsidRPr="00824D58">
        <w:rPr>
          <w:i/>
          <w:iCs/>
          <w:shd w:val="clear" w:color="auto" w:fill="FFFFFF"/>
        </w:rPr>
        <w:t>et al.,</w:t>
      </w:r>
      <w:r w:rsidRPr="00824D58">
        <w:rPr>
          <w:shd w:val="clear" w:color="auto" w:fill="FFFFFF"/>
        </w:rPr>
        <w:t xml:space="preserve"> 2010)</w:t>
      </w:r>
      <w:r w:rsidRPr="00824D58">
        <w:t>.</w:t>
      </w:r>
    </w:p>
    <w:p w:rsidR="004C3C0E" w:rsidRPr="00824D58" w:rsidRDefault="004C3C0E" w:rsidP="004C3C0E">
      <w:pPr>
        <w:spacing w:after="0"/>
      </w:pPr>
    </w:p>
    <w:p w:rsidR="00230F05" w:rsidRPr="00824D58" w:rsidRDefault="0038684B" w:rsidP="004C3C0E">
      <w:pPr>
        <w:spacing w:after="0"/>
      </w:pPr>
      <w:r w:rsidRPr="0038684B">
        <w:t>In addition, the study found that a reduction in GDF15 expression led to an increase in natural killer T-cell-mediated cytotoxicity, which led to an increase in the immunogenicity of glioma cells in a manner that was comparable to the effects of TGF-b regulation being reduced.</w:t>
      </w:r>
      <w:r w:rsidR="00230F05" w:rsidRPr="00824D58">
        <w:t xml:space="preserve"> Mice in vivo. GDF15 is likely to act as a potent inhibitor of immune cells while promoting the growth of cancer cells simultaneou</w:t>
      </w:r>
      <w:r w:rsidR="008D3374" w:rsidRPr="00824D58">
        <w:t xml:space="preserve">sly through autocratic signals. These findings highlight the </w:t>
      </w:r>
      <w:r w:rsidR="00977227" w:rsidRPr="00824D58">
        <w:t>significance</w:t>
      </w:r>
      <w:r w:rsidR="008D3374" w:rsidRPr="00824D58">
        <w:t xml:space="preserve"> of examining the function of </w:t>
      </w:r>
      <w:r w:rsidR="00977227" w:rsidRPr="00824D58">
        <w:t>reactions</w:t>
      </w:r>
      <w:r w:rsidR="008D3374" w:rsidRPr="00824D58">
        <w:t xml:space="preserve"> inside the tumor microenvironment in determining the context-dependent role of GDF15 </w:t>
      </w:r>
      <w:r w:rsidR="00230F05" w:rsidRPr="00824D58">
        <w:t>(</w:t>
      </w:r>
      <w:r w:rsidR="00230F05" w:rsidRPr="00824D58">
        <w:rPr>
          <w:shd w:val="clear" w:color="auto" w:fill="FFFFFF"/>
        </w:rPr>
        <w:t xml:space="preserve">Roth, P. </w:t>
      </w:r>
      <w:r w:rsidR="00230F05" w:rsidRPr="00824D58">
        <w:rPr>
          <w:i/>
          <w:iCs/>
          <w:shd w:val="clear" w:color="auto" w:fill="FFFFFF"/>
        </w:rPr>
        <w:t>et al.,</w:t>
      </w:r>
      <w:r w:rsidR="00230F05" w:rsidRPr="00824D58">
        <w:rPr>
          <w:shd w:val="clear" w:color="auto" w:fill="FFFFFF"/>
        </w:rPr>
        <w:t xml:space="preserve"> 2010)</w:t>
      </w:r>
      <w:r w:rsidR="00230F05" w:rsidRPr="00824D58">
        <w:t>.</w:t>
      </w:r>
    </w:p>
    <w:p w:rsidR="004C3C0E" w:rsidRPr="00824D58" w:rsidRDefault="004C3C0E" w:rsidP="004C3C0E">
      <w:pPr>
        <w:spacing w:after="0"/>
        <w:rPr>
          <w:b/>
          <w:bCs/>
        </w:rPr>
      </w:pPr>
    </w:p>
    <w:p w:rsidR="00230F05" w:rsidRPr="00824D58" w:rsidRDefault="00230F05" w:rsidP="00DA50BE">
      <w:pPr>
        <w:spacing w:after="0"/>
      </w:pPr>
      <w:r w:rsidRPr="00824D58">
        <w:t xml:space="preserve">Recently interestingly, two antagonistic investigations were published in vivo. First one demonstrated that ectopic over </w:t>
      </w:r>
      <w:r w:rsidR="00977227" w:rsidRPr="00824D58">
        <w:t>expres</w:t>
      </w:r>
      <w:r w:rsidRPr="00824D58">
        <w:t xml:space="preserve">sion of GDF15 endoscopy increased the PCa cell proliferation ability. However, Second one proved that </w:t>
      </w:r>
      <w:r w:rsidR="00977227" w:rsidRPr="00824D58">
        <w:t>absence</w:t>
      </w:r>
      <w:r w:rsidRPr="00824D58">
        <w:t xml:space="preserve"> of GDF15 expression </w:t>
      </w:r>
      <w:r w:rsidR="00977227" w:rsidRPr="00824D58">
        <w:t>canceled</w:t>
      </w:r>
      <w:r w:rsidRPr="00824D58">
        <w:t xml:space="preserve"> the chemo preventive </w:t>
      </w:r>
      <w:r w:rsidR="00DA50BE" w:rsidRPr="00DA50BE">
        <w:t>Effects of NSAIDs in hereditary colon models</w:t>
      </w:r>
      <w:r w:rsidRPr="00824D58">
        <w:t xml:space="preserve"> (</w:t>
      </w:r>
      <w:r w:rsidRPr="00824D58">
        <w:rPr>
          <w:shd w:val="clear" w:color="auto" w:fill="FFFFFF"/>
        </w:rPr>
        <w:t>Zimmers, T. A.,</w:t>
      </w:r>
      <w:r w:rsidRPr="00824D58">
        <w:t xml:space="preserve"> </w:t>
      </w:r>
      <w:r w:rsidRPr="00824D58">
        <w:rPr>
          <w:i/>
          <w:iCs/>
        </w:rPr>
        <w:t>et al.,</w:t>
      </w:r>
      <w:r w:rsidRPr="00824D58">
        <w:t xml:space="preserve"> 2010; </w:t>
      </w:r>
      <w:r w:rsidRPr="00824D58">
        <w:rPr>
          <w:shd w:val="clear" w:color="auto" w:fill="FFFFFF"/>
        </w:rPr>
        <w:t>Senapati, S.,</w:t>
      </w:r>
      <w:r w:rsidRPr="00824D58">
        <w:rPr>
          <w:i/>
          <w:iCs/>
        </w:rPr>
        <w:t xml:space="preserve"> et al.,</w:t>
      </w:r>
      <w:r w:rsidRPr="00824D58">
        <w:t xml:space="preserve"> 2010).</w:t>
      </w:r>
    </w:p>
    <w:p w:rsidR="004C3C0E" w:rsidRPr="00824D58" w:rsidRDefault="004C3C0E" w:rsidP="004C3C0E">
      <w:pPr>
        <w:spacing w:after="0"/>
      </w:pPr>
    </w:p>
    <w:p w:rsidR="00230F05" w:rsidRPr="00824D58" w:rsidRDefault="00D2193B" w:rsidP="00DA50BE">
      <w:pPr>
        <w:spacing w:after="0"/>
        <w:rPr>
          <w:shd w:val="clear" w:color="auto" w:fill="FFFFFF"/>
        </w:rPr>
      </w:pPr>
      <w:r w:rsidRPr="00824D58">
        <w:t xml:space="preserve">As a result, GDF15's main impact on cancer growth </w:t>
      </w:r>
      <w:r w:rsidR="00EC686D" w:rsidRPr="00824D58">
        <w:t>may</w:t>
      </w:r>
      <w:r w:rsidRPr="00824D58">
        <w:t xml:space="preserve"> be </w:t>
      </w:r>
      <w:r w:rsidR="00EC686D" w:rsidRPr="00824D58">
        <w:t xml:space="preserve">can </w:t>
      </w:r>
      <w:r w:rsidRPr="00824D58">
        <w:t xml:space="preserve">attributed to the control of immune responses during tissue regeneration. </w:t>
      </w:r>
      <w:r w:rsidR="00230F05" w:rsidRPr="00824D58">
        <w:t xml:space="preserve">GDF15 was detailed as a negative </w:t>
      </w:r>
      <w:r w:rsidR="00F653B1" w:rsidRPr="00824D58">
        <w:t>t</w:t>
      </w:r>
      <w:r w:rsidR="009E0351" w:rsidRPr="00824D58">
        <w:t>he focal point</w:t>
      </w:r>
      <w:r w:rsidR="00230F05" w:rsidRPr="00824D58">
        <w:t xml:space="preserve"> on interactions with regulatory T-lymphocytes in context</w:t>
      </w:r>
      <w:r w:rsidR="00F653B1" w:rsidRPr="00824D58">
        <w:t>s</w:t>
      </w:r>
      <w:r w:rsidR="00230F05" w:rsidRPr="00824D58">
        <w:t xml:space="preserve">, it is </w:t>
      </w:r>
      <w:r w:rsidR="00EC686D" w:rsidRPr="00824D58">
        <w:t>previously</w:t>
      </w:r>
      <w:r w:rsidR="00230F05" w:rsidRPr="00824D58">
        <w:t xml:space="preserve"> identified for TGF-b in different types of </w:t>
      </w:r>
      <w:r w:rsidR="00EC686D" w:rsidRPr="00824D58">
        <w:t>tumors</w:t>
      </w:r>
      <w:r w:rsidR="00230F05" w:rsidRPr="00824D58">
        <w:t xml:space="preserve">. </w:t>
      </w:r>
      <w:r w:rsidRPr="00824D58">
        <w:t>With each other</w:t>
      </w:r>
      <w:r w:rsidR="00230F05" w:rsidRPr="00824D58">
        <w:t xml:space="preserve">, elevated cancer-related expression of GDF15 may have strong </w:t>
      </w:r>
      <w:r w:rsidR="00EC686D" w:rsidRPr="00824D58">
        <w:t>forecasting</w:t>
      </w:r>
      <w:r w:rsidR="00230F05" w:rsidRPr="00824D58">
        <w:t xml:space="preserve"> potentials that could </w:t>
      </w:r>
      <w:r w:rsidR="00EC686D" w:rsidRPr="00824D58">
        <w:t>justification</w:t>
      </w:r>
      <w:r w:rsidR="00230F05" w:rsidRPr="00824D58">
        <w:t xml:space="preserve"> the clinical </w:t>
      </w:r>
      <w:r w:rsidR="00EC686D" w:rsidRPr="00824D58">
        <w:t>preface</w:t>
      </w:r>
      <w:r w:rsidR="00230F05" w:rsidRPr="00824D58">
        <w:t xml:space="preserve"> of GDF15 as a vital sign of specific cancers. Moreover, concerning on its immunosuppressive properties, </w:t>
      </w:r>
      <w:r w:rsidR="00DA50BE" w:rsidRPr="00DA50BE">
        <w:t>Restore immune-mediated tumor response,</w:t>
      </w:r>
      <w:r w:rsidR="00F653B1" w:rsidRPr="00824D58">
        <w:t xml:space="preserve"> GDF15 can be precisely targeted </w:t>
      </w:r>
      <w:r w:rsidR="00230F05" w:rsidRPr="00824D58">
        <w:t>(</w:t>
      </w:r>
      <w:r w:rsidR="00230F05" w:rsidRPr="00824D58">
        <w:rPr>
          <w:shd w:val="clear" w:color="auto" w:fill="FFFFFF"/>
        </w:rPr>
        <w:t xml:space="preserve">Souček, K. </w:t>
      </w:r>
      <w:r w:rsidR="00230F05" w:rsidRPr="00824D58">
        <w:rPr>
          <w:i/>
          <w:iCs/>
          <w:shd w:val="clear" w:color="auto" w:fill="FFFFFF"/>
        </w:rPr>
        <w:t>et al.,</w:t>
      </w:r>
      <w:r w:rsidR="00230F05" w:rsidRPr="00824D58">
        <w:rPr>
          <w:shd w:val="clear" w:color="auto" w:fill="FFFFFF"/>
        </w:rPr>
        <w:t xml:space="preserve"> 2010; Ostroukhova, M., Qi, Z., </w:t>
      </w:r>
      <w:r w:rsidR="00230F05" w:rsidRPr="00824D58">
        <w:rPr>
          <w:i/>
          <w:iCs/>
          <w:shd w:val="clear" w:color="auto" w:fill="FFFFFF"/>
        </w:rPr>
        <w:t>et al.,</w:t>
      </w:r>
      <w:r w:rsidR="00230F05" w:rsidRPr="00824D58">
        <w:rPr>
          <w:shd w:val="clear" w:color="auto" w:fill="FFFFFF"/>
        </w:rPr>
        <w:t xml:space="preserve"> 2006).</w:t>
      </w:r>
    </w:p>
    <w:p w:rsidR="004C3C0E" w:rsidRPr="00824D58" w:rsidRDefault="004C3C0E" w:rsidP="004C3C0E">
      <w:pPr>
        <w:spacing w:after="0"/>
      </w:pPr>
    </w:p>
    <w:p w:rsidR="00230F05" w:rsidRPr="00824D58" w:rsidRDefault="00230F05" w:rsidP="004C3C0E">
      <w:pPr>
        <w:spacing w:after="0"/>
      </w:pPr>
      <w:r w:rsidRPr="00824D58">
        <w:t>The (GDF15) action in tissue microenvironment and cancer advancement is illustrated as below functions (</w:t>
      </w:r>
      <w:r w:rsidRPr="00824D58">
        <w:rPr>
          <w:shd w:val="clear" w:color="auto" w:fill="FFFFFF"/>
        </w:rPr>
        <w:t>Vaňhara, P.,</w:t>
      </w:r>
      <w:r w:rsidRPr="00824D58">
        <w:rPr>
          <w:i/>
          <w:iCs/>
          <w:shd w:val="clear" w:color="auto" w:fill="FFFFFF"/>
        </w:rPr>
        <w:t xml:space="preserve"> et al.,</w:t>
      </w:r>
      <w:r w:rsidRPr="00824D58">
        <w:rPr>
          <w:shd w:val="clear" w:color="auto" w:fill="FFFFFF"/>
        </w:rPr>
        <w:t xml:space="preserve"> 2012)</w:t>
      </w:r>
      <w:r w:rsidRPr="00824D58">
        <w:t xml:space="preserve">. See Figure </w:t>
      </w:r>
      <w:r w:rsidRPr="00824D58">
        <w:rPr>
          <w:b/>
          <w:bCs/>
        </w:rPr>
        <w:t>(</w:t>
      </w:r>
      <w:r w:rsidR="00B44796" w:rsidRPr="00824D58">
        <w:t>2.8</w:t>
      </w:r>
      <w:r w:rsidRPr="00824D58">
        <w:t>):-</w:t>
      </w:r>
    </w:p>
    <w:p w:rsidR="004C3C0E" w:rsidRPr="00824D58" w:rsidRDefault="004C3C0E" w:rsidP="004C3C0E">
      <w:pPr>
        <w:spacing w:after="0"/>
      </w:pPr>
    </w:p>
    <w:p w:rsidR="00230F05" w:rsidRPr="00824D58" w:rsidRDefault="00AF4698" w:rsidP="00AF4698">
      <w:pPr>
        <w:pStyle w:val="ListParagraph"/>
        <w:numPr>
          <w:ilvl w:val="0"/>
          <w:numId w:val="1"/>
        </w:numPr>
      </w:pPr>
      <w:r w:rsidRPr="00AF4698">
        <w:rPr>
          <w:shd w:val="clear" w:color="auto" w:fill="FFFFFF"/>
        </w:rPr>
        <w:t>The growth differentiation factor, also known as GDF15, is either produced or released by an essential tumor or the extracellular matrix accordingly, and this has an effect not only on the tumor itself but also on neighboring stromal cells or immune cells that have a response to GDF15.</w:t>
      </w:r>
      <w:r w:rsidR="00230F05" w:rsidRPr="00824D58">
        <w:t xml:space="preserve"> </w:t>
      </w:r>
    </w:p>
    <w:p w:rsidR="00230F05" w:rsidRPr="00824D58" w:rsidRDefault="00230F05" w:rsidP="00F06ECA">
      <w:pPr>
        <w:pStyle w:val="ListParagraph"/>
        <w:numPr>
          <w:ilvl w:val="0"/>
          <w:numId w:val="1"/>
        </w:numPr>
      </w:pPr>
      <w:r w:rsidRPr="00824D58">
        <w:rPr>
          <w:shd w:val="clear" w:color="auto" w:fill="FFFFFF"/>
        </w:rPr>
        <w:t>The growth differentiation factor</w:t>
      </w:r>
      <w:r w:rsidRPr="00824D58">
        <w:t xml:space="preserve"> (GDF15) is released into the bloodstream an</w:t>
      </w:r>
      <w:r w:rsidR="00D56277" w:rsidRPr="00824D58">
        <w:t>d it is a part responsible of</w:t>
      </w:r>
      <w:r w:rsidRPr="00824D58">
        <w:t xml:space="preserve"> tumor distribution, </w:t>
      </w:r>
      <w:r w:rsidRPr="00824D58">
        <w:rPr>
          <w:w w:val="105"/>
        </w:rPr>
        <w:t>immunosuppression</w:t>
      </w:r>
      <w:r w:rsidRPr="00824D58">
        <w:t xml:space="preserve"> and </w:t>
      </w:r>
      <w:r w:rsidRPr="00824D58">
        <w:rPr>
          <w:w w:val="105"/>
        </w:rPr>
        <w:t>vascularization</w:t>
      </w:r>
      <w:r w:rsidRPr="00824D58">
        <w:t>.</w:t>
      </w:r>
    </w:p>
    <w:p w:rsidR="004C3C0E" w:rsidRPr="00824D58" w:rsidRDefault="00AF4698" w:rsidP="00244C13">
      <w:pPr>
        <w:pStyle w:val="ListParagraph"/>
        <w:numPr>
          <w:ilvl w:val="0"/>
          <w:numId w:val="1"/>
        </w:numPr>
        <w:spacing w:after="0"/>
      </w:pPr>
      <w:r w:rsidRPr="00AF4698">
        <w:rPr>
          <w:shd w:val="clear" w:color="auto" w:fill="FFFFFF"/>
        </w:rPr>
        <w:t>The growth differentiation factor (GDF15) helps to remodel bone</w:t>
      </w:r>
      <w:r w:rsidR="00244C13">
        <w:rPr>
          <w:color w:val="FFFFFF" w:themeColor="background1"/>
        </w:rPr>
        <w:t>I</w:t>
      </w:r>
      <w:r w:rsidRPr="00AF4698">
        <w:rPr>
          <w:shd w:val="clear" w:color="auto" w:fill="FFFFFF"/>
        </w:rPr>
        <w:t>architecture by acting on osteoblasts and osteoclasts, which in turn affects the delicate environment of bone marrow and stem cell characteristics.</w:t>
      </w:r>
    </w:p>
    <w:p w:rsidR="00230F05" w:rsidRPr="00824D58" w:rsidRDefault="00230F05" w:rsidP="004C3C0E">
      <w:pPr>
        <w:pStyle w:val="ListParagraph"/>
        <w:numPr>
          <w:ilvl w:val="0"/>
          <w:numId w:val="1"/>
        </w:numPr>
        <w:spacing w:after="0"/>
      </w:pPr>
      <w:r w:rsidRPr="00824D58">
        <w:t xml:space="preserve"> The expression </w:t>
      </w:r>
      <w:r w:rsidR="00D56277" w:rsidRPr="00824D58">
        <w:rPr>
          <w:shd w:val="clear" w:color="auto" w:fill="FFFFFF"/>
        </w:rPr>
        <w:t>of t</w:t>
      </w:r>
      <w:r w:rsidRPr="00824D58">
        <w:rPr>
          <w:shd w:val="clear" w:color="auto" w:fill="FFFFFF"/>
        </w:rPr>
        <w:t>he growth differentiation factor</w:t>
      </w:r>
      <w:r w:rsidRPr="00824D58">
        <w:t xml:space="preserve"> (GDF15) is catalyzed by </w:t>
      </w:r>
      <w:r w:rsidR="00EC686D" w:rsidRPr="00824D58">
        <w:t>different</w:t>
      </w:r>
      <w:r w:rsidRPr="00824D58">
        <w:t xml:space="preserve"> </w:t>
      </w:r>
      <w:r w:rsidR="00A56EBC" w:rsidRPr="00824D58">
        <w:t>c</w:t>
      </w:r>
      <w:r w:rsidR="00EC686D" w:rsidRPr="00824D58">
        <w:t>atalysts</w:t>
      </w:r>
      <w:r w:rsidRPr="00824D58">
        <w:t>, for instance, by p53 and / or versions based on Sp1-Egr-1. GDF15 stimulates the signal path consisting of the SMAD, MAPK and Akt specified so far and activates copies of the supported promoters SMAD, AP-1 and Sp-1.</w:t>
      </w:r>
    </w:p>
    <w:p w:rsidR="004C3C0E" w:rsidRPr="00824D58" w:rsidRDefault="004C3C0E" w:rsidP="004C3C0E">
      <w:pPr>
        <w:pStyle w:val="ListParagraph"/>
        <w:spacing w:after="0"/>
      </w:pPr>
    </w:p>
    <w:p w:rsidR="00883835" w:rsidRPr="00824D58" w:rsidRDefault="00230F05" w:rsidP="00883835">
      <w:pPr>
        <w:keepNext/>
        <w:spacing w:after="0"/>
        <w:jc w:val="center"/>
      </w:pPr>
      <w:r w:rsidRPr="00824D58">
        <w:rPr>
          <w:noProof/>
        </w:rPr>
        <w:drawing>
          <wp:inline distT="0" distB="0" distL="0" distR="0" wp14:anchorId="2EBE48D2" wp14:editId="54FC73AF">
            <wp:extent cx="5406573" cy="2466975"/>
            <wp:effectExtent l="19050" t="0" r="3627" b="0"/>
            <wp:docPr id="23" name="صورة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21" cstate="print">
                      <a:duotone>
                        <a:prstClr val="black"/>
                        <a:schemeClr val="accent6">
                          <a:tint val="45000"/>
                          <a:satMod val="400000"/>
                        </a:schemeClr>
                      </a:duotone>
                    </a:blip>
                    <a:srcRect/>
                    <a:stretch>
                      <a:fillRect/>
                    </a:stretch>
                  </pic:blipFill>
                  <pic:spPr bwMode="auto">
                    <a:xfrm>
                      <a:off x="0" y="0"/>
                      <a:ext cx="5411614" cy="2469275"/>
                    </a:xfrm>
                    <a:prstGeom prst="rect">
                      <a:avLst/>
                    </a:prstGeom>
                    <a:noFill/>
                    <a:ln w="9525">
                      <a:noFill/>
                      <a:miter lim="800000"/>
                      <a:headEnd/>
                      <a:tailEnd/>
                    </a:ln>
                  </pic:spPr>
                </pic:pic>
              </a:graphicData>
            </a:graphic>
          </wp:inline>
        </w:drawing>
      </w:r>
    </w:p>
    <w:p w:rsidR="004C3C0E" w:rsidRPr="00824D58" w:rsidRDefault="004C3C0E" w:rsidP="004C3C0E">
      <w:pPr>
        <w:pStyle w:val="Caption"/>
        <w:spacing w:after="0"/>
      </w:pPr>
      <w:bookmarkStart w:id="124" w:name="_Toc60183483"/>
    </w:p>
    <w:p w:rsidR="00230F05" w:rsidRPr="00824D58" w:rsidRDefault="00883835" w:rsidP="00AF4698">
      <w:pPr>
        <w:pStyle w:val="Caption"/>
        <w:spacing w:after="0"/>
        <w:rPr>
          <w:noProof/>
        </w:rPr>
      </w:pPr>
      <w:r w:rsidRPr="00824D58">
        <w:t>Figure 2.</w:t>
      </w:r>
      <w:fldSimple w:instr=" SEQ Figure_2. \* ARABIC ">
        <w:r w:rsidR="00713623">
          <w:rPr>
            <w:noProof/>
          </w:rPr>
          <w:t>8</w:t>
        </w:r>
      </w:fldSimple>
      <w:r w:rsidRPr="00824D58">
        <w:rPr>
          <w:noProof/>
        </w:rPr>
        <w:t xml:space="preserve">. </w:t>
      </w:r>
      <w:r w:rsidR="00AF4698" w:rsidRPr="00AF4698">
        <w:rPr>
          <w:noProof/>
        </w:rPr>
        <w:t xml:space="preserve">The role that (GDF15) plays in the tissue microenvironment and the progression of cancer </w:t>
      </w:r>
      <w:r w:rsidRPr="00824D58">
        <w:rPr>
          <w:noProof/>
        </w:rPr>
        <w:t>(Vaňhara, P., et al., 2012)</w:t>
      </w:r>
      <w:bookmarkEnd w:id="124"/>
    </w:p>
    <w:p w:rsidR="004C3C0E" w:rsidRPr="00824D58" w:rsidRDefault="004C3C0E" w:rsidP="004C3C0E">
      <w:pPr>
        <w:spacing w:after="0"/>
      </w:pPr>
    </w:p>
    <w:p w:rsidR="00230F05" w:rsidRPr="00824D58" w:rsidRDefault="00230F05" w:rsidP="004C3C0E">
      <w:pPr>
        <w:pStyle w:val="Heading4"/>
        <w:numPr>
          <w:ilvl w:val="3"/>
          <w:numId w:val="2"/>
        </w:numPr>
        <w:spacing w:before="0"/>
        <w:ind w:left="851" w:hanging="851"/>
      </w:pPr>
      <w:r w:rsidRPr="00824D58">
        <w:rPr>
          <w:shd w:val="clear" w:color="auto" w:fill="FFFFFF"/>
        </w:rPr>
        <w:t>Growth differentiation factor</w:t>
      </w:r>
      <w:r w:rsidRPr="00824D58">
        <w:t xml:space="preserve"> (GDF15) in Prostate Cancer</w:t>
      </w:r>
    </w:p>
    <w:p w:rsidR="004C3C0E" w:rsidRPr="00824D58" w:rsidRDefault="004C3C0E" w:rsidP="004C3C0E">
      <w:pPr>
        <w:spacing w:after="0"/>
      </w:pPr>
    </w:p>
    <w:p w:rsidR="00230F05" w:rsidRPr="00824D58" w:rsidRDefault="00230F05" w:rsidP="00DA50BE">
      <w:pPr>
        <w:spacing w:after="0"/>
      </w:pPr>
      <w:r w:rsidRPr="00824D58">
        <w:t xml:space="preserve">There is a big requirements that are needed for both </w:t>
      </w:r>
      <w:r w:rsidR="006F656D" w:rsidRPr="00824D58">
        <w:t>specified</w:t>
      </w:r>
      <w:r w:rsidRPr="00824D58">
        <w:t xml:space="preserve"> and biomarker that </w:t>
      </w:r>
      <w:r w:rsidR="006F656D" w:rsidRPr="00824D58">
        <w:t>permit</w:t>
      </w:r>
      <w:r w:rsidRPr="00824D58">
        <w:t xml:space="preserve"> accurate prediction and assessment of </w:t>
      </w:r>
      <w:r w:rsidR="006F656D" w:rsidRPr="00824D58">
        <w:t>illness</w:t>
      </w:r>
      <w:r w:rsidRPr="00824D58">
        <w:t xml:space="preserve"> consequence for PCa and other types of cancer. Nowadays, </w:t>
      </w:r>
      <w:r w:rsidR="00A56EBC" w:rsidRPr="00824D58">
        <w:t>just</w:t>
      </w:r>
      <w:r w:rsidRPr="00824D58">
        <w:t xml:space="preserve"> PSA</w:t>
      </w:r>
      <w:r w:rsidR="006F656D" w:rsidRPr="00824D58">
        <w:t xml:space="preserve"> </w:t>
      </w:r>
      <w:r w:rsidRPr="00824D58">
        <w:t xml:space="preserve">was </w:t>
      </w:r>
      <w:r w:rsidR="00A56EBC" w:rsidRPr="00824D58">
        <w:t>inserted</w:t>
      </w:r>
      <w:r w:rsidRPr="00824D58">
        <w:t xml:space="preserve"> to clinical examination. </w:t>
      </w:r>
      <w:r w:rsidR="00A56EBC" w:rsidRPr="00824D58">
        <w:t>Nonetheless</w:t>
      </w:r>
      <w:r w:rsidR="006F656D" w:rsidRPr="00824D58">
        <w:t xml:space="preserve">, overall serum PSA levels aren’t </w:t>
      </w:r>
      <w:r w:rsidRPr="00824D58">
        <w:t xml:space="preserve">cancer properties, </w:t>
      </w:r>
      <w:r w:rsidR="006F656D" w:rsidRPr="00824D58">
        <w:t>as they can be present in even the benign of diseases</w:t>
      </w:r>
      <w:r w:rsidRPr="00824D58">
        <w:t xml:space="preserve">, referring to a possible </w:t>
      </w:r>
      <w:r w:rsidR="00DA50BE" w:rsidRPr="00DA50BE">
        <w:t>PCa diagnosis made on the basis of a false-positive test. The improvement was accomplished via the examination of PSA's alternate molecular forms.</w:t>
      </w:r>
      <w:r w:rsidRPr="00824D58">
        <w:t xml:space="preserve">, </w:t>
      </w:r>
      <w:r w:rsidR="00606F8B" w:rsidRPr="00824D58">
        <w:t>that</w:t>
      </w:r>
      <w:r w:rsidRPr="00824D58">
        <w:t xml:space="preserve"> resulted in a decrease in the number of negative cancer biopsies in the cases indicated</w:t>
      </w:r>
      <w:r w:rsidRPr="00824D58">
        <w:rPr>
          <w:b/>
          <w:bCs/>
        </w:rPr>
        <w:t xml:space="preserve"> </w:t>
      </w:r>
      <w:r w:rsidRPr="00824D58">
        <w:t>(</w:t>
      </w:r>
      <w:r w:rsidRPr="00824D58">
        <w:rPr>
          <w:shd w:val="clear" w:color="auto" w:fill="FFFFFF"/>
        </w:rPr>
        <w:t>Catalona, W. J</w:t>
      </w:r>
      <w:r w:rsidRPr="00824D58">
        <w:t xml:space="preserve">. </w:t>
      </w:r>
      <w:r w:rsidRPr="00824D58">
        <w:rPr>
          <w:i/>
          <w:iCs/>
        </w:rPr>
        <w:t>et al.,</w:t>
      </w:r>
      <w:r w:rsidRPr="00824D58">
        <w:t xml:space="preserve"> 1998).</w:t>
      </w:r>
    </w:p>
    <w:p w:rsidR="004C3C0E" w:rsidRPr="00824D58" w:rsidRDefault="004C3C0E" w:rsidP="004C3C0E">
      <w:pPr>
        <w:spacing w:after="0"/>
        <w:rPr>
          <w:b/>
          <w:bCs/>
        </w:rPr>
      </w:pPr>
    </w:p>
    <w:p w:rsidR="00230F05" w:rsidRPr="00824D58" w:rsidRDefault="00230F05" w:rsidP="004C3C0E">
      <w:pPr>
        <w:spacing w:after="0"/>
        <w:rPr>
          <w:shd w:val="clear" w:color="auto" w:fill="FFFFFF"/>
        </w:rPr>
      </w:pPr>
      <w:r w:rsidRPr="00824D58">
        <w:t xml:space="preserve">Of particularly significant, GDF15 concentration value in Serum has been shown scale up the accuracy of potential PSA information and its forms. </w:t>
      </w:r>
      <w:r w:rsidR="00606F8B" w:rsidRPr="00824D58">
        <w:t>When compared to normal prostate tissues, the expression of serum GDF15 decreased significantly in topical BPH or PCA, but increased in metastatic disease</w:t>
      </w:r>
      <w:r w:rsidRPr="00824D58">
        <w:t xml:space="preserve"> (</w:t>
      </w:r>
      <w:r w:rsidRPr="00824D58">
        <w:rPr>
          <w:shd w:val="clear" w:color="auto" w:fill="FFFFFF"/>
        </w:rPr>
        <w:t xml:space="preserve">Welsh, J. B. </w:t>
      </w:r>
      <w:r w:rsidRPr="00824D58">
        <w:rPr>
          <w:i/>
          <w:iCs/>
          <w:shd w:val="clear" w:color="auto" w:fill="FFFFFF"/>
        </w:rPr>
        <w:t xml:space="preserve">et al., </w:t>
      </w:r>
      <w:r w:rsidRPr="00824D58">
        <w:rPr>
          <w:shd w:val="clear" w:color="auto" w:fill="FFFFFF"/>
        </w:rPr>
        <w:t>2003).</w:t>
      </w:r>
    </w:p>
    <w:p w:rsidR="004C3C0E" w:rsidRPr="00824D58" w:rsidRDefault="004C3C0E" w:rsidP="004C3C0E">
      <w:pPr>
        <w:spacing w:after="0"/>
      </w:pPr>
    </w:p>
    <w:p w:rsidR="00230F05" w:rsidRPr="00824D58" w:rsidRDefault="00C170EF" w:rsidP="004C3C0E">
      <w:pPr>
        <w:spacing w:after="0"/>
      </w:pPr>
      <w:r w:rsidRPr="00C170EF">
        <w:t>Inflammatory processes in the prostate tissue are believed to be responsible for the shift from normal to benign enlargement and may influence an individual's vulnerability to autoimmune diseases. Inflammatory processes in the prostate tissue are believed to be responsible for the shift from normal to benign enlargement and may influence an individual's vulnerability to autoimmune diseases.</w:t>
      </w:r>
      <w:r w:rsidR="00606F8B" w:rsidRPr="00824D58">
        <w:t>.</w:t>
      </w:r>
      <w:r w:rsidR="00230F05" w:rsidRPr="00824D58">
        <w:t xml:space="preserve"> Expression the inflammatory </w:t>
      </w:r>
      <w:r w:rsidR="00606F8B" w:rsidRPr="00824D58">
        <w:t>alterations</w:t>
      </w:r>
      <w:r w:rsidR="00230F05" w:rsidRPr="00824D58">
        <w:t xml:space="preserve"> of glandular architecture followed by increased fleshy tissue in benign prostatic hypertrophy are negatively associated with the expression GDF15</w:t>
      </w:r>
      <w:r w:rsidR="00230F05" w:rsidRPr="00824D58">
        <w:rPr>
          <w:b/>
          <w:bCs/>
        </w:rPr>
        <w:t xml:space="preserve"> </w:t>
      </w:r>
      <w:r w:rsidR="00230F05" w:rsidRPr="00824D58">
        <w:t>(</w:t>
      </w:r>
      <w:r w:rsidR="00230F05" w:rsidRPr="00824D58">
        <w:rPr>
          <w:shd w:val="clear" w:color="auto" w:fill="FFFFFF"/>
        </w:rPr>
        <w:t xml:space="preserve">Taniguchi, S., </w:t>
      </w:r>
      <w:r w:rsidR="00230F05" w:rsidRPr="00824D58">
        <w:rPr>
          <w:i/>
          <w:iCs/>
          <w:shd w:val="clear" w:color="auto" w:fill="FFFFFF"/>
        </w:rPr>
        <w:t xml:space="preserve">et al., </w:t>
      </w:r>
      <w:r w:rsidR="00230F05" w:rsidRPr="00824D58">
        <w:t>2009).</w:t>
      </w:r>
    </w:p>
    <w:p w:rsidR="004C3C0E" w:rsidRPr="00824D58" w:rsidRDefault="004C3C0E" w:rsidP="004C3C0E">
      <w:pPr>
        <w:spacing w:after="0"/>
      </w:pPr>
    </w:p>
    <w:p w:rsidR="00230F05" w:rsidRPr="00824D58" w:rsidRDefault="00867DBD" w:rsidP="004C3C0E">
      <w:pPr>
        <w:spacing w:after="0"/>
      </w:pPr>
      <w:r w:rsidRPr="00867DBD">
        <w:t>Investigations of total serum levels of GDF15 have demonstrated a clear estimated ability to PCA mortality and disease outcomes, which justifies the possibility of more potential future studies of GDF15's introduction as a clinically significant biomarker for prostate cancer. Despite the fact that GDF15 can exist in a number of different molecular forms, these studies have shown that total serum levels of GDF15 can predict PCA mortality and disease outcomes. For example, GDF15 analysis has the potential to generally g</w:t>
      </w:r>
      <w:r>
        <w:t>ive a reliable sorting strategy</w:t>
      </w:r>
      <w:r w:rsidR="00230F05" w:rsidRPr="00824D58">
        <w:t xml:space="preserve"> (</w:t>
      </w:r>
      <w:r w:rsidR="00230F05" w:rsidRPr="00824D58">
        <w:rPr>
          <w:shd w:val="clear" w:color="auto" w:fill="FFFFFF"/>
        </w:rPr>
        <w:t xml:space="preserve">Brown, D. A., </w:t>
      </w:r>
      <w:r w:rsidR="00230F05" w:rsidRPr="00824D58">
        <w:rPr>
          <w:i/>
          <w:iCs/>
          <w:shd w:val="clear" w:color="auto" w:fill="FFFFFF"/>
        </w:rPr>
        <w:t>et al.,</w:t>
      </w:r>
      <w:r w:rsidR="00230F05" w:rsidRPr="00824D58">
        <w:rPr>
          <w:shd w:val="clear" w:color="auto" w:fill="FFFFFF"/>
        </w:rPr>
        <w:t xml:space="preserve"> 2009)</w:t>
      </w:r>
      <w:r w:rsidR="00230F05" w:rsidRPr="00824D58">
        <w:t>.</w:t>
      </w:r>
    </w:p>
    <w:p w:rsidR="004C3C0E" w:rsidRPr="00824D58" w:rsidRDefault="004C3C0E" w:rsidP="004C3C0E">
      <w:pPr>
        <w:spacing w:after="0"/>
      </w:pPr>
    </w:p>
    <w:p w:rsidR="00230F05" w:rsidRPr="00824D58" w:rsidRDefault="00230F05" w:rsidP="004C3C0E">
      <w:pPr>
        <w:pStyle w:val="Heading4"/>
        <w:numPr>
          <w:ilvl w:val="3"/>
          <w:numId w:val="2"/>
        </w:numPr>
        <w:spacing w:before="0"/>
        <w:ind w:left="851" w:hanging="851"/>
      </w:pPr>
      <w:r w:rsidRPr="00824D58">
        <w:t>Role of GDF-15 in PCa development</w:t>
      </w:r>
    </w:p>
    <w:p w:rsidR="004C3C0E" w:rsidRPr="00824D58" w:rsidRDefault="004C3C0E" w:rsidP="004C3C0E">
      <w:pPr>
        <w:spacing w:after="0"/>
      </w:pPr>
    </w:p>
    <w:p w:rsidR="00230F05" w:rsidRPr="00824D58" w:rsidRDefault="00230F05" w:rsidP="00DA50BE">
      <w:pPr>
        <w:pStyle w:val="BodyText"/>
        <w:spacing w:after="0"/>
        <w:rPr>
          <w:rFonts w:eastAsiaTheme="minorHAnsi"/>
        </w:rPr>
      </w:pPr>
      <w:r w:rsidRPr="00824D58">
        <w:rPr>
          <w:rFonts w:eastAsiaTheme="minorHAnsi"/>
        </w:rPr>
        <w:t xml:space="preserve">GDF15 is dynamically expressed in the division of epithelium caused by urogenital sinuses and buds, </w:t>
      </w:r>
      <w:r w:rsidR="004204CC" w:rsidRPr="00824D58">
        <w:rPr>
          <w:rFonts w:eastAsiaTheme="minorHAnsi"/>
        </w:rPr>
        <w:t>its</w:t>
      </w:r>
      <w:r w:rsidRPr="00824D58">
        <w:rPr>
          <w:rFonts w:eastAsiaTheme="minorHAnsi"/>
        </w:rPr>
        <w:t xml:space="preserve"> expression decreases </w:t>
      </w:r>
      <w:r w:rsidR="00A56EBC" w:rsidRPr="00824D58">
        <w:rPr>
          <w:rFonts w:eastAsiaTheme="minorHAnsi"/>
        </w:rPr>
        <w:t>as soon as</w:t>
      </w:r>
      <w:r w:rsidRPr="00824D58">
        <w:rPr>
          <w:rFonts w:eastAsiaTheme="minorHAnsi"/>
        </w:rPr>
        <w:t xml:space="preserve"> the </w:t>
      </w:r>
      <w:r w:rsidR="00606F8B" w:rsidRPr="00824D58">
        <w:rPr>
          <w:rFonts w:eastAsiaTheme="minorHAnsi"/>
        </w:rPr>
        <w:t>phase</w:t>
      </w:r>
      <w:r w:rsidRPr="00824D58">
        <w:rPr>
          <w:rFonts w:eastAsiaTheme="minorHAnsi"/>
        </w:rPr>
        <w:t xml:space="preserve"> of advanced prostate lobes is </w:t>
      </w:r>
      <w:r w:rsidR="00A56EBC" w:rsidRPr="00824D58">
        <w:rPr>
          <w:rFonts w:eastAsiaTheme="minorHAnsi"/>
        </w:rPr>
        <w:t>arrived</w:t>
      </w:r>
      <w:r w:rsidRPr="00824D58">
        <w:rPr>
          <w:rFonts w:eastAsiaTheme="minorHAnsi"/>
        </w:rPr>
        <w:t>.</w:t>
      </w:r>
      <w:r w:rsidR="00A56EBC" w:rsidRPr="00824D58">
        <w:rPr>
          <w:rFonts w:eastAsiaTheme="minorHAnsi"/>
        </w:rPr>
        <w:t xml:space="preserve"> </w:t>
      </w:r>
      <w:r w:rsidRPr="00824D58">
        <w:rPr>
          <w:rFonts w:eastAsiaTheme="minorHAnsi"/>
        </w:rPr>
        <w:t xml:space="preserve">GDF15 is then </w:t>
      </w:r>
      <w:r w:rsidR="00A56EBC" w:rsidRPr="00824D58">
        <w:rPr>
          <w:rFonts w:eastAsiaTheme="minorHAnsi"/>
        </w:rPr>
        <w:t>re</w:t>
      </w:r>
      <w:r w:rsidR="003F56AA" w:rsidRPr="00824D58">
        <w:rPr>
          <w:rFonts w:eastAsiaTheme="minorHAnsi"/>
        </w:rPr>
        <w:t>-</w:t>
      </w:r>
      <w:r w:rsidR="00A56EBC" w:rsidRPr="00824D58">
        <w:rPr>
          <w:rFonts w:eastAsiaTheme="minorHAnsi"/>
        </w:rPr>
        <w:t>stimulate</w:t>
      </w:r>
      <w:r w:rsidR="00937484" w:rsidRPr="00824D58">
        <w:rPr>
          <w:rFonts w:eastAsiaTheme="minorHAnsi"/>
        </w:rPr>
        <w:t>d</w:t>
      </w:r>
      <w:r w:rsidRPr="00824D58">
        <w:rPr>
          <w:rFonts w:eastAsiaTheme="minorHAnsi"/>
        </w:rPr>
        <w:t xml:space="preserve"> through prostate maturation</w:t>
      </w:r>
      <w:r w:rsidR="00FC5CC1">
        <w:rPr>
          <w:rFonts w:eastAsiaTheme="minorHAnsi"/>
        </w:rPr>
        <w:t>,&amp;</w:t>
      </w:r>
      <w:r w:rsidRPr="00824D58">
        <w:rPr>
          <w:rFonts w:eastAsiaTheme="minorHAnsi"/>
        </w:rPr>
        <w:t xml:space="preserve"> its expression is associated </w:t>
      </w:r>
      <w:r w:rsidR="00937484" w:rsidRPr="00824D58">
        <w:rPr>
          <w:rFonts w:eastAsiaTheme="minorHAnsi"/>
        </w:rPr>
        <w:t>for</w:t>
      </w:r>
      <w:r w:rsidRPr="00824D58">
        <w:rPr>
          <w:rFonts w:eastAsiaTheme="minorHAnsi"/>
        </w:rPr>
        <w:t xml:space="preserve"> signs of differentiation (for instance, K19). Consequently, data from the development of </w:t>
      </w:r>
      <w:r w:rsidR="00DA50BE" w:rsidRPr="00DA50BE">
        <w:rPr>
          <w:rFonts w:eastAsiaTheme="minorHAnsi"/>
        </w:rPr>
        <w:t>The embryonic, fetal</w:t>
      </w:r>
      <w:r w:rsidR="00FC5CC1">
        <w:rPr>
          <w:rFonts w:eastAsiaTheme="minorHAnsi"/>
        </w:rPr>
        <w:t>,&amp;</w:t>
      </w:r>
      <w:r w:rsidR="00DA50BE" w:rsidRPr="00DA50BE">
        <w:rPr>
          <w:rFonts w:eastAsiaTheme="minorHAnsi"/>
        </w:rPr>
        <w:t xml:space="preserve"> early postnatal mouse models indicate that GDF15 has a unique dual function in regulating urogenital sinus epithelial pr</w:t>
      </w:r>
      <w:r w:rsidR="00E8002B">
        <w:rPr>
          <w:rFonts w:eastAsiaTheme="minorHAnsi"/>
        </w:rPr>
        <w:t>oliferation and differentiation</w:t>
      </w:r>
      <w:r w:rsidR="00C170EF" w:rsidRPr="00C170EF">
        <w:rPr>
          <w:rFonts w:eastAsiaTheme="minorHAnsi"/>
        </w:rPr>
        <w:t xml:space="preserve"> the development of a prostate with an articulating (lobular) structure.</w:t>
      </w:r>
      <w:r w:rsidRPr="00824D58">
        <w:rPr>
          <w:rFonts w:eastAsiaTheme="minorHAnsi"/>
        </w:rPr>
        <w:t xml:space="preserve"> (Noorali, S., </w:t>
      </w:r>
      <w:r w:rsidRPr="00824D58">
        <w:rPr>
          <w:rFonts w:eastAsiaTheme="minorHAnsi"/>
          <w:i/>
          <w:iCs/>
        </w:rPr>
        <w:t>et al.,</w:t>
      </w:r>
      <w:r w:rsidRPr="00824D58">
        <w:rPr>
          <w:rFonts w:eastAsiaTheme="minorHAnsi"/>
        </w:rPr>
        <w:t xml:space="preserve"> 2007). </w:t>
      </w:r>
    </w:p>
    <w:p w:rsidR="004C3C0E" w:rsidRPr="00824D58" w:rsidRDefault="004C3C0E" w:rsidP="004C3C0E">
      <w:pPr>
        <w:pStyle w:val="BodyText"/>
        <w:spacing w:after="0"/>
        <w:rPr>
          <w:rFonts w:eastAsiaTheme="minorHAnsi"/>
        </w:rPr>
      </w:pPr>
    </w:p>
    <w:p w:rsidR="00230F05" w:rsidRPr="00824D58" w:rsidRDefault="00E8002B" w:rsidP="004C3C0E">
      <w:pPr>
        <w:spacing w:after="0"/>
        <w:rPr>
          <w:shd w:val="clear" w:color="auto" w:fill="FFFFFF"/>
        </w:rPr>
      </w:pPr>
      <w:r w:rsidRPr="00E8002B">
        <w:t>Although the GDF15 coding sequence has a modest genetic diversity and numerous polymorphisms,</w:t>
      </w:r>
      <w:r w:rsidR="00230F05" w:rsidRPr="00824D58">
        <w:t xml:space="preserve"> present in individual nucleotides were not associated with the possibility of PCa infection, the wild type function GDF15 variant can be distinguished in the advanced PCa (</w:t>
      </w:r>
      <w:r w:rsidR="00230F05" w:rsidRPr="00824D58">
        <w:rPr>
          <w:shd w:val="clear" w:color="auto" w:fill="FFFFFF"/>
        </w:rPr>
        <w:t xml:space="preserve">Wang, X. </w:t>
      </w:r>
      <w:r w:rsidR="00230F05" w:rsidRPr="00824D58">
        <w:rPr>
          <w:i/>
          <w:iCs/>
          <w:shd w:val="clear" w:color="auto" w:fill="FFFFFF"/>
        </w:rPr>
        <w:t xml:space="preserve">et al., </w:t>
      </w:r>
      <w:r w:rsidR="00230F05" w:rsidRPr="00824D58">
        <w:rPr>
          <w:shd w:val="clear" w:color="auto" w:fill="FFFFFF"/>
        </w:rPr>
        <w:t xml:space="preserve">2012; Zhao, L., </w:t>
      </w:r>
      <w:r w:rsidR="00230F05" w:rsidRPr="00824D58">
        <w:rPr>
          <w:i/>
          <w:iCs/>
          <w:shd w:val="clear" w:color="auto" w:fill="FFFFFF"/>
        </w:rPr>
        <w:t>et al.,</w:t>
      </w:r>
      <w:r w:rsidR="00230F05" w:rsidRPr="00824D58">
        <w:rPr>
          <w:shd w:val="clear" w:color="auto" w:fill="FFFFFF"/>
        </w:rPr>
        <w:t xml:space="preserve"> 2009).</w:t>
      </w:r>
    </w:p>
    <w:p w:rsidR="004C3C0E" w:rsidRPr="00824D58" w:rsidRDefault="004C3C0E" w:rsidP="004C3C0E">
      <w:pPr>
        <w:spacing w:after="0"/>
      </w:pPr>
    </w:p>
    <w:p w:rsidR="00230F05" w:rsidRPr="00824D58" w:rsidRDefault="00230F05" w:rsidP="00E8002B">
      <w:pPr>
        <w:tabs>
          <w:tab w:val="left" w:pos="4253"/>
        </w:tabs>
        <w:spacing w:after="0"/>
      </w:pPr>
      <w:r w:rsidRPr="00824D58">
        <w:t xml:space="preserve">To determine the regulation of GDF15 in PCa bone metastasis, the x-ray and the histomorphological consequence proved an </w:t>
      </w:r>
      <w:r w:rsidR="00E8002B" w:rsidRPr="00E8002B">
        <w:t>At the sites of bone metastases, osteoblast differentiation and bone remodeling activity are accelerated. This study revealed an increase in the number of osteoblasts at metastatic locations.</w:t>
      </w:r>
      <w:r w:rsidRPr="00824D58">
        <w:rPr>
          <w:b/>
          <w:bCs/>
        </w:rPr>
        <w:t xml:space="preserve"> </w:t>
      </w:r>
      <w:r w:rsidRPr="00824D58">
        <w:t>(</w:t>
      </w:r>
      <w:r w:rsidRPr="00824D58">
        <w:rPr>
          <w:shd w:val="clear" w:color="auto" w:fill="FFFFFF"/>
        </w:rPr>
        <w:t xml:space="preserve">Cheng, J. C. </w:t>
      </w:r>
      <w:r w:rsidRPr="00824D58">
        <w:rPr>
          <w:i/>
          <w:iCs/>
          <w:shd w:val="clear" w:color="auto" w:fill="FFFFFF"/>
        </w:rPr>
        <w:t>et al.,</w:t>
      </w:r>
      <w:r w:rsidRPr="00824D58">
        <w:rPr>
          <w:shd w:val="clear" w:color="auto" w:fill="FFFFFF"/>
        </w:rPr>
        <w:t xml:space="preserve"> 2011)</w:t>
      </w:r>
      <w:r w:rsidRPr="00824D58">
        <w:t>. Another investigation referred agreement inhibitory impact of GDF15 on osteoclast formation regulator of differentiation and activity of osteoblasts</w:t>
      </w:r>
      <w:r w:rsidRPr="00824D58">
        <w:rPr>
          <w:b/>
          <w:bCs/>
        </w:rPr>
        <w:t xml:space="preserve"> </w:t>
      </w:r>
      <w:r w:rsidRPr="00824D58">
        <w:t xml:space="preserve">(Wakchoure, S. </w:t>
      </w:r>
      <w:r w:rsidRPr="00824D58">
        <w:rPr>
          <w:i/>
          <w:iCs/>
        </w:rPr>
        <w:t>et al.,</w:t>
      </w:r>
      <w:r w:rsidRPr="00824D58">
        <w:t xml:space="preserve"> 2009).</w:t>
      </w:r>
    </w:p>
    <w:p w:rsidR="004C3C0E" w:rsidRPr="00824D58" w:rsidRDefault="004C3C0E" w:rsidP="004C3C0E">
      <w:pPr>
        <w:spacing w:after="0"/>
      </w:pPr>
    </w:p>
    <w:p w:rsidR="00230F05" w:rsidRPr="00824D58" w:rsidRDefault="00230F05" w:rsidP="00E8002B">
      <w:pPr>
        <w:spacing w:after="0"/>
      </w:pPr>
      <w:r w:rsidRPr="00824D58">
        <w:t xml:space="preserve">Increased technical information of GDF15 signaling pathways in cells produced or received contributes to an </w:t>
      </w:r>
      <w:r w:rsidR="00937484" w:rsidRPr="00824D58">
        <w:t>comprehension</w:t>
      </w:r>
      <w:r w:rsidRPr="00824D58">
        <w:t xml:space="preserve"> of the </w:t>
      </w:r>
      <w:r w:rsidR="00937484" w:rsidRPr="00824D58">
        <w:t>occurrences</w:t>
      </w:r>
      <w:r w:rsidRPr="00824D58">
        <w:t xml:space="preserve"> that make up </w:t>
      </w:r>
      <w:r w:rsidR="00937484" w:rsidRPr="00824D58">
        <w:t xml:space="preserve">the intricate </w:t>
      </w:r>
      <w:r w:rsidR="00E8002B" w:rsidRPr="00E8002B">
        <w:t>Within the tumor microenvironment, a network exists. The GDF15 protein family has both tumor-promoting and tumor-inhibiting characteristics. As cellular, histological</w:t>
      </w:r>
      <w:r w:rsidR="00FC5CC1">
        <w:t>,&amp;</w:t>
      </w:r>
      <w:r w:rsidR="00E8002B" w:rsidRPr="00E8002B">
        <w:t xml:space="preserve"> systemic manifestations</w:t>
      </w:r>
      <w:r w:rsidRPr="00824D58">
        <w:t xml:space="preserve"> </w:t>
      </w:r>
      <w:r w:rsidR="0057034E" w:rsidRPr="00824D58">
        <w:t>impacts</w:t>
      </w:r>
      <w:r w:rsidRPr="00824D58">
        <w:t xml:space="preserve"> of GDF15 signals have been demonstrated in well-defined experimental conditions, </w:t>
      </w:r>
      <w:r w:rsidR="005D66C4" w:rsidRPr="00824D58">
        <w:t>GDF15, rather than bystander-induced stress, is most likely an involved and critical player in the development of PCa</w:t>
      </w:r>
      <w:r w:rsidR="00B44796" w:rsidRPr="00824D58">
        <w:t>, see Figure 2.9</w:t>
      </w:r>
      <w:r w:rsidRPr="00824D58">
        <w:t xml:space="preserve">. Therefore, introducing GDF15 in clinical discussions </w:t>
      </w:r>
      <w:r w:rsidR="0057034E" w:rsidRPr="00824D58">
        <w:t>maybe</w:t>
      </w:r>
      <w:r w:rsidRPr="00824D58">
        <w:t xml:space="preserve"> provide new possibilities to better </w:t>
      </w:r>
      <w:r w:rsidR="0057034E" w:rsidRPr="00824D58">
        <w:t>comprehend</w:t>
      </w:r>
      <w:r w:rsidRPr="00824D58">
        <w:t xml:space="preserve"> the development of cancer and may enhance diagnostic or treatment strategies (Brown, D. A. </w:t>
      </w:r>
      <w:r w:rsidRPr="00824D58">
        <w:rPr>
          <w:i/>
          <w:iCs/>
        </w:rPr>
        <w:t>et al.,</w:t>
      </w:r>
      <w:r w:rsidRPr="00824D58">
        <w:t xml:space="preserve"> 2003; Costa, V. L. </w:t>
      </w:r>
      <w:r w:rsidRPr="00824D58">
        <w:rPr>
          <w:i/>
          <w:iCs/>
        </w:rPr>
        <w:t>et al.,</w:t>
      </w:r>
      <w:r w:rsidRPr="00824D58">
        <w:t xml:space="preserve"> 2010; Massagué, J., 2008; Cheng J. C. </w:t>
      </w:r>
      <w:r w:rsidRPr="00824D58">
        <w:rPr>
          <w:i/>
          <w:iCs/>
        </w:rPr>
        <w:t>et al.,</w:t>
      </w:r>
      <w:r w:rsidRPr="00824D58">
        <w:t xml:space="preserve"> 2011).</w:t>
      </w:r>
    </w:p>
    <w:p w:rsidR="004C3C0E" w:rsidRPr="00824D58" w:rsidRDefault="004C3C0E" w:rsidP="0057034E">
      <w:pPr>
        <w:spacing w:after="0"/>
      </w:pPr>
    </w:p>
    <w:p w:rsidR="00230F05" w:rsidRPr="00824D58" w:rsidRDefault="00230F05" w:rsidP="00230F05">
      <w:pPr>
        <w:pStyle w:val="ListParagraph"/>
        <w:spacing w:after="0"/>
        <w:ind w:left="0"/>
        <w:jc w:val="center"/>
      </w:pPr>
    </w:p>
    <w:p w:rsidR="00B44796" w:rsidRPr="00824D58" w:rsidRDefault="00230F05" w:rsidP="00B44796">
      <w:pPr>
        <w:pStyle w:val="ListParagraph"/>
        <w:keepNext/>
        <w:spacing w:after="0"/>
        <w:ind w:left="0"/>
        <w:jc w:val="center"/>
      </w:pPr>
      <w:r w:rsidRPr="00824D58">
        <w:rPr>
          <w:noProof/>
        </w:rPr>
        <w:drawing>
          <wp:inline distT="0" distB="0" distL="0" distR="0" wp14:anchorId="1A041B74" wp14:editId="2A9DFAF2">
            <wp:extent cx="5217184" cy="3717985"/>
            <wp:effectExtent l="19050" t="19050" r="21566" b="15815"/>
            <wp:docPr id="2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duotone>
                        <a:prstClr val="black"/>
                        <a:schemeClr val="accent6">
                          <a:tint val="45000"/>
                          <a:satMod val="400000"/>
                        </a:schemeClr>
                      </a:duotone>
                    </a:blip>
                    <a:srcRect/>
                    <a:stretch>
                      <a:fillRect/>
                    </a:stretch>
                  </pic:blipFill>
                  <pic:spPr bwMode="auto">
                    <a:xfrm>
                      <a:off x="0" y="0"/>
                      <a:ext cx="5219419" cy="3719578"/>
                    </a:xfrm>
                    <a:prstGeom prst="rect">
                      <a:avLst/>
                    </a:prstGeom>
                    <a:noFill/>
                    <a:ln w="3175">
                      <a:solidFill>
                        <a:schemeClr val="tx1"/>
                      </a:solidFill>
                      <a:miter lim="800000"/>
                      <a:headEnd/>
                      <a:tailEnd/>
                    </a:ln>
                  </pic:spPr>
                </pic:pic>
              </a:graphicData>
            </a:graphic>
          </wp:inline>
        </w:drawing>
      </w:r>
    </w:p>
    <w:p w:rsidR="004C3C0E" w:rsidRPr="00824D58" w:rsidRDefault="004C3C0E" w:rsidP="004C3C0E">
      <w:pPr>
        <w:pStyle w:val="Caption"/>
        <w:spacing w:after="0"/>
        <w:ind w:left="1276" w:hanging="1276"/>
      </w:pPr>
      <w:bookmarkStart w:id="125" w:name="_Toc60183484"/>
    </w:p>
    <w:p w:rsidR="00230F05" w:rsidRPr="00824D58" w:rsidRDefault="00B44796" w:rsidP="004C3C0E">
      <w:pPr>
        <w:pStyle w:val="Caption"/>
        <w:spacing w:after="0"/>
        <w:ind w:left="1276" w:hanging="1276"/>
        <w:rPr>
          <w:shd w:val="clear" w:color="auto" w:fill="FFFFFF"/>
        </w:rPr>
      </w:pPr>
      <w:r w:rsidRPr="00824D58">
        <w:t>Figure 2.</w:t>
      </w:r>
      <w:fldSimple w:instr=" SEQ Figure_2. \* ARABIC ">
        <w:r w:rsidR="00713623">
          <w:rPr>
            <w:noProof/>
          </w:rPr>
          <w:t>9</w:t>
        </w:r>
      </w:fldSimple>
      <w:r w:rsidRPr="00824D58">
        <w:rPr>
          <w:noProof/>
        </w:rPr>
        <w:t>. The suggestion role of GDF15 in the development of prostate cancer (PCa)</w:t>
      </w:r>
      <w:r w:rsidRPr="00824D58">
        <w:t xml:space="preserve"> (</w:t>
      </w:r>
      <w:r w:rsidRPr="00824D58">
        <w:rPr>
          <w:shd w:val="clear" w:color="auto" w:fill="FFFFFF"/>
        </w:rPr>
        <w:t>Vaňhara, P., et al., 2012)</w:t>
      </w:r>
      <w:bookmarkEnd w:id="125"/>
    </w:p>
    <w:p w:rsidR="004C3C0E" w:rsidRPr="00824D58" w:rsidRDefault="004C3C0E" w:rsidP="004C3C0E">
      <w:pPr>
        <w:spacing w:after="0"/>
        <w:rPr>
          <w:rtl/>
        </w:rPr>
      </w:pPr>
    </w:p>
    <w:p w:rsidR="00230F05" w:rsidRPr="00824D58" w:rsidRDefault="00E8002B" w:rsidP="0057034E">
      <w:pPr>
        <w:spacing w:after="0"/>
      </w:pPr>
      <w:r w:rsidRPr="00E8002B">
        <w:t>GDF15 is triggered in response to tissue damage or inflammation by cellular pressure and shields the lesion site from an insufficient immune response. When pathological circumstances, such as established prostate cancer, exist, GDF15 is triggered as a consequence of cellular stress induced by changes in and/or loss of the prostate tissue structure, thus triggering the immune r</w:t>
      </w:r>
      <w:r>
        <w:t>esponse to the malignant region</w:t>
      </w:r>
      <w:r w:rsidR="00C170EF" w:rsidRPr="00C170EF">
        <w:t xml:space="preserve">. </w:t>
      </w:r>
      <w:r w:rsidR="00230F05" w:rsidRPr="00824D58">
        <w:t>(</w:t>
      </w:r>
      <w:r w:rsidR="00230F05" w:rsidRPr="00824D58">
        <w:rPr>
          <w:shd w:val="clear" w:color="auto" w:fill="FFFFFF"/>
        </w:rPr>
        <w:t xml:space="preserve">Vaňhara, P., </w:t>
      </w:r>
      <w:r w:rsidR="00230F05" w:rsidRPr="00824D58">
        <w:rPr>
          <w:i/>
          <w:iCs/>
          <w:shd w:val="clear" w:color="auto" w:fill="FFFFFF"/>
        </w:rPr>
        <w:t>et al.,</w:t>
      </w:r>
      <w:r w:rsidR="00230F05" w:rsidRPr="00824D58">
        <w:rPr>
          <w:shd w:val="clear" w:color="auto" w:fill="FFFFFF"/>
        </w:rPr>
        <w:t xml:space="preserve"> 2012)</w:t>
      </w:r>
      <w:r w:rsidR="00230F05" w:rsidRPr="00824D58">
        <w:t>.</w:t>
      </w:r>
    </w:p>
    <w:p w:rsidR="004C3C0E" w:rsidRPr="00824D58" w:rsidRDefault="004C3C0E" w:rsidP="0057034E">
      <w:pPr>
        <w:spacing w:after="0"/>
      </w:pPr>
    </w:p>
    <w:p w:rsidR="00230F05" w:rsidRPr="00824D58" w:rsidRDefault="00230F05" w:rsidP="004C3C0E">
      <w:pPr>
        <w:pStyle w:val="Heading4"/>
        <w:numPr>
          <w:ilvl w:val="3"/>
          <w:numId w:val="2"/>
        </w:numPr>
        <w:spacing w:before="0"/>
        <w:ind w:left="851" w:hanging="851"/>
      </w:pPr>
      <w:r w:rsidRPr="00824D58">
        <w:t>The relation between GDF15 and Hepcidin for prostate cancer patients</w:t>
      </w:r>
    </w:p>
    <w:p w:rsidR="004C3C0E" w:rsidRPr="00824D58" w:rsidRDefault="004C3C0E" w:rsidP="004C3C0E">
      <w:pPr>
        <w:spacing w:after="0"/>
      </w:pPr>
    </w:p>
    <w:p w:rsidR="004C3C0E" w:rsidRPr="00824D58" w:rsidRDefault="00230F05" w:rsidP="00244C13">
      <w:pPr>
        <w:spacing w:after="480"/>
      </w:pPr>
      <w:r w:rsidRPr="00824D58">
        <w:t xml:space="preserve">Prostate cancer (PCA) and some other kinds of cancers such as Breast cancer </w:t>
      </w:r>
      <w:r w:rsidR="00C170EF" w:rsidRPr="00C170EF">
        <w:t xml:space="preserve">are tumors that are hormone-dependent. </w:t>
      </w:r>
      <w:r w:rsidR="00244C13" w:rsidRPr="00244C13">
        <w:t>Tano et al. (2011) suggested that GDF15 and hepcidin could be used as prognostic indicators in prostate cancer. Compared to patients with non-metallic PCa, those with metastatic disease were shown to have a higher incidence of hepsidin and a t</w:t>
      </w:r>
      <w:r w:rsidR="00244C13">
        <w:t>rend toward higher GDF15 levels</w:t>
      </w:r>
      <w:r w:rsidRPr="00824D58">
        <w:t xml:space="preserve"> (</w:t>
      </w:r>
      <w:r w:rsidRPr="00824D58">
        <w:rPr>
          <w:shd w:val="clear" w:color="auto" w:fill="FFFFFF"/>
        </w:rPr>
        <w:t xml:space="preserve">Tanno, T., </w:t>
      </w:r>
      <w:r w:rsidRPr="00824D58">
        <w:rPr>
          <w:i/>
          <w:iCs/>
          <w:shd w:val="clear" w:color="auto" w:fill="FFFFFF"/>
        </w:rPr>
        <w:t>et al</w:t>
      </w:r>
      <w:r w:rsidRPr="00824D58">
        <w:rPr>
          <w:i/>
          <w:iCs/>
        </w:rPr>
        <w:t>.,</w:t>
      </w:r>
      <w:r w:rsidR="00ED5F2C" w:rsidRPr="00824D58">
        <w:t xml:space="preserve"> 2011; Grönberg, H. 2003).</w:t>
      </w:r>
    </w:p>
    <w:p w:rsidR="00230F05" w:rsidRPr="00824D58" w:rsidRDefault="008F612A" w:rsidP="00244C13">
      <w:pPr>
        <w:spacing w:after="0"/>
        <w:rPr>
          <w:shd w:val="clear" w:color="auto" w:fill="FFFFFF"/>
        </w:rPr>
      </w:pPr>
      <w:r w:rsidRPr="008F612A">
        <w:t xml:space="preserve">Currently, the PSA conjugate is most often utilized in conjunction with GDF15 and serum hepcidin. GDF15 serum levels are inversely proportional to hepcidin serum levels. Surprisingly, higher GDF15 and serum hepcidin levels were associated with increased risk of mortality with each unit: induction of GDF15 at 1,000 pg / mL raised the risk of death by 20.6 percent. </w:t>
      </w:r>
      <w:r w:rsidR="00244C13" w:rsidRPr="00244C13">
        <w:t>The induction of hepesidin at a concentration of 25 ng/mL increased the risk of death by 10%. In conclusion, a researcher determined the predictive value of GDF15 and serum hepcidin levels in prostate cancer. Another researcher determined that serum GDF15 and serum hepsidin may serve as prognostic indicators for PCa that progresses slowly or swiftly compared to the progress</w:t>
      </w:r>
      <w:r w:rsidR="00244C13">
        <w:t>ion of cancer in limited organs</w:t>
      </w:r>
      <w:r w:rsidR="00230F05" w:rsidRPr="00824D58">
        <w:rPr>
          <w:b/>
          <w:bCs/>
        </w:rPr>
        <w:t xml:space="preserve"> </w:t>
      </w:r>
      <w:r w:rsidR="00230F05" w:rsidRPr="00824D58">
        <w:rPr>
          <w:shd w:val="clear" w:color="auto" w:fill="FFFFFF"/>
        </w:rPr>
        <w:t>(Winand</w:t>
      </w:r>
      <w:r w:rsidR="00244C13">
        <w:rPr>
          <w:shd w:val="clear" w:color="auto" w:fill="FFFFFF"/>
        </w:rPr>
        <w:t xml:space="preserve"> </w:t>
      </w:r>
      <w:r w:rsidR="00230F05" w:rsidRPr="00824D58">
        <w:rPr>
          <w:i/>
          <w:iCs/>
          <w:shd w:val="clear" w:color="auto" w:fill="FFFFFF"/>
        </w:rPr>
        <w:t>et al.,</w:t>
      </w:r>
      <w:r w:rsidR="00230F05" w:rsidRPr="00824D58">
        <w:rPr>
          <w:shd w:val="clear" w:color="auto" w:fill="FFFFFF"/>
        </w:rPr>
        <w:t xml:space="preserve"> 2014</w:t>
      </w:r>
      <w:r w:rsidR="00ED5F2C" w:rsidRPr="00824D58">
        <w:rPr>
          <w:shd w:val="clear" w:color="auto" w:fill="FFFFFF"/>
        </w:rPr>
        <w:t xml:space="preserve">; </w:t>
      </w:r>
      <w:r w:rsidR="00ED5F2C" w:rsidRPr="00824D58">
        <w:t>Smith</w:t>
      </w:r>
      <w:r w:rsidR="00244C13">
        <w:t xml:space="preserve"> </w:t>
      </w:r>
      <w:r w:rsidR="00ED5F2C" w:rsidRPr="00824D58">
        <w:rPr>
          <w:i/>
          <w:iCs/>
        </w:rPr>
        <w:t>et al.,</w:t>
      </w:r>
      <w:r w:rsidR="00ED5F2C" w:rsidRPr="00824D58">
        <w:t xml:space="preserve"> 2009</w:t>
      </w:r>
      <w:r w:rsidR="00230F05" w:rsidRPr="00824D58">
        <w:rPr>
          <w:shd w:val="clear" w:color="auto" w:fill="FFFFFF"/>
        </w:rPr>
        <w:t>).</w:t>
      </w:r>
    </w:p>
    <w:p w:rsidR="004C3C0E" w:rsidRPr="00824D58" w:rsidRDefault="004C3C0E" w:rsidP="004C3C0E">
      <w:pPr>
        <w:spacing w:after="0"/>
      </w:pPr>
    </w:p>
    <w:p w:rsidR="00230F05" w:rsidRPr="00824D58" w:rsidRDefault="008F612A" w:rsidP="008F612A">
      <w:pPr>
        <w:spacing w:after="0"/>
      </w:pPr>
      <w:r w:rsidRPr="008F612A">
        <w:t>Due to the variety of PCa, there is an urgent need for novel biomarkers that may be used to predict prognosis, disease severity, therapy effectiveness</w:t>
      </w:r>
      <w:r w:rsidR="00FC5CC1">
        <w:t>,&amp;</w:t>
      </w:r>
      <w:r w:rsidRPr="008F612A">
        <w:t xml:space="preserve"> patient outcomes. Additionally, biomarkers are required in advanced PCa that formed after first therapy with antihormones to predict tumor development and aggressiveness in response to different therapies that may extend life. </w:t>
      </w:r>
      <w:r w:rsidR="00230F05" w:rsidRPr="00824D58">
        <w:t>(</w:t>
      </w:r>
      <w:r w:rsidR="00230F05" w:rsidRPr="00824D58">
        <w:rPr>
          <w:shd w:val="clear" w:color="auto" w:fill="FFFFFF"/>
        </w:rPr>
        <w:t>Gelmann, E. P., &amp; Henshall, S. M., 2009)</w:t>
      </w:r>
      <w:r w:rsidR="00230F05" w:rsidRPr="00824D58">
        <w:t>.</w:t>
      </w:r>
    </w:p>
    <w:p w:rsidR="004C3C0E" w:rsidRPr="00824D58" w:rsidRDefault="004C3C0E" w:rsidP="004C3C0E">
      <w:pPr>
        <w:spacing w:after="0"/>
      </w:pPr>
    </w:p>
    <w:p w:rsidR="00230F05" w:rsidRPr="00824D58" w:rsidRDefault="00230F05" w:rsidP="004C3C0E">
      <w:pPr>
        <w:pStyle w:val="Heading2"/>
        <w:numPr>
          <w:ilvl w:val="1"/>
          <w:numId w:val="2"/>
        </w:numPr>
        <w:spacing w:before="0"/>
        <w:ind w:left="426" w:hanging="426"/>
      </w:pPr>
      <w:bookmarkStart w:id="126" w:name="_Toc60183451"/>
      <w:r w:rsidRPr="00824D58">
        <w:t>Hormone</w:t>
      </w:r>
      <w:bookmarkEnd w:id="126"/>
    </w:p>
    <w:p w:rsidR="004C3C0E" w:rsidRPr="00824D58" w:rsidRDefault="004C3C0E" w:rsidP="004C3C0E">
      <w:pPr>
        <w:spacing w:after="0"/>
      </w:pPr>
    </w:p>
    <w:p w:rsidR="00230F05" w:rsidRPr="00824D58" w:rsidRDefault="00230F05" w:rsidP="004C3C0E">
      <w:pPr>
        <w:pStyle w:val="Heading3"/>
        <w:numPr>
          <w:ilvl w:val="2"/>
          <w:numId w:val="2"/>
        </w:numPr>
        <w:spacing w:before="0" w:after="0"/>
        <w:ind w:left="709" w:hanging="709"/>
      </w:pPr>
      <w:bookmarkStart w:id="127" w:name="_Toc60183452"/>
      <w:r w:rsidRPr="00824D58">
        <w:t>FSH</w:t>
      </w:r>
      <w:bookmarkEnd w:id="127"/>
    </w:p>
    <w:p w:rsidR="004C3C0E" w:rsidRPr="00824D58" w:rsidRDefault="004C3C0E" w:rsidP="004C3C0E">
      <w:pPr>
        <w:spacing w:after="0"/>
      </w:pPr>
    </w:p>
    <w:p w:rsidR="00230F05" w:rsidRPr="00824D58" w:rsidRDefault="008F612A" w:rsidP="004C3C0E">
      <w:pPr>
        <w:spacing w:after="0"/>
      </w:pPr>
      <w:r w:rsidRPr="008F612A">
        <w:t>FSH is a glycoprotein hormone that has structural similarities with other members of his family, including LH.</w:t>
      </w:r>
      <w:r w:rsidR="00230F05" w:rsidRPr="00824D58">
        <w:t>, it consisting of two polypeptides (alpha and beta). Thyroid-stimulating hormone and chorionic gonadotropin (Robboy, S. J., 2009).</w:t>
      </w:r>
    </w:p>
    <w:p w:rsidR="004C3C0E" w:rsidRPr="00824D58" w:rsidRDefault="004C3C0E" w:rsidP="004C3C0E">
      <w:pPr>
        <w:spacing w:after="0"/>
        <w:rPr>
          <w:b/>
          <w:bCs/>
        </w:rPr>
      </w:pPr>
    </w:p>
    <w:p w:rsidR="00230F05" w:rsidRPr="00824D58" w:rsidRDefault="008F612A" w:rsidP="00AB3FFB">
      <w:pPr>
        <w:spacing w:after="0"/>
      </w:pPr>
      <w:r w:rsidRPr="008F612A">
        <w:t>These hormones have a common alpha subunit with a length of 96 amino acids but vary in their beta subunits. The heterodimer has biological action. SFH includes a beta subunit of 111 amino acids (FSH-), which is important for the hormone's biological activity and interaction with follicle-stimulating hormone receptors. FSH is produced in the same pituitary cells that produce gonadotrophins. All mammalian species need increased pituitary gland production of SFH to promote follicular development.</w:t>
      </w:r>
      <w:r w:rsidR="00230F05" w:rsidRPr="00824D58">
        <w:t xml:space="preserve"> (</w:t>
      </w:r>
      <w:r w:rsidR="00230F05" w:rsidRPr="00824D58">
        <w:rPr>
          <w:shd w:val="clear" w:color="auto" w:fill="FFFFFF"/>
        </w:rPr>
        <w:t>Atwell, J. W.</w:t>
      </w:r>
      <w:r w:rsidR="00230F05" w:rsidRPr="00824D58">
        <w:t xml:space="preserve"> </w:t>
      </w:r>
      <w:r w:rsidR="00230F05" w:rsidRPr="00824D58">
        <w:rPr>
          <w:i/>
          <w:iCs/>
        </w:rPr>
        <w:t>et al.,</w:t>
      </w:r>
      <w:r w:rsidR="00230F05" w:rsidRPr="00824D58">
        <w:t xml:space="preserve"> 2012).</w:t>
      </w:r>
      <w:r w:rsidR="00AB3FFB" w:rsidRPr="00824D58">
        <w:t xml:space="preserve"> See Figure 1.10</w:t>
      </w:r>
      <w:r w:rsidR="00230F05" w:rsidRPr="00824D58">
        <w:t>.</w:t>
      </w:r>
    </w:p>
    <w:p w:rsidR="004C3C0E" w:rsidRPr="00824D58" w:rsidRDefault="004C3C0E" w:rsidP="00AB3FFB">
      <w:pPr>
        <w:spacing w:after="0"/>
        <w:rPr>
          <w:b/>
          <w:bCs/>
        </w:rPr>
      </w:pPr>
    </w:p>
    <w:p w:rsidR="00AB3FFB" w:rsidRPr="00824D58" w:rsidRDefault="00230F05" w:rsidP="004C3C0E">
      <w:pPr>
        <w:pStyle w:val="ListParagraph"/>
        <w:keepNext/>
        <w:spacing w:after="0"/>
        <w:ind w:left="0"/>
        <w:jc w:val="center"/>
      </w:pPr>
      <w:r w:rsidRPr="00824D58">
        <w:rPr>
          <w:noProof/>
        </w:rPr>
        <w:drawing>
          <wp:inline distT="0" distB="0" distL="0" distR="0" wp14:anchorId="7F7E020A" wp14:editId="20213B7D">
            <wp:extent cx="5343525" cy="3533775"/>
            <wp:effectExtent l="19050" t="19050" r="28575" b="28575"/>
            <wp:docPr id="26"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grayscl/>
                    </a:blip>
                    <a:srcRect l="1042" t="1613" r="1562"/>
                    <a:stretch>
                      <a:fillRect/>
                    </a:stretch>
                  </pic:blipFill>
                  <pic:spPr bwMode="auto">
                    <a:xfrm>
                      <a:off x="0" y="0"/>
                      <a:ext cx="5343525" cy="3533775"/>
                    </a:xfrm>
                    <a:prstGeom prst="rect">
                      <a:avLst/>
                    </a:prstGeom>
                    <a:noFill/>
                    <a:ln w="12700">
                      <a:solidFill>
                        <a:schemeClr val="tx1"/>
                      </a:solidFill>
                      <a:miter lim="800000"/>
                      <a:headEnd/>
                      <a:tailEnd/>
                    </a:ln>
                  </pic:spPr>
                </pic:pic>
              </a:graphicData>
            </a:graphic>
          </wp:inline>
        </w:drawing>
      </w:r>
    </w:p>
    <w:p w:rsidR="004C3C0E" w:rsidRPr="00824D58" w:rsidRDefault="004C3C0E" w:rsidP="004C3C0E">
      <w:pPr>
        <w:pStyle w:val="Caption"/>
        <w:spacing w:after="0"/>
        <w:ind w:left="1276" w:hanging="1276"/>
      </w:pPr>
      <w:bookmarkStart w:id="128" w:name="_Toc60183485"/>
    </w:p>
    <w:p w:rsidR="00230F05" w:rsidRPr="00824D58" w:rsidRDefault="00AB3FFB" w:rsidP="002B0DE0">
      <w:pPr>
        <w:pStyle w:val="Caption"/>
        <w:spacing w:after="0"/>
        <w:ind w:left="1276" w:hanging="1276"/>
        <w:rPr>
          <w:noProof/>
        </w:rPr>
      </w:pPr>
      <w:r w:rsidRPr="00824D58">
        <w:t>Figure 2.</w:t>
      </w:r>
      <w:fldSimple w:instr=" SEQ Figure_2. \* ARABIC ">
        <w:r w:rsidR="00713623">
          <w:rPr>
            <w:noProof/>
          </w:rPr>
          <w:t>10</w:t>
        </w:r>
      </w:fldSimple>
      <w:r w:rsidRPr="00824D58">
        <w:rPr>
          <w:noProof/>
        </w:rPr>
        <w:t xml:space="preserve">. </w:t>
      </w:r>
      <w:bookmarkEnd w:id="128"/>
      <w:r w:rsidR="002B0DE0" w:rsidRPr="002B0DE0">
        <w:rPr>
          <w:noProof/>
        </w:rPr>
        <w:t>The follicle stimulating hormone receptor (FSHR) structure in relation to the associated FSH alpha and beta</w:t>
      </w:r>
    </w:p>
    <w:p w:rsidR="004C3C0E" w:rsidRDefault="004C3C0E" w:rsidP="004C3C0E">
      <w:pPr>
        <w:spacing w:after="0"/>
        <w:rPr>
          <w:rtl/>
        </w:rPr>
      </w:pPr>
    </w:p>
    <w:p w:rsidR="00025159" w:rsidRDefault="00025159" w:rsidP="004C3C0E">
      <w:pPr>
        <w:spacing w:after="0"/>
        <w:rPr>
          <w:rtl/>
        </w:rPr>
      </w:pPr>
    </w:p>
    <w:p w:rsidR="00025159" w:rsidRDefault="00025159" w:rsidP="004C3C0E">
      <w:pPr>
        <w:spacing w:after="0"/>
        <w:rPr>
          <w:rtl/>
        </w:rPr>
      </w:pPr>
    </w:p>
    <w:p w:rsidR="00025159" w:rsidRDefault="00025159" w:rsidP="004C3C0E">
      <w:pPr>
        <w:spacing w:after="0"/>
        <w:rPr>
          <w:rtl/>
        </w:rPr>
      </w:pPr>
    </w:p>
    <w:p w:rsidR="00025159" w:rsidRDefault="00025159" w:rsidP="004C3C0E">
      <w:pPr>
        <w:spacing w:after="0"/>
        <w:rPr>
          <w:rtl/>
        </w:rPr>
      </w:pPr>
    </w:p>
    <w:p w:rsidR="00025159" w:rsidRDefault="00025159" w:rsidP="004C3C0E">
      <w:pPr>
        <w:spacing w:after="0"/>
        <w:rPr>
          <w:rtl/>
        </w:rPr>
      </w:pPr>
    </w:p>
    <w:p w:rsidR="00025159" w:rsidRDefault="00025159" w:rsidP="004C3C0E">
      <w:pPr>
        <w:spacing w:after="0"/>
        <w:rPr>
          <w:rtl/>
        </w:rPr>
      </w:pPr>
    </w:p>
    <w:p w:rsidR="00025159" w:rsidRDefault="00025159" w:rsidP="004C3C0E">
      <w:pPr>
        <w:spacing w:after="0"/>
        <w:rPr>
          <w:rtl/>
        </w:rPr>
      </w:pPr>
    </w:p>
    <w:p w:rsidR="00025159" w:rsidRDefault="00025159" w:rsidP="004C3C0E">
      <w:pPr>
        <w:spacing w:after="0"/>
        <w:rPr>
          <w:rtl/>
        </w:rPr>
      </w:pPr>
    </w:p>
    <w:p w:rsidR="00025159" w:rsidRDefault="00025159" w:rsidP="004C3C0E">
      <w:pPr>
        <w:spacing w:after="0"/>
        <w:rPr>
          <w:rtl/>
        </w:rPr>
      </w:pPr>
    </w:p>
    <w:p w:rsidR="00D879FF" w:rsidRPr="00824D58" w:rsidRDefault="00827E3A" w:rsidP="00E16B19">
      <w:pPr>
        <w:pStyle w:val="Heading1"/>
        <w:keepNext/>
        <w:keepLines/>
        <w:numPr>
          <w:ilvl w:val="0"/>
          <w:numId w:val="10"/>
        </w:numPr>
        <w:spacing w:before="0" w:beforeAutospacing="0" w:after="0" w:afterAutospacing="0"/>
        <w:jc w:val="left"/>
        <w:rPr>
          <w:b w:val="0"/>
          <w:bCs w:val="0"/>
        </w:rPr>
      </w:pPr>
      <w:bookmarkStart w:id="129" w:name="_Toc59130690"/>
      <w:bookmarkStart w:id="130" w:name="_Toc60183453"/>
      <w:r w:rsidRPr="00824D58">
        <w:rPr>
          <w:rStyle w:val="Heading2Char"/>
          <w:b/>
          <w:bCs/>
        </w:rPr>
        <w:t>MATERIAL</w:t>
      </w:r>
      <w:r w:rsidRPr="00824D58">
        <w:t xml:space="preserve"> </w:t>
      </w:r>
      <w:bookmarkEnd w:id="129"/>
      <w:bookmarkEnd w:id="130"/>
      <w:r w:rsidRPr="00824D58">
        <w:t>AND METHOD</w:t>
      </w:r>
    </w:p>
    <w:p w:rsidR="0017714E" w:rsidRPr="00824D58" w:rsidRDefault="0017714E" w:rsidP="0017714E">
      <w:pPr>
        <w:pStyle w:val="Heading1"/>
        <w:keepNext/>
        <w:keepLines/>
        <w:spacing w:before="0" w:beforeAutospacing="0" w:after="0" w:afterAutospacing="0"/>
        <w:jc w:val="left"/>
        <w:rPr>
          <w:b w:val="0"/>
          <w:bCs w:val="0"/>
        </w:rPr>
      </w:pPr>
    </w:p>
    <w:p w:rsidR="00D879FF" w:rsidRPr="00824D58" w:rsidRDefault="00D879FF" w:rsidP="0017714E">
      <w:pPr>
        <w:pStyle w:val="Heading1"/>
        <w:keepNext/>
        <w:keepLines/>
        <w:numPr>
          <w:ilvl w:val="1"/>
          <w:numId w:val="10"/>
        </w:numPr>
        <w:spacing w:before="0" w:beforeAutospacing="0" w:after="0" w:afterAutospacing="0"/>
        <w:ind w:left="426" w:hanging="426"/>
        <w:jc w:val="left"/>
        <w:rPr>
          <w:rStyle w:val="Heading2Char"/>
          <w:rFonts w:ascii="Times New Roman" w:eastAsia="Times New Roman" w:hAnsi="Times New Roman" w:cs="Times New Roman"/>
        </w:rPr>
      </w:pPr>
      <w:bookmarkStart w:id="131" w:name="_Toc59130691"/>
      <w:bookmarkStart w:id="132" w:name="_Toc60183454"/>
      <w:r w:rsidRPr="00824D58">
        <w:rPr>
          <w:rStyle w:val="Heading2Char"/>
          <w:b/>
          <w:bCs/>
        </w:rPr>
        <w:t>Material</w:t>
      </w:r>
      <w:bookmarkEnd w:id="131"/>
      <w:bookmarkEnd w:id="132"/>
    </w:p>
    <w:p w:rsidR="0017714E" w:rsidRPr="00824D58" w:rsidRDefault="0017714E" w:rsidP="0017714E">
      <w:pPr>
        <w:pStyle w:val="Heading1"/>
        <w:keepNext/>
        <w:keepLines/>
        <w:spacing w:before="0" w:beforeAutospacing="0" w:after="0" w:afterAutospacing="0"/>
        <w:jc w:val="left"/>
        <w:rPr>
          <w:rStyle w:val="Heading2Char"/>
          <w:rFonts w:ascii="Times New Roman" w:eastAsia="Times New Roman" w:hAnsi="Times New Roman" w:cs="Times New Roman"/>
        </w:rPr>
      </w:pPr>
    </w:p>
    <w:p w:rsidR="00D879FF" w:rsidRPr="00824D58" w:rsidRDefault="00D879FF" w:rsidP="0017714E">
      <w:pPr>
        <w:pStyle w:val="Heading3"/>
        <w:numPr>
          <w:ilvl w:val="2"/>
          <w:numId w:val="10"/>
        </w:numPr>
        <w:spacing w:before="0" w:after="0"/>
        <w:ind w:left="567" w:hanging="567"/>
        <w:jc w:val="left"/>
      </w:pPr>
      <w:bookmarkStart w:id="133" w:name="_Toc59130692"/>
      <w:bookmarkStart w:id="134" w:name="_Toc60183455"/>
      <w:r w:rsidRPr="00824D58">
        <w:t>BioTek Elisa ELx800 (S.N</w:t>
      </w:r>
      <w:r w:rsidR="0017714E" w:rsidRPr="00824D58">
        <w:t>0</w:t>
      </w:r>
      <w:r w:rsidRPr="00824D58">
        <w:t xml:space="preserve"> 257381)</w:t>
      </w:r>
      <w:bookmarkEnd w:id="133"/>
      <w:bookmarkEnd w:id="134"/>
    </w:p>
    <w:p w:rsidR="0017714E" w:rsidRPr="00824D58" w:rsidRDefault="0017714E" w:rsidP="0017714E">
      <w:pPr>
        <w:spacing w:after="0"/>
      </w:pPr>
    </w:p>
    <w:p w:rsidR="00D879FF" w:rsidRPr="00824D58" w:rsidRDefault="00D879FF" w:rsidP="0017714E">
      <w:pPr>
        <w:pStyle w:val="Heading4"/>
        <w:numPr>
          <w:ilvl w:val="3"/>
          <w:numId w:val="10"/>
        </w:numPr>
        <w:spacing w:before="0"/>
        <w:ind w:left="851" w:hanging="851"/>
        <w:jc w:val="left"/>
        <w:rPr>
          <w:shd w:val="clear" w:color="auto" w:fill="FFFFFF"/>
        </w:rPr>
      </w:pPr>
      <w:r w:rsidRPr="00824D58">
        <w:rPr>
          <w:shd w:val="clear" w:color="auto" w:fill="FFFFFF"/>
        </w:rPr>
        <w:t>Overview</w:t>
      </w:r>
    </w:p>
    <w:p w:rsidR="0017714E" w:rsidRPr="00824D58" w:rsidRDefault="0017714E" w:rsidP="0017714E">
      <w:pPr>
        <w:spacing w:after="0"/>
      </w:pPr>
    </w:p>
    <w:p w:rsidR="0017714E" w:rsidRPr="00824D58" w:rsidRDefault="008F612A" w:rsidP="0017714E">
      <w:pPr>
        <w:pStyle w:val="ListParagraph"/>
        <w:spacing w:after="0"/>
        <w:ind w:left="0"/>
        <w:rPr>
          <w:shd w:val="clear" w:color="auto" w:fill="FFFFFF"/>
        </w:rPr>
      </w:pPr>
      <w:r w:rsidRPr="008F612A">
        <w:rPr>
          <w:shd w:val="clear" w:color="auto" w:fill="FFFFFF"/>
        </w:rPr>
        <w:t>The ELx800 is intended for use in clinical, biotechnology</w:t>
      </w:r>
      <w:r w:rsidR="00FC5CC1">
        <w:rPr>
          <w:shd w:val="clear" w:color="auto" w:fill="FFFFFF"/>
        </w:rPr>
        <w:t>,&amp;</w:t>
      </w:r>
      <w:r w:rsidRPr="008F612A">
        <w:rPr>
          <w:shd w:val="clear" w:color="auto" w:fill="FFFFFF"/>
        </w:rPr>
        <w:t xml:space="preserve"> pharmaceutical laboratories. Its small footprint and proven sturdy construction make it an excellent choice for a wide variety of microplate-based biological experiments. When used independently, the ELx800's on-board software supports a wide range of qualitative and quantitative applications.</w:t>
      </w:r>
    </w:p>
    <w:p w:rsidR="0017714E" w:rsidRPr="00824D58" w:rsidRDefault="008F612A" w:rsidP="00827E3A">
      <w:pPr>
        <w:pStyle w:val="ListParagraph"/>
        <w:spacing w:after="480"/>
        <w:ind w:left="0"/>
        <w:contextualSpacing w:val="0"/>
        <w:rPr>
          <w:shd w:val="clear" w:color="auto" w:fill="FFFFFF"/>
        </w:rPr>
      </w:pPr>
      <w:r w:rsidRPr="008F612A">
        <w:rPr>
          <w:shd w:val="clear" w:color="auto" w:fill="FFFFFF"/>
        </w:rPr>
        <w:t xml:space="preserve">The reader's optical characteristics are better, with an increased dynamic range of up to 3.000 absorbance units in certain read modes. The wavelength range is 400 to 750 nanometers. Instruments classified as "UV" have a wavelength range of 340 nm to 750 nm. </w:t>
      </w:r>
      <w:r w:rsidR="002B0DE0" w:rsidRPr="002B0DE0">
        <w:rPr>
          <w:shd w:val="clear" w:color="auto" w:fill="FFFFFF"/>
        </w:rPr>
        <w:t>The onboard data reduction capability surpasses many computer software packages with its complete curve fitting, cutoff calculation, data translation, and validation capabilities. The DAR800 interfaces with Diagnostic Automation Data Processing Software, enhancing data analysis and reporting versatility.</w:t>
      </w:r>
    </w:p>
    <w:p w:rsidR="00D879FF" w:rsidRPr="00824D58" w:rsidRDefault="00D879FF" w:rsidP="00827E3A">
      <w:pPr>
        <w:pStyle w:val="ListParagraph"/>
        <w:spacing w:after="0"/>
        <w:ind w:left="0"/>
      </w:pPr>
      <w:r w:rsidRPr="00824D58">
        <w:rPr>
          <w:noProof/>
          <w:shd w:val="clear" w:color="auto" w:fill="FFFFFF"/>
        </w:rPr>
        <w:drawing>
          <wp:inline distT="0" distB="0" distL="0" distR="0" wp14:anchorId="60666E53" wp14:editId="54A35F9C">
            <wp:extent cx="5218428" cy="2343150"/>
            <wp:effectExtent l="19050" t="19050" r="20955" b="19050"/>
            <wp:docPr id="27"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5229225" cy="2347998"/>
                    </a:xfrm>
                    <a:prstGeom prst="rect">
                      <a:avLst/>
                    </a:prstGeom>
                    <a:noFill/>
                    <a:ln w="12700">
                      <a:solidFill>
                        <a:schemeClr val="tx1"/>
                      </a:solidFill>
                    </a:ln>
                  </pic:spPr>
                </pic:pic>
              </a:graphicData>
            </a:graphic>
          </wp:inline>
        </w:drawing>
      </w:r>
    </w:p>
    <w:p w:rsidR="00D879FF" w:rsidRPr="00824D58" w:rsidRDefault="0017714E" w:rsidP="0017714E">
      <w:pPr>
        <w:pStyle w:val="Caption"/>
        <w:spacing w:after="0"/>
        <w:jc w:val="center"/>
        <w:rPr>
          <w:noProof/>
        </w:rPr>
      </w:pPr>
      <w:bookmarkStart w:id="135" w:name="_Toc59130945"/>
      <w:r w:rsidRPr="00824D58">
        <w:rPr>
          <w:b/>
          <w:bCs/>
        </w:rPr>
        <w:t>Figure</w:t>
      </w:r>
      <w:r w:rsidR="00D879FF" w:rsidRPr="00824D58">
        <w:rPr>
          <w:b/>
          <w:bCs/>
        </w:rPr>
        <w:t xml:space="preserve"> 3.</w:t>
      </w:r>
      <w:r w:rsidR="008F1049" w:rsidRPr="00824D58">
        <w:rPr>
          <w:b/>
          <w:bCs/>
        </w:rPr>
        <w:fldChar w:fldCharType="begin"/>
      </w:r>
      <w:r w:rsidR="008F1049" w:rsidRPr="00824D58">
        <w:rPr>
          <w:b/>
          <w:bCs/>
        </w:rPr>
        <w:instrText xml:space="preserve"> SEQ Şekıl_3. \* ARABIC </w:instrText>
      </w:r>
      <w:r w:rsidR="008F1049" w:rsidRPr="00824D58">
        <w:rPr>
          <w:b/>
          <w:bCs/>
        </w:rPr>
        <w:fldChar w:fldCharType="separate"/>
      </w:r>
      <w:r w:rsidR="00713623">
        <w:rPr>
          <w:b/>
          <w:bCs/>
          <w:noProof/>
        </w:rPr>
        <w:t>1</w:t>
      </w:r>
      <w:r w:rsidR="008F1049" w:rsidRPr="00824D58">
        <w:rPr>
          <w:b/>
          <w:bCs/>
          <w:noProof/>
        </w:rPr>
        <w:fldChar w:fldCharType="end"/>
      </w:r>
      <w:r w:rsidR="00D879FF" w:rsidRPr="00824D58">
        <w:rPr>
          <w:b/>
          <w:bCs/>
          <w:noProof/>
        </w:rPr>
        <w:t>.</w:t>
      </w:r>
      <w:r w:rsidR="00D879FF" w:rsidRPr="00824D58">
        <w:rPr>
          <w:noProof/>
        </w:rPr>
        <w:t xml:space="preserve"> BioTek Elisa ELx800 (S.N 257381)</w:t>
      </w:r>
      <w:bookmarkEnd w:id="135"/>
    </w:p>
    <w:p w:rsidR="00D879FF" w:rsidRPr="00824D58" w:rsidRDefault="00D879FF" w:rsidP="0017714E">
      <w:pPr>
        <w:pStyle w:val="Heading4"/>
        <w:numPr>
          <w:ilvl w:val="3"/>
          <w:numId w:val="10"/>
        </w:numPr>
        <w:spacing w:before="0"/>
        <w:ind w:left="851" w:hanging="851"/>
        <w:jc w:val="left"/>
        <w:rPr>
          <w:shd w:val="clear" w:color="auto" w:fill="FFFFFF"/>
        </w:rPr>
      </w:pPr>
      <w:r w:rsidRPr="00824D58">
        <w:rPr>
          <w:shd w:val="clear" w:color="auto" w:fill="FFFFFF"/>
        </w:rPr>
        <w:t>Calibration work and Result reading</w:t>
      </w:r>
    </w:p>
    <w:p w:rsidR="0017714E" w:rsidRPr="00824D58" w:rsidRDefault="0017714E" w:rsidP="0017714E">
      <w:pPr>
        <w:spacing w:after="0"/>
      </w:pPr>
    </w:p>
    <w:p w:rsidR="00D879FF" w:rsidRPr="00824D58" w:rsidRDefault="00D879FF" w:rsidP="0017714E">
      <w:pPr>
        <w:spacing w:after="0"/>
        <w:rPr>
          <w:shd w:val="clear" w:color="auto" w:fill="FFFFFF"/>
        </w:rPr>
      </w:pPr>
      <w:r w:rsidRPr="00824D58">
        <w:rPr>
          <w:shd w:val="clear" w:color="auto" w:fill="FFFFFF"/>
        </w:rPr>
        <w:t>biotek Elisa xl 800 fully automated therefore we insert calibration for kits in maps of instrument , some kits contient four or five or more calibrations depending on each kits, Then insert standard in maps then choose numbers of samplw then press on start for reading the results</w:t>
      </w:r>
    </w:p>
    <w:p w:rsidR="00D879FF" w:rsidRPr="00824D58" w:rsidRDefault="00D879FF" w:rsidP="0017714E">
      <w:pPr>
        <w:pStyle w:val="Heading3"/>
        <w:numPr>
          <w:ilvl w:val="2"/>
          <w:numId w:val="10"/>
        </w:numPr>
        <w:spacing w:before="0" w:after="0"/>
        <w:ind w:left="709" w:hanging="709"/>
        <w:jc w:val="left"/>
      </w:pPr>
      <w:bookmarkStart w:id="136" w:name="_Toc59130693"/>
      <w:bookmarkStart w:id="137" w:name="_Toc60183456"/>
      <w:r w:rsidRPr="00824D58">
        <w:t>Roche Cobas c 311 Automated Chemistry Analyzer (REF 04826876001)</w:t>
      </w:r>
      <w:bookmarkEnd w:id="136"/>
      <w:bookmarkEnd w:id="137"/>
    </w:p>
    <w:p w:rsidR="0017714E" w:rsidRDefault="0017714E" w:rsidP="008F612A">
      <w:pPr>
        <w:spacing w:after="0"/>
        <w:ind w:firstLine="720"/>
      </w:pPr>
    </w:p>
    <w:p w:rsidR="008F612A" w:rsidRPr="00824D58" w:rsidRDefault="008F612A" w:rsidP="008F612A">
      <w:pPr>
        <w:spacing w:after="0"/>
        <w:ind w:firstLine="720"/>
      </w:pPr>
    </w:p>
    <w:p w:rsidR="0017714E" w:rsidRPr="008F612A" w:rsidRDefault="00D879FF" w:rsidP="008F612A">
      <w:pPr>
        <w:pStyle w:val="ListParagraph"/>
        <w:numPr>
          <w:ilvl w:val="3"/>
          <w:numId w:val="10"/>
        </w:numPr>
        <w:spacing w:after="0"/>
        <w:ind w:left="851" w:hanging="851"/>
        <w:jc w:val="left"/>
        <w:rPr>
          <w:b/>
          <w:bCs/>
        </w:rPr>
      </w:pPr>
      <w:r w:rsidRPr="00824D58">
        <w:rPr>
          <w:rStyle w:val="Heading4Char"/>
        </w:rPr>
        <w:t>Overview</w:t>
      </w:r>
    </w:p>
    <w:p w:rsidR="00D879FF" w:rsidRPr="00824D58" w:rsidRDefault="008F612A" w:rsidP="008E5F1C">
      <w:pPr>
        <w:autoSpaceDE w:val="0"/>
        <w:autoSpaceDN w:val="0"/>
        <w:adjustRightInd w:val="0"/>
        <w:spacing w:after="0"/>
      </w:pPr>
      <w:r w:rsidRPr="008F612A">
        <w:t xml:space="preserve">Roche Diagnostics' cobas C311 analyzer is a fully automated, software-controlled clinical chemistry analyzer. </w:t>
      </w:r>
      <w:r w:rsidR="008E5F1C" w:rsidRPr="008E5F1C">
        <w:t>It is designed to be utilized for a wide variety of in vitro quantitative and qualitative evaluations utilizing various types of analytical tests.</w:t>
      </w:r>
      <w:r w:rsidRPr="008F612A">
        <w:t xml:space="preserve"> The cobas C311 analyzer utilizes serum/plasma to conduct photometric tests and ion-selective electrode measurements.</w:t>
      </w:r>
    </w:p>
    <w:p w:rsidR="00D879FF" w:rsidRPr="00824D58" w:rsidRDefault="00D879FF" w:rsidP="00D879FF">
      <w:pPr>
        <w:keepNext/>
        <w:autoSpaceDE w:val="0"/>
        <w:autoSpaceDN w:val="0"/>
        <w:adjustRightInd w:val="0"/>
        <w:spacing w:after="0"/>
        <w:jc w:val="center"/>
      </w:pPr>
      <w:r w:rsidRPr="00824D58">
        <w:rPr>
          <w:noProof/>
        </w:rPr>
        <w:drawing>
          <wp:inline distT="0" distB="0" distL="0" distR="0" wp14:anchorId="1A97CE5F" wp14:editId="4CD4DF2A">
            <wp:extent cx="5159971" cy="3619500"/>
            <wp:effectExtent l="19050" t="0" r="2579" b="0"/>
            <wp:docPr id="28"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5171030" cy="3627257"/>
                    </a:xfrm>
                    <a:prstGeom prst="rect">
                      <a:avLst/>
                    </a:prstGeom>
                    <a:noFill/>
                  </pic:spPr>
                </pic:pic>
              </a:graphicData>
            </a:graphic>
          </wp:inline>
        </w:drawing>
      </w:r>
    </w:p>
    <w:p w:rsidR="0017714E" w:rsidRPr="00824D58" w:rsidRDefault="0017714E" w:rsidP="0017714E">
      <w:pPr>
        <w:pStyle w:val="Caption"/>
        <w:spacing w:after="0" w:line="360" w:lineRule="auto"/>
        <w:jc w:val="center"/>
      </w:pPr>
      <w:bookmarkStart w:id="138" w:name="_Toc59130946"/>
    </w:p>
    <w:p w:rsidR="00D879FF" w:rsidRPr="00824D58" w:rsidRDefault="0017714E" w:rsidP="0017714E">
      <w:pPr>
        <w:pStyle w:val="Caption"/>
        <w:spacing w:after="0" w:line="360" w:lineRule="auto"/>
        <w:jc w:val="center"/>
        <w:rPr>
          <w:noProof/>
        </w:rPr>
      </w:pPr>
      <w:r w:rsidRPr="00824D58">
        <w:rPr>
          <w:b/>
          <w:bCs/>
        </w:rPr>
        <w:t>Figure</w:t>
      </w:r>
      <w:r w:rsidR="00D879FF" w:rsidRPr="00824D58">
        <w:rPr>
          <w:b/>
          <w:bCs/>
        </w:rPr>
        <w:t xml:space="preserve"> 3.</w:t>
      </w:r>
      <w:r w:rsidR="008F1049" w:rsidRPr="00824D58">
        <w:rPr>
          <w:b/>
          <w:bCs/>
        </w:rPr>
        <w:fldChar w:fldCharType="begin"/>
      </w:r>
      <w:r w:rsidR="008F1049" w:rsidRPr="00824D58">
        <w:rPr>
          <w:b/>
          <w:bCs/>
        </w:rPr>
        <w:instrText xml:space="preserve"> SEQ Şekıl_3. \* ARABIC </w:instrText>
      </w:r>
      <w:r w:rsidR="008F1049" w:rsidRPr="00824D58">
        <w:rPr>
          <w:b/>
          <w:bCs/>
        </w:rPr>
        <w:fldChar w:fldCharType="separate"/>
      </w:r>
      <w:r w:rsidR="00713623">
        <w:rPr>
          <w:b/>
          <w:bCs/>
          <w:noProof/>
        </w:rPr>
        <w:t>2</w:t>
      </w:r>
      <w:r w:rsidR="008F1049" w:rsidRPr="00824D58">
        <w:rPr>
          <w:b/>
          <w:bCs/>
          <w:noProof/>
        </w:rPr>
        <w:fldChar w:fldCharType="end"/>
      </w:r>
      <w:r w:rsidR="00D879FF" w:rsidRPr="00824D58">
        <w:rPr>
          <w:b/>
          <w:bCs/>
          <w:noProof/>
        </w:rPr>
        <w:t>.</w:t>
      </w:r>
      <w:r w:rsidR="00D879FF" w:rsidRPr="00824D58">
        <w:rPr>
          <w:noProof/>
        </w:rPr>
        <w:t xml:space="preserve"> Roche Cobas c 311 Automated Chemistry Analyzer</w:t>
      </w:r>
      <w:bookmarkEnd w:id="138"/>
    </w:p>
    <w:p w:rsidR="0017714E" w:rsidRPr="00824D58" w:rsidRDefault="0017714E" w:rsidP="0017714E">
      <w:pPr>
        <w:spacing w:after="0"/>
      </w:pPr>
    </w:p>
    <w:p w:rsidR="0017714E" w:rsidRPr="00824D58" w:rsidRDefault="008F612A" w:rsidP="002B0DE0">
      <w:pPr>
        <w:autoSpaceDE w:val="0"/>
        <w:autoSpaceDN w:val="0"/>
        <w:adjustRightInd w:val="0"/>
        <w:spacing w:after="0"/>
      </w:pPr>
      <w:r w:rsidRPr="008F612A">
        <w:t xml:space="preserve">Cobas c 311, a stand-alone Clinical Chemistry analyzer. Consolidation of regular and exceptional chemical tasks using a flexible methodology. 45 tests may be performed on-board, with </w:t>
      </w:r>
      <w:r w:rsidR="00E8002B" w:rsidRPr="00E8002B">
        <w:t xml:space="preserve">a maximum throughput of 480 tests per hour. The following samples are acceptable </w:t>
      </w:r>
      <w:r w:rsidR="002B0DE0" w:rsidRPr="002B0DE0">
        <w:t>serum, plasma, urine, cerebrospinal fluid (CSF), hemolysis, and whole blood are used for analysis. Eliminating the need for reagent preparation and manual sample handling saves time, increases the availability of results, and decreases turnaround time.</w:t>
      </w:r>
    </w:p>
    <w:p w:rsidR="0017714E" w:rsidRPr="00824D58" w:rsidRDefault="00D879FF" w:rsidP="0017714E">
      <w:pPr>
        <w:pStyle w:val="ListParagraph"/>
        <w:numPr>
          <w:ilvl w:val="3"/>
          <w:numId w:val="10"/>
        </w:numPr>
        <w:spacing w:after="0"/>
        <w:ind w:left="851" w:hanging="851"/>
        <w:jc w:val="left"/>
        <w:rPr>
          <w:rStyle w:val="Heading4Char"/>
          <w:rFonts w:eastAsiaTheme="minorEastAsia"/>
        </w:rPr>
      </w:pPr>
      <w:r w:rsidRPr="00824D58">
        <w:rPr>
          <w:rStyle w:val="Heading4Char"/>
        </w:rPr>
        <w:t>Specifications</w:t>
      </w:r>
    </w:p>
    <w:p w:rsidR="0017714E" w:rsidRPr="00824D58" w:rsidRDefault="0017714E" w:rsidP="0017714E">
      <w:pPr>
        <w:spacing w:after="0"/>
        <w:jc w:val="left"/>
        <w:rPr>
          <w:b/>
          <w:bCs/>
        </w:rPr>
      </w:pPr>
    </w:p>
    <w:p w:rsidR="00D879FF" w:rsidRPr="00824D58" w:rsidRDefault="002B0DE0" w:rsidP="0017714E">
      <w:pPr>
        <w:pStyle w:val="Caption"/>
        <w:keepNext/>
        <w:spacing w:after="0"/>
        <w:jc w:val="center"/>
        <w:rPr>
          <w:noProof/>
        </w:rPr>
      </w:pPr>
      <w:bookmarkStart w:id="139" w:name="_Toc60183173"/>
      <w:r w:rsidRPr="00824D58">
        <w:t>Table</w:t>
      </w:r>
      <w:r w:rsidR="00D879FF" w:rsidRPr="00824D58">
        <w:t xml:space="preserve"> 3.</w:t>
      </w:r>
      <w:fldSimple w:instr=" SEQ Tablo_3. \* ARABIC ">
        <w:r w:rsidR="00713623">
          <w:rPr>
            <w:noProof/>
          </w:rPr>
          <w:t>1</w:t>
        </w:r>
      </w:fldSimple>
      <w:r w:rsidR="00D879FF" w:rsidRPr="00824D58">
        <w:rPr>
          <w:noProof/>
        </w:rPr>
        <w:t>. Specifications of the system and other details</w:t>
      </w:r>
      <w:bookmarkEnd w:id="139"/>
    </w:p>
    <w:p w:rsidR="0017714E" w:rsidRPr="00824D58" w:rsidRDefault="0017714E" w:rsidP="0017714E">
      <w:pPr>
        <w:spacing w:after="0"/>
      </w:pPr>
    </w:p>
    <w:tbl>
      <w:tblPr>
        <w:tblStyle w:val="TableGrid"/>
        <w:tblW w:w="0" w:type="auto"/>
        <w:tblLook w:val="04A0" w:firstRow="1" w:lastRow="0" w:firstColumn="1" w:lastColumn="0" w:noHBand="0" w:noVBand="1"/>
      </w:tblPr>
      <w:tblGrid>
        <w:gridCol w:w="3085"/>
        <w:gridCol w:w="5351"/>
      </w:tblGrid>
      <w:tr w:rsidR="00D879FF" w:rsidRPr="00824D58" w:rsidTr="006C7FED">
        <w:tc>
          <w:tcPr>
            <w:tcW w:w="3085" w:type="dxa"/>
            <w:shd w:val="clear" w:color="auto" w:fill="D9D9D9" w:themeFill="background1" w:themeFillShade="D9"/>
            <w:vAlign w:val="center"/>
          </w:tcPr>
          <w:p w:rsidR="00D879FF" w:rsidRPr="00824D58" w:rsidRDefault="00D879FF" w:rsidP="006C7FED">
            <w:pPr>
              <w:pStyle w:val="ListParagraph"/>
              <w:ind w:left="0"/>
              <w:jc w:val="center"/>
              <w:rPr>
                <w:b/>
                <w:bCs/>
              </w:rPr>
            </w:pPr>
            <w:r w:rsidRPr="00824D58">
              <w:rPr>
                <w:b/>
                <w:bCs/>
              </w:rPr>
              <w:t>System</w:t>
            </w:r>
          </w:p>
        </w:tc>
        <w:tc>
          <w:tcPr>
            <w:tcW w:w="5351" w:type="dxa"/>
            <w:shd w:val="clear" w:color="auto" w:fill="D9D9D9" w:themeFill="background1" w:themeFillShade="D9"/>
            <w:vAlign w:val="center"/>
          </w:tcPr>
          <w:p w:rsidR="00D879FF" w:rsidRPr="00824D58" w:rsidRDefault="002B0DE0" w:rsidP="006C7FED">
            <w:pPr>
              <w:autoSpaceDE w:val="0"/>
              <w:autoSpaceDN w:val="0"/>
              <w:adjustRightInd w:val="0"/>
              <w:jc w:val="center"/>
              <w:rPr>
                <w:b/>
                <w:bCs/>
              </w:rPr>
            </w:pPr>
            <w:r w:rsidRPr="002B0DE0">
              <w:rPr>
                <w:b/>
                <w:bCs/>
              </w:rPr>
              <w:t>Clinical Chemistry and Homogeneous Immunology fully automated, random access analyzer (HIA).</w:t>
            </w:r>
          </w:p>
        </w:tc>
      </w:tr>
      <w:tr w:rsidR="00D879FF" w:rsidRPr="00824D58" w:rsidTr="006C7FED">
        <w:tc>
          <w:tcPr>
            <w:tcW w:w="3085" w:type="dxa"/>
            <w:vAlign w:val="center"/>
          </w:tcPr>
          <w:p w:rsidR="00D879FF" w:rsidRPr="00824D58" w:rsidRDefault="00D879FF" w:rsidP="006C7FED">
            <w:pPr>
              <w:pStyle w:val="ListParagraph"/>
              <w:ind w:left="0"/>
              <w:jc w:val="center"/>
            </w:pPr>
            <w:r w:rsidRPr="00824D58">
              <w:t>Sample throughput</w:t>
            </w:r>
          </w:p>
        </w:tc>
        <w:tc>
          <w:tcPr>
            <w:tcW w:w="5351" w:type="dxa"/>
            <w:vAlign w:val="center"/>
          </w:tcPr>
          <w:p w:rsidR="00D879FF" w:rsidRPr="00824D58" w:rsidRDefault="00742A01" w:rsidP="006C7FED">
            <w:pPr>
              <w:pStyle w:val="ListParagraph"/>
              <w:ind w:left="0"/>
              <w:jc w:val="center"/>
            </w:pPr>
            <w:r w:rsidRPr="00742A01">
              <w:t>Up to 300 samples each hour (theoretical max)</w:t>
            </w:r>
          </w:p>
        </w:tc>
      </w:tr>
      <w:tr w:rsidR="00D879FF" w:rsidRPr="00824D58" w:rsidTr="006C7FED">
        <w:tc>
          <w:tcPr>
            <w:tcW w:w="3085" w:type="dxa"/>
            <w:vAlign w:val="center"/>
          </w:tcPr>
          <w:p w:rsidR="00D879FF" w:rsidRPr="00824D58" w:rsidRDefault="00D879FF" w:rsidP="006C7FED">
            <w:pPr>
              <w:pStyle w:val="ListParagraph"/>
              <w:ind w:left="0"/>
              <w:jc w:val="center"/>
            </w:pPr>
            <w:r w:rsidRPr="00824D58">
              <w:t xml:space="preserve">Test throughput </w:t>
            </w:r>
          </w:p>
          <w:p w:rsidR="00D879FF" w:rsidRPr="00824D58" w:rsidRDefault="00D879FF" w:rsidP="006C7FED">
            <w:pPr>
              <w:pStyle w:val="ListParagraph"/>
              <w:ind w:left="0"/>
              <w:jc w:val="center"/>
            </w:pPr>
            <w:r w:rsidRPr="00824D58">
              <w:t>(Theoretical max)</w:t>
            </w:r>
          </w:p>
        </w:tc>
        <w:tc>
          <w:tcPr>
            <w:tcW w:w="5351" w:type="dxa"/>
            <w:vAlign w:val="center"/>
          </w:tcPr>
          <w:p w:rsidR="00D879FF" w:rsidRPr="00824D58" w:rsidRDefault="00D879FF" w:rsidP="006C7FED">
            <w:pPr>
              <w:autoSpaceDE w:val="0"/>
              <w:autoSpaceDN w:val="0"/>
              <w:adjustRightInd w:val="0"/>
              <w:jc w:val="center"/>
            </w:pPr>
            <w:r w:rsidRPr="00824D58">
              <w:t>300 tests/hr for photometry tests only</w:t>
            </w:r>
          </w:p>
          <w:p w:rsidR="00D879FF" w:rsidRPr="00824D58" w:rsidRDefault="00D879FF" w:rsidP="006C7FED">
            <w:pPr>
              <w:pStyle w:val="ListParagraph"/>
              <w:ind w:left="0"/>
              <w:jc w:val="center"/>
            </w:pPr>
            <w:r w:rsidRPr="00824D58">
              <w:t>480 tests/hr for only ISE tests</w:t>
            </w:r>
          </w:p>
        </w:tc>
      </w:tr>
      <w:tr w:rsidR="00D879FF" w:rsidRPr="00824D58" w:rsidTr="006C7FED">
        <w:tc>
          <w:tcPr>
            <w:tcW w:w="3085" w:type="dxa"/>
            <w:vAlign w:val="center"/>
          </w:tcPr>
          <w:p w:rsidR="00D879FF" w:rsidRPr="00824D58" w:rsidRDefault="00D879FF" w:rsidP="006C7FED">
            <w:pPr>
              <w:pStyle w:val="ListParagraph"/>
              <w:ind w:left="0" w:right="-108"/>
              <w:jc w:val="center"/>
            </w:pPr>
            <w:r w:rsidRPr="00824D58">
              <w:t>Number of channels Reagent</w:t>
            </w:r>
          </w:p>
          <w:p w:rsidR="00D879FF" w:rsidRPr="00824D58" w:rsidRDefault="00D879FF" w:rsidP="006C7FED">
            <w:pPr>
              <w:pStyle w:val="ListParagraph"/>
              <w:ind w:left="0" w:right="-108"/>
              <w:jc w:val="center"/>
            </w:pPr>
            <w:r w:rsidRPr="00824D58">
              <w:t>slots)</w:t>
            </w:r>
          </w:p>
        </w:tc>
        <w:tc>
          <w:tcPr>
            <w:tcW w:w="5351" w:type="dxa"/>
            <w:vAlign w:val="center"/>
          </w:tcPr>
          <w:p w:rsidR="00D879FF" w:rsidRPr="00824D58" w:rsidRDefault="00D879FF" w:rsidP="006C7FED">
            <w:pPr>
              <w:autoSpaceDE w:val="0"/>
              <w:autoSpaceDN w:val="0"/>
              <w:adjustRightInd w:val="0"/>
              <w:jc w:val="center"/>
            </w:pPr>
            <w:r w:rsidRPr="00824D58">
              <w:t>42 cassette slots</w:t>
            </w:r>
          </w:p>
          <w:p w:rsidR="00D879FF" w:rsidRPr="00824D58" w:rsidRDefault="00D879FF" w:rsidP="006C7FED">
            <w:pPr>
              <w:pStyle w:val="ListParagraph"/>
              <w:ind w:left="0"/>
              <w:jc w:val="center"/>
            </w:pPr>
            <w:r w:rsidRPr="00824D58">
              <w:t>3 channels on ISE module</w:t>
            </w:r>
          </w:p>
        </w:tc>
      </w:tr>
      <w:tr w:rsidR="00D879FF" w:rsidRPr="00824D58" w:rsidTr="006C7FED">
        <w:tc>
          <w:tcPr>
            <w:tcW w:w="3085" w:type="dxa"/>
            <w:vAlign w:val="center"/>
          </w:tcPr>
          <w:p w:rsidR="00D879FF" w:rsidRPr="00824D58" w:rsidRDefault="00D879FF" w:rsidP="006C7FED">
            <w:pPr>
              <w:pStyle w:val="ListParagraph"/>
              <w:ind w:left="0"/>
              <w:jc w:val="center"/>
            </w:pPr>
            <w:r w:rsidRPr="00824D58">
              <w:t>Sample types</w:t>
            </w:r>
          </w:p>
        </w:tc>
        <w:tc>
          <w:tcPr>
            <w:tcW w:w="5351" w:type="dxa"/>
            <w:vAlign w:val="center"/>
          </w:tcPr>
          <w:p w:rsidR="00D879FF" w:rsidRPr="00824D58" w:rsidRDefault="00D879FF" w:rsidP="006C7FED">
            <w:pPr>
              <w:autoSpaceDE w:val="0"/>
              <w:autoSpaceDN w:val="0"/>
              <w:adjustRightInd w:val="0"/>
              <w:jc w:val="center"/>
            </w:pPr>
            <w:r w:rsidRPr="00824D58">
              <w:t xml:space="preserve">Serum, Plasma, Urine, CSF, Whole Blood </w:t>
            </w:r>
          </w:p>
          <w:p w:rsidR="00D879FF" w:rsidRPr="00824D58" w:rsidRDefault="00D879FF" w:rsidP="006C7FED">
            <w:pPr>
              <w:autoSpaceDE w:val="0"/>
              <w:autoSpaceDN w:val="0"/>
              <w:adjustRightInd w:val="0"/>
              <w:jc w:val="center"/>
            </w:pPr>
            <w:r w:rsidRPr="00824D58">
              <w:t>(HbA1c only)slots)</w:t>
            </w:r>
          </w:p>
        </w:tc>
      </w:tr>
      <w:tr w:rsidR="00D879FF" w:rsidRPr="00824D58" w:rsidTr="006C7FED">
        <w:tc>
          <w:tcPr>
            <w:tcW w:w="3085" w:type="dxa"/>
            <w:vAlign w:val="center"/>
          </w:tcPr>
          <w:p w:rsidR="00D879FF" w:rsidRPr="00824D58" w:rsidRDefault="00D879FF" w:rsidP="006C7FED">
            <w:pPr>
              <w:pStyle w:val="ListParagraph"/>
              <w:ind w:left="0"/>
              <w:jc w:val="center"/>
            </w:pPr>
            <w:r w:rsidRPr="00824D58">
              <w:t>Sample volume</w:t>
            </w:r>
          </w:p>
        </w:tc>
        <w:tc>
          <w:tcPr>
            <w:tcW w:w="5351" w:type="dxa"/>
            <w:vAlign w:val="center"/>
          </w:tcPr>
          <w:p w:rsidR="00D879FF" w:rsidRPr="00824D58" w:rsidRDefault="00D879FF" w:rsidP="006C7FED">
            <w:pPr>
              <w:pStyle w:val="ListParagraph"/>
              <w:ind w:left="0"/>
              <w:jc w:val="center"/>
            </w:pPr>
            <w:r w:rsidRPr="00824D58">
              <w:t>1.0 – 35 μl in 0.1 μl steps</w:t>
            </w:r>
          </w:p>
        </w:tc>
      </w:tr>
      <w:tr w:rsidR="00D879FF" w:rsidRPr="00824D58" w:rsidTr="006C7FED">
        <w:tc>
          <w:tcPr>
            <w:tcW w:w="3085" w:type="dxa"/>
            <w:vAlign w:val="center"/>
          </w:tcPr>
          <w:p w:rsidR="00D879FF" w:rsidRPr="00824D58" w:rsidRDefault="00D879FF" w:rsidP="006C7FED">
            <w:pPr>
              <w:pStyle w:val="ListParagraph"/>
              <w:ind w:left="0"/>
              <w:jc w:val="center"/>
            </w:pPr>
            <w:r w:rsidRPr="00824D58">
              <w:t>Sample dilution</w:t>
            </w:r>
          </w:p>
        </w:tc>
        <w:tc>
          <w:tcPr>
            <w:tcW w:w="5351" w:type="dxa"/>
            <w:vAlign w:val="center"/>
          </w:tcPr>
          <w:p w:rsidR="00D879FF" w:rsidRPr="00824D58" w:rsidRDefault="00D879FF" w:rsidP="006C7FED">
            <w:pPr>
              <w:pStyle w:val="ListParagraph"/>
              <w:ind w:left="0"/>
              <w:jc w:val="center"/>
            </w:pPr>
            <w:r w:rsidRPr="00824D58">
              <w:t>3 – 121 times, diluent 100 μl</w:t>
            </w:r>
          </w:p>
        </w:tc>
      </w:tr>
      <w:tr w:rsidR="00D879FF" w:rsidRPr="00824D58" w:rsidTr="006C7FED">
        <w:tc>
          <w:tcPr>
            <w:tcW w:w="3085" w:type="dxa"/>
            <w:vAlign w:val="center"/>
          </w:tcPr>
          <w:p w:rsidR="00D879FF" w:rsidRPr="00824D58" w:rsidRDefault="00D879FF" w:rsidP="006C7FED">
            <w:pPr>
              <w:pStyle w:val="ListParagraph"/>
              <w:ind w:left="0"/>
              <w:jc w:val="center"/>
            </w:pPr>
            <w:r w:rsidRPr="00824D58">
              <w:t>Sample clot detection</w:t>
            </w:r>
          </w:p>
        </w:tc>
        <w:tc>
          <w:tcPr>
            <w:tcW w:w="5351" w:type="dxa"/>
            <w:vAlign w:val="center"/>
          </w:tcPr>
          <w:p w:rsidR="00D879FF" w:rsidRPr="00824D58" w:rsidRDefault="00D879FF" w:rsidP="006C7FED">
            <w:pPr>
              <w:pStyle w:val="ListParagraph"/>
              <w:ind w:left="0"/>
              <w:jc w:val="center"/>
            </w:pPr>
            <w:r w:rsidRPr="00824D58">
              <w:t>Available</w:t>
            </w:r>
          </w:p>
        </w:tc>
      </w:tr>
      <w:tr w:rsidR="00D879FF" w:rsidRPr="00824D58" w:rsidTr="006C7FED">
        <w:tc>
          <w:tcPr>
            <w:tcW w:w="3085" w:type="dxa"/>
            <w:vAlign w:val="center"/>
          </w:tcPr>
          <w:p w:rsidR="00D879FF" w:rsidRPr="00824D58" w:rsidRDefault="00D879FF" w:rsidP="006C7FED">
            <w:pPr>
              <w:pStyle w:val="ListParagraph"/>
              <w:ind w:left="0"/>
              <w:jc w:val="center"/>
            </w:pPr>
            <w:r w:rsidRPr="00824D58">
              <w:t>Minimum sample volume</w:t>
            </w:r>
          </w:p>
        </w:tc>
        <w:tc>
          <w:tcPr>
            <w:tcW w:w="5351" w:type="dxa"/>
            <w:vAlign w:val="center"/>
          </w:tcPr>
          <w:p w:rsidR="00D879FF" w:rsidRPr="00824D58" w:rsidRDefault="00D879FF" w:rsidP="006C7FED">
            <w:pPr>
              <w:autoSpaceDE w:val="0"/>
              <w:autoSpaceDN w:val="0"/>
              <w:adjustRightInd w:val="0"/>
              <w:jc w:val="center"/>
            </w:pPr>
            <w:r w:rsidRPr="00824D58">
              <w:t>Primary tubes : 700 μl</w:t>
            </w:r>
          </w:p>
          <w:p w:rsidR="00D879FF" w:rsidRPr="00824D58" w:rsidRDefault="00D879FF" w:rsidP="006C7FED">
            <w:pPr>
              <w:autoSpaceDE w:val="0"/>
              <w:autoSpaceDN w:val="0"/>
              <w:adjustRightInd w:val="0"/>
              <w:jc w:val="center"/>
            </w:pPr>
            <w:r w:rsidRPr="00824D58">
              <w:t>Sample cup: 100 μl</w:t>
            </w:r>
          </w:p>
          <w:p w:rsidR="00D879FF" w:rsidRPr="00824D58" w:rsidRDefault="00D879FF" w:rsidP="006C7FED">
            <w:pPr>
              <w:pStyle w:val="ListParagraph"/>
              <w:ind w:left="0"/>
              <w:jc w:val="center"/>
            </w:pPr>
            <w:r w:rsidRPr="00824D58">
              <w:t>Micro cup: 50 μl</w:t>
            </w:r>
          </w:p>
        </w:tc>
      </w:tr>
      <w:tr w:rsidR="00D879FF" w:rsidRPr="00824D58" w:rsidTr="006C7FED">
        <w:tc>
          <w:tcPr>
            <w:tcW w:w="3085" w:type="dxa"/>
            <w:vAlign w:val="center"/>
          </w:tcPr>
          <w:p w:rsidR="00D879FF" w:rsidRPr="00824D58" w:rsidRDefault="00D879FF" w:rsidP="006C7FED">
            <w:pPr>
              <w:pStyle w:val="ListParagraph"/>
              <w:ind w:left="0"/>
              <w:jc w:val="center"/>
            </w:pPr>
            <w:r w:rsidRPr="00824D58">
              <w:t>Calibrator/QC Input</w:t>
            </w:r>
          </w:p>
        </w:tc>
        <w:tc>
          <w:tcPr>
            <w:tcW w:w="5351" w:type="dxa"/>
            <w:vAlign w:val="center"/>
          </w:tcPr>
          <w:p w:rsidR="00D879FF" w:rsidRPr="00824D58" w:rsidRDefault="00D879FF" w:rsidP="006C7FED">
            <w:pPr>
              <w:pStyle w:val="ListParagraph"/>
              <w:ind w:left="0"/>
              <w:jc w:val="center"/>
            </w:pPr>
            <w:r w:rsidRPr="00824D58">
              <w:t>On the sample disk, bar coded</w:t>
            </w:r>
          </w:p>
        </w:tc>
      </w:tr>
      <w:tr w:rsidR="00D879FF" w:rsidRPr="00824D58" w:rsidTr="006C7FED">
        <w:tc>
          <w:tcPr>
            <w:tcW w:w="3085" w:type="dxa"/>
            <w:vAlign w:val="center"/>
          </w:tcPr>
          <w:p w:rsidR="00D879FF" w:rsidRPr="00824D58" w:rsidRDefault="00D879FF" w:rsidP="006C7FED">
            <w:pPr>
              <w:pStyle w:val="ListParagraph"/>
              <w:ind w:left="0"/>
              <w:jc w:val="center"/>
            </w:pPr>
            <w:r w:rsidRPr="00824D58">
              <w:t>Sample data base</w:t>
            </w:r>
          </w:p>
        </w:tc>
        <w:tc>
          <w:tcPr>
            <w:tcW w:w="5351" w:type="dxa"/>
            <w:vAlign w:val="center"/>
          </w:tcPr>
          <w:p w:rsidR="00D879FF" w:rsidRPr="00824D58" w:rsidRDefault="00D879FF" w:rsidP="006C7FED">
            <w:pPr>
              <w:pStyle w:val="ListParagraph"/>
              <w:ind w:left="0"/>
              <w:jc w:val="center"/>
            </w:pPr>
            <w:r w:rsidRPr="00824D58">
              <w:t>10.000 routine / STAT samples</w:t>
            </w:r>
          </w:p>
        </w:tc>
      </w:tr>
    </w:tbl>
    <w:p w:rsidR="00D879FF" w:rsidRDefault="00D879FF" w:rsidP="0017714E">
      <w:pPr>
        <w:pStyle w:val="ListParagraph"/>
        <w:spacing w:after="0"/>
        <w:ind w:left="0"/>
        <w:rPr>
          <w:b/>
          <w:bCs/>
        </w:rPr>
      </w:pPr>
    </w:p>
    <w:p w:rsidR="00827E3A" w:rsidRPr="00824D58" w:rsidRDefault="00827E3A" w:rsidP="0017714E">
      <w:pPr>
        <w:pStyle w:val="ListParagraph"/>
        <w:spacing w:after="0"/>
        <w:ind w:left="0"/>
        <w:rPr>
          <w:b/>
          <w:bCs/>
        </w:rPr>
      </w:pPr>
    </w:p>
    <w:p w:rsidR="00D879FF" w:rsidRPr="00824D58" w:rsidRDefault="00D879FF" w:rsidP="0017714E">
      <w:pPr>
        <w:pStyle w:val="ListParagraph"/>
        <w:numPr>
          <w:ilvl w:val="3"/>
          <w:numId w:val="10"/>
        </w:numPr>
        <w:autoSpaceDE w:val="0"/>
        <w:autoSpaceDN w:val="0"/>
        <w:adjustRightInd w:val="0"/>
        <w:spacing w:after="0"/>
        <w:ind w:left="851" w:hanging="851"/>
        <w:rPr>
          <w:rStyle w:val="Heading4Char"/>
        </w:rPr>
      </w:pPr>
      <w:r w:rsidRPr="00824D58">
        <w:rPr>
          <w:rStyle w:val="Heading4Char"/>
        </w:rPr>
        <w:t>Calibration work and Result reading</w:t>
      </w:r>
    </w:p>
    <w:p w:rsidR="0017714E" w:rsidRPr="00824D58" w:rsidRDefault="0017714E" w:rsidP="0017714E">
      <w:pPr>
        <w:autoSpaceDE w:val="0"/>
        <w:autoSpaceDN w:val="0"/>
        <w:adjustRightInd w:val="0"/>
        <w:spacing w:after="0"/>
        <w:rPr>
          <w:rStyle w:val="Heading4Char"/>
        </w:rPr>
      </w:pPr>
    </w:p>
    <w:p w:rsidR="00D879FF" w:rsidRPr="00824D58" w:rsidRDefault="00D879FF" w:rsidP="0017714E">
      <w:pPr>
        <w:autoSpaceDE w:val="0"/>
        <w:autoSpaceDN w:val="0"/>
        <w:adjustRightInd w:val="0"/>
        <w:spacing w:after="0"/>
      </w:pPr>
      <w:r w:rsidRPr="00824D58">
        <w:t>The calibration procedure and read samples in cobas C 311 very easily because cobas c 311 full automatic, we only pass the serial number for solution through the red right light that read the bar code for this kit, then put the calibration and QC in patient positions on the outer row with the barcodes facing out.</w:t>
      </w:r>
      <w:r w:rsidR="0017714E" w:rsidRPr="00824D58">
        <w:t xml:space="preserve"> </w:t>
      </w:r>
      <w:r w:rsidRPr="00824D58">
        <w:t>we put the sample that want read the values for it in suitable position then from moniter for instrument choose the tests for this sample then put start for reading.</w:t>
      </w:r>
    </w:p>
    <w:p w:rsidR="0017714E" w:rsidRPr="00824D58" w:rsidRDefault="0017714E" w:rsidP="0017714E">
      <w:pPr>
        <w:autoSpaceDE w:val="0"/>
        <w:autoSpaceDN w:val="0"/>
        <w:adjustRightInd w:val="0"/>
        <w:spacing w:after="0"/>
      </w:pPr>
    </w:p>
    <w:p w:rsidR="0017714E" w:rsidRPr="00824D58" w:rsidRDefault="00D879FF" w:rsidP="008F612A">
      <w:pPr>
        <w:pStyle w:val="Heading3"/>
        <w:numPr>
          <w:ilvl w:val="2"/>
          <w:numId w:val="10"/>
        </w:numPr>
        <w:spacing w:before="0" w:after="0"/>
        <w:ind w:left="709" w:hanging="709"/>
        <w:jc w:val="left"/>
      </w:pPr>
      <w:bookmarkStart w:id="140" w:name="_Toc59130694"/>
      <w:bookmarkStart w:id="141" w:name="_Toc60183457"/>
      <w:r w:rsidRPr="00824D58">
        <w:t>Automatic Micropipette (Diamond)</w:t>
      </w:r>
      <w:bookmarkEnd w:id="140"/>
      <w:bookmarkEnd w:id="141"/>
    </w:p>
    <w:p w:rsidR="00000407" w:rsidRDefault="008F612A" w:rsidP="00000407">
      <w:pPr>
        <w:spacing w:after="0"/>
      </w:pPr>
      <w:r>
        <w:t>Diamond micropipettes are an economical alternative to name-brand pipettors. Diamond pipettors are manufactured to the highest standards of accuracy and precision and include a calibration certificate, a calibration tool</w:t>
      </w:r>
      <w:r w:rsidR="00FC5CC1">
        <w:t>,&amp;</w:t>
      </w:r>
      <w:r>
        <w:t xml:space="preserve"> a complete one-year guarantee.</w:t>
      </w:r>
    </w:p>
    <w:p w:rsidR="00000407" w:rsidRDefault="00000407" w:rsidP="00000407">
      <w:pPr>
        <w:spacing w:after="0"/>
      </w:pPr>
    </w:p>
    <w:p w:rsidR="0017714E" w:rsidRPr="00824D58" w:rsidRDefault="008F612A" w:rsidP="00000407">
      <w:pPr>
        <w:spacing w:after="0"/>
      </w:pPr>
      <w:r>
        <w:t>High accuracy and precision are assured; the streamlined tip ejector is ideal for use with narrow necked containers and tubes; the two-step plunger action enables the use of the reverse pipetting method; and the tip ejector is color marked for easy identification.</w:t>
      </w:r>
    </w:p>
    <w:p w:rsidR="00D879FF" w:rsidRPr="00824D58" w:rsidRDefault="00D879FF" w:rsidP="0017714E">
      <w:pPr>
        <w:spacing w:after="0"/>
      </w:pPr>
      <w:r w:rsidRPr="00824D58">
        <w:t>In this study, it has been used automatic micropipette type diamonds with 50</w:t>
      </w:r>
      <w:r w:rsidRPr="00824D58">
        <w:rPr>
          <w:rFonts w:cs="Times New Roman"/>
        </w:rPr>
        <w:t>µ</w:t>
      </w:r>
      <w:r w:rsidRPr="00824D58">
        <w:t>l &amp; 1 ml volumes.</w:t>
      </w:r>
    </w:p>
    <w:p w:rsidR="00D879FF" w:rsidRPr="00824D58" w:rsidRDefault="00D879FF" w:rsidP="00D879FF">
      <w:pPr>
        <w:pStyle w:val="ListParagraph"/>
        <w:keepNext/>
        <w:ind w:left="0"/>
        <w:jc w:val="center"/>
      </w:pPr>
      <w:r w:rsidRPr="00824D58">
        <w:rPr>
          <w:b/>
          <w:bCs/>
          <w:noProof/>
        </w:rPr>
        <w:drawing>
          <wp:inline distT="0" distB="0" distL="0" distR="0" wp14:anchorId="41821DF1" wp14:editId="37C389E8">
            <wp:extent cx="5095875" cy="4152900"/>
            <wp:effectExtent l="19050" t="19050" r="28575" b="19050"/>
            <wp:docPr id="29"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5095875" cy="4152900"/>
                    </a:xfrm>
                    <a:prstGeom prst="rect">
                      <a:avLst/>
                    </a:prstGeom>
                    <a:noFill/>
                    <a:ln w="3175">
                      <a:solidFill>
                        <a:schemeClr val="tx1"/>
                      </a:solidFill>
                    </a:ln>
                  </pic:spPr>
                </pic:pic>
              </a:graphicData>
            </a:graphic>
          </wp:inline>
        </w:drawing>
      </w:r>
    </w:p>
    <w:p w:rsidR="00D879FF" w:rsidRDefault="0017714E" w:rsidP="0017714E">
      <w:pPr>
        <w:pStyle w:val="Caption"/>
        <w:spacing w:after="0"/>
        <w:ind w:left="0" w:firstLine="0"/>
        <w:jc w:val="center"/>
        <w:rPr>
          <w:noProof/>
        </w:rPr>
      </w:pPr>
      <w:bookmarkStart w:id="142" w:name="_Toc59130947"/>
      <w:r w:rsidRPr="00824D58">
        <w:rPr>
          <w:b/>
          <w:bCs/>
        </w:rPr>
        <w:t>Figure</w:t>
      </w:r>
      <w:r w:rsidR="00D879FF" w:rsidRPr="00824D58">
        <w:rPr>
          <w:b/>
          <w:bCs/>
        </w:rPr>
        <w:t xml:space="preserve"> 3.</w:t>
      </w:r>
      <w:r w:rsidR="008F1049" w:rsidRPr="00824D58">
        <w:rPr>
          <w:b/>
          <w:bCs/>
        </w:rPr>
        <w:fldChar w:fldCharType="begin"/>
      </w:r>
      <w:r w:rsidR="008F1049" w:rsidRPr="00824D58">
        <w:rPr>
          <w:b/>
          <w:bCs/>
        </w:rPr>
        <w:instrText xml:space="preserve"> SEQ Şekıl_3. \* ARABIC </w:instrText>
      </w:r>
      <w:r w:rsidR="008F1049" w:rsidRPr="00824D58">
        <w:rPr>
          <w:b/>
          <w:bCs/>
        </w:rPr>
        <w:fldChar w:fldCharType="separate"/>
      </w:r>
      <w:r w:rsidR="00713623">
        <w:rPr>
          <w:b/>
          <w:bCs/>
          <w:noProof/>
        </w:rPr>
        <w:t>3</w:t>
      </w:r>
      <w:r w:rsidR="008F1049" w:rsidRPr="00824D58">
        <w:rPr>
          <w:b/>
          <w:bCs/>
          <w:noProof/>
        </w:rPr>
        <w:fldChar w:fldCharType="end"/>
      </w:r>
      <w:r w:rsidR="00D879FF" w:rsidRPr="00824D58">
        <w:rPr>
          <w:b/>
          <w:bCs/>
          <w:noProof/>
        </w:rPr>
        <w:t>.</w:t>
      </w:r>
      <w:r w:rsidR="00D879FF" w:rsidRPr="00824D58">
        <w:rPr>
          <w:noProof/>
        </w:rPr>
        <w:t xml:space="preserve"> Automatic micropipette type diamonds</w:t>
      </w:r>
      <w:bookmarkEnd w:id="142"/>
    </w:p>
    <w:p w:rsidR="00307680" w:rsidRPr="00307680" w:rsidRDefault="00307680" w:rsidP="00307680"/>
    <w:p w:rsidR="0017714E" w:rsidRPr="00824D58" w:rsidRDefault="0017714E" w:rsidP="0017714E">
      <w:pPr>
        <w:spacing w:after="0"/>
      </w:pPr>
    </w:p>
    <w:p w:rsidR="00D879FF" w:rsidRPr="00824D58" w:rsidRDefault="00D879FF" w:rsidP="0017714E">
      <w:pPr>
        <w:pStyle w:val="Heading3"/>
        <w:numPr>
          <w:ilvl w:val="2"/>
          <w:numId w:val="10"/>
        </w:numPr>
        <w:spacing w:before="0" w:after="0"/>
        <w:ind w:left="709" w:hanging="709"/>
      </w:pPr>
      <w:bookmarkStart w:id="143" w:name="_Toc60183458"/>
      <w:r w:rsidRPr="00824D58">
        <w:t>Centrifuge C- 12000 (6M 1810968)</w:t>
      </w:r>
      <w:bookmarkEnd w:id="143"/>
    </w:p>
    <w:p w:rsidR="0017714E" w:rsidRPr="00824D58" w:rsidRDefault="0017714E" w:rsidP="0017714E">
      <w:pPr>
        <w:spacing w:after="0"/>
      </w:pPr>
    </w:p>
    <w:p w:rsidR="00D879FF" w:rsidRPr="00824D58" w:rsidRDefault="00D879FF" w:rsidP="00D879FF">
      <w:r w:rsidRPr="00824D58">
        <w:t>In this study, ıt used centrifuge with 5000 Rpm/min of Chinese origin. After collecting the blood, ıt separated it in the device with a speed of 3000 spins for five minutes.</w:t>
      </w:r>
    </w:p>
    <w:p w:rsidR="00D879FF" w:rsidRPr="00824D58" w:rsidRDefault="00D879FF" w:rsidP="00D879FF">
      <w:pPr>
        <w:keepNext/>
        <w:jc w:val="center"/>
      </w:pPr>
      <w:r w:rsidRPr="00824D58">
        <w:rPr>
          <w:b/>
          <w:bCs/>
          <w:noProof/>
        </w:rPr>
        <w:drawing>
          <wp:inline distT="0" distB="0" distL="0" distR="0" wp14:anchorId="638E5D93" wp14:editId="67A8B780">
            <wp:extent cx="5233264" cy="3974135"/>
            <wp:effectExtent l="19050" t="19050" r="24536" b="26365"/>
            <wp:docPr id="30"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5242060" cy="3980815"/>
                    </a:xfrm>
                    <a:prstGeom prst="rect">
                      <a:avLst/>
                    </a:prstGeom>
                    <a:noFill/>
                    <a:ln w="6350">
                      <a:solidFill>
                        <a:schemeClr val="tx1"/>
                      </a:solidFill>
                    </a:ln>
                  </pic:spPr>
                </pic:pic>
              </a:graphicData>
            </a:graphic>
          </wp:inline>
        </w:drawing>
      </w:r>
    </w:p>
    <w:p w:rsidR="00D879FF" w:rsidRPr="00824D58" w:rsidRDefault="005819E7" w:rsidP="0017714E">
      <w:pPr>
        <w:pStyle w:val="Caption"/>
        <w:spacing w:after="0" w:line="360" w:lineRule="auto"/>
        <w:jc w:val="center"/>
      </w:pPr>
      <w:bookmarkStart w:id="144" w:name="_Toc59130948"/>
      <w:r w:rsidRPr="005819E7">
        <w:t>Figure</w:t>
      </w:r>
      <w:r w:rsidR="00D879FF" w:rsidRPr="00824D58">
        <w:t xml:space="preserve"> 3.</w:t>
      </w:r>
      <w:fldSimple w:instr=" SEQ Şekıl_3. \* ARABIC ">
        <w:r w:rsidR="00713623">
          <w:rPr>
            <w:noProof/>
          </w:rPr>
          <w:t>4</w:t>
        </w:r>
      </w:fldSimple>
      <w:r w:rsidR="00D879FF" w:rsidRPr="00824D58">
        <w:t>. Centrifuge C- 12000 (6M 1810968)</w:t>
      </w:r>
      <w:bookmarkEnd w:id="144"/>
    </w:p>
    <w:p w:rsidR="0017714E" w:rsidRPr="00824D58" w:rsidRDefault="0017714E" w:rsidP="0017714E">
      <w:pPr>
        <w:spacing w:after="0"/>
      </w:pPr>
    </w:p>
    <w:p w:rsidR="00D879FF" w:rsidRPr="00824D58" w:rsidRDefault="00D879FF" w:rsidP="0017714E">
      <w:pPr>
        <w:pStyle w:val="Heading3"/>
        <w:numPr>
          <w:ilvl w:val="2"/>
          <w:numId w:val="10"/>
        </w:numPr>
        <w:spacing w:before="0" w:after="0"/>
        <w:ind w:left="709" w:hanging="709"/>
        <w:jc w:val="left"/>
      </w:pPr>
      <w:bookmarkStart w:id="145" w:name="_Toc59130695"/>
      <w:bookmarkStart w:id="146" w:name="_Toc60183459"/>
      <w:r w:rsidRPr="00824D58">
        <w:t>Memmert water bath (WNE 22) (L513.0977)</w:t>
      </w:r>
      <w:bookmarkEnd w:id="145"/>
      <w:bookmarkEnd w:id="146"/>
    </w:p>
    <w:p w:rsidR="0017714E" w:rsidRPr="00824D58" w:rsidRDefault="0017714E" w:rsidP="0017714E">
      <w:pPr>
        <w:spacing w:after="0"/>
      </w:pPr>
    </w:p>
    <w:p w:rsidR="00D879FF" w:rsidRPr="00824D58" w:rsidRDefault="00000407" w:rsidP="008E5F1C">
      <w:pPr>
        <w:spacing w:after="0"/>
        <w:rPr>
          <w:b/>
          <w:bCs/>
        </w:rPr>
      </w:pPr>
      <w:r w:rsidRPr="00000407">
        <w:rPr>
          <w:shd w:val="clear" w:color="auto" w:fill="FFFFFF"/>
        </w:rPr>
        <w:t xml:space="preserve">Memmert water baths are suggested for routine laboratory heating activities involving water. </w:t>
      </w:r>
      <w:r w:rsidR="00742A01" w:rsidRPr="00742A01">
        <w:rPr>
          <w:shd w:val="clear" w:color="auto" w:fill="FFFFFF"/>
        </w:rPr>
        <w:t xml:space="preserve">They are made of corrosion-resistant stainless steel and include dual protection against possible dangers associated with overheating. </w:t>
      </w:r>
      <w:r w:rsidR="008E5F1C" w:rsidRPr="008E5F1C">
        <w:rPr>
          <w:shd w:val="clear" w:color="auto" w:fill="FFFFFF"/>
        </w:rPr>
        <w:t>A perfect temperature management is ensured by an electronic PID controller that features an integrated self-diagnosis system as well as a platinum temperature sensor of the highest quality (Pt100).</w:t>
      </w:r>
      <w:r w:rsidRPr="00000407">
        <w:rPr>
          <w:shd w:val="clear" w:color="auto" w:fill="FFFFFF"/>
        </w:rPr>
        <w:t xml:space="preserve"> </w:t>
      </w:r>
      <w:r w:rsidR="00742A01" w:rsidRPr="00000407">
        <w:rPr>
          <w:shd w:val="clear" w:color="auto" w:fill="FFFFFF"/>
        </w:rPr>
        <w:t>Mummer</w:t>
      </w:r>
      <w:r w:rsidRPr="00000407">
        <w:rPr>
          <w:shd w:val="clear" w:color="auto" w:fill="FFFFFF"/>
        </w:rPr>
        <w:t xml:space="preserve"> WNB water baths include cutting-edge control technology, precise temperature control and monitoring, as well as sophisticated safety features.</w:t>
      </w:r>
    </w:p>
    <w:p w:rsidR="00D879FF" w:rsidRPr="00824D58" w:rsidRDefault="00D879FF" w:rsidP="00D879FF">
      <w:pPr>
        <w:pStyle w:val="ListParagraph"/>
        <w:keepNext/>
        <w:spacing w:after="0"/>
        <w:ind w:left="0"/>
        <w:jc w:val="center"/>
      </w:pPr>
      <w:r w:rsidRPr="00824D58">
        <w:rPr>
          <w:b/>
          <w:bCs/>
          <w:noProof/>
        </w:rPr>
        <w:drawing>
          <wp:inline distT="0" distB="0" distL="0" distR="0" wp14:anchorId="4E94A74E" wp14:editId="37E33434">
            <wp:extent cx="5153891" cy="2780985"/>
            <wp:effectExtent l="19050" t="19050" r="27940" b="19685"/>
            <wp:docPr id="31"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5172270" cy="2790902"/>
                    </a:xfrm>
                    <a:prstGeom prst="rect">
                      <a:avLst/>
                    </a:prstGeom>
                    <a:noFill/>
                    <a:ln w="3175">
                      <a:solidFill>
                        <a:schemeClr val="tx1"/>
                      </a:solidFill>
                    </a:ln>
                  </pic:spPr>
                </pic:pic>
              </a:graphicData>
            </a:graphic>
          </wp:inline>
        </w:drawing>
      </w:r>
    </w:p>
    <w:p w:rsidR="00D879FF" w:rsidRPr="00824D58" w:rsidRDefault="0017714E" w:rsidP="0017714E">
      <w:pPr>
        <w:pStyle w:val="Caption"/>
        <w:spacing w:after="0"/>
        <w:jc w:val="center"/>
        <w:rPr>
          <w:b/>
          <w:bCs/>
        </w:rPr>
      </w:pPr>
      <w:bookmarkStart w:id="147" w:name="_Toc59130949"/>
      <w:r w:rsidRPr="00824D58">
        <w:t xml:space="preserve">Figure </w:t>
      </w:r>
      <w:r w:rsidR="00D879FF" w:rsidRPr="00824D58">
        <w:t>3.</w:t>
      </w:r>
      <w:fldSimple w:instr=" SEQ Şekıl_3. \* ARABIC ">
        <w:r w:rsidR="00713623">
          <w:rPr>
            <w:noProof/>
          </w:rPr>
          <w:t>5</w:t>
        </w:r>
      </w:fldSimple>
      <w:r w:rsidR="00D879FF" w:rsidRPr="00824D58">
        <w:rPr>
          <w:noProof/>
        </w:rPr>
        <w:t>. Memmert  water bath (WNE 22) (L513.0977)</w:t>
      </w:r>
      <w:bookmarkEnd w:id="147"/>
    </w:p>
    <w:p w:rsidR="00D879FF" w:rsidRPr="00824D58" w:rsidRDefault="00D879FF" w:rsidP="0017714E">
      <w:pPr>
        <w:pStyle w:val="ListParagraph"/>
        <w:spacing w:after="0"/>
        <w:ind w:left="0"/>
        <w:rPr>
          <w:b/>
          <w:bCs/>
        </w:rPr>
      </w:pPr>
    </w:p>
    <w:p w:rsidR="00D879FF" w:rsidRPr="00824D58" w:rsidRDefault="00D879FF" w:rsidP="0017714E">
      <w:pPr>
        <w:pStyle w:val="Heading3"/>
        <w:numPr>
          <w:ilvl w:val="2"/>
          <w:numId w:val="10"/>
        </w:numPr>
        <w:spacing w:before="0" w:after="0"/>
        <w:ind w:left="709" w:hanging="709"/>
        <w:jc w:val="left"/>
      </w:pPr>
      <w:bookmarkStart w:id="148" w:name="_Toc59130696"/>
      <w:bookmarkStart w:id="149" w:name="_Toc60183460"/>
      <w:r w:rsidRPr="00824D58">
        <w:t>Additional material</w:t>
      </w:r>
      <w:bookmarkEnd w:id="148"/>
      <w:bookmarkEnd w:id="149"/>
    </w:p>
    <w:p w:rsidR="0017714E" w:rsidRPr="00824D58" w:rsidRDefault="0017714E" w:rsidP="0017714E">
      <w:pPr>
        <w:spacing w:after="0"/>
      </w:pPr>
    </w:p>
    <w:p w:rsidR="00D879FF" w:rsidRPr="00824D58" w:rsidRDefault="00D879FF" w:rsidP="0017714E">
      <w:pPr>
        <w:spacing w:after="0"/>
      </w:pPr>
      <w:r w:rsidRPr="00824D58">
        <w:t>Laboratory freezer, Centrifugation Tube, Pipette Tip, Distilled waste.</w:t>
      </w:r>
    </w:p>
    <w:p w:rsidR="0017714E" w:rsidRPr="00824D58" w:rsidRDefault="0017714E" w:rsidP="0017714E">
      <w:pPr>
        <w:spacing w:after="0"/>
      </w:pPr>
    </w:p>
    <w:p w:rsidR="00D879FF" w:rsidRPr="00824D58" w:rsidRDefault="00D879FF" w:rsidP="0017714E">
      <w:pPr>
        <w:pStyle w:val="Heading2"/>
        <w:numPr>
          <w:ilvl w:val="1"/>
          <w:numId w:val="6"/>
        </w:numPr>
        <w:spacing w:before="0"/>
        <w:jc w:val="left"/>
        <w:rPr>
          <w:bCs w:val="0"/>
        </w:rPr>
      </w:pPr>
      <w:bookmarkStart w:id="150" w:name="_Toc59130697"/>
      <w:bookmarkStart w:id="151" w:name="_Toc60183461"/>
      <w:r w:rsidRPr="00824D58">
        <w:rPr>
          <w:bCs w:val="0"/>
        </w:rPr>
        <w:t>Kits</w:t>
      </w:r>
      <w:bookmarkEnd w:id="150"/>
      <w:bookmarkEnd w:id="151"/>
      <w:r w:rsidRPr="00824D58">
        <w:rPr>
          <w:bCs w:val="0"/>
        </w:rPr>
        <w:t xml:space="preserve"> </w:t>
      </w:r>
    </w:p>
    <w:p w:rsidR="0017714E" w:rsidRPr="00824D58" w:rsidRDefault="0017714E" w:rsidP="0017714E">
      <w:pPr>
        <w:spacing w:after="0"/>
      </w:pPr>
    </w:p>
    <w:p w:rsidR="00D879FF" w:rsidRPr="00824D58" w:rsidRDefault="00D879FF" w:rsidP="0017714E">
      <w:pPr>
        <w:pStyle w:val="Heading3"/>
        <w:numPr>
          <w:ilvl w:val="2"/>
          <w:numId w:val="6"/>
        </w:numPr>
        <w:spacing w:before="0" w:after="0"/>
        <w:jc w:val="left"/>
      </w:pPr>
      <w:bookmarkStart w:id="152" w:name="_Toc59130698"/>
      <w:bookmarkStart w:id="153" w:name="_Toc60183462"/>
      <w:r w:rsidRPr="00824D58">
        <w:t>Prostate Specific Antigen – PSA (REF 52030)</w:t>
      </w:r>
      <w:bookmarkEnd w:id="152"/>
      <w:bookmarkEnd w:id="153"/>
    </w:p>
    <w:p w:rsidR="0017714E" w:rsidRPr="00824D58" w:rsidRDefault="0017714E" w:rsidP="0017714E">
      <w:pPr>
        <w:spacing w:after="0"/>
      </w:pPr>
    </w:p>
    <w:p w:rsidR="00D879FF" w:rsidRPr="00824D58" w:rsidRDefault="00A66702" w:rsidP="0017714E">
      <w:pPr>
        <w:spacing w:after="0"/>
      </w:pPr>
      <w:r w:rsidRPr="00A66702">
        <w:t xml:space="preserve">PSA, or prostate-specific antigen, is a protein generated by both normal and cancerous cells of the prostate gland in males. The PSA test determines the PSA level in a man's blood. PSA levels in the blood are often high in individuals with prostate cancer. A blood sample (which must be serum-separated) is submitted to a laboratory for examination in this test. Typically, the findings are expressed as nanograms of PSA per milliliter. </w:t>
      </w:r>
      <w:r w:rsidR="00D879FF" w:rsidRPr="00824D58">
        <w:t>(ng/mL) of blood (Ilic, D., et al., 2018).</w:t>
      </w:r>
    </w:p>
    <w:p w:rsidR="0017714E" w:rsidRPr="00824D58" w:rsidRDefault="0017714E" w:rsidP="0017714E">
      <w:pPr>
        <w:spacing w:after="0"/>
      </w:pPr>
    </w:p>
    <w:p w:rsidR="00D879FF" w:rsidRPr="00824D58" w:rsidRDefault="00D879FF" w:rsidP="00827E3A">
      <w:pPr>
        <w:pStyle w:val="Heading4"/>
        <w:numPr>
          <w:ilvl w:val="3"/>
          <w:numId w:val="6"/>
        </w:numPr>
        <w:spacing w:before="0" w:after="480"/>
        <w:jc w:val="left"/>
      </w:pPr>
      <w:r w:rsidRPr="00824D58">
        <w:t>Principle  of PSA (REF 52030)</w:t>
      </w:r>
    </w:p>
    <w:p w:rsidR="00D879FF" w:rsidRPr="00824D58" w:rsidRDefault="00D879FF" w:rsidP="008E5F1C">
      <w:pPr>
        <w:spacing w:after="480"/>
      </w:pPr>
      <w:r w:rsidRPr="00824D58">
        <w:t xml:space="preserve">The principle according to the data is giving in this kit </w:t>
      </w:r>
      <w:r w:rsidR="00A66702" w:rsidRPr="00A66702">
        <w:t xml:space="preserve">The human PSA ELISA is designed for use in the laboratory. </w:t>
      </w:r>
      <w:r w:rsidR="008E5F1C" w:rsidRPr="008E5F1C">
        <w:t>In the ELISA used for direct antigen detection, matching monoclonal anti-PSA antibodies that are both highly specific and monoclonal are coated on the surface of microtiter wells and are covalently attached to the enzyme.</w:t>
      </w:r>
      <w:r w:rsidR="00A66702" w:rsidRPr="00A66702">
        <w:t xml:space="preserve"> The initial incubation stage involves mixing the specimens, calibrators or controls</w:t>
      </w:r>
      <w:r w:rsidR="00FC5CC1">
        <w:t>,&amp;</w:t>
      </w:r>
      <w:r w:rsidR="00A66702" w:rsidRPr="00A66702">
        <w:t xml:space="preserve"> antibody-enzyme conjugate to create the sandwich complex on the well surfaces. Excess conjugate and unbound antigen are rinsed away at the conclusion of the incubation. When TMB/Substrate is introduced (step 2), a blue color emerges that changes to yellow at reaction termination. The color's intensity is related to the PSA content in the material.</w:t>
      </w:r>
    </w:p>
    <w:p w:rsidR="00D879FF" w:rsidRPr="00824D58" w:rsidRDefault="00D879FF" w:rsidP="0017714E">
      <w:pPr>
        <w:pStyle w:val="Heading3"/>
        <w:numPr>
          <w:ilvl w:val="2"/>
          <w:numId w:val="6"/>
        </w:numPr>
        <w:spacing w:before="0" w:after="0"/>
        <w:jc w:val="left"/>
        <w:rPr>
          <w:rFonts w:eastAsia="Calibri"/>
          <w:lang w:bidi="ar-IQ"/>
        </w:rPr>
      </w:pPr>
      <w:bookmarkStart w:id="154" w:name="_Toc59130699"/>
      <w:bookmarkStart w:id="155" w:name="_Toc60183463"/>
      <w:r w:rsidRPr="00824D58">
        <w:rPr>
          <w:rFonts w:eastAsia="Calibri"/>
          <w:lang w:bidi="ar-IQ"/>
        </w:rPr>
        <w:t>Human GDF15 (Growth Differentiation Factor 15) H0150F038</w:t>
      </w:r>
      <w:bookmarkEnd w:id="154"/>
      <w:bookmarkEnd w:id="155"/>
    </w:p>
    <w:p w:rsidR="0017714E" w:rsidRPr="00824D58" w:rsidRDefault="0017714E" w:rsidP="0017714E">
      <w:pPr>
        <w:spacing w:after="0"/>
        <w:rPr>
          <w:lang w:bidi="ar-IQ"/>
        </w:rPr>
      </w:pPr>
    </w:p>
    <w:p w:rsidR="00742A01" w:rsidRPr="00742A01" w:rsidRDefault="00742A01" w:rsidP="00742A01">
      <w:pPr>
        <w:spacing w:after="0"/>
        <w:rPr>
          <w:rFonts w:eastAsia="Calibri" w:cs="Times New Roman"/>
          <w:lang w:bidi="ar-IQ"/>
        </w:rPr>
      </w:pPr>
      <w:r w:rsidRPr="00742A01">
        <w:rPr>
          <w:rFonts w:eastAsia="Calibri" w:cs="Times New Roman"/>
          <w:lang w:bidi="ar-IQ"/>
        </w:rPr>
        <w:t>It is a member of the transforming growth factor beta superfamily of proteins. GDF-15 is expressed at modest levels in the majority of organs under normal conditions and becomes uncontrolled as a consequence of injury to organs such as the liver, kidney, heart, and lung.</w:t>
      </w:r>
    </w:p>
    <w:p w:rsidR="00742A01" w:rsidRPr="00742A01" w:rsidRDefault="00742A01" w:rsidP="00742A01">
      <w:pPr>
        <w:spacing w:after="0"/>
        <w:rPr>
          <w:rFonts w:eastAsia="Calibri" w:cs="Times New Roman"/>
          <w:lang w:bidi="ar-IQ"/>
        </w:rPr>
      </w:pPr>
    </w:p>
    <w:p w:rsidR="00634442" w:rsidRPr="00824D58" w:rsidRDefault="003F2A02" w:rsidP="003F2A02">
      <w:pPr>
        <w:spacing w:after="480"/>
        <w:rPr>
          <w:rFonts w:eastAsia="Calibri" w:cs="Times New Roman"/>
          <w:lang w:bidi="ar-IQ"/>
        </w:rPr>
      </w:pPr>
      <w:r w:rsidRPr="003F2A02">
        <w:rPr>
          <w:rFonts w:eastAsia="Calibri" w:cs="Times New Roman"/>
          <w:lang w:bidi="ar-IQ"/>
        </w:rPr>
        <w:t>Among the many mammalian tissues on which its expression may be found, mRNA levels of this distantly related member of the TGF-superfamily are surprisingly high. Its expression is strictly controlled, and it is frequently triggered in response to cellular stress.</w:t>
      </w:r>
      <w:r>
        <w:rPr>
          <w:rFonts w:eastAsia="Calibri" w:cs="Times New Roman"/>
          <w:lang w:bidi="ar-IQ"/>
        </w:rPr>
        <w:t xml:space="preserve"> </w:t>
      </w:r>
      <w:r w:rsidRPr="003F2A02">
        <w:rPr>
          <w:rFonts w:eastAsia="Calibri" w:cs="Times New Roman"/>
          <w:lang w:bidi="ar-IQ"/>
        </w:rPr>
        <w:t>Research indicates that GDF-15 is a powerful predictive factor in patients with a wide range of diseases, including cardiovascular disease and cancer.</w:t>
      </w:r>
    </w:p>
    <w:p w:rsidR="00D879FF" w:rsidRPr="00824D58" w:rsidRDefault="00D879FF" w:rsidP="00634442">
      <w:pPr>
        <w:pStyle w:val="Heading4"/>
        <w:numPr>
          <w:ilvl w:val="3"/>
          <w:numId w:val="6"/>
        </w:numPr>
        <w:spacing w:before="0"/>
        <w:jc w:val="left"/>
      </w:pPr>
      <w:r w:rsidRPr="00824D58">
        <w:t xml:space="preserve">Principle </w:t>
      </w:r>
    </w:p>
    <w:p w:rsidR="00634442" w:rsidRPr="00824D58" w:rsidRDefault="00634442" w:rsidP="00634442">
      <w:pPr>
        <w:spacing w:after="0"/>
      </w:pPr>
    </w:p>
    <w:p w:rsidR="00634442" w:rsidRPr="00824D58" w:rsidRDefault="003F2A02" w:rsidP="003F2A02">
      <w:pPr>
        <w:spacing w:after="480"/>
        <w:rPr>
          <w:rFonts w:eastAsia="Calibri" w:cs="Times New Roman"/>
          <w:lang w:bidi="ar-IQ"/>
        </w:rPr>
      </w:pPr>
      <w:r w:rsidRPr="003F2A02">
        <w:rPr>
          <w:rFonts w:eastAsia="Calibri" w:cs="Times New Roman"/>
          <w:lang w:bidi="ar-IQ"/>
        </w:rPr>
        <w:t>During the process of developing this product, the sandwich enzyme linked immune sorbent assay approach was applied.</w:t>
      </w:r>
      <w:r w:rsidR="008E5F1C" w:rsidRPr="008E5F1C">
        <w:rPr>
          <w:rFonts w:eastAsia="Calibri" w:cs="Times New Roman"/>
          <w:lang w:bidi="ar-IQ"/>
        </w:rPr>
        <w:t xml:space="preserve"> Pre-coated capture antibody was applied to 96-well plates before they were used. In addition to this, biotin-conjugated antibodies were utilized for the role of detection antibodies.</w:t>
      </w:r>
      <w:r w:rsidR="00742A01" w:rsidRPr="00742A01">
        <w:rPr>
          <w:rFonts w:eastAsia="Calibri" w:cs="Times New Roman"/>
          <w:lang w:bidi="ar-IQ"/>
        </w:rPr>
        <w:t xml:space="preserve"> </w:t>
      </w:r>
      <w:r w:rsidRPr="003F2A02">
        <w:rPr>
          <w:rFonts w:eastAsia="Calibri" w:cs="Times New Roman"/>
          <w:lang w:bidi="ar-IQ"/>
        </w:rPr>
        <w:t>After adding the standards, test samples, and biotin-labeled detection antibody, the wells were rinsed with wash buffer. We then employed a wash buffer to get rid of any unattached conjugates after adding HRP-Streptavidin. The enzymatic activity of HRP was studied using TMB as a substrate.</w:t>
      </w:r>
      <w:r w:rsidR="00742A01" w:rsidRPr="00742A01">
        <w:rPr>
          <w:rFonts w:eastAsia="Calibri" w:cs="Times New Roman"/>
          <w:lang w:bidi="ar-IQ"/>
        </w:rPr>
        <w:t xml:space="preserve"> TMB was catalyzed by HRP, yielding a blue product that became yellow when an acidic stop solution was added. The yellow density is proportional to the amount of sample captured in the plate. </w:t>
      </w:r>
      <w:r w:rsidR="008E5F1C" w:rsidRPr="008E5F1C">
        <w:rPr>
          <w:rFonts w:eastAsia="Calibri" w:cs="Times New Roman"/>
          <w:lang w:bidi="ar-IQ"/>
        </w:rPr>
        <w:t>Using a microplate reader, determine the concentration of the target by reading the absorbance of the optical density measured at 450 nm.</w:t>
      </w:r>
    </w:p>
    <w:p w:rsidR="00341D9B" w:rsidRPr="00824D58" w:rsidRDefault="00742A01" w:rsidP="008E5F1C">
      <w:pPr>
        <w:pStyle w:val="Caption"/>
        <w:keepNext/>
      </w:pPr>
      <w:bookmarkStart w:id="156" w:name="_Toc60183175"/>
      <w:r w:rsidRPr="00824D58">
        <w:t>Table</w:t>
      </w:r>
      <w:r w:rsidR="00341D9B" w:rsidRPr="00824D58">
        <w:t xml:space="preserve"> 3.</w:t>
      </w:r>
      <w:fldSimple w:instr=" SEQ Tablo_3. \* ARABIC ">
        <w:r w:rsidR="00713623">
          <w:rPr>
            <w:noProof/>
          </w:rPr>
          <w:t>3</w:t>
        </w:r>
      </w:fldSimple>
      <w:r w:rsidR="00341D9B" w:rsidRPr="00824D58">
        <w:rPr>
          <w:noProof/>
        </w:rPr>
        <w:t>. Kit Components</w:t>
      </w:r>
      <w:bookmarkEnd w:id="156"/>
    </w:p>
    <w:tbl>
      <w:tblPr>
        <w:tblStyle w:val="TableGrid"/>
        <w:tblW w:w="0" w:type="auto"/>
        <w:tblLook w:val="04A0" w:firstRow="1" w:lastRow="0" w:firstColumn="1" w:lastColumn="0" w:noHBand="0" w:noVBand="1"/>
      </w:tblPr>
      <w:tblGrid>
        <w:gridCol w:w="3773"/>
        <w:gridCol w:w="2371"/>
        <w:gridCol w:w="2292"/>
      </w:tblGrid>
      <w:tr w:rsidR="00D879FF" w:rsidRPr="00824D58" w:rsidTr="00341D9B">
        <w:tc>
          <w:tcPr>
            <w:tcW w:w="3773" w:type="dxa"/>
            <w:shd w:val="clear" w:color="auto" w:fill="D9D9D9" w:themeFill="background1" w:themeFillShade="D9"/>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Item</w:t>
            </w:r>
          </w:p>
        </w:tc>
        <w:tc>
          <w:tcPr>
            <w:tcW w:w="2371" w:type="dxa"/>
            <w:shd w:val="clear" w:color="auto" w:fill="D9D9D9" w:themeFill="background1" w:themeFillShade="D9"/>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Specifications (48T/96T)</w:t>
            </w:r>
          </w:p>
        </w:tc>
        <w:tc>
          <w:tcPr>
            <w:tcW w:w="2292" w:type="dxa"/>
            <w:shd w:val="clear" w:color="auto" w:fill="D9D9D9" w:themeFill="background1" w:themeFillShade="D9"/>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Storage</w:t>
            </w:r>
          </w:p>
        </w:tc>
      </w:tr>
      <w:tr w:rsidR="00D879FF" w:rsidRPr="00824D58" w:rsidTr="00341D9B">
        <w:tc>
          <w:tcPr>
            <w:tcW w:w="3773"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ELISA Microplate (Dismountable)</w:t>
            </w:r>
          </w:p>
        </w:tc>
        <w:tc>
          <w:tcPr>
            <w:tcW w:w="2371"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8</w:t>
            </w:r>
            <w:r w:rsidRPr="00824D58">
              <w:rPr>
                <w:rFonts w:ascii="Calibri" w:eastAsia="Calibri" w:hAnsi="Calibri" w:cs="Arial" w:hint="cs"/>
                <w:rtl/>
              </w:rPr>
              <w:t>×</w:t>
            </w:r>
            <w:r w:rsidRPr="00824D58">
              <w:rPr>
                <w:rFonts w:eastAsia="Calibri" w:cs="Times New Roman"/>
                <w:lang w:bidi="ar-IQ"/>
              </w:rPr>
              <w:t>6/8×12</w:t>
            </w:r>
          </w:p>
        </w:tc>
        <w:tc>
          <w:tcPr>
            <w:tcW w:w="2292"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4°C/-20°C</w:t>
            </w:r>
          </w:p>
        </w:tc>
      </w:tr>
      <w:tr w:rsidR="00D879FF" w:rsidRPr="00824D58" w:rsidTr="00341D9B">
        <w:tc>
          <w:tcPr>
            <w:tcW w:w="3773"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Lyophilized Standard</w:t>
            </w:r>
          </w:p>
        </w:tc>
        <w:tc>
          <w:tcPr>
            <w:tcW w:w="2371"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1 Vial/ 2vial</w:t>
            </w:r>
          </w:p>
        </w:tc>
        <w:tc>
          <w:tcPr>
            <w:tcW w:w="2292"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4°C/-20°C</w:t>
            </w:r>
          </w:p>
        </w:tc>
      </w:tr>
      <w:tr w:rsidR="00D879FF" w:rsidRPr="00824D58" w:rsidTr="00341D9B">
        <w:tc>
          <w:tcPr>
            <w:tcW w:w="3773"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Sample/Standard dilution buffer</w:t>
            </w:r>
          </w:p>
        </w:tc>
        <w:tc>
          <w:tcPr>
            <w:tcW w:w="2371"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10mi/20ml</w:t>
            </w:r>
          </w:p>
        </w:tc>
        <w:tc>
          <w:tcPr>
            <w:tcW w:w="2292"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4°C</w:t>
            </w:r>
          </w:p>
        </w:tc>
      </w:tr>
      <w:tr w:rsidR="00D879FF" w:rsidRPr="00824D58" w:rsidTr="00341D9B">
        <w:tc>
          <w:tcPr>
            <w:tcW w:w="3773"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Biotin-labeled Antibody (concentration)</w:t>
            </w:r>
          </w:p>
        </w:tc>
        <w:tc>
          <w:tcPr>
            <w:tcW w:w="2371"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60ul/120ul</w:t>
            </w:r>
          </w:p>
        </w:tc>
        <w:tc>
          <w:tcPr>
            <w:tcW w:w="2292"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4°C(Protect from light)</w:t>
            </w:r>
          </w:p>
        </w:tc>
      </w:tr>
      <w:tr w:rsidR="00D879FF" w:rsidRPr="00824D58" w:rsidTr="00341D9B">
        <w:tc>
          <w:tcPr>
            <w:tcW w:w="3773"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Antibody Dilution Buffer</w:t>
            </w:r>
          </w:p>
        </w:tc>
        <w:tc>
          <w:tcPr>
            <w:tcW w:w="2371"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5ml/10ml</w:t>
            </w:r>
          </w:p>
        </w:tc>
        <w:tc>
          <w:tcPr>
            <w:tcW w:w="2292"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4°C</w:t>
            </w:r>
          </w:p>
        </w:tc>
      </w:tr>
      <w:tr w:rsidR="00D879FF" w:rsidRPr="00824D58" w:rsidTr="00341D9B">
        <w:tc>
          <w:tcPr>
            <w:tcW w:w="3773"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HRP-Streptavidin Conjugate (SABC)</w:t>
            </w:r>
          </w:p>
        </w:tc>
        <w:tc>
          <w:tcPr>
            <w:tcW w:w="2371"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60ul/120ul</w:t>
            </w:r>
          </w:p>
        </w:tc>
        <w:tc>
          <w:tcPr>
            <w:tcW w:w="2292"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4°C(Protect from light)</w:t>
            </w:r>
          </w:p>
        </w:tc>
      </w:tr>
      <w:tr w:rsidR="00D879FF" w:rsidRPr="00824D58" w:rsidTr="00341D9B">
        <w:tc>
          <w:tcPr>
            <w:tcW w:w="3773"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SABC Dilution Buffer</w:t>
            </w:r>
          </w:p>
        </w:tc>
        <w:tc>
          <w:tcPr>
            <w:tcW w:w="2371"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5ml/10ml</w:t>
            </w:r>
          </w:p>
        </w:tc>
        <w:tc>
          <w:tcPr>
            <w:tcW w:w="2292"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4°C</w:t>
            </w:r>
          </w:p>
        </w:tc>
      </w:tr>
      <w:tr w:rsidR="00D879FF" w:rsidRPr="00824D58" w:rsidTr="00341D9B">
        <w:tc>
          <w:tcPr>
            <w:tcW w:w="3773"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TMB Substrate</w:t>
            </w:r>
          </w:p>
        </w:tc>
        <w:tc>
          <w:tcPr>
            <w:tcW w:w="2371"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5ml/10ml</w:t>
            </w:r>
          </w:p>
        </w:tc>
        <w:tc>
          <w:tcPr>
            <w:tcW w:w="2292"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4°C(Protect from light)</w:t>
            </w:r>
          </w:p>
        </w:tc>
      </w:tr>
      <w:tr w:rsidR="00D879FF" w:rsidRPr="00824D58" w:rsidTr="00341D9B">
        <w:tc>
          <w:tcPr>
            <w:tcW w:w="3773"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Stop Solution</w:t>
            </w:r>
          </w:p>
        </w:tc>
        <w:tc>
          <w:tcPr>
            <w:tcW w:w="2371"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5ml/10ml</w:t>
            </w:r>
          </w:p>
        </w:tc>
        <w:tc>
          <w:tcPr>
            <w:tcW w:w="2292"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4°C</w:t>
            </w:r>
          </w:p>
        </w:tc>
      </w:tr>
      <w:tr w:rsidR="00D879FF" w:rsidRPr="00824D58" w:rsidTr="00341D9B">
        <w:tc>
          <w:tcPr>
            <w:tcW w:w="3773"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Wash Buffer (25×)</w:t>
            </w:r>
          </w:p>
        </w:tc>
        <w:tc>
          <w:tcPr>
            <w:tcW w:w="2371"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15ml/30ml</w:t>
            </w:r>
          </w:p>
        </w:tc>
        <w:tc>
          <w:tcPr>
            <w:tcW w:w="2292"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4°C</w:t>
            </w:r>
          </w:p>
        </w:tc>
      </w:tr>
      <w:tr w:rsidR="00D879FF" w:rsidRPr="00824D58" w:rsidTr="00341D9B">
        <w:tc>
          <w:tcPr>
            <w:tcW w:w="3773"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Plate sealer</w:t>
            </w:r>
          </w:p>
        </w:tc>
        <w:tc>
          <w:tcPr>
            <w:tcW w:w="2371"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3/5pieces</w:t>
            </w:r>
          </w:p>
        </w:tc>
        <w:tc>
          <w:tcPr>
            <w:tcW w:w="2292" w:type="dxa"/>
            <w:vAlign w:val="center"/>
          </w:tcPr>
          <w:p w:rsidR="00D879FF" w:rsidRPr="00824D58" w:rsidRDefault="00D879FF" w:rsidP="006C7FED">
            <w:pPr>
              <w:jc w:val="center"/>
              <w:rPr>
                <w:rFonts w:eastAsia="Calibri" w:cs="Times New Roman"/>
                <w:lang w:bidi="ar-IQ"/>
              </w:rPr>
            </w:pPr>
          </w:p>
        </w:tc>
      </w:tr>
      <w:tr w:rsidR="00D879FF" w:rsidRPr="00824D58" w:rsidTr="00341D9B">
        <w:tc>
          <w:tcPr>
            <w:tcW w:w="3773"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Product Description</w:t>
            </w:r>
          </w:p>
        </w:tc>
        <w:tc>
          <w:tcPr>
            <w:tcW w:w="2371" w:type="dxa"/>
            <w:vAlign w:val="center"/>
          </w:tcPr>
          <w:p w:rsidR="00D879FF" w:rsidRPr="00824D58" w:rsidRDefault="00D879FF" w:rsidP="006C7FED">
            <w:pPr>
              <w:jc w:val="center"/>
              <w:rPr>
                <w:rFonts w:eastAsia="Calibri" w:cs="Times New Roman"/>
                <w:lang w:bidi="ar-IQ"/>
              </w:rPr>
            </w:pPr>
            <w:r w:rsidRPr="00824D58">
              <w:rPr>
                <w:rFonts w:eastAsia="Calibri" w:cs="Times New Roman"/>
                <w:lang w:bidi="ar-IQ"/>
              </w:rPr>
              <w:t>1 copy</w:t>
            </w:r>
          </w:p>
        </w:tc>
        <w:tc>
          <w:tcPr>
            <w:tcW w:w="2292" w:type="dxa"/>
            <w:vAlign w:val="center"/>
          </w:tcPr>
          <w:p w:rsidR="00D879FF" w:rsidRPr="00824D58" w:rsidRDefault="00D879FF" w:rsidP="006C7FED">
            <w:pPr>
              <w:jc w:val="center"/>
              <w:rPr>
                <w:rFonts w:eastAsia="Calibri" w:cs="Times New Roman"/>
                <w:lang w:bidi="ar-IQ"/>
              </w:rPr>
            </w:pPr>
          </w:p>
        </w:tc>
      </w:tr>
    </w:tbl>
    <w:p w:rsidR="00D879FF" w:rsidRPr="00824D58" w:rsidRDefault="00D879FF" w:rsidP="00634442">
      <w:pPr>
        <w:spacing w:after="0"/>
        <w:ind w:firstLine="284"/>
        <w:rPr>
          <w:rFonts w:eastAsia="Calibri" w:cs="Times New Roman"/>
          <w:lang w:bidi="ar-IQ"/>
        </w:rPr>
      </w:pPr>
    </w:p>
    <w:p w:rsidR="00634442" w:rsidRPr="00824D58" w:rsidRDefault="00634442" w:rsidP="003F2A02">
      <w:pPr>
        <w:spacing w:after="480"/>
        <w:contextualSpacing/>
        <w:rPr>
          <w:rFonts w:eastAsia="Calibri" w:cs="Times New Roman"/>
          <w:lang w:bidi="ar-IQ"/>
        </w:rPr>
      </w:pPr>
    </w:p>
    <w:p w:rsidR="00D879FF" w:rsidRPr="00824D58" w:rsidRDefault="00D879FF" w:rsidP="00634442">
      <w:pPr>
        <w:pStyle w:val="Heading4"/>
        <w:numPr>
          <w:ilvl w:val="3"/>
          <w:numId w:val="6"/>
        </w:numPr>
        <w:spacing w:before="0"/>
        <w:jc w:val="left"/>
      </w:pPr>
      <w:r w:rsidRPr="00824D58">
        <w:t>Regarding Calculation</w:t>
      </w:r>
    </w:p>
    <w:p w:rsidR="00634442" w:rsidRPr="00824D58" w:rsidRDefault="00634442" w:rsidP="00634442">
      <w:pPr>
        <w:spacing w:after="0"/>
      </w:pPr>
    </w:p>
    <w:p w:rsidR="00634442" w:rsidRPr="00824D58" w:rsidRDefault="006D7498" w:rsidP="00873A3B">
      <w:pPr>
        <w:spacing w:after="0"/>
        <w:contextualSpacing/>
        <w:rPr>
          <w:rFonts w:eastAsia="Calibri" w:cs="Times New Roman"/>
          <w:lang w:bidi="ar-IQ"/>
        </w:rPr>
      </w:pPr>
      <w:r w:rsidRPr="006D7498">
        <w:rPr>
          <w:rFonts w:eastAsia="Calibri" w:cs="Times New Roman"/>
          <w:lang w:bidi="ar-IQ"/>
        </w:rPr>
        <w:t>(</w:t>
      </w:r>
      <w:r w:rsidR="00873A3B" w:rsidRPr="00873A3B">
        <w:rPr>
          <w:rFonts w:eastAsia="Calibri" w:cs="Times New Roman"/>
          <w:lang w:bidi="ar-IQ"/>
        </w:rPr>
        <w:t xml:space="preserve">The optical density relative to 450) = (the optical density relative to 450 of each well) – (the O.D.450nm blank well). The standard curve may be shown by plotting the relative O.D.450 value of each standard (Y) versus the concentration of the standard solution. </w:t>
      </w:r>
      <w:r w:rsidRPr="006D7498">
        <w:rPr>
          <w:rFonts w:eastAsia="Calibri" w:cs="Times New Roman"/>
          <w:lang w:bidi="ar-IQ"/>
        </w:rPr>
        <w:t>(X). Interpolation of the Samples' target concentration from the standard curve is possible. It is suggested that you do this computation using any expert program, such as.</w:t>
      </w:r>
    </w:p>
    <w:p w:rsidR="00634442" w:rsidRPr="00824D58" w:rsidRDefault="00634442" w:rsidP="00634442">
      <w:pPr>
        <w:spacing w:after="0"/>
        <w:contextualSpacing/>
        <w:rPr>
          <w:rFonts w:eastAsia="Calibri" w:cs="Times New Roman"/>
          <w:lang w:bidi="ar-IQ"/>
        </w:rPr>
      </w:pPr>
    </w:p>
    <w:p w:rsidR="00D879FF" w:rsidRPr="00824D58" w:rsidRDefault="00D879FF" w:rsidP="00634442">
      <w:pPr>
        <w:pStyle w:val="Heading3"/>
        <w:numPr>
          <w:ilvl w:val="2"/>
          <w:numId w:val="6"/>
        </w:numPr>
        <w:spacing w:before="0" w:after="0"/>
        <w:ind w:left="567" w:hanging="567"/>
        <w:jc w:val="left"/>
        <w:rPr>
          <w:rFonts w:eastAsia="Calibri"/>
          <w:lang w:bidi="ar-IQ"/>
        </w:rPr>
      </w:pPr>
      <w:bookmarkStart w:id="157" w:name="_Toc59130700"/>
      <w:bookmarkStart w:id="158" w:name="_Toc60183464"/>
      <w:r w:rsidRPr="00824D58">
        <w:rPr>
          <w:rFonts w:eastAsia="Calibri"/>
          <w:lang w:bidi="ar-IQ"/>
        </w:rPr>
        <w:t>CRP (0004956842190c501V11.0)</w:t>
      </w:r>
      <w:bookmarkEnd w:id="157"/>
      <w:bookmarkEnd w:id="158"/>
    </w:p>
    <w:p w:rsidR="00634442" w:rsidRPr="00824D58" w:rsidRDefault="00634442" w:rsidP="00634442">
      <w:pPr>
        <w:spacing w:after="0"/>
        <w:rPr>
          <w:lang w:bidi="ar-IQ"/>
        </w:rPr>
      </w:pPr>
    </w:p>
    <w:p w:rsidR="00634442" w:rsidRDefault="006D7498" w:rsidP="00E7588E">
      <w:pPr>
        <w:spacing w:after="0"/>
        <w:rPr>
          <w:rFonts w:eastAsia="Calibri" w:cs="Times New Roman"/>
          <w:lang w:bidi="ar-IQ"/>
        </w:rPr>
      </w:pPr>
      <w:r w:rsidRPr="006D7498">
        <w:rPr>
          <w:rFonts w:eastAsia="Calibri" w:cs="Times New Roman"/>
          <w:lang w:bidi="ar-IQ"/>
        </w:rPr>
        <w:t>The C-reactive protein (CRP) test is used to determine the blood level of C-reactive protein (CRP). C-reactive protein is a liver-produced protein. It enters the circulation as a result of inflammation. Inflammation is the body's defense mechanism against damage or illness.</w:t>
      </w:r>
      <w:r w:rsidR="00E7588E">
        <w:rPr>
          <w:rFonts w:eastAsia="Calibri" w:cs="Times New Roman"/>
          <w:lang w:bidi="ar-IQ"/>
        </w:rPr>
        <w:t xml:space="preserve"> </w:t>
      </w:r>
      <w:r w:rsidR="00873A3B" w:rsidRPr="00873A3B">
        <w:rPr>
          <w:rFonts w:eastAsia="Calibri" w:cs="Times New Roman"/>
          <w:lang w:bidi="ar-IQ"/>
        </w:rPr>
        <w:t xml:space="preserve">A high level of CRP in the blood indicates inflammation. It is caused by a variety of illnesses, ranging from infection to cancer. Increased CRP levels may also indicate inflammation in the coronary arteries, implying an increased risk of coronary artery disease. </w:t>
      </w:r>
      <w:r w:rsidRPr="006D7498">
        <w:rPr>
          <w:rFonts w:eastAsia="Calibri" w:cs="Times New Roman"/>
          <w:lang w:bidi="ar-IQ"/>
        </w:rPr>
        <w:t>heart attack.</w:t>
      </w:r>
    </w:p>
    <w:p w:rsidR="006D7498" w:rsidRPr="00824D58" w:rsidRDefault="006D7498" w:rsidP="006D7498">
      <w:pPr>
        <w:spacing w:after="0"/>
        <w:rPr>
          <w:rFonts w:eastAsia="Calibri" w:cs="Times New Roman"/>
          <w:lang w:bidi="ar-IQ"/>
        </w:rPr>
      </w:pPr>
    </w:p>
    <w:p w:rsidR="00D879FF" w:rsidRPr="00824D58" w:rsidRDefault="00D879FF" w:rsidP="00634442">
      <w:pPr>
        <w:pStyle w:val="Heading4"/>
        <w:numPr>
          <w:ilvl w:val="3"/>
          <w:numId w:val="6"/>
        </w:numPr>
        <w:spacing w:before="0"/>
        <w:jc w:val="left"/>
      </w:pPr>
      <w:r w:rsidRPr="00824D58">
        <w:t xml:space="preserve">Principle </w:t>
      </w:r>
    </w:p>
    <w:p w:rsidR="00634442" w:rsidRPr="00824D58" w:rsidRDefault="00634442" w:rsidP="00634442">
      <w:pPr>
        <w:spacing w:after="0"/>
      </w:pPr>
    </w:p>
    <w:p w:rsidR="00634442" w:rsidRDefault="006D7498" w:rsidP="00D879FF">
      <w:pPr>
        <w:spacing w:after="0"/>
        <w:rPr>
          <w:rFonts w:eastAsia="Calibri" w:cs="Times New Roman"/>
          <w:lang w:bidi="ar-IQ"/>
        </w:rPr>
      </w:pPr>
      <w:r w:rsidRPr="006D7498">
        <w:rPr>
          <w:rFonts w:eastAsia="Calibri" w:cs="Times New Roman"/>
          <w:lang w:bidi="ar-IQ"/>
        </w:rPr>
        <w:t>Immunoturbidimetric test with particle enhancement. With latex particles coated with monoclonal antiCRP antibodies, human CRP agglutinates. Turbidimetric analysis is used to determine the aggregates.</w:t>
      </w:r>
    </w:p>
    <w:p w:rsidR="006D7498" w:rsidRPr="00824D58" w:rsidRDefault="006D7498" w:rsidP="00D879FF">
      <w:pPr>
        <w:spacing w:after="0"/>
        <w:rPr>
          <w:rFonts w:eastAsia="Calibri" w:cs="Times New Roman"/>
          <w:lang w:bidi="ar-IQ"/>
        </w:rPr>
      </w:pPr>
    </w:p>
    <w:p w:rsidR="00D879FF" w:rsidRPr="00824D58" w:rsidRDefault="00D879FF" w:rsidP="00634442">
      <w:pPr>
        <w:pStyle w:val="Heading4"/>
        <w:numPr>
          <w:ilvl w:val="3"/>
          <w:numId w:val="6"/>
        </w:numPr>
        <w:spacing w:before="0"/>
        <w:jc w:val="left"/>
      </w:pPr>
      <w:r w:rsidRPr="00824D58">
        <w:t>Reagents - Working Solutions</w:t>
      </w:r>
    </w:p>
    <w:p w:rsidR="00634442" w:rsidRPr="00824D58" w:rsidRDefault="00634442" w:rsidP="00634442">
      <w:pPr>
        <w:spacing w:after="0"/>
      </w:pPr>
    </w:p>
    <w:p w:rsidR="00634442" w:rsidRPr="00824D58" w:rsidRDefault="003F2A02" w:rsidP="003F2A02">
      <w:pPr>
        <w:spacing w:after="480"/>
        <w:rPr>
          <w:rFonts w:eastAsia="Calibri" w:cs="Times New Roman"/>
          <w:lang w:bidi="ar-IQ"/>
        </w:rPr>
      </w:pPr>
      <w:r w:rsidRPr="003F2A02">
        <w:rPr>
          <w:rFonts w:eastAsia="Calibri" w:cs="Times New Roman"/>
          <w:lang w:bidi="ar-IQ"/>
        </w:rPr>
        <w:t>R1 contains a buffer made of bovine serum albumin as well as preservatives.</w:t>
      </w:r>
      <w:r>
        <w:rPr>
          <w:rFonts w:eastAsia="Calibri" w:cs="Times New Roman" w:hint="cs"/>
          <w:rtl/>
          <w:lang w:bidi="ar-IQ"/>
        </w:rPr>
        <w:t xml:space="preserve"> </w:t>
      </w:r>
      <w:r w:rsidRPr="003F2A02">
        <w:rPr>
          <w:rFonts w:eastAsia="Calibri" w:cs="Times New Roman"/>
          <w:lang w:bidi="ar-IQ"/>
        </w:rPr>
        <w:t>R2 contains immunoglobulins derived from mice, latex particles that have been coated with anti-CRP antibodies derived from mice, and a preservative.</w:t>
      </w:r>
    </w:p>
    <w:p w:rsidR="00D879FF" w:rsidRPr="00824D58" w:rsidRDefault="00D879FF" w:rsidP="00634442">
      <w:pPr>
        <w:pStyle w:val="Heading4"/>
        <w:numPr>
          <w:ilvl w:val="3"/>
          <w:numId w:val="6"/>
        </w:numPr>
        <w:spacing w:before="0"/>
        <w:jc w:val="left"/>
      </w:pPr>
      <w:r w:rsidRPr="00824D58">
        <w:t>Procedure</w:t>
      </w:r>
    </w:p>
    <w:p w:rsidR="00634442" w:rsidRPr="00824D58" w:rsidRDefault="00634442" w:rsidP="00634442">
      <w:pPr>
        <w:spacing w:after="0"/>
      </w:pPr>
    </w:p>
    <w:p w:rsidR="00D879FF" w:rsidRPr="00824D58" w:rsidRDefault="00D879FF" w:rsidP="00634442">
      <w:pPr>
        <w:spacing w:after="0"/>
        <w:rPr>
          <w:rFonts w:eastAsia="Calibri" w:cs="Times New Roman"/>
          <w:lang w:bidi="ar-IQ"/>
        </w:rPr>
      </w:pPr>
      <w:r w:rsidRPr="00824D58">
        <w:rPr>
          <w:rFonts w:eastAsia="Calibri" w:cs="Times New Roman"/>
          <w:lang w:bidi="ar-IQ"/>
        </w:rPr>
        <w:t>By Cobas C111 systems automatically calculate the results and the analytic concentration of each sample</w:t>
      </w:r>
      <w:r w:rsidRPr="00824D58">
        <w:rPr>
          <w:rFonts w:eastAsia="Calibri" w:cs="Times New Roman"/>
          <w:rtl/>
          <w:lang w:bidi="ar-IQ"/>
        </w:rPr>
        <w:t>.</w:t>
      </w:r>
    </w:p>
    <w:p w:rsidR="00634442" w:rsidRPr="00824D58" w:rsidRDefault="00634442" w:rsidP="00634442">
      <w:pPr>
        <w:spacing w:after="0"/>
        <w:rPr>
          <w:rFonts w:eastAsia="Calibri" w:cs="Times New Roman"/>
          <w:lang w:bidi="ar-IQ"/>
        </w:rPr>
      </w:pPr>
    </w:p>
    <w:p w:rsidR="00D879FF" w:rsidRPr="00824D58" w:rsidRDefault="00D879FF" w:rsidP="00634442">
      <w:pPr>
        <w:pStyle w:val="Heading3"/>
        <w:numPr>
          <w:ilvl w:val="2"/>
          <w:numId w:val="6"/>
        </w:numPr>
        <w:spacing w:before="0" w:after="0"/>
        <w:jc w:val="left"/>
        <w:rPr>
          <w:rFonts w:eastAsia="Calibri"/>
          <w:lang w:bidi="ar-IQ"/>
        </w:rPr>
      </w:pPr>
      <w:bookmarkStart w:id="159" w:name="_Toc59130701"/>
      <w:bookmarkStart w:id="160" w:name="_Toc60183465"/>
      <w:r w:rsidRPr="00824D58">
        <w:rPr>
          <w:rFonts w:eastAsia="Calibri"/>
          <w:lang w:bidi="ar-IQ"/>
        </w:rPr>
        <w:t>Hepcidin (MBS2881688)</w:t>
      </w:r>
      <w:bookmarkEnd w:id="159"/>
      <w:bookmarkEnd w:id="160"/>
    </w:p>
    <w:p w:rsidR="00634442" w:rsidRPr="00824D58" w:rsidRDefault="00634442" w:rsidP="00634442">
      <w:pPr>
        <w:spacing w:after="0"/>
        <w:rPr>
          <w:lang w:bidi="ar-IQ"/>
        </w:rPr>
      </w:pPr>
    </w:p>
    <w:p w:rsidR="00D879FF" w:rsidRPr="00824D58" w:rsidRDefault="006D7498" w:rsidP="00634442">
      <w:pPr>
        <w:spacing w:after="0"/>
        <w:rPr>
          <w:rFonts w:eastAsia="Calibri" w:cs="Times New Roman"/>
          <w:lang w:bidi="ar-IQ"/>
        </w:rPr>
      </w:pPr>
      <w:r w:rsidRPr="006D7498">
        <w:rPr>
          <w:rFonts w:eastAsia="Calibri" w:cs="Times New Roman"/>
          <w:lang w:bidi="ar-IQ"/>
        </w:rPr>
        <w:t>Hepcidin is a protein that is encoded by the HAMP gene in humans. Hepcidin is a critical regulator of the iron element's entrance into the mammalian circulatory system.</w:t>
      </w:r>
      <w:r w:rsidR="00D879FF" w:rsidRPr="00824D58">
        <w:rPr>
          <w:rFonts w:eastAsia="Calibri" w:cs="Times New Roman"/>
          <w:lang w:bidi="ar-IQ"/>
        </w:rPr>
        <w:t>. Hepcidin is decreased in iron element deficiency anemia, hemolytic anemia</w:t>
      </w:r>
      <w:r w:rsidR="00FC5CC1">
        <w:rPr>
          <w:rFonts w:eastAsia="Calibri" w:cs="Times New Roman"/>
          <w:lang w:bidi="ar-IQ"/>
        </w:rPr>
        <w:t>,&amp;</w:t>
      </w:r>
      <w:r w:rsidR="00D879FF" w:rsidRPr="00824D58">
        <w:rPr>
          <w:rFonts w:eastAsia="Calibri" w:cs="Times New Roman"/>
          <w:lang w:bidi="ar-IQ"/>
        </w:rPr>
        <w:t xml:space="preserve"> anemia’swith ineffective erythropoiesis. The mechanisms may be mediating hepcidin suppression in these conditions, however, may not be the same.</w:t>
      </w:r>
    </w:p>
    <w:p w:rsidR="00634442" w:rsidRPr="00824D58" w:rsidRDefault="00634442" w:rsidP="00634442">
      <w:pPr>
        <w:spacing w:after="0"/>
        <w:rPr>
          <w:rFonts w:eastAsia="Calibri" w:cs="Times New Roman"/>
          <w:lang w:bidi="ar-IQ"/>
        </w:rPr>
      </w:pPr>
    </w:p>
    <w:p w:rsidR="00D879FF" w:rsidRPr="00824D58" w:rsidRDefault="00D56277" w:rsidP="00634442">
      <w:pPr>
        <w:pStyle w:val="Heading4"/>
        <w:numPr>
          <w:ilvl w:val="3"/>
          <w:numId w:val="6"/>
        </w:numPr>
        <w:spacing w:before="0"/>
        <w:jc w:val="left"/>
      </w:pPr>
      <w:r w:rsidRPr="00824D58">
        <w:t>Principle o</w:t>
      </w:r>
      <w:r w:rsidR="00D879FF" w:rsidRPr="00824D58">
        <w:t xml:space="preserve">f Assay </w:t>
      </w:r>
    </w:p>
    <w:p w:rsidR="00634442" w:rsidRPr="00824D58" w:rsidRDefault="00634442" w:rsidP="00634442">
      <w:pPr>
        <w:spacing w:after="0"/>
      </w:pPr>
    </w:p>
    <w:p w:rsidR="00634442" w:rsidRPr="00824D58" w:rsidRDefault="00615346" w:rsidP="003F2A02">
      <w:pPr>
        <w:spacing w:after="480"/>
        <w:rPr>
          <w:rFonts w:eastAsia="Calibri" w:cs="Times New Roman"/>
          <w:lang w:bidi="ar-IQ"/>
        </w:rPr>
      </w:pPr>
      <w:r w:rsidRPr="00615346">
        <w:rPr>
          <w:rFonts w:eastAsia="Calibri" w:cs="Times New Roman"/>
          <w:lang w:bidi="ar-IQ"/>
        </w:rPr>
        <w:t xml:space="preserve">This kit includes a microtiter plate that has been pre-coated with an antibody specific to the target antigen (Hipsidin hormone). After incubating standards or samples with a biotin-conjugated antibody preparation specific for the target antigen in the relevant microtiter plate wells, each microplate well is treated with avidin linked to Horseradish Peroxidase (HRP). </w:t>
      </w:r>
      <w:r w:rsidR="003F2A02" w:rsidRPr="003F2A02">
        <w:rPr>
          <w:rFonts w:eastAsia="Calibri" w:cs="Times New Roman"/>
          <w:lang w:bidi="ar-IQ"/>
        </w:rPr>
        <w:t>Then, a substrate solution containing TMB is applied to each well. There will be variation in the color of the wells containing the target antigen, biotin-conjugated antibody, and enzyme-conjugated Avidin. To terminate the enzyme-substrate interaction, a sulphuric acid solution is introduced, and the spectrophotometric color shift at 450 nm 2 nm is detected.</w:t>
      </w:r>
      <w:r w:rsidRPr="00615346">
        <w:rPr>
          <w:rFonts w:eastAsia="Calibri" w:cs="Times New Roman"/>
          <w:lang w:bidi="ar-IQ"/>
        </w:rPr>
        <w:t xml:space="preserve"> The concentration of target antigen in the samples is then determined by comparing them to the reference curve's optical density (OD).</w:t>
      </w:r>
    </w:p>
    <w:p w:rsidR="00D879FF" w:rsidRPr="00824D58" w:rsidRDefault="00D879FF" w:rsidP="00E7588E">
      <w:pPr>
        <w:pStyle w:val="Heading4"/>
        <w:keepNext w:val="0"/>
        <w:keepLines w:val="0"/>
        <w:numPr>
          <w:ilvl w:val="3"/>
          <w:numId w:val="6"/>
        </w:numPr>
        <w:spacing w:before="0" w:after="480"/>
        <w:jc w:val="left"/>
      </w:pPr>
      <w:r w:rsidRPr="00824D58">
        <w:t xml:space="preserve">Reagent preparation </w:t>
      </w:r>
    </w:p>
    <w:p w:rsidR="00D879FF" w:rsidRPr="00824D58" w:rsidRDefault="00D879FF" w:rsidP="006D7498">
      <w:pPr>
        <w:spacing w:after="0"/>
        <w:rPr>
          <w:rFonts w:eastAsia="Calibri" w:cs="Times New Roman"/>
          <w:lang w:bidi="ar-IQ"/>
        </w:rPr>
      </w:pPr>
      <w:r w:rsidRPr="00824D58">
        <w:rPr>
          <w:rFonts w:eastAsia="Calibri" w:cs="Times New Roman"/>
          <w:lang w:bidi="ar-IQ"/>
        </w:rPr>
        <w:t>Standard - Please refer to the Data Sheet inserting in the kit</w:t>
      </w:r>
      <w:r w:rsidR="006D7498" w:rsidRPr="006D7498">
        <w:rPr>
          <w:rFonts w:eastAsia="Calibri" w:cs="Times New Roman"/>
          <w:lang w:bidi="ar-IQ"/>
        </w:rPr>
        <w:t>.Detection Reagents A and B - Using the Assay, dilute to the working concentration. Diluents A and B (1:100) are used. If crystals have developed in the concentrate, bring it to room temperature and gently stir until all crystals have dissolved. 30mL Wash Buffer diluted Prepare 750 mL of Wash Buffer by diluting the concentrate with deionized or distilled water.</w:t>
      </w:r>
    </w:p>
    <w:p w:rsidR="00634442" w:rsidRPr="00824D58" w:rsidRDefault="00634442" w:rsidP="00634442">
      <w:pPr>
        <w:spacing w:after="0"/>
        <w:rPr>
          <w:rFonts w:eastAsia="Calibri" w:cs="Times New Roman"/>
          <w:lang w:bidi="ar-IQ"/>
        </w:rPr>
      </w:pPr>
    </w:p>
    <w:p w:rsidR="00D879FF" w:rsidRPr="00824D58" w:rsidRDefault="00D879FF" w:rsidP="00634442">
      <w:pPr>
        <w:pStyle w:val="Heading3"/>
        <w:numPr>
          <w:ilvl w:val="2"/>
          <w:numId w:val="6"/>
        </w:numPr>
        <w:spacing w:before="0" w:after="0"/>
        <w:jc w:val="left"/>
        <w:rPr>
          <w:rFonts w:eastAsia="Calibri"/>
          <w:lang w:val="en-GB" w:bidi="ar-IQ"/>
        </w:rPr>
      </w:pPr>
      <w:bookmarkStart w:id="161" w:name="_Toc59130702"/>
      <w:bookmarkStart w:id="162" w:name="_Toc60183466"/>
      <w:r w:rsidRPr="00824D58">
        <w:rPr>
          <w:rFonts w:eastAsia="Calibri"/>
          <w:lang w:val="en-GB" w:bidi="ar-IQ"/>
        </w:rPr>
        <w:t>FSH (425-300)</w:t>
      </w:r>
      <w:bookmarkEnd w:id="161"/>
      <w:bookmarkEnd w:id="162"/>
    </w:p>
    <w:p w:rsidR="00634442" w:rsidRPr="00824D58" w:rsidRDefault="00634442" w:rsidP="00634442">
      <w:pPr>
        <w:spacing w:after="0"/>
        <w:rPr>
          <w:lang w:val="en-GB" w:bidi="ar-IQ"/>
        </w:rPr>
      </w:pPr>
    </w:p>
    <w:p w:rsidR="00D879FF" w:rsidRPr="00824D58" w:rsidRDefault="00D879FF" w:rsidP="00615346">
      <w:pPr>
        <w:spacing w:after="0"/>
        <w:rPr>
          <w:rFonts w:eastAsia="Calibri" w:cs="Times New Roman"/>
          <w:lang w:val="en-GB" w:bidi="ar-IQ"/>
        </w:rPr>
      </w:pPr>
      <w:r w:rsidRPr="00824D58">
        <w:rPr>
          <w:rFonts w:eastAsia="Calibri" w:cs="Times New Roman"/>
          <w:lang w:val="en-GB" w:bidi="ar-IQ"/>
        </w:rPr>
        <w:t xml:space="preserve">In our study, one of the important tests that we were researched that is </w:t>
      </w:r>
      <w:r w:rsidR="009B5292" w:rsidRPr="009B5292">
        <w:rPr>
          <w:rFonts w:eastAsia="Calibri" w:cs="Times New Roman"/>
          <w:lang w:val="en-GB" w:bidi="ar-IQ"/>
        </w:rPr>
        <w:t xml:space="preserve">FSH, or follicle-stimulating hormone, is a hormone that is required for pubertal growth and normal ovarian and testicular function in women and men. </w:t>
      </w:r>
      <w:r w:rsidR="00615346" w:rsidRPr="00615346">
        <w:rPr>
          <w:rFonts w:eastAsia="Calibri" w:cs="Times New Roman"/>
          <w:lang w:val="en-GB" w:bidi="ar-IQ"/>
        </w:rPr>
        <w:t>This hormone stimulates ovarian follicle growth in women prior to the release of an egg from a single follicle during ovulation. Additionally, it increases oestradiol production. FSH is produced by the pituitary gland, a small organ located under the brain. FSH is needed for the proper development and function of the sexual organs. FSH has a role in women's menstrual cycle control and stimu</w:t>
      </w:r>
      <w:r w:rsidR="00615346">
        <w:rPr>
          <w:rFonts w:eastAsia="Calibri" w:cs="Times New Roman"/>
          <w:lang w:val="en-GB" w:bidi="ar-IQ"/>
        </w:rPr>
        <w:t>lates egg growth in the ovaries</w:t>
      </w:r>
      <w:r w:rsidRPr="00824D58">
        <w:rPr>
          <w:rFonts w:eastAsia="Calibri" w:cs="Times New Roman"/>
          <w:lang w:val="en-GB" w:bidi="ar-IQ"/>
        </w:rPr>
        <w:t>.</w:t>
      </w:r>
    </w:p>
    <w:p w:rsidR="00634442" w:rsidRPr="00824D58" w:rsidRDefault="00634442" w:rsidP="00634442">
      <w:pPr>
        <w:spacing w:after="0"/>
        <w:rPr>
          <w:rFonts w:eastAsia="Calibri" w:cs="Times New Roman"/>
          <w:lang w:val="en-GB" w:bidi="ar-IQ"/>
        </w:rPr>
      </w:pPr>
    </w:p>
    <w:p w:rsidR="00634442" w:rsidRPr="00824D58" w:rsidRDefault="00634442" w:rsidP="00634442">
      <w:pPr>
        <w:spacing w:after="0"/>
        <w:rPr>
          <w:rFonts w:eastAsia="Calibri" w:cs="Times New Roman"/>
          <w:sz w:val="6"/>
          <w:szCs w:val="6"/>
          <w:lang w:val="en-GB" w:bidi="ar-IQ"/>
        </w:rPr>
      </w:pPr>
    </w:p>
    <w:p w:rsidR="00D879FF" w:rsidRPr="00824D58" w:rsidRDefault="00D879FF" w:rsidP="00634442">
      <w:pPr>
        <w:pStyle w:val="Heading4"/>
        <w:numPr>
          <w:ilvl w:val="3"/>
          <w:numId w:val="6"/>
        </w:numPr>
        <w:spacing w:before="0"/>
        <w:jc w:val="left"/>
      </w:pPr>
      <w:r w:rsidRPr="00824D58">
        <w:t>Principle</w:t>
      </w:r>
    </w:p>
    <w:p w:rsidR="00634442" w:rsidRPr="00824D58" w:rsidRDefault="00634442" w:rsidP="00634442">
      <w:pPr>
        <w:spacing w:after="0"/>
      </w:pPr>
    </w:p>
    <w:p w:rsidR="00634442" w:rsidRPr="00824D58" w:rsidRDefault="00615346" w:rsidP="003F2A02">
      <w:pPr>
        <w:spacing w:after="0"/>
        <w:rPr>
          <w:rFonts w:eastAsia="Calibri" w:cs="Times New Roman"/>
          <w:lang w:val="en-GB" w:bidi="ar-IQ"/>
        </w:rPr>
      </w:pPr>
      <w:r w:rsidRPr="00615346">
        <w:rPr>
          <w:rFonts w:eastAsia="Calibri" w:cs="Times New Roman"/>
          <w:lang w:val="en-GB" w:bidi="ar-IQ"/>
        </w:rPr>
        <w:t xml:space="preserve">Immunoenzymometric tests need a large quantity of high affinity and specificity antibodies (enzyme and immobilized), as well as natural antigen. </w:t>
      </w:r>
      <w:r w:rsidR="003F2A02" w:rsidRPr="003F2A02">
        <w:rPr>
          <w:rFonts w:eastAsia="Calibri" w:cs="Times New Roman"/>
          <w:lang w:val="en-GB" w:bidi="ar-IQ"/>
        </w:rPr>
        <w:t>Immobilization occurs at the surface of the microplate well during the test as a consequence of the interaction between streptavidin-coated wells and biotinylated monoclonal anti-FSH antibody that is supplied exogenously. This interaction is caused by the biotinylation of the monoclonal anti-FSH antibody.</w:t>
      </w:r>
      <w:r w:rsidRPr="00615346">
        <w:rPr>
          <w:rFonts w:eastAsia="Calibri" w:cs="Times New Roman"/>
          <w:lang w:val="en-GB" w:bidi="ar-IQ"/>
        </w:rPr>
        <w:t xml:space="preserve"> When a monoclonal antibody is biotinylated</w:t>
      </w:r>
      <w:r w:rsidR="009B5292" w:rsidRPr="009B5292">
        <w:rPr>
          <w:rFonts w:eastAsia="Calibri" w:cs="Times New Roman"/>
          <w:lang w:val="en-GB" w:bidi="ar-IQ"/>
        </w:rPr>
        <w:t>, an enzyme-labelled antibody</w:t>
      </w:r>
      <w:r w:rsidR="00FC5CC1">
        <w:rPr>
          <w:rFonts w:eastAsia="Calibri" w:cs="Times New Roman"/>
          <w:lang w:val="en-GB" w:bidi="ar-IQ"/>
        </w:rPr>
        <w:t>,&amp;</w:t>
      </w:r>
      <w:r w:rsidR="009B5292" w:rsidRPr="009B5292">
        <w:rPr>
          <w:rFonts w:eastAsia="Calibri" w:cs="Times New Roman"/>
          <w:lang w:val="en-GB" w:bidi="ar-IQ"/>
        </w:rPr>
        <w:t xml:space="preserve"> a serum containing the native antigen are combined, no competition or steric hindrance exists between the native antigen and the antibodies, leading in the formation of a soluble sandwich equation.</w:t>
      </w:r>
      <w:r w:rsidR="00E52A03" w:rsidRPr="00824D58">
        <w:rPr>
          <w:rFonts w:eastAsia="Calibri" w:cs="Times New Roman"/>
          <w:lang w:val="en-GB" w:bidi="ar-IQ"/>
        </w:rPr>
        <w:t>:</w:t>
      </w:r>
    </w:p>
    <w:p w:rsidR="00D879FF" w:rsidRPr="00824D58" w:rsidRDefault="008F1049" w:rsidP="00634442">
      <w:pPr>
        <w:spacing w:after="0"/>
        <w:rPr>
          <w:rFonts w:eastAsia="Calibri" w:cs="Times New Roman"/>
          <w:lang w:val="en-GB" w:bidi="ar-IQ"/>
        </w:rPr>
      </w:pPr>
      <w:r w:rsidRPr="00824D58">
        <w:rPr>
          <w:rFonts w:eastAsia="Calibri"/>
          <w:noProof/>
        </w:rPr>
        <mc:AlternateContent>
          <mc:Choice Requires="wps">
            <w:drawing>
              <wp:anchor distT="0" distB="0" distL="114300" distR="114300" simplePos="0" relativeHeight="251656192" behindDoc="0" locked="0" layoutInCell="1" allowOverlap="1" wp14:anchorId="2E017AC9" wp14:editId="09D04624">
                <wp:simplePos x="0" y="0"/>
                <wp:positionH relativeFrom="column">
                  <wp:posOffset>2175510</wp:posOffset>
                </wp:positionH>
                <wp:positionV relativeFrom="paragraph">
                  <wp:posOffset>114935</wp:posOffset>
                </wp:positionV>
                <wp:extent cx="843915" cy="3333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43915" cy="333375"/>
                        </a:xfrm>
                        <a:prstGeom prst="rect">
                          <a:avLst/>
                        </a:prstGeom>
                        <a:noFill/>
                        <a:ln w="9525">
                          <a:noFill/>
                          <a:miter lim="800000"/>
                          <a:headEnd/>
                          <a:tailEnd/>
                        </a:ln>
                      </wps:spPr>
                      <wps:txbx>
                        <w:txbxContent>
                          <w:p w:rsidR="000A66F6" w:rsidRPr="002177B5" w:rsidRDefault="000A66F6" w:rsidP="00D879FF">
                            <w:pPr>
                              <w:jc w:val="center"/>
                              <w:rPr>
                                <w:vertAlign w:val="subscript"/>
                              </w:rPr>
                            </w:pPr>
                            <w:r>
                              <w:t xml:space="preserve">K </w:t>
                            </w:r>
                            <w:r w:rsidRPr="002177B5">
                              <w:rPr>
                                <w:sz w:val="28"/>
                                <w:szCs w:val="28"/>
                                <w:vertAlign w:val="subscript"/>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1.3pt;margin-top:9.05pt;width:66.45pt;height:2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dg+wEAANwDAAAOAAAAZHJzL2Uyb0RvYy54bWysU8tu2zAQvBfoPxC815JfTSxYDtqmKQqk&#10;DyDpB6wpyiJKclmStuR+fZaU4xjtragOBMmdHe7sjtY3g9HsIH1QaGs+nZScSSuwUXZX8x+Pd2+u&#10;OQsRbAMaraz5UQZ+s3n9at27Ss6wQ91Iz4jEhqp3Ne9idFVRBNFJA2GCTloKtugNRDr6XdF46Ind&#10;6GJWlm+LHn3jPAoZAt3ejkG+yfxtK0X81rZBRqZrTrXFvPq8btNabNZQ7Ty4TolTGfAPVRhQlh49&#10;U91CBLb36i8qo4THgG2cCDQFtq0SMmsgNdPyDzUPHTiZtVBzgju3Kfw/WvH18N0z1dR8Xl5xZsHQ&#10;kB7lENl7HNgs9ad3oSLYgyNgHOia5py1BneP4mcgSHGBGRNCQm/7L9gQH+wj5oyh9SZ1iXQzoqGB&#10;HM9DSG8KurxezFfTJWeCQnP6rpapiAKq52TnQ/wk0bC0qbmnGWdyONyHOEKfIekti3dKa7qHSlvW&#10;13y1nC1zwkXEqEg21MrQ+2X6RmN0EpqPtsnJEZQe91SLtifRSeeoOA7bgYCpE1tsjiTf42g3+j1o&#10;06H/zVlPVqt5+LUHLznTny3NcjVdLJI382GxvJrRwV9GtpcRsIKoah45G7cfYvbzqPUdtbpVuQ0v&#10;lZxqJQvlRp7snjx6ec6ol59y8wQAAP//AwBQSwMEFAAGAAgAAAAhADm+zqHeAAAACQEAAA8AAABk&#10;cnMvZG93bnJldi54bWxMj0FOwzAQRfdI3MEaJHbUaWnTKsSpEFIFQmwIPYAbmzhKPLZiOwmcnmEF&#10;y9F/+v9NeVzswCY9hs6hgPUqA6axcarDVsD543R3ABaiRCUHh1rAlw5wrK6vSlkoN+O7nurYMirB&#10;UEgBJkZfcB4ao60MK+c1UvbpRisjnWPL1ShnKrcD32RZzq3skBaM9PrJ6KavkxVwSs8vdvrmyb/W&#10;zYzG9+n81gtxe7M8PgCLeol/MPzqkzpU5HRxCVVgg4D77SYnlILDGhgB2/1uB+wiYJ/lwKuS//+g&#10;+gEAAP//AwBQSwECLQAUAAYACAAAACEAtoM4kv4AAADhAQAAEwAAAAAAAAAAAAAAAAAAAAAAW0Nv&#10;bnRlbnRfVHlwZXNdLnhtbFBLAQItABQABgAIAAAAIQA4/SH/1gAAAJQBAAALAAAAAAAAAAAAAAAA&#10;AC8BAABfcmVscy8ucmVsc1BLAQItABQABgAIAAAAIQBHeUdg+wEAANwDAAAOAAAAAAAAAAAAAAAA&#10;AC4CAABkcnMvZTJvRG9jLnhtbFBLAQItABQABgAIAAAAIQA5vs6h3gAAAAkBAAAPAAAAAAAAAAAA&#10;AAAAAFUEAABkcnMvZG93bnJldi54bWxQSwUGAAAAAAQABADzAAAAYAUAAAAA&#10;" filled="f" stroked="f">
                <v:path arrowok="t"/>
                <v:textbox>
                  <w:txbxContent>
                    <w:p w:rsidR="000A66F6" w:rsidRPr="002177B5" w:rsidRDefault="000A66F6" w:rsidP="00D879FF">
                      <w:pPr>
                        <w:jc w:val="center"/>
                        <w:rPr>
                          <w:vertAlign w:val="subscript"/>
                        </w:rPr>
                      </w:pPr>
                      <w:r>
                        <w:t xml:space="preserve">K </w:t>
                      </w:r>
                      <w:r w:rsidRPr="002177B5">
                        <w:rPr>
                          <w:sz w:val="28"/>
                          <w:szCs w:val="28"/>
                          <w:vertAlign w:val="subscript"/>
                        </w:rPr>
                        <w:t>a</w:t>
                      </w:r>
                    </w:p>
                  </w:txbxContent>
                </v:textbox>
              </v:shape>
            </w:pict>
          </mc:Fallback>
        </mc:AlternateContent>
      </w:r>
    </w:p>
    <w:p w:rsidR="00D879FF" w:rsidRPr="00824D58" w:rsidRDefault="008F1049" w:rsidP="00D879FF">
      <w:pPr>
        <w:tabs>
          <w:tab w:val="left" w:pos="5955"/>
        </w:tabs>
        <w:ind w:right="-284"/>
        <w:rPr>
          <w:rFonts w:eastAsia="Calibri" w:cs="Times New Roman"/>
          <w:vertAlign w:val="subscript"/>
          <w:lang w:val="en-GB" w:bidi="ar-IQ"/>
        </w:rPr>
      </w:pPr>
      <w:r w:rsidRPr="00824D58">
        <w:rPr>
          <w:rFonts w:eastAsia="Calibri" w:cs="Times New Roman"/>
          <w:noProof/>
          <w:vertAlign w:val="superscript"/>
        </w:rPr>
        <mc:AlternateContent>
          <mc:Choice Requires="wps">
            <w:drawing>
              <wp:anchor distT="0" distB="0" distL="114300" distR="114300" simplePos="0" relativeHeight="251657216" behindDoc="0" locked="0" layoutInCell="1" allowOverlap="1" wp14:anchorId="161F93BE" wp14:editId="5473B07F">
                <wp:simplePos x="0" y="0"/>
                <wp:positionH relativeFrom="column">
                  <wp:posOffset>2375535</wp:posOffset>
                </wp:positionH>
                <wp:positionV relativeFrom="paragraph">
                  <wp:posOffset>125095</wp:posOffset>
                </wp:positionV>
                <wp:extent cx="440055" cy="4191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0055" cy="419100"/>
                        </a:xfrm>
                        <a:prstGeom prst="rect">
                          <a:avLst/>
                        </a:prstGeom>
                        <a:noFill/>
                        <a:ln w="9525">
                          <a:noFill/>
                          <a:miter lim="800000"/>
                          <a:headEnd/>
                          <a:tailEnd/>
                        </a:ln>
                      </wps:spPr>
                      <wps:txbx>
                        <w:txbxContent>
                          <w:p w:rsidR="000A66F6" w:rsidRPr="002177B5" w:rsidRDefault="000A66F6" w:rsidP="00D879FF">
                            <w:pPr>
                              <w:jc w:val="center"/>
                              <w:rPr>
                                <w:sz w:val="28"/>
                                <w:szCs w:val="28"/>
                                <w:vertAlign w:val="subscript"/>
                              </w:rPr>
                            </w:pPr>
                            <w:r>
                              <w:t xml:space="preserve">K </w:t>
                            </w:r>
                            <w:r w:rsidRPr="002177B5">
                              <w:rPr>
                                <w:sz w:val="28"/>
                                <w:szCs w:val="28"/>
                                <w:vertAlign w:val="subscript"/>
                              </w:rPr>
                              <w:t>-a</w:t>
                            </w:r>
                          </w:p>
                          <w:p w:rsidR="000A66F6" w:rsidRDefault="000A66F6" w:rsidP="00D879F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7.05pt;margin-top:9.85pt;width:34.65pt;height: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1w/QEAAOEDAAAOAAAAZHJzL2Uyb0RvYy54bWysU9uO0zAQfUfiHyy/0ySlgW1UdwUsi5CW&#10;i7TLB7iO01jYHmO7TcrXM3baEsEbIg+W7Zk5nnPmZHM7Gk2O0gcFltFqUVIirYBW2T2j357uX9xQ&#10;EiK3LddgJaMnGejt9vmzzeAauYQedCs9QRAbmsEx2sfomqIIopeGhwU4aTHYgTc84tHvi9bzAdGN&#10;LpZl+aoYwLfOg5Ah4O3dFKTbjN91UsQvXRdkJJpR7C3m1ed1l9Ziu+HN3nPXK3Fug/9DF4Yri49e&#10;oe545OTg1V9QRgkPAbq4EGAK6DolZOaAbKryDzaPPXcyc0FxgrvKFP4frPh8/OqJahl9SYnlBkf0&#10;JMdI3sJIlkmdwYUGkx4dpsURr3HKmWlwDyC+B0wpZjlTQUjZu+ETtIjHDxFyxdh5kzRC1gRhcByn&#10;6wjSmwIvV6uyrGtKBIZW1boq84gK3lyKnQ/xgwRD0oZRjxPO4Pz4EGJqhjeXlPSWhXuldZ6ytmRg&#10;dF0v61wwixgV0YRaGUZvyvRNtuglb9/bNhdHrvS0xwe0PZNOPCfGcdyNWcbqItoO2hOq4GHyHP4j&#10;uOnB/6RkQL8xGn4cuJeU6I8WB7qukDoaNB9W9eslHvw8sptHuBUIxWikZNq+i9nUE+U3qHinshpp&#10;NFMn55bRR1mks+eTUefnnPX7z9z+AgAA//8DAFBLAwQUAAYACAAAACEAYQevv94AAAAJAQAADwAA&#10;AGRycy9kb3ducmV2LnhtbEyPQU7DMBBF90jcwRokdtQpDaSkcSqEVIFQN4QewI3dOEo8jmI7CZye&#10;YQXL0X/6/02xX2zPJj361qGA9SoBprF2qsVGwOnzcLcF5oNEJXuHWsCX9rAvr68KmSs344eeqtAw&#10;KkGfSwEmhCHn3NdGW+lXbtBI2cWNVgY6x4arUc5Ubnt+nySP3MoWacHIQb8YXXdVtAIO8fXNTt88&#10;Du9VPaMZung6dkLc3izPO2BBL+EPhl99UoeSnM4uovKsF7DJ0jWhFDxlwAhI000K7Cxg+5ABLwv+&#10;/4PyBwAA//8DAFBLAQItABQABgAIAAAAIQC2gziS/gAAAOEBAAATAAAAAAAAAAAAAAAAAAAAAABb&#10;Q29udGVudF9UeXBlc10ueG1sUEsBAi0AFAAGAAgAAAAhADj9If/WAAAAlAEAAAsAAAAAAAAAAAAA&#10;AAAALwEAAF9yZWxzLy5yZWxzUEsBAi0AFAAGAAgAAAAhAOsPLXD9AQAA4QMAAA4AAAAAAAAAAAAA&#10;AAAALgIAAGRycy9lMm9Eb2MueG1sUEsBAi0AFAAGAAgAAAAhAGEHr7/eAAAACQEAAA8AAAAAAAAA&#10;AAAAAAAAVwQAAGRycy9kb3ducmV2LnhtbFBLBQYAAAAABAAEAPMAAABiBQAAAAA=&#10;" filled="f" stroked="f">
                <v:path arrowok="t"/>
                <v:textbox>
                  <w:txbxContent>
                    <w:p w:rsidR="000A66F6" w:rsidRPr="002177B5" w:rsidRDefault="000A66F6" w:rsidP="00D879FF">
                      <w:pPr>
                        <w:jc w:val="center"/>
                        <w:rPr>
                          <w:sz w:val="28"/>
                          <w:szCs w:val="28"/>
                          <w:vertAlign w:val="subscript"/>
                        </w:rPr>
                      </w:pPr>
                      <w:r>
                        <w:t xml:space="preserve">K </w:t>
                      </w:r>
                      <w:r w:rsidRPr="002177B5">
                        <w:rPr>
                          <w:sz w:val="28"/>
                          <w:szCs w:val="28"/>
                          <w:vertAlign w:val="subscript"/>
                        </w:rPr>
                        <w:t>-a</w:t>
                      </w:r>
                    </w:p>
                    <w:p w:rsidR="000A66F6" w:rsidRDefault="000A66F6" w:rsidP="00D879FF">
                      <w:pPr>
                        <w:jc w:val="center"/>
                      </w:pPr>
                    </w:p>
                  </w:txbxContent>
                </v:textbox>
              </v:shape>
            </w:pict>
          </mc:Fallback>
        </mc:AlternateContent>
      </w:r>
      <w:r w:rsidRPr="00824D58">
        <w:rPr>
          <w:rFonts w:eastAsia="Calibri" w:cs="Times New Roman"/>
          <w:noProof/>
          <w:vertAlign w:val="superscript"/>
        </w:rPr>
        <mc:AlternateContent>
          <mc:Choice Requires="wps">
            <w:drawing>
              <wp:anchor distT="0" distB="0" distL="114300" distR="114300" simplePos="0" relativeHeight="251658240" behindDoc="0" locked="0" layoutInCell="1" allowOverlap="1" wp14:anchorId="7546D51F" wp14:editId="396AF010">
                <wp:simplePos x="0" y="0"/>
                <wp:positionH relativeFrom="column">
                  <wp:posOffset>2080260</wp:posOffset>
                </wp:positionH>
                <wp:positionV relativeFrom="paragraph">
                  <wp:posOffset>115570</wp:posOffset>
                </wp:positionV>
                <wp:extent cx="1314450" cy="9525"/>
                <wp:effectExtent l="19050" t="95250" r="0" b="85725"/>
                <wp:wrapNone/>
                <wp:docPr id="2"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14450" cy="952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99829D" id="_x0000_t32" coordsize="21600,21600" o:spt="32" o:oned="t" path="m,l21600,21600e" filled="f">
                <v:path arrowok="t" fillok="f" o:connecttype="none"/>
                <o:lock v:ext="edit" shapetype="t"/>
              </v:shapetype>
              <v:shape id="Straight Arrow Connector 14" o:spid="_x0000_s1026" type="#_x0000_t32" style="position:absolute;margin-left:163.8pt;margin-top:9.1pt;width:103.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2Xa7UJAgAAFAQAAA4AAABkcnMvZTJvRG9jLnhtbKxTTY/TMBC9I/EfLN9pktKi3ajpClrK&#10;ZYGVCtyn/kgsHNuyTdP+e8ZO2i4fJ8TFsv08b+bNG68eTr0mR+GDsqah1aykRBhmuTJtQ79+2b26&#10;oyREMBy0NaKhZxHow/rli9XgajG3ndVceIIkJtSDa2gXo6uLIrBO9BBm1gmDoLS+h4hH3xbcw4Ds&#10;vS7mZfmmGKznzlsmQsDb7QjSdeaXUrD4WcogItENxdpiXn1eD3kt1iuoWw+uU2yqA/6hjB6UwaxX&#10;qi1EID+8+oOqV8zbYGWcMdsXVkrFRBaBcqryNzn7DpzIYrA7wV37FP4fLft0fPJE8YbOKTHQo0f7&#10;6EG1XSRvvbcD2VhjsI/Wk2pBCfZrcKHGsI158kkxO5m9e7Tse0hg8QuaDsGN707S90Rq5b7hoORe&#10;oXpyyi6cb16IUyQMb6vX1WKxRM8YgvfL+TLnLqBOPCmv8yF+ELYnadPQMFV9LXfMAcfHEHNht4gU&#10;bexOaZ0AqLUhwyUHA5xCqSFi4t5hW4JpKQHd4niz6HPdwWrFU3gKDr49bLQnR8ARW+zuqnfb8VEH&#10;XIy398uyRCE5V4D40fLxviqvAOqaiLCFuH+eIenbQujGoAxNZJ0A/t5wEs8OfYNk14REUPpvCHJr&#10;k8oW+XNcenPzKe0Olp9xKC5u4uTloqZfkkb7+Tl7fvvM658AAAD//wMAUEsDBBQABgAIAAAAIQAz&#10;dG9S5QAAAA8BAAAPAAAAZHJzL2Rvd25yZXYueG1sTE9BTsMwELwj8Qdrkbig1mkCbUnjVAgEh4KK&#10;KFy4ufGSRInXUeymKa9nOcFlpZ2ZnZ3J1qNtxYC9rx0pmE0jEEiFMzWVCj7eHydLED5oMrp1hApO&#10;6GGdn59lOjXuSG847EIp2IR8qhVUIXSplL6o0Go/dR0Sc1+utzrw2pfS9PrI5raVcRTNpdU18YdK&#10;d3hfYdHsDlZBkTRX5qX9jj9fo6dTM9tu5PCslbq8GB9WPO5WIAKO4e8Cfjtwfsg52N4dyHjRKkji&#10;xZylTCxjECy4Sa4Z2DNwuwAh80z+75H/AAAA//8DAFBLAQItABQABgAIAAAAIQBaIpOj/wAAAOUB&#10;AAATAAAAAAAAAAAAAAAAAAAAAABbQ29udGVudF9UeXBlc10ueG1sUEsBAi0AFAAGAAgAAAAhAKdK&#10;zzjXAAAAlgEAAAsAAAAAAAAAAAAAAAAAMAEAAF9yZWxzLy5yZWxzUEsBAi0AFAAGAAgAAAAhAD2X&#10;a7UJAgAAFAQAAA4AAAAAAAAAAAAAAAAAMAIAAGRycy9lMm9Eb2MueG1sUEsBAi0AFAAGAAgAAAAh&#10;ADN0b1LlAAAADwEAAA8AAAAAAAAAAAAAAAAAZQQAAGRycy9kb3ducmV2LnhtbFBLBQYAAAAABAAE&#10;APMAAAB3BQAAAAA=&#10;" strokecolor="#4a7ebb">
                <v:stroke startarrow="open" endarrow="open"/>
                <o:lock v:ext="edit" shapetype="f"/>
              </v:shape>
            </w:pict>
          </mc:Fallback>
        </mc:AlternateContent>
      </w:r>
      <w:r w:rsidR="00D879FF" w:rsidRPr="00824D58">
        <w:rPr>
          <w:rFonts w:eastAsia="Calibri" w:cs="Times New Roman"/>
          <w:vertAlign w:val="superscript"/>
          <w:lang w:val="en-GB" w:bidi="ar-IQ"/>
        </w:rPr>
        <w:t>ENZ</w:t>
      </w:r>
      <w:r w:rsidR="00D879FF" w:rsidRPr="00824D58">
        <w:rPr>
          <w:rFonts w:eastAsia="Calibri" w:cs="Times New Roman"/>
          <w:lang w:val="en-GB" w:bidi="ar-IQ"/>
        </w:rPr>
        <w:t>Ab</w:t>
      </w:r>
      <w:r w:rsidR="00D879FF" w:rsidRPr="00824D58">
        <w:rPr>
          <w:rFonts w:eastAsia="Calibri" w:cs="Times New Roman"/>
          <w:vertAlign w:val="subscript"/>
          <w:lang w:val="en-GB" w:bidi="ar-IQ"/>
        </w:rPr>
        <w:t xml:space="preserve"> (P) </w:t>
      </w:r>
      <w:r w:rsidR="00D879FF" w:rsidRPr="00824D58">
        <w:rPr>
          <w:rFonts w:eastAsia="Calibri" w:cs="Times New Roman"/>
          <w:lang w:val="en-GB" w:bidi="ar-IQ"/>
        </w:rPr>
        <w:t>+ Ag</w:t>
      </w:r>
      <w:r w:rsidR="00D879FF" w:rsidRPr="00824D58">
        <w:rPr>
          <w:rFonts w:eastAsia="Calibri" w:cs="Times New Roman"/>
          <w:sz w:val="20"/>
          <w:szCs w:val="20"/>
          <w:vertAlign w:val="subscript"/>
          <w:lang w:val="en-GB" w:bidi="ar-IQ"/>
        </w:rPr>
        <w:t>FSH</w:t>
      </w:r>
      <w:r w:rsidR="00D879FF" w:rsidRPr="00824D58">
        <w:rPr>
          <w:rFonts w:eastAsia="Calibri" w:cs="Times New Roman"/>
          <w:lang w:val="en-GB" w:bidi="ar-IQ"/>
        </w:rPr>
        <w:t xml:space="preserve">+ </w:t>
      </w:r>
      <w:r w:rsidR="00D879FF" w:rsidRPr="00824D58">
        <w:rPr>
          <w:rFonts w:eastAsia="Calibri" w:cs="Times New Roman"/>
          <w:vertAlign w:val="superscript"/>
          <w:lang w:val="en-GB" w:bidi="ar-IQ"/>
        </w:rPr>
        <w:t xml:space="preserve">Btn </w:t>
      </w:r>
      <w:r w:rsidR="00D879FF" w:rsidRPr="00824D58">
        <w:rPr>
          <w:rFonts w:eastAsia="Calibri" w:cs="Times New Roman"/>
          <w:lang w:val="en-GB" w:bidi="ar-IQ"/>
        </w:rPr>
        <w:t xml:space="preserve">Ab </w:t>
      </w:r>
      <w:r w:rsidR="00D879FF" w:rsidRPr="00824D58">
        <w:rPr>
          <w:rFonts w:eastAsia="Calibri" w:cs="Times New Roman"/>
          <w:vertAlign w:val="subscript"/>
          <w:lang w:val="en-GB" w:bidi="ar-IQ"/>
        </w:rPr>
        <w:t xml:space="preserve">(m) </w:t>
      </w:r>
      <w:r w:rsidR="00D879FF" w:rsidRPr="00824D58">
        <w:rPr>
          <w:rFonts w:eastAsia="Calibri" w:cs="Times New Roman"/>
          <w:lang w:val="en-GB" w:bidi="ar-IQ"/>
        </w:rPr>
        <w:tab/>
      </w:r>
      <w:r w:rsidR="00D879FF" w:rsidRPr="00824D58">
        <w:rPr>
          <w:rFonts w:eastAsia="Calibri" w:cs="Times New Roman"/>
          <w:vertAlign w:val="superscript"/>
          <w:lang w:val="en-GB" w:bidi="ar-IQ"/>
        </w:rPr>
        <w:t>ENZ</w:t>
      </w:r>
      <w:r w:rsidR="00D879FF" w:rsidRPr="00824D58">
        <w:rPr>
          <w:rFonts w:eastAsia="Calibri" w:cs="Times New Roman"/>
          <w:lang w:val="en-GB" w:bidi="ar-IQ"/>
        </w:rPr>
        <w:t>Ab</w:t>
      </w:r>
      <w:r w:rsidR="00D879FF" w:rsidRPr="00824D58">
        <w:rPr>
          <w:rFonts w:eastAsia="Calibri" w:cs="Times New Roman"/>
          <w:vertAlign w:val="subscript"/>
          <w:lang w:val="en-GB" w:bidi="ar-IQ"/>
        </w:rPr>
        <w:t xml:space="preserve"> (P) </w:t>
      </w:r>
      <w:r w:rsidR="00D879FF" w:rsidRPr="00824D58">
        <w:rPr>
          <w:rFonts w:eastAsia="Calibri" w:cs="Times New Roman"/>
          <w:lang w:val="en-GB" w:bidi="ar-IQ"/>
        </w:rPr>
        <w:t>-Ag</w:t>
      </w:r>
      <w:r w:rsidR="00D879FF" w:rsidRPr="00824D58">
        <w:rPr>
          <w:rFonts w:eastAsia="Calibri" w:cs="Times New Roman"/>
          <w:sz w:val="20"/>
          <w:szCs w:val="20"/>
          <w:vertAlign w:val="subscript"/>
          <w:lang w:val="en-GB" w:bidi="ar-IQ"/>
        </w:rPr>
        <w:t>FSH</w:t>
      </w:r>
      <w:r w:rsidR="00D879FF" w:rsidRPr="00824D58">
        <w:rPr>
          <w:rFonts w:eastAsia="Calibri" w:cs="Times New Roman"/>
          <w:lang w:val="en-GB" w:bidi="ar-IQ"/>
        </w:rPr>
        <w:t xml:space="preserve"> - </w:t>
      </w:r>
      <w:r w:rsidR="00D879FF" w:rsidRPr="00824D58">
        <w:rPr>
          <w:rFonts w:eastAsia="Calibri" w:cs="Times New Roman"/>
          <w:vertAlign w:val="superscript"/>
          <w:lang w:val="en-GB" w:bidi="ar-IQ"/>
        </w:rPr>
        <w:t xml:space="preserve">Btn </w:t>
      </w:r>
      <w:r w:rsidR="00D879FF" w:rsidRPr="00824D58">
        <w:rPr>
          <w:rFonts w:eastAsia="Calibri" w:cs="Times New Roman"/>
          <w:lang w:val="en-GB" w:bidi="ar-IQ"/>
        </w:rPr>
        <w:t xml:space="preserve">Ab </w:t>
      </w:r>
      <w:r w:rsidR="00D879FF" w:rsidRPr="00824D58">
        <w:rPr>
          <w:rFonts w:eastAsia="Calibri" w:cs="Times New Roman"/>
          <w:vertAlign w:val="subscript"/>
          <w:lang w:val="en-GB" w:bidi="ar-IQ"/>
        </w:rPr>
        <w:t xml:space="preserve">(m)  </w:t>
      </w:r>
    </w:p>
    <w:p w:rsidR="00D879FF" w:rsidRPr="00824D58" w:rsidRDefault="00D879FF" w:rsidP="00D879FF">
      <w:pPr>
        <w:tabs>
          <w:tab w:val="left" w:pos="5955"/>
        </w:tabs>
        <w:spacing w:after="0"/>
        <w:ind w:firstLine="284"/>
        <w:rPr>
          <w:rFonts w:eastAsia="Calibri" w:cs="Times New Roman"/>
          <w:lang w:val="en-GB" w:bidi="ar-IQ"/>
        </w:rPr>
      </w:pPr>
      <w:r w:rsidRPr="00824D58">
        <w:rPr>
          <w:rFonts w:eastAsia="Calibri" w:cs="Times New Roman"/>
          <w:vertAlign w:val="superscript"/>
          <w:lang w:val="en-GB" w:bidi="ar-IQ"/>
        </w:rPr>
        <w:t xml:space="preserve">Btn </w:t>
      </w:r>
      <w:r w:rsidRPr="00824D58">
        <w:rPr>
          <w:rFonts w:eastAsia="Calibri" w:cs="Times New Roman"/>
          <w:lang w:val="en-GB" w:bidi="ar-IQ"/>
        </w:rPr>
        <w:t xml:space="preserve">Ab </w:t>
      </w:r>
      <w:r w:rsidRPr="00824D58">
        <w:rPr>
          <w:rFonts w:eastAsia="Calibri" w:cs="Times New Roman"/>
          <w:vertAlign w:val="subscript"/>
          <w:lang w:val="en-GB" w:bidi="ar-IQ"/>
        </w:rPr>
        <w:t>(m) =</w:t>
      </w:r>
      <w:r w:rsidRPr="00824D58">
        <w:rPr>
          <w:rFonts w:eastAsia="Calibri" w:cs="Times New Roman"/>
          <w:lang w:val="en-GB" w:bidi="ar-IQ"/>
        </w:rPr>
        <w:t xml:space="preserve"> Biotinylated Monoclonal Antibody (Excess Quantity)</w:t>
      </w:r>
    </w:p>
    <w:p w:rsidR="00D879FF" w:rsidRPr="00824D58" w:rsidRDefault="00D879FF" w:rsidP="00D879FF">
      <w:pPr>
        <w:tabs>
          <w:tab w:val="left" w:pos="5955"/>
        </w:tabs>
        <w:spacing w:after="0"/>
        <w:ind w:firstLine="284"/>
        <w:rPr>
          <w:rFonts w:eastAsia="Calibri" w:cs="Times New Roman"/>
          <w:lang w:val="en-GB" w:bidi="ar-IQ"/>
        </w:rPr>
      </w:pPr>
      <w:r w:rsidRPr="00824D58">
        <w:rPr>
          <w:rFonts w:eastAsia="Calibri" w:cs="Times New Roman"/>
          <w:lang w:val="en-GB" w:bidi="ar-IQ"/>
        </w:rPr>
        <w:t>Ag</w:t>
      </w:r>
      <w:r w:rsidRPr="00824D58">
        <w:rPr>
          <w:rFonts w:eastAsia="Calibri" w:cs="Times New Roman"/>
          <w:sz w:val="20"/>
          <w:szCs w:val="20"/>
          <w:vertAlign w:val="subscript"/>
          <w:lang w:val="en-GB" w:bidi="ar-IQ"/>
        </w:rPr>
        <w:t>FSH</w:t>
      </w:r>
      <w:r w:rsidRPr="00824D58">
        <w:rPr>
          <w:rFonts w:eastAsia="Calibri" w:cs="Times New Roman"/>
          <w:lang w:val="en-GB" w:bidi="ar-IQ"/>
        </w:rPr>
        <w:t xml:space="preserve"> =Native Antigen (Variable Quantity)</w:t>
      </w:r>
    </w:p>
    <w:p w:rsidR="00D879FF" w:rsidRPr="00824D58" w:rsidRDefault="00D879FF" w:rsidP="00D879FF">
      <w:pPr>
        <w:tabs>
          <w:tab w:val="left" w:pos="5955"/>
        </w:tabs>
        <w:spacing w:after="0"/>
        <w:ind w:firstLine="284"/>
        <w:rPr>
          <w:rFonts w:eastAsia="Calibri" w:cs="Times New Roman"/>
          <w:lang w:val="en-GB" w:bidi="ar-IQ"/>
        </w:rPr>
      </w:pPr>
      <w:r w:rsidRPr="00824D58">
        <w:rPr>
          <w:rFonts w:eastAsia="Calibri" w:cs="Times New Roman"/>
          <w:vertAlign w:val="superscript"/>
          <w:lang w:val="en-GB" w:bidi="ar-IQ"/>
        </w:rPr>
        <w:t>ENZ</w:t>
      </w:r>
      <w:r w:rsidRPr="00824D58">
        <w:rPr>
          <w:rFonts w:eastAsia="Calibri" w:cs="Times New Roman"/>
          <w:lang w:val="en-GB" w:bidi="ar-IQ"/>
        </w:rPr>
        <w:t>Ab</w:t>
      </w:r>
      <w:r w:rsidRPr="00824D58">
        <w:rPr>
          <w:rFonts w:eastAsia="Calibri" w:cs="Times New Roman"/>
          <w:vertAlign w:val="subscript"/>
          <w:lang w:val="en-GB" w:bidi="ar-IQ"/>
        </w:rPr>
        <w:t xml:space="preserve"> (P)</w:t>
      </w:r>
      <w:r w:rsidRPr="00824D58">
        <w:rPr>
          <w:rFonts w:eastAsia="Calibri" w:cs="Times New Roman"/>
          <w:lang w:val="en-GB" w:bidi="ar-IQ"/>
        </w:rPr>
        <w:t xml:space="preserve"> = Enzyme labelled Antibody (Excess Quantity)</w:t>
      </w:r>
    </w:p>
    <w:p w:rsidR="00D879FF" w:rsidRPr="00824D58" w:rsidRDefault="00D879FF" w:rsidP="00D879FF">
      <w:pPr>
        <w:tabs>
          <w:tab w:val="left" w:pos="5955"/>
        </w:tabs>
        <w:spacing w:after="0"/>
        <w:ind w:firstLine="284"/>
        <w:rPr>
          <w:rFonts w:eastAsia="Calibri" w:cs="Times New Roman"/>
          <w:lang w:val="en-GB" w:bidi="ar-IQ"/>
        </w:rPr>
      </w:pPr>
      <w:r w:rsidRPr="00824D58">
        <w:rPr>
          <w:rFonts w:eastAsia="Calibri" w:cs="Times New Roman"/>
          <w:vertAlign w:val="superscript"/>
          <w:lang w:val="en-GB" w:bidi="ar-IQ"/>
        </w:rPr>
        <w:t>ENZ</w:t>
      </w:r>
      <w:r w:rsidRPr="00824D58">
        <w:rPr>
          <w:rFonts w:eastAsia="Calibri" w:cs="Times New Roman"/>
          <w:lang w:val="en-GB" w:bidi="ar-IQ"/>
        </w:rPr>
        <w:t>Ab</w:t>
      </w:r>
      <w:r w:rsidRPr="00824D58">
        <w:rPr>
          <w:rFonts w:eastAsia="Calibri" w:cs="Times New Roman"/>
          <w:vertAlign w:val="subscript"/>
          <w:lang w:val="en-GB" w:bidi="ar-IQ"/>
        </w:rPr>
        <w:t xml:space="preserve"> (P) </w:t>
      </w:r>
      <w:r w:rsidRPr="00824D58">
        <w:rPr>
          <w:rFonts w:eastAsia="Calibri" w:cs="Times New Roman"/>
          <w:lang w:val="en-GB" w:bidi="ar-IQ"/>
        </w:rPr>
        <w:t>-Ag</w:t>
      </w:r>
      <w:r w:rsidRPr="00824D58">
        <w:rPr>
          <w:rFonts w:eastAsia="Calibri" w:cs="Times New Roman"/>
          <w:sz w:val="20"/>
          <w:szCs w:val="20"/>
          <w:vertAlign w:val="subscript"/>
          <w:lang w:val="en-GB" w:bidi="ar-IQ"/>
        </w:rPr>
        <w:t>FSH</w:t>
      </w:r>
      <w:r w:rsidRPr="00824D58">
        <w:rPr>
          <w:rFonts w:eastAsia="Calibri" w:cs="Times New Roman"/>
          <w:lang w:val="en-GB" w:bidi="ar-IQ"/>
        </w:rPr>
        <w:t xml:space="preserve"> - </w:t>
      </w:r>
      <w:r w:rsidRPr="00824D58">
        <w:rPr>
          <w:rFonts w:eastAsia="Calibri" w:cs="Times New Roman"/>
          <w:vertAlign w:val="superscript"/>
          <w:lang w:val="en-GB" w:bidi="ar-IQ"/>
        </w:rPr>
        <w:t xml:space="preserve">Btn </w:t>
      </w:r>
      <w:r w:rsidRPr="00824D58">
        <w:rPr>
          <w:rFonts w:eastAsia="Calibri" w:cs="Times New Roman"/>
          <w:lang w:val="en-GB" w:bidi="ar-IQ"/>
        </w:rPr>
        <w:t xml:space="preserve">Ab </w:t>
      </w:r>
      <w:r w:rsidRPr="00824D58">
        <w:rPr>
          <w:rFonts w:eastAsia="Calibri" w:cs="Times New Roman"/>
          <w:vertAlign w:val="subscript"/>
          <w:lang w:val="en-GB" w:bidi="ar-IQ"/>
        </w:rPr>
        <w:t>(m) =</w:t>
      </w:r>
      <w:r w:rsidRPr="00824D58">
        <w:rPr>
          <w:rFonts w:eastAsia="Calibri" w:cs="Times New Roman"/>
          <w:lang w:val="en-GB" w:bidi="ar-IQ"/>
        </w:rPr>
        <w:t xml:space="preserve"> Antigen-Antibodies Sandwich Complex</w:t>
      </w:r>
    </w:p>
    <w:p w:rsidR="00D879FF" w:rsidRPr="00824D58" w:rsidRDefault="00D879FF" w:rsidP="00D879FF">
      <w:pPr>
        <w:tabs>
          <w:tab w:val="left" w:pos="5955"/>
        </w:tabs>
        <w:spacing w:after="0"/>
        <w:ind w:firstLine="284"/>
        <w:rPr>
          <w:rFonts w:eastAsia="Calibri" w:cs="Times New Roman"/>
          <w:lang w:val="en-GB" w:bidi="ar-IQ"/>
        </w:rPr>
      </w:pPr>
      <w:r w:rsidRPr="00824D58">
        <w:rPr>
          <w:rFonts w:eastAsia="Calibri" w:cs="Times New Roman"/>
          <w:lang w:val="en-GB" w:bidi="ar-IQ"/>
        </w:rPr>
        <w:t>K</w:t>
      </w:r>
      <w:r w:rsidRPr="00824D58">
        <w:rPr>
          <w:rFonts w:eastAsia="Calibri" w:cs="Times New Roman"/>
          <w:sz w:val="28"/>
          <w:szCs w:val="28"/>
          <w:vertAlign w:val="subscript"/>
          <w:lang w:val="en-GB" w:bidi="ar-IQ"/>
        </w:rPr>
        <w:t>a</w:t>
      </w:r>
      <w:r w:rsidRPr="00824D58">
        <w:rPr>
          <w:rFonts w:eastAsia="Calibri" w:cs="Times New Roman"/>
          <w:lang w:val="en-GB" w:bidi="ar-IQ"/>
        </w:rPr>
        <w:t xml:space="preserve"> = Rate Constant of Association</w:t>
      </w:r>
    </w:p>
    <w:p w:rsidR="00D879FF" w:rsidRPr="00824D58" w:rsidRDefault="00D879FF" w:rsidP="00D879FF">
      <w:pPr>
        <w:tabs>
          <w:tab w:val="left" w:pos="5955"/>
        </w:tabs>
        <w:spacing w:after="0"/>
        <w:ind w:firstLine="284"/>
        <w:rPr>
          <w:rFonts w:eastAsia="Calibri" w:cs="Times New Roman"/>
          <w:lang w:val="en-GB" w:bidi="ar-IQ"/>
        </w:rPr>
      </w:pPr>
      <w:r w:rsidRPr="00824D58">
        <w:rPr>
          <w:rFonts w:eastAsia="Calibri" w:cs="Times New Roman"/>
          <w:lang w:val="en-GB" w:bidi="ar-IQ"/>
        </w:rPr>
        <w:t xml:space="preserve">K-a = Rate Constant of Dissociation  </w:t>
      </w:r>
    </w:p>
    <w:p w:rsidR="00D879FF" w:rsidRPr="00824D58" w:rsidRDefault="009B5292" w:rsidP="003F2A02">
      <w:pPr>
        <w:tabs>
          <w:tab w:val="left" w:pos="5955"/>
        </w:tabs>
        <w:spacing w:after="480"/>
        <w:rPr>
          <w:rFonts w:eastAsia="Calibri" w:cs="Times New Roman"/>
          <w:lang w:val="en-GB" w:bidi="ar-IQ"/>
        </w:rPr>
      </w:pPr>
      <w:r w:rsidRPr="009B5292">
        <w:rPr>
          <w:rFonts w:eastAsia="Calibri" w:cs="Times New Roman"/>
          <w:lang w:val="en-GB" w:bidi="ar-IQ"/>
        </w:rPr>
        <w:t>Simultaneously, the complex is deposited in the well through a highly specific reaction between streptavidin and biotinylated antibody. The following diagram illustrates this relationship.</w:t>
      </w:r>
      <w:r w:rsidR="00D879FF" w:rsidRPr="00824D58">
        <w:rPr>
          <w:rFonts w:eastAsia="Calibri" w:cs="Times New Roman"/>
          <w:lang w:val="en-GB" w:bidi="ar-IQ"/>
        </w:rPr>
        <w:t>:</w:t>
      </w:r>
    </w:p>
    <w:p w:rsidR="00D879FF" w:rsidRPr="00824D58" w:rsidRDefault="008F1049" w:rsidP="00D879FF">
      <w:pPr>
        <w:tabs>
          <w:tab w:val="left" w:pos="5955"/>
        </w:tabs>
        <w:spacing w:after="0"/>
        <w:rPr>
          <w:rFonts w:eastAsia="Calibri" w:cs="Times New Roman"/>
          <w:lang w:val="en-GB" w:bidi="ar-IQ"/>
        </w:rPr>
      </w:pPr>
      <w:r w:rsidRPr="00824D58">
        <w:rPr>
          <w:rFonts w:eastAsia="Calibri" w:cs="Times New Roman"/>
          <w:noProof/>
          <w:vertAlign w:val="superscript"/>
        </w:rPr>
        <mc:AlternateContent>
          <mc:Choice Requires="wps">
            <w:drawing>
              <wp:anchor distT="4294967293" distB="4294967293" distL="114300" distR="114300" simplePos="0" relativeHeight="251659264" behindDoc="0" locked="0" layoutInCell="1" allowOverlap="1" wp14:anchorId="56885B92" wp14:editId="482DCE00">
                <wp:simplePos x="0" y="0"/>
                <wp:positionH relativeFrom="column">
                  <wp:posOffset>3185160</wp:posOffset>
                </wp:positionH>
                <wp:positionV relativeFrom="paragraph">
                  <wp:posOffset>125094</wp:posOffset>
                </wp:positionV>
                <wp:extent cx="561975" cy="0"/>
                <wp:effectExtent l="0" t="95250" r="0" b="95250"/>
                <wp:wrapNone/>
                <wp:docPr id="1"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9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B75509" id="Straight Arrow Connector 5" o:spid="_x0000_s1026" type="#_x0000_t32" style="position:absolute;margin-left:250.8pt;margin-top:9.85pt;width:44.2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lxrGL5AQAA6wMAAA4AAABkcnMvZTJvRG9jLnhtbKxTTY/TMBC9I/EfLN9pkoou26jpClqW&#10;ywIrFX7A1HYSC8e2PKZp/z1jpx8L3BAXy/bzvJl5b7x6OA6GHVRA7WzDq1nJmbLCSW27hn//9vjm&#10;njOMYCUYZ1XDTwr5w/r1q9XoazV3vTNSBUYkFuvRN7yP0ddFgaJXA+DMeWUJbF0YINIxdIUMMBL7&#10;YIp5Wd4VowvSBycUIt1uJ5CvM3/bKhG/ti2qyEzDqbaY15DXfV6L9QrqLoDvtTjXAf9QxgDaUtYr&#10;1RYisJ9B/0U1aBEcujbOhBsK17ZaqNwEtVOVf7Sz68Gr3Aypg/6qE/4/WvHl8ByYlmQeZxYG8mgX&#10;A+iuj+x9CG5kG2ct6egCW3BGco0ea4ra2OeQGhZHu/NPTvzABBa/oemAfnp3bMOQ3lPL7JilP90M&#10;UMfIBN0u7qrlO0ojrlgB9SXSB4yflBtY2jQcz2Ve66uyAXB4wphLgfoSkfJa96iNSQDUxrKx4cvF&#10;PKUCGrvWQKTt4EkHtB1nYDqaZxFD5kRntEzhKRhDt9+YwA5AM/X28b76sJ0e9SDVdLtclCVNW86F&#10;ED87Od1X5RWgvs5EJBrtX2ZIZW8B+ykoQ2eyCNp8tJLFkyejIPmTEWIwNhWn8sxfFLjpn3Z7J0/k&#10;9cUlGqic+jz8aWJfnrOXtz+6/gUAAP//AwBQSwMEFAAGAAgAAAAhAOU0KIHiAAAADwEAAA8AAABk&#10;cnMvZG93bnJldi54bWxMT99LwzAQfhf8H8IJvrkkg1XXNR1DGexBwVXBPWbN2XQ2SWmyrf73njDQ&#10;l4O777vvR7EcXcdOOMQ2eAVyIoChr4NpfaPg/W199wAsJu2N7oJHBd8YYVleXxU6N+Hst3iqUsNI&#10;xMdcK7Ap9TnnsbbodJyEHj1hn2FwOtE6NNwM+kziruNTITLudOvJweoeHy3WX9XRKfjYyExWO7vC&#10;tD68PL9Od3p72Ch1ezM+LWisFsASjunvA347UH4oKdg+HL2JrFMwEzIjKgHze2BEmM2FBLa/HHhZ&#10;8P89yh8AAAD//wMAUEsBAi0AFAAGAAgAAAAhAFoik6P/AAAA5QEAABMAAAAAAAAAAAAAAAAAAAAA&#10;AFtDb250ZW50X1R5cGVzXS54bWxQSwECLQAUAAYACAAAACEAp0rPONcAAACWAQAACwAAAAAAAAAA&#10;AAAAAAAwAQAAX3JlbHMvLnJlbHNQSwECLQAUAAYACAAAACEAmXGsYvkBAADrAwAADgAAAAAAAAAA&#10;AAAAAAAwAgAAZHJzL2Uyb0RvYy54bWxQSwECLQAUAAYACAAAACEA5TQogeIAAAAPAQAADwAAAAAA&#10;AAAAAAAAAABVBAAAZHJzL2Rvd25yZXYueG1sUEsFBgAAAAAEAAQA8wAAAGQFAAAAAA==&#10;" strokecolor="#4a7ebb">
                <v:stroke endarrow="open"/>
                <o:lock v:ext="edit" shapetype="f"/>
              </v:shape>
            </w:pict>
          </mc:Fallback>
        </mc:AlternateContent>
      </w:r>
      <w:r w:rsidR="00D879FF" w:rsidRPr="00824D58">
        <w:rPr>
          <w:rFonts w:eastAsia="Calibri" w:cs="Times New Roman"/>
          <w:vertAlign w:val="superscript"/>
          <w:lang w:val="en-GB" w:bidi="ar-IQ"/>
        </w:rPr>
        <w:t>ENZ</w:t>
      </w:r>
      <w:r w:rsidR="00D879FF" w:rsidRPr="00824D58">
        <w:rPr>
          <w:rFonts w:eastAsia="Calibri" w:cs="Times New Roman"/>
          <w:lang w:val="en-GB" w:bidi="ar-IQ"/>
        </w:rPr>
        <w:t>Ab</w:t>
      </w:r>
      <w:r w:rsidR="00D879FF" w:rsidRPr="00824D58">
        <w:rPr>
          <w:rFonts w:eastAsia="Calibri" w:cs="Times New Roman"/>
          <w:vertAlign w:val="subscript"/>
          <w:lang w:val="en-GB" w:bidi="ar-IQ"/>
        </w:rPr>
        <w:t xml:space="preserve"> (P) </w:t>
      </w:r>
      <w:r w:rsidR="00D879FF" w:rsidRPr="00824D58">
        <w:rPr>
          <w:rFonts w:eastAsia="Calibri" w:cs="Times New Roman"/>
          <w:lang w:val="en-GB" w:bidi="ar-IQ"/>
        </w:rPr>
        <w:t>-Ag</w:t>
      </w:r>
      <w:r w:rsidR="00D879FF" w:rsidRPr="00824D58">
        <w:rPr>
          <w:rFonts w:eastAsia="Calibri" w:cs="Times New Roman"/>
          <w:sz w:val="20"/>
          <w:szCs w:val="20"/>
          <w:vertAlign w:val="subscript"/>
          <w:lang w:val="en-GB" w:bidi="ar-IQ"/>
        </w:rPr>
        <w:t>FSH</w:t>
      </w:r>
      <w:r w:rsidR="00D879FF" w:rsidRPr="00824D58">
        <w:rPr>
          <w:rFonts w:eastAsia="Calibri" w:cs="Times New Roman"/>
          <w:lang w:val="en-GB" w:bidi="ar-IQ"/>
        </w:rPr>
        <w:t xml:space="preserve"> - </w:t>
      </w:r>
      <w:r w:rsidR="00D879FF" w:rsidRPr="00824D58">
        <w:rPr>
          <w:rFonts w:eastAsia="Calibri" w:cs="Times New Roman"/>
          <w:vertAlign w:val="superscript"/>
          <w:lang w:val="en-GB" w:bidi="ar-IQ"/>
        </w:rPr>
        <w:t xml:space="preserve">Btn </w:t>
      </w:r>
      <w:r w:rsidR="00D879FF" w:rsidRPr="00824D58">
        <w:rPr>
          <w:rFonts w:eastAsia="Calibri" w:cs="Times New Roman"/>
          <w:lang w:val="en-GB" w:bidi="ar-IQ"/>
        </w:rPr>
        <w:t xml:space="preserve">Ab </w:t>
      </w:r>
      <w:r w:rsidR="00D879FF" w:rsidRPr="00824D58">
        <w:rPr>
          <w:rFonts w:eastAsia="Calibri" w:cs="Times New Roman"/>
          <w:vertAlign w:val="subscript"/>
          <w:lang w:val="en-GB" w:bidi="ar-IQ"/>
        </w:rPr>
        <w:t>(m)</w:t>
      </w:r>
      <w:r w:rsidR="00D879FF" w:rsidRPr="00824D58">
        <w:rPr>
          <w:rFonts w:eastAsia="Calibri" w:cs="Times New Roman"/>
          <w:lang w:val="en-GB" w:bidi="ar-IQ"/>
        </w:rPr>
        <w:t xml:space="preserve"> + Streptavidin</w:t>
      </w:r>
      <w:r w:rsidR="00D879FF" w:rsidRPr="00824D58">
        <w:rPr>
          <w:rFonts w:eastAsia="Calibri" w:cs="Times New Roman"/>
          <w:vertAlign w:val="subscript"/>
          <w:lang w:val="en-GB" w:bidi="ar-IQ"/>
        </w:rPr>
        <w:t xml:space="preserve"> C.W. </w:t>
      </w:r>
      <w:r w:rsidR="00D879FF" w:rsidRPr="00824D58">
        <w:rPr>
          <w:rFonts w:eastAsia="Calibri" w:cs="Times New Roman"/>
          <w:vertAlign w:val="subscript"/>
          <w:lang w:val="en-GB" w:bidi="ar-IQ"/>
        </w:rPr>
        <w:tab/>
      </w:r>
      <w:r w:rsidR="00D879FF" w:rsidRPr="00824D58">
        <w:rPr>
          <w:rFonts w:eastAsia="Calibri" w:cs="Times New Roman"/>
          <w:lang w:val="en-GB" w:bidi="ar-IQ"/>
        </w:rPr>
        <w:t xml:space="preserve">Immobilized complex </w:t>
      </w:r>
    </w:p>
    <w:p w:rsidR="00C127EA" w:rsidRPr="00C127EA" w:rsidRDefault="00C127EA" w:rsidP="00C127EA">
      <w:pPr>
        <w:tabs>
          <w:tab w:val="left" w:pos="5955"/>
        </w:tabs>
        <w:spacing w:after="0"/>
        <w:rPr>
          <w:rFonts w:eastAsia="Calibri" w:cs="Times New Roman"/>
          <w:lang w:val="en-GB" w:bidi="ar-IQ"/>
        </w:rPr>
      </w:pPr>
      <w:r w:rsidRPr="00C127EA">
        <w:rPr>
          <w:rFonts w:eastAsia="Calibri" w:cs="Times New Roman"/>
          <w:lang w:val="en-GB" w:bidi="ar-IQ"/>
        </w:rPr>
        <w:t>C.W. Streptavidin = Streptavidin On well, immobilized.</w:t>
      </w:r>
    </w:p>
    <w:p w:rsidR="00D879FF" w:rsidRDefault="00C127EA" w:rsidP="00E7588E">
      <w:pPr>
        <w:tabs>
          <w:tab w:val="left" w:pos="5955"/>
        </w:tabs>
        <w:spacing w:after="480"/>
        <w:rPr>
          <w:rFonts w:eastAsia="Calibri" w:cs="Times New Roman"/>
          <w:rtl/>
          <w:lang w:val="en-GB" w:bidi="ar-IQ"/>
        </w:rPr>
      </w:pPr>
      <w:r w:rsidRPr="00C127EA">
        <w:rPr>
          <w:rFonts w:eastAsia="Calibri" w:cs="Times New Roman"/>
          <w:lang w:val="en-GB" w:bidi="ar-IQ"/>
        </w:rPr>
        <w:t>Sandwich complexes that are immobilized on a solid surface are called immobilized complexes.</w:t>
      </w:r>
      <w:r w:rsidR="00E7588E">
        <w:rPr>
          <w:rFonts w:eastAsia="Calibri" w:cs="Times New Roman"/>
          <w:lang w:val="en-GB" w:bidi="ar-IQ"/>
        </w:rPr>
        <w:t xml:space="preserve"> </w:t>
      </w:r>
      <w:r w:rsidR="008E5F1C" w:rsidRPr="008E5F1C">
        <w:rPr>
          <w:rFonts w:eastAsia="Calibri" w:cs="Times New Roman"/>
          <w:lang w:val="en-GB" w:bidi="ar-IQ"/>
        </w:rPr>
        <w:t>After reaching equilibrium, the antibody-bound fraction and the unbound antigen are separated from one another via decantation or suction, respectively. The amount of natural antigen present has a direct bearing on the enzyme's level of activity in the section of the sample that contains antibodies. When serum references are combined with antigen concentrations that are already known, a dosage response curve may be produced. Using this curve, it is possible to determine the antigen concentration of a serum sample that is unknown.</w:t>
      </w:r>
      <w:r w:rsidR="00D879FF" w:rsidRPr="00824D58">
        <w:rPr>
          <w:rFonts w:eastAsia="Calibri" w:cs="Times New Roman"/>
          <w:lang w:val="en-GB" w:bidi="ar-IQ"/>
        </w:rPr>
        <w:t xml:space="preserve"> </w:t>
      </w:r>
    </w:p>
    <w:p w:rsidR="00025159" w:rsidRDefault="00025159" w:rsidP="00C127EA">
      <w:pPr>
        <w:tabs>
          <w:tab w:val="left" w:pos="5955"/>
        </w:tabs>
        <w:spacing w:after="0"/>
        <w:rPr>
          <w:rFonts w:eastAsia="Calibri" w:cs="Times New Roman"/>
          <w:rtl/>
          <w:lang w:val="en-GB" w:bidi="ar-IQ"/>
        </w:rPr>
      </w:pPr>
    </w:p>
    <w:p w:rsidR="00D879FF" w:rsidRPr="00824D58" w:rsidRDefault="00D879FF" w:rsidP="00634442">
      <w:pPr>
        <w:pStyle w:val="Heading4"/>
        <w:numPr>
          <w:ilvl w:val="3"/>
          <w:numId w:val="6"/>
        </w:numPr>
        <w:spacing w:before="0"/>
        <w:jc w:val="left"/>
      </w:pPr>
      <w:r w:rsidRPr="00824D58">
        <w:t xml:space="preserve">Reagent preparation </w:t>
      </w:r>
    </w:p>
    <w:p w:rsidR="00634442" w:rsidRPr="00824D58" w:rsidRDefault="00634442" w:rsidP="00634442">
      <w:pPr>
        <w:spacing w:after="0"/>
      </w:pPr>
    </w:p>
    <w:p w:rsidR="00D879FF" w:rsidRPr="003F2A02" w:rsidRDefault="00D879FF" w:rsidP="003F2A02">
      <w:pPr>
        <w:numPr>
          <w:ilvl w:val="0"/>
          <w:numId w:val="7"/>
        </w:numPr>
        <w:tabs>
          <w:tab w:val="left" w:pos="5955"/>
        </w:tabs>
        <w:spacing w:after="0"/>
        <w:ind w:left="284" w:hanging="284"/>
        <w:contextualSpacing/>
        <w:rPr>
          <w:rFonts w:eastAsia="Calibri" w:cs="Times New Roman"/>
          <w:lang w:val="en-GB" w:bidi="ar-IQ"/>
        </w:rPr>
      </w:pPr>
      <w:r w:rsidRPr="003F2A02">
        <w:rPr>
          <w:rFonts w:eastAsia="Calibri" w:cs="Times New Roman"/>
          <w:b/>
          <w:bCs/>
          <w:lang w:val="en-GB" w:bidi="ar-IQ"/>
        </w:rPr>
        <w:t>Wash buffer</w:t>
      </w:r>
      <w:r w:rsidR="003F2A02" w:rsidRPr="003F2A02">
        <w:rPr>
          <w:rFonts w:eastAsia="Calibri" w:cs="Times New Roman"/>
          <w:b/>
          <w:bCs/>
          <w:lang w:val="en-GB" w:bidi="ar-IQ"/>
        </w:rPr>
        <w:t>:</w:t>
      </w:r>
      <w:r w:rsidR="003F2A02">
        <w:rPr>
          <w:rFonts w:eastAsia="Calibri" w:cs="Times New Roman"/>
          <w:b/>
          <w:bCs/>
          <w:lang w:val="en-GB" w:bidi="ar-IQ"/>
        </w:rPr>
        <w:t xml:space="preserve"> </w:t>
      </w:r>
      <w:r w:rsidR="003F2A02" w:rsidRPr="003F2A02">
        <w:rPr>
          <w:rFonts w:eastAsia="Calibri" w:cs="Times New Roman"/>
          <w:lang w:val="en-GB" w:bidi="ar-IQ"/>
        </w:rPr>
        <w:t>In an appropriate container for storage, bring the total volume of the wash to 1000 milliliters by diluting it with distilled or deionized water. Keep at a temperature between 2 and 30 degrees Celsius for up to 60 days.</w:t>
      </w:r>
    </w:p>
    <w:p w:rsidR="00323305" w:rsidRPr="003F2A02" w:rsidRDefault="00D879FF" w:rsidP="00E7588E">
      <w:pPr>
        <w:numPr>
          <w:ilvl w:val="0"/>
          <w:numId w:val="7"/>
        </w:numPr>
        <w:tabs>
          <w:tab w:val="left" w:pos="5955"/>
        </w:tabs>
        <w:spacing w:after="0"/>
        <w:ind w:left="360"/>
        <w:contextualSpacing/>
        <w:rPr>
          <w:rFonts w:eastAsia="Calibri" w:cs="Times New Roman"/>
          <w:lang w:val="en-GB" w:bidi="ar-IQ"/>
        </w:rPr>
      </w:pPr>
      <w:r w:rsidRPr="003F2A02">
        <w:rPr>
          <w:rFonts w:eastAsia="Calibri" w:cs="Times New Roman"/>
          <w:lang w:val="en-GB" w:bidi="ar-IQ"/>
        </w:rPr>
        <w:t xml:space="preserve">Working Substrate solution - </w:t>
      </w:r>
      <w:r w:rsidR="00E7588E">
        <w:rPr>
          <w:rFonts w:eastAsia="Calibri" w:cs="Times New Roman"/>
          <w:lang w:val="en-GB" w:bidi="ar-IQ"/>
        </w:rPr>
        <w:t>One</w:t>
      </w:r>
      <w:r w:rsidR="00323305" w:rsidRPr="003F2A02">
        <w:rPr>
          <w:rFonts w:eastAsia="Calibri" w:cs="Times New Roman"/>
          <w:lang w:val="en-GB" w:bidi="ar-IQ"/>
        </w:rPr>
        <w:t>year stability</w:t>
      </w:r>
    </w:p>
    <w:p w:rsidR="00D879FF" w:rsidRPr="00824D58" w:rsidRDefault="00756250" w:rsidP="00E7588E">
      <w:pPr>
        <w:numPr>
          <w:ilvl w:val="0"/>
          <w:numId w:val="7"/>
        </w:numPr>
        <w:tabs>
          <w:tab w:val="left" w:pos="5955"/>
        </w:tabs>
        <w:spacing w:after="0"/>
        <w:ind w:left="360"/>
        <w:contextualSpacing/>
        <w:rPr>
          <w:rFonts w:eastAsia="Calibri" w:cs="Times New Roman"/>
          <w:lang w:val="en-GB" w:bidi="ar-IQ"/>
        </w:rPr>
      </w:pPr>
      <w:r w:rsidRPr="00756250">
        <w:rPr>
          <w:rFonts w:eastAsia="Calibri" w:cs="Times New Roman"/>
          <w:lang w:val="en-GB" w:bidi="ar-IQ"/>
        </w:rPr>
        <w:t>After transferring the contents of the clear vial labeled "B" to the amber vial labeled "A," step 3. Replace the yellow cap on the clear vial for easy recognition. Put together and properly label. Keep between 2 and 8 degrees Celsius</w:t>
      </w:r>
      <w:r w:rsidR="00323305" w:rsidRPr="00323305">
        <w:rPr>
          <w:rFonts w:eastAsia="Calibri" w:cs="Times New Roman"/>
          <w:lang w:val="en-GB" w:bidi="ar-IQ"/>
        </w:rPr>
        <w:t>.</w:t>
      </w:r>
    </w:p>
    <w:p w:rsidR="00634442" w:rsidRPr="00824D58" w:rsidRDefault="00634442" w:rsidP="00634442">
      <w:pPr>
        <w:tabs>
          <w:tab w:val="left" w:pos="5955"/>
        </w:tabs>
        <w:spacing w:after="0"/>
        <w:ind w:left="284" w:hanging="284"/>
        <w:contextualSpacing/>
        <w:rPr>
          <w:rFonts w:eastAsia="Calibri" w:cs="Times New Roman"/>
          <w:lang w:val="en-GB" w:bidi="ar-IQ"/>
        </w:rPr>
      </w:pPr>
    </w:p>
    <w:p w:rsidR="00756250" w:rsidRDefault="00756250" w:rsidP="00D879FF">
      <w:pPr>
        <w:tabs>
          <w:tab w:val="left" w:pos="0"/>
        </w:tabs>
        <w:spacing w:after="0"/>
        <w:contextualSpacing/>
        <w:rPr>
          <w:rFonts w:eastAsia="Calibri" w:cs="Times New Roman"/>
          <w:lang w:bidi="ar-IQ"/>
        </w:rPr>
      </w:pPr>
    </w:p>
    <w:p w:rsidR="00756250" w:rsidRDefault="00756250">
      <w:pPr>
        <w:spacing w:line="276" w:lineRule="auto"/>
        <w:jc w:val="left"/>
        <w:rPr>
          <w:rFonts w:eastAsia="Calibri" w:cs="Times New Roman"/>
          <w:lang w:bidi="ar-IQ"/>
        </w:rPr>
      </w:pPr>
      <w:r>
        <w:rPr>
          <w:rFonts w:eastAsia="Calibri" w:cs="Times New Roman"/>
          <w:lang w:bidi="ar-IQ"/>
        </w:rPr>
        <w:br w:type="page"/>
      </w:r>
    </w:p>
    <w:p w:rsidR="00D879FF" w:rsidRPr="00824D58" w:rsidRDefault="00D879FF" w:rsidP="00634442">
      <w:pPr>
        <w:pStyle w:val="Heading1"/>
        <w:keepNext/>
        <w:keepLines/>
        <w:numPr>
          <w:ilvl w:val="0"/>
          <w:numId w:val="6"/>
        </w:numPr>
        <w:spacing w:before="0" w:beforeAutospacing="0" w:after="0" w:afterAutospacing="0"/>
        <w:rPr>
          <w:rFonts w:asciiTheme="majorBidi" w:eastAsiaTheme="majorEastAsia" w:hAnsiTheme="majorBidi" w:cstheme="majorBidi"/>
          <w:b w:val="0"/>
          <w:bCs w:val="0"/>
          <w:sz w:val="28"/>
          <w:szCs w:val="28"/>
        </w:rPr>
      </w:pPr>
      <w:bookmarkStart w:id="163" w:name="_Toc59130703"/>
      <w:bookmarkStart w:id="164" w:name="_Toc60183467"/>
      <w:r w:rsidRPr="00824D58">
        <w:t>RESULTS AND DİSCUSSİON</w:t>
      </w:r>
      <w:bookmarkEnd w:id="163"/>
      <w:bookmarkEnd w:id="164"/>
    </w:p>
    <w:p w:rsidR="00634442" w:rsidRPr="00824D58" w:rsidRDefault="00634442" w:rsidP="00634442">
      <w:pPr>
        <w:pStyle w:val="Heading1"/>
        <w:keepNext/>
        <w:keepLines/>
        <w:spacing w:before="0" w:beforeAutospacing="0" w:after="0" w:afterAutospacing="0"/>
        <w:rPr>
          <w:rStyle w:val="Heading2Char"/>
        </w:rPr>
      </w:pPr>
    </w:p>
    <w:p w:rsidR="00D879FF" w:rsidRPr="00824D58" w:rsidRDefault="00D879FF" w:rsidP="00634442">
      <w:pPr>
        <w:pStyle w:val="Heading1"/>
        <w:keepNext/>
        <w:keepLines/>
        <w:numPr>
          <w:ilvl w:val="1"/>
          <w:numId w:val="11"/>
        </w:numPr>
        <w:spacing w:before="0" w:beforeAutospacing="0" w:after="0" w:afterAutospacing="0"/>
        <w:ind w:left="426" w:hanging="426"/>
        <w:rPr>
          <w:rStyle w:val="Heading2Char"/>
          <w:rFonts w:eastAsia="Times New Roman" w:cs="Times New Roman"/>
          <w:sz w:val="28"/>
          <w:szCs w:val="28"/>
        </w:rPr>
      </w:pPr>
      <w:bookmarkStart w:id="165" w:name="_Toc59130704"/>
      <w:bookmarkStart w:id="166" w:name="_Toc60183468"/>
      <w:r w:rsidRPr="00824D58">
        <w:rPr>
          <w:rStyle w:val="Heading2Char"/>
          <w:b/>
          <w:bCs/>
        </w:rPr>
        <w:t>Prostate cancer Analysis</w:t>
      </w:r>
      <w:bookmarkEnd w:id="165"/>
      <w:bookmarkEnd w:id="166"/>
    </w:p>
    <w:p w:rsidR="00634442" w:rsidRPr="00824D58" w:rsidRDefault="00634442" w:rsidP="00634442">
      <w:pPr>
        <w:pStyle w:val="Heading1"/>
        <w:keepNext/>
        <w:keepLines/>
        <w:spacing w:before="0" w:beforeAutospacing="0" w:after="0" w:afterAutospacing="0"/>
        <w:rPr>
          <w:rFonts w:asciiTheme="majorBidi" w:hAnsiTheme="majorBidi"/>
          <w:b w:val="0"/>
          <w:bCs w:val="0"/>
        </w:rPr>
      </w:pPr>
    </w:p>
    <w:p w:rsidR="007B489A" w:rsidRPr="00824D58" w:rsidRDefault="00ED5F2C" w:rsidP="00634442">
      <w:pPr>
        <w:spacing w:after="0"/>
      </w:pPr>
      <w:r w:rsidRPr="00824D58">
        <w:t>This study</w:t>
      </w:r>
      <w:r w:rsidR="009F42F4" w:rsidRPr="00824D58">
        <w:t xml:space="preserve"> included</w:t>
      </w:r>
      <w:r w:rsidR="00EE2290" w:rsidRPr="00824D58">
        <w:t xml:space="preserve"> two groups, f</w:t>
      </w:r>
      <w:r w:rsidR="00D879FF" w:rsidRPr="00824D58">
        <w:t>irst group</w:t>
      </w:r>
      <w:r w:rsidR="00EE2290" w:rsidRPr="00824D58">
        <w:t xml:space="preserve"> included 60 person as control G</w:t>
      </w:r>
      <w:r w:rsidR="00D879FF" w:rsidRPr="00824D58">
        <w:t>roup</w:t>
      </w:r>
      <w:r w:rsidR="00EE2290" w:rsidRPr="00824D58">
        <w:t xml:space="preserve"> (Group A)</w:t>
      </w:r>
      <w:r w:rsidR="00D879FF" w:rsidRPr="00824D58">
        <w:t>,</w:t>
      </w:r>
      <w:r w:rsidR="00EE2290" w:rsidRPr="00824D58">
        <w:t xml:space="preserve"> while </w:t>
      </w:r>
      <w:r w:rsidR="007B489A" w:rsidRPr="00824D58">
        <w:t>Second Group</w:t>
      </w:r>
      <w:r w:rsidR="00EE2290" w:rsidRPr="00824D58">
        <w:t xml:space="preserve"> 70 person</w:t>
      </w:r>
      <w:r w:rsidR="00D879FF" w:rsidRPr="00824D58">
        <w:t xml:space="preserve"> (patients group</w:t>
      </w:r>
      <w:r w:rsidR="00EE2290" w:rsidRPr="00824D58">
        <w:t xml:space="preserve"> or Group B</w:t>
      </w:r>
      <w:r w:rsidR="00D879FF" w:rsidRPr="00824D58">
        <w:t>), in</w:t>
      </w:r>
      <w:r w:rsidR="00EE2290" w:rsidRPr="00824D58">
        <w:t xml:space="preserve"> our study the total of cases 13</w:t>
      </w:r>
      <w:r w:rsidR="00D879FF" w:rsidRPr="00824D58">
        <w:t xml:space="preserve">0 people, their ages between 26 - 66 year for analysis. </w:t>
      </w:r>
    </w:p>
    <w:p w:rsidR="00634442" w:rsidRPr="00824D58" w:rsidRDefault="00634442" w:rsidP="00634442">
      <w:pPr>
        <w:spacing w:after="0"/>
      </w:pPr>
    </w:p>
    <w:p w:rsidR="00D879FF" w:rsidRPr="00824D58" w:rsidRDefault="00756250" w:rsidP="00634442">
      <w:pPr>
        <w:spacing w:after="0"/>
      </w:pPr>
      <w:r w:rsidRPr="00756250">
        <w:t>As can be seen in Table 4.1 and Figure 4.1, there were no statistically significant variations in mean age between Group A (Controls) and Group B (Patients), with Group A having a mean age of 61.3 9.26 years and Group B having a mean age of 64.7 10.8 years.</w:t>
      </w:r>
      <w:r w:rsidR="006E218E" w:rsidRPr="00824D58">
        <w:t xml:space="preserve"> </w:t>
      </w:r>
      <w:r w:rsidR="00D879FF" w:rsidRPr="00824D58">
        <w:t>While there are correlation between Hepcidin Hormone and age (r = 0.257**, P-Value 0.003).</w:t>
      </w:r>
    </w:p>
    <w:p w:rsidR="00634442" w:rsidRPr="00824D58" w:rsidRDefault="00634442" w:rsidP="00634442">
      <w:pPr>
        <w:spacing w:after="0"/>
      </w:pPr>
    </w:p>
    <w:p w:rsidR="007A721D" w:rsidRPr="00824D58" w:rsidRDefault="00997303" w:rsidP="00756250">
      <w:pPr>
        <w:pStyle w:val="Caption"/>
        <w:keepNext/>
        <w:spacing w:after="0"/>
      </w:pPr>
      <w:bookmarkStart w:id="167" w:name="_Toc60183212"/>
      <w:r w:rsidRPr="00824D58">
        <w:t>Table</w:t>
      </w:r>
      <w:r w:rsidR="007A721D" w:rsidRPr="00824D58">
        <w:t xml:space="preserve"> 4.</w:t>
      </w:r>
      <w:fldSimple w:instr=" SEQ Tablo_4. \* ARABIC ">
        <w:r w:rsidR="00713623">
          <w:rPr>
            <w:noProof/>
          </w:rPr>
          <w:t>1</w:t>
        </w:r>
      </w:fldSimple>
      <w:r w:rsidR="007A721D" w:rsidRPr="00824D58">
        <w:t>. Age in Patients and Control</w:t>
      </w:r>
      <w:bookmarkEnd w:id="167"/>
    </w:p>
    <w:p w:rsidR="003642C1" w:rsidRPr="00824D58" w:rsidRDefault="003642C1" w:rsidP="003642C1">
      <w:pPr>
        <w:spacing w:after="0"/>
      </w:pPr>
    </w:p>
    <w:tbl>
      <w:tblPr>
        <w:tblW w:w="8507" w:type="dxa"/>
        <w:tblInd w:w="108" w:type="dxa"/>
        <w:tblLook w:val="04A0" w:firstRow="1" w:lastRow="0" w:firstColumn="1" w:lastColumn="0" w:noHBand="0" w:noVBand="1"/>
      </w:tblPr>
      <w:tblGrid>
        <w:gridCol w:w="1988"/>
        <w:gridCol w:w="2096"/>
        <w:gridCol w:w="236"/>
        <w:gridCol w:w="1867"/>
        <w:gridCol w:w="170"/>
        <w:gridCol w:w="322"/>
        <w:gridCol w:w="1606"/>
        <w:gridCol w:w="222"/>
      </w:tblGrid>
      <w:tr w:rsidR="007A721D" w:rsidRPr="00824D58" w:rsidTr="00456D91">
        <w:trPr>
          <w:trHeight w:val="933"/>
        </w:trPr>
        <w:tc>
          <w:tcPr>
            <w:tcW w:w="1988" w:type="dxa"/>
            <w:tcBorders>
              <w:top w:val="single" w:sz="4" w:space="0" w:color="auto"/>
              <w:left w:val="single" w:sz="4" w:space="0" w:color="auto"/>
              <w:bottom w:val="single" w:sz="4" w:space="0" w:color="auto"/>
              <w:right w:val="single" w:sz="4" w:space="0" w:color="auto"/>
            </w:tcBorders>
            <w:vAlign w:val="center"/>
          </w:tcPr>
          <w:p w:rsidR="007A721D" w:rsidRPr="00824D58" w:rsidRDefault="007A721D" w:rsidP="007A721D">
            <w:pPr>
              <w:spacing w:after="0" w:line="240" w:lineRule="auto"/>
              <w:jc w:val="center"/>
            </w:pPr>
            <w:r w:rsidRPr="00824D58">
              <w:t>Variable</w:t>
            </w:r>
          </w:p>
        </w:tc>
        <w:tc>
          <w:tcPr>
            <w:tcW w:w="2096" w:type="dxa"/>
            <w:tcBorders>
              <w:top w:val="single" w:sz="4" w:space="0" w:color="auto"/>
              <w:left w:val="single" w:sz="4" w:space="0" w:color="auto"/>
              <w:bottom w:val="single" w:sz="4" w:space="0" w:color="auto"/>
            </w:tcBorders>
            <w:vAlign w:val="center"/>
          </w:tcPr>
          <w:p w:rsidR="007A721D" w:rsidRPr="00824D58" w:rsidRDefault="007A721D" w:rsidP="007A721D">
            <w:pPr>
              <w:spacing w:after="0" w:line="240" w:lineRule="auto"/>
              <w:jc w:val="center"/>
            </w:pPr>
            <w:r w:rsidRPr="00824D58">
              <w:t>Groups A</w:t>
            </w:r>
          </w:p>
          <w:p w:rsidR="007A721D" w:rsidRPr="00824D58" w:rsidRDefault="007A721D" w:rsidP="007A721D">
            <w:pPr>
              <w:spacing w:after="0" w:line="240" w:lineRule="auto"/>
              <w:jc w:val="center"/>
            </w:pPr>
            <w:r w:rsidRPr="00824D58">
              <w:t>Mean ± SD</w:t>
            </w:r>
          </w:p>
        </w:tc>
        <w:tc>
          <w:tcPr>
            <w:tcW w:w="236" w:type="dxa"/>
            <w:tcBorders>
              <w:top w:val="single" w:sz="4" w:space="0" w:color="auto"/>
              <w:bottom w:val="single" w:sz="4" w:space="0" w:color="auto"/>
              <w:right w:val="single" w:sz="4" w:space="0" w:color="auto"/>
            </w:tcBorders>
            <w:vAlign w:val="center"/>
          </w:tcPr>
          <w:p w:rsidR="007A721D" w:rsidRPr="00824D58" w:rsidRDefault="007A721D" w:rsidP="007A721D">
            <w:pPr>
              <w:spacing w:after="0" w:line="240" w:lineRule="auto"/>
              <w:jc w:val="center"/>
            </w:pPr>
          </w:p>
          <w:p w:rsidR="007A721D" w:rsidRPr="00824D58" w:rsidRDefault="007A721D" w:rsidP="007A721D">
            <w:pPr>
              <w:spacing w:after="0" w:line="240" w:lineRule="auto"/>
              <w:jc w:val="center"/>
            </w:pPr>
          </w:p>
        </w:tc>
        <w:tc>
          <w:tcPr>
            <w:tcW w:w="2037" w:type="dxa"/>
            <w:gridSpan w:val="2"/>
            <w:tcBorders>
              <w:top w:val="single" w:sz="4" w:space="0" w:color="auto"/>
              <w:left w:val="single" w:sz="4" w:space="0" w:color="auto"/>
              <w:bottom w:val="single" w:sz="4" w:space="0" w:color="auto"/>
            </w:tcBorders>
            <w:vAlign w:val="center"/>
          </w:tcPr>
          <w:p w:rsidR="007A721D" w:rsidRPr="00824D58" w:rsidRDefault="007A721D" w:rsidP="007A721D">
            <w:pPr>
              <w:spacing w:after="0" w:line="240" w:lineRule="auto"/>
              <w:jc w:val="center"/>
            </w:pPr>
            <w:r w:rsidRPr="00824D58">
              <w:t>Group B</w:t>
            </w:r>
          </w:p>
          <w:p w:rsidR="007A721D" w:rsidRPr="00824D58" w:rsidRDefault="007A721D" w:rsidP="007A721D">
            <w:pPr>
              <w:spacing w:after="0" w:line="240" w:lineRule="auto"/>
              <w:jc w:val="center"/>
            </w:pPr>
            <w:r w:rsidRPr="00824D58">
              <w:t>Mean ± SD</w:t>
            </w:r>
          </w:p>
        </w:tc>
        <w:tc>
          <w:tcPr>
            <w:tcW w:w="322" w:type="dxa"/>
            <w:tcBorders>
              <w:top w:val="single" w:sz="4" w:space="0" w:color="auto"/>
              <w:bottom w:val="single" w:sz="4" w:space="0" w:color="auto"/>
              <w:right w:val="single" w:sz="4" w:space="0" w:color="auto"/>
            </w:tcBorders>
            <w:vAlign w:val="center"/>
          </w:tcPr>
          <w:p w:rsidR="007A721D" w:rsidRPr="00824D58" w:rsidRDefault="007A721D" w:rsidP="007A721D">
            <w:pPr>
              <w:spacing w:after="0" w:line="240" w:lineRule="auto"/>
              <w:jc w:val="center"/>
            </w:pPr>
          </w:p>
        </w:tc>
        <w:tc>
          <w:tcPr>
            <w:tcW w:w="1828" w:type="dxa"/>
            <w:gridSpan w:val="2"/>
            <w:tcBorders>
              <w:top w:val="single" w:sz="4" w:space="0" w:color="auto"/>
              <w:left w:val="single" w:sz="4" w:space="0" w:color="auto"/>
              <w:bottom w:val="single" w:sz="4" w:space="0" w:color="auto"/>
              <w:right w:val="single" w:sz="4" w:space="0" w:color="auto"/>
            </w:tcBorders>
            <w:vAlign w:val="center"/>
          </w:tcPr>
          <w:p w:rsidR="007A721D" w:rsidRPr="00824D58" w:rsidRDefault="007A721D" w:rsidP="007A721D">
            <w:pPr>
              <w:spacing w:after="0" w:line="240" w:lineRule="auto"/>
              <w:jc w:val="center"/>
            </w:pPr>
            <w:r w:rsidRPr="00824D58">
              <w:t>Sig.</w:t>
            </w:r>
          </w:p>
        </w:tc>
      </w:tr>
      <w:tr w:rsidR="007A721D" w:rsidRPr="00824D58" w:rsidTr="00456D91">
        <w:trPr>
          <w:trHeight w:val="300"/>
        </w:trPr>
        <w:tc>
          <w:tcPr>
            <w:tcW w:w="1988" w:type="dxa"/>
            <w:tcBorders>
              <w:top w:val="single" w:sz="4" w:space="0" w:color="auto"/>
              <w:left w:val="single" w:sz="4" w:space="0" w:color="auto"/>
              <w:right w:val="single" w:sz="4" w:space="0" w:color="auto"/>
            </w:tcBorders>
            <w:vAlign w:val="center"/>
          </w:tcPr>
          <w:p w:rsidR="007A721D" w:rsidRPr="00824D58" w:rsidRDefault="007A721D" w:rsidP="007A721D">
            <w:pPr>
              <w:spacing w:after="0" w:line="240" w:lineRule="auto"/>
              <w:jc w:val="center"/>
            </w:pPr>
          </w:p>
        </w:tc>
        <w:tc>
          <w:tcPr>
            <w:tcW w:w="2096" w:type="dxa"/>
            <w:tcBorders>
              <w:top w:val="single" w:sz="4" w:space="0" w:color="auto"/>
              <w:left w:val="single" w:sz="4" w:space="0" w:color="auto"/>
            </w:tcBorders>
            <w:vAlign w:val="center"/>
          </w:tcPr>
          <w:p w:rsidR="007A721D" w:rsidRPr="00824D58" w:rsidRDefault="007A721D" w:rsidP="007A721D">
            <w:pPr>
              <w:spacing w:after="0" w:line="240" w:lineRule="auto"/>
              <w:jc w:val="center"/>
            </w:pPr>
          </w:p>
        </w:tc>
        <w:tc>
          <w:tcPr>
            <w:tcW w:w="236" w:type="dxa"/>
            <w:tcBorders>
              <w:top w:val="single" w:sz="4" w:space="0" w:color="auto"/>
              <w:right w:val="single" w:sz="4" w:space="0" w:color="auto"/>
            </w:tcBorders>
            <w:vAlign w:val="center"/>
          </w:tcPr>
          <w:p w:rsidR="007A721D" w:rsidRPr="00824D58" w:rsidRDefault="007A721D" w:rsidP="007A721D">
            <w:pPr>
              <w:spacing w:after="0" w:line="240" w:lineRule="auto"/>
              <w:jc w:val="center"/>
            </w:pPr>
          </w:p>
        </w:tc>
        <w:tc>
          <w:tcPr>
            <w:tcW w:w="2037" w:type="dxa"/>
            <w:gridSpan w:val="2"/>
            <w:tcBorders>
              <w:top w:val="single" w:sz="4" w:space="0" w:color="auto"/>
              <w:left w:val="single" w:sz="4" w:space="0" w:color="auto"/>
            </w:tcBorders>
            <w:vAlign w:val="center"/>
          </w:tcPr>
          <w:p w:rsidR="00E735B8" w:rsidRPr="00824D58" w:rsidRDefault="00E735B8" w:rsidP="00E735B8">
            <w:pPr>
              <w:spacing w:after="0" w:line="240" w:lineRule="auto"/>
            </w:pPr>
          </w:p>
        </w:tc>
        <w:tc>
          <w:tcPr>
            <w:tcW w:w="322" w:type="dxa"/>
            <w:tcBorders>
              <w:top w:val="single" w:sz="4" w:space="0" w:color="auto"/>
              <w:right w:val="single" w:sz="4" w:space="0" w:color="auto"/>
            </w:tcBorders>
            <w:vAlign w:val="center"/>
          </w:tcPr>
          <w:p w:rsidR="007A721D" w:rsidRPr="00824D58" w:rsidRDefault="007A721D" w:rsidP="007A721D">
            <w:pPr>
              <w:spacing w:after="0" w:line="240" w:lineRule="auto"/>
              <w:jc w:val="center"/>
            </w:pPr>
          </w:p>
        </w:tc>
        <w:tc>
          <w:tcPr>
            <w:tcW w:w="1828" w:type="dxa"/>
            <w:gridSpan w:val="2"/>
            <w:tcBorders>
              <w:top w:val="single" w:sz="4" w:space="0" w:color="auto"/>
              <w:left w:val="single" w:sz="4" w:space="0" w:color="auto"/>
              <w:right w:val="single" w:sz="4" w:space="0" w:color="auto"/>
            </w:tcBorders>
            <w:vAlign w:val="center"/>
          </w:tcPr>
          <w:p w:rsidR="007A721D" w:rsidRPr="00824D58" w:rsidRDefault="007A721D" w:rsidP="007A721D">
            <w:pPr>
              <w:spacing w:after="0" w:line="240" w:lineRule="auto"/>
              <w:jc w:val="center"/>
            </w:pPr>
          </w:p>
        </w:tc>
      </w:tr>
      <w:tr w:rsidR="00E735B8" w:rsidRPr="00824D58" w:rsidTr="00456D91">
        <w:tc>
          <w:tcPr>
            <w:tcW w:w="1988" w:type="dxa"/>
            <w:tcBorders>
              <w:left w:val="single" w:sz="4" w:space="0" w:color="auto"/>
              <w:bottom w:val="single" w:sz="4" w:space="0" w:color="auto"/>
              <w:right w:val="single" w:sz="4" w:space="0" w:color="auto"/>
            </w:tcBorders>
            <w:vAlign w:val="center"/>
          </w:tcPr>
          <w:p w:rsidR="00E735B8" w:rsidRPr="00824D58" w:rsidRDefault="00E735B8" w:rsidP="007A721D">
            <w:pPr>
              <w:spacing w:after="0" w:line="240" w:lineRule="auto"/>
              <w:jc w:val="center"/>
            </w:pPr>
            <w:r w:rsidRPr="00824D58">
              <w:t>Age</w:t>
            </w:r>
          </w:p>
        </w:tc>
        <w:tc>
          <w:tcPr>
            <w:tcW w:w="2096" w:type="dxa"/>
            <w:tcBorders>
              <w:left w:val="single" w:sz="4" w:space="0" w:color="auto"/>
              <w:bottom w:val="single" w:sz="4" w:space="0" w:color="auto"/>
            </w:tcBorders>
            <w:vAlign w:val="center"/>
          </w:tcPr>
          <w:p w:rsidR="00E735B8" w:rsidRPr="00824D58" w:rsidRDefault="00E735B8" w:rsidP="00402DAE">
            <w:pPr>
              <w:spacing w:after="0" w:line="240" w:lineRule="auto"/>
              <w:jc w:val="center"/>
            </w:pPr>
            <w:r w:rsidRPr="00824D58">
              <w:t xml:space="preserve">64.7 </w:t>
            </w:r>
            <w:r w:rsidRPr="00824D58">
              <w:rPr>
                <w:rFonts w:cstheme="minorHAnsi"/>
              </w:rPr>
              <w:t>±</w:t>
            </w:r>
            <w:r w:rsidRPr="00824D58">
              <w:t xml:space="preserve"> 10.8</w:t>
            </w:r>
          </w:p>
        </w:tc>
        <w:tc>
          <w:tcPr>
            <w:tcW w:w="236" w:type="dxa"/>
            <w:tcBorders>
              <w:bottom w:val="single" w:sz="4" w:space="0" w:color="auto"/>
              <w:right w:val="single" w:sz="4" w:space="0" w:color="auto"/>
            </w:tcBorders>
            <w:vAlign w:val="center"/>
          </w:tcPr>
          <w:p w:rsidR="00E735B8" w:rsidRPr="00824D58" w:rsidRDefault="00E735B8" w:rsidP="007A721D">
            <w:pPr>
              <w:spacing w:after="0" w:line="240" w:lineRule="auto"/>
              <w:jc w:val="center"/>
            </w:pPr>
          </w:p>
        </w:tc>
        <w:tc>
          <w:tcPr>
            <w:tcW w:w="2037" w:type="dxa"/>
            <w:gridSpan w:val="2"/>
            <w:tcBorders>
              <w:left w:val="single" w:sz="4" w:space="0" w:color="auto"/>
              <w:bottom w:val="single" w:sz="4" w:space="0" w:color="auto"/>
            </w:tcBorders>
            <w:vAlign w:val="center"/>
          </w:tcPr>
          <w:p w:rsidR="00E735B8" w:rsidRPr="00824D58" w:rsidRDefault="00E735B8" w:rsidP="007A721D">
            <w:pPr>
              <w:spacing w:after="0" w:line="240" w:lineRule="auto"/>
              <w:jc w:val="center"/>
            </w:pPr>
            <w:r w:rsidRPr="00824D58">
              <w:t>38.3</w:t>
            </w:r>
            <w:r w:rsidRPr="00824D58">
              <w:rPr>
                <w:rFonts w:cstheme="minorHAnsi"/>
              </w:rPr>
              <w:t>±</w:t>
            </w:r>
            <w:r w:rsidRPr="00824D58">
              <w:t>7.62</w:t>
            </w:r>
          </w:p>
        </w:tc>
        <w:tc>
          <w:tcPr>
            <w:tcW w:w="322" w:type="dxa"/>
            <w:tcBorders>
              <w:bottom w:val="single" w:sz="4" w:space="0" w:color="auto"/>
              <w:right w:val="single" w:sz="4" w:space="0" w:color="auto"/>
            </w:tcBorders>
            <w:vAlign w:val="center"/>
          </w:tcPr>
          <w:p w:rsidR="00E735B8" w:rsidRPr="00824D58" w:rsidRDefault="00E735B8" w:rsidP="007A721D">
            <w:pPr>
              <w:spacing w:after="0" w:line="240" w:lineRule="auto"/>
              <w:jc w:val="center"/>
            </w:pPr>
          </w:p>
        </w:tc>
        <w:tc>
          <w:tcPr>
            <w:tcW w:w="1828" w:type="dxa"/>
            <w:gridSpan w:val="2"/>
            <w:tcBorders>
              <w:left w:val="single" w:sz="4" w:space="0" w:color="auto"/>
              <w:bottom w:val="single" w:sz="4" w:space="0" w:color="auto"/>
              <w:right w:val="single" w:sz="4" w:space="0" w:color="auto"/>
            </w:tcBorders>
            <w:vAlign w:val="center"/>
          </w:tcPr>
          <w:p w:rsidR="00E735B8" w:rsidRPr="00824D58" w:rsidRDefault="00E735B8" w:rsidP="007A721D">
            <w:pPr>
              <w:spacing w:after="0" w:line="240" w:lineRule="auto"/>
              <w:jc w:val="center"/>
            </w:pPr>
            <w:r w:rsidRPr="00824D58">
              <w:t>0.031</w:t>
            </w:r>
          </w:p>
        </w:tc>
      </w:tr>
      <w:tr w:rsidR="00E735B8" w:rsidRPr="00824D58" w:rsidTr="00456D91">
        <w:tc>
          <w:tcPr>
            <w:tcW w:w="1988" w:type="dxa"/>
            <w:tcBorders>
              <w:top w:val="single" w:sz="4" w:space="0" w:color="auto"/>
              <w:left w:val="single" w:sz="4" w:space="0" w:color="auto"/>
              <w:bottom w:val="single" w:sz="4" w:space="0" w:color="auto"/>
              <w:right w:val="single" w:sz="4" w:space="0" w:color="auto"/>
            </w:tcBorders>
            <w:vAlign w:val="center"/>
          </w:tcPr>
          <w:p w:rsidR="00E735B8" w:rsidRPr="00824D58" w:rsidRDefault="00E735B8" w:rsidP="007A721D">
            <w:pPr>
              <w:spacing w:after="0" w:line="240" w:lineRule="auto"/>
              <w:jc w:val="center"/>
            </w:pPr>
            <w:r w:rsidRPr="00824D58">
              <w:t>Weight</w:t>
            </w:r>
          </w:p>
        </w:tc>
        <w:tc>
          <w:tcPr>
            <w:tcW w:w="2096" w:type="dxa"/>
            <w:tcBorders>
              <w:top w:val="single" w:sz="4" w:space="0" w:color="auto"/>
              <w:left w:val="single" w:sz="4" w:space="0" w:color="auto"/>
              <w:bottom w:val="single" w:sz="4" w:space="0" w:color="auto"/>
            </w:tcBorders>
            <w:vAlign w:val="center"/>
          </w:tcPr>
          <w:p w:rsidR="00E735B8" w:rsidRPr="00824D58" w:rsidRDefault="00E735B8" w:rsidP="007A721D">
            <w:pPr>
              <w:spacing w:after="0" w:line="240" w:lineRule="auto"/>
              <w:jc w:val="center"/>
            </w:pPr>
            <w:r w:rsidRPr="00824D58">
              <w:t xml:space="preserve">80.5 </w:t>
            </w:r>
            <w:r w:rsidRPr="00824D58">
              <w:rPr>
                <w:rFonts w:cstheme="minorHAnsi"/>
              </w:rPr>
              <w:t>±</w:t>
            </w:r>
            <w:r w:rsidRPr="00824D58">
              <w:t xml:space="preserve"> 12.9</w:t>
            </w:r>
          </w:p>
        </w:tc>
        <w:tc>
          <w:tcPr>
            <w:tcW w:w="236" w:type="dxa"/>
            <w:tcBorders>
              <w:top w:val="single" w:sz="4" w:space="0" w:color="auto"/>
              <w:bottom w:val="single" w:sz="4" w:space="0" w:color="auto"/>
              <w:right w:val="single" w:sz="4" w:space="0" w:color="auto"/>
            </w:tcBorders>
            <w:vAlign w:val="center"/>
          </w:tcPr>
          <w:p w:rsidR="00E735B8" w:rsidRPr="00824D58" w:rsidRDefault="00E735B8" w:rsidP="007A721D">
            <w:pPr>
              <w:spacing w:after="0" w:line="240" w:lineRule="auto"/>
              <w:jc w:val="center"/>
            </w:pPr>
          </w:p>
        </w:tc>
        <w:tc>
          <w:tcPr>
            <w:tcW w:w="2037" w:type="dxa"/>
            <w:gridSpan w:val="2"/>
            <w:tcBorders>
              <w:top w:val="single" w:sz="4" w:space="0" w:color="auto"/>
              <w:left w:val="single" w:sz="4" w:space="0" w:color="auto"/>
              <w:bottom w:val="single" w:sz="4" w:space="0" w:color="auto"/>
            </w:tcBorders>
            <w:vAlign w:val="center"/>
          </w:tcPr>
          <w:p w:rsidR="00E735B8" w:rsidRPr="00824D58" w:rsidRDefault="00E735B8" w:rsidP="007A721D">
            <w:pPr>
              <w:spacing w:after="0" w:line="240" w:lineRule="auto"/>
              <w:jc w:val="center"/>
            </w:pPr>
            <w:r w:rsidRPr="00824D58">
              <w:t xml:space="preserve">78.9 </w:t>
            </w:r>
            <w:r w:rsidRPr="00824D58">
              <w:rPr>
                <w:rFonts w:cstheme="minorHAnsi"/>
              </w:rPr>
              <w:t>±</w:t>
            </w:r>
            <w:r w:rsidRPr="00824D58">
              <w:t xml:space="preserve"> 12.5</w:t>
            </w:r>
          </w:p>
        </w:tc>
        <w:tc>
          <w:tcPr>
            <w:tcW w:w="322" w:type="dxa"/>
            <w:tcBorders>
              <w:top w:val="single" w:sz="4" w:space="0" w:color="auto"/>
              <w:bottom w:val="single" w:sz="4" w:space="0" w:color="auto"/>
              <w:right w:val="single" w:sz="4" w:space="0" w:color="auto"/>
            </w:tcBorders>
            <w:vAlign w:val="center"/>
          </w:tcPr>
          <w:p w:rsidR="00E735B8" w:rsidRPr="00824D58" w:rsidRDefault="00E735B8" w:rsidP="007A721D">
            <w:pPr>
              <w:spacing w:after="0" w:line="240" w:lineRule="auto"/>
              <w:jc w:val="center"/>
            </w:pPr>
          </w:p>
        </w:tc>
        <w:tc>
          <w:tcPr>
            <w:tcW w:w="1828" w:type="dxa"/>
            <w:gridSpan w:val="2"/>
            <w:tcBorders>
              <w:top w:val="single" w:sz="4" w:space="0" w:color="auto"/>
              <w:left w:val="single" w:sz="4" w:space="0" w:color="auto"/>
              <w:bottom w:val="single" w:sz="4" w:space="0" w:color="auto"/>
              <w:right w:val="single" w:sz="4" w:space="0" w:color="auto"/>
            </w:tcBorders>
            <w:vAlign w:val="center"/>
          </w:tcPr>
          <w:p w:rsidR="00E735B8" w:rsidRPr="00824D58" w:rsidRDefault="00E735B8" w:rsidP="007A721D">
            <w:pPr>
              <w:spacing w:after="0" w:line="240" w:lineRule="auto"/>
              <w:jc w:val="center"/>
            </w:pPr>
            <w:r w:rsidRPr="00824D58">
              <w:t>0.287</w:t>
            </w:r>
          </w:p>
        </w:tc>
      </w:tr>
      <w:tr w:rsidR="00E735B8" w:rsidRPr="00824D58" w:rsidTr="00456D91">
        <w:tc>
          <w:tcPr>
            <w:tcW w:w="1988" w:type="dxa"/>
            <w:tcBorders>
              <w:top w:val="single" w:sz="4" w:space="0" w:color="auto"/>
              <w:left w:val="single" w:sz="4" w:space="0" w:color="auto"/>
              <w:bottom w:val="single" w:sz="4" w:space="0" w:color="auto"/>
              <w:right w:val="single" w:sz="4" w:space="0" w:color="auto"/>
            </w:tcBorders>
            <w:vAlign w:val="center"/>
          </w:tcPr>
          <w:p w:rsidR="00E735B8" w:rsidRPr="00824D58" w:rsidRDefault="00E735B8" w:rsidP="007A721D">
            <w:pPr>
              <w:spacing w:after="0" w:line="240" w:lineRule="auto"/>
              <w:jc w:val="center"/>
            </w:pPr>
            <w:r w:rsidRPr="00824D58">
              <w:t>C.R.P</w:t>
            </w:r>
          </w:p>
        </w:tc>
        <w:tc>
          <w:tcPr>
            <w:tcW w:w="2096" w:type="dxa"/>
            <w:tcBorders>
              <w:top w:val="single" w:sz="4" w:space="0" w:color="auto"/>
              <w:left w:val="single" w:sz="4" w:space="0" w:color="auto"/>
              <w:bottom w:val="single" w:sz="4" w:space="0" w:color="auto"/>
            </w:tcBorders>
            <w:vAlign w:val="center"/>
          </w:tcPr>
          <w:p w:rsidR="00E735B8" w:rsidRPr="00824D58" w:rsidRDefault="00E735B8" w:rsidP="007A721D">
            <w:pPr>
              <w:spacing w:after="0" w:line="240" w:lineRule="auto"/>
              <w:jc w:val="center"/>
            </w:pPr>
            <w:r w:rsidRPr="00824D58">
              <w:t xml:space="preserve">12.9 </w:t>
            </w:r>
            <w:r w:rsidRPr="00824D58">
              <w:rPr>
                <w:rFonts w:cstheme="minorHAnsi"/>
              </w:rPr>
              <w:t>±</w:t>
            </w:r>
            <w:r w:rsidRPr="00824D58">
              <w:t xml:space="preserve"> 30.6</w:t>
            </w:r>
          </w:p>
        </w:tc>
        <w:tc>
          <w:tcPr>
            <w:tcW w:w="236" w:type="dxa"/>
            <w:tcBorders>
              <w:top w:val="single" w:sz="4" w:space="0" w:color="auto"/>
              <w:bottom w:val="single" w:sz="4" w:space="0" w:color="auto"/>
              <w:right w:val="single" w:sz="4" w:space="0" w:color="auto"/>
            </w:tcBorders>
            <w:vAlign w:val="center"/>
          </w:tcPr>
          <w:p w:rsidR="00E735B8" w:rsidRPr="00824D58" w:rsidRDefault="00E735B8" w:rsidP="007A721D">
            <w:pPr>
              <w:spacing w:after="0" w:line="240" w:lineRule="auto"/>
              <w:jc w:val="center"/>
            </w:pPr>
          </w:p>
        </w:tc>
        <w:tc>
          <w:tcPr>
            <w:tcW w:w="2037" w:type="dxa"/>
            <w:gridSpan w:val="2"/>
            <w:tcBorders>
              <w:top w:val="single" w:sz="4" w:space="0" w:color="auto"/>
              <w:left w:val="single" w:sz="4" w:space="0" w:color="auto"/>
              <w:bottom w:val="single" w:sz="4" w:space="0" w:color="auto"/>
            </w:tcBorders>
            <w:vAlign w:val="center"/>
          </w:tcPr>
          <w:p w:rsidR="00E735B8" w:rsidRPr="00824D58" w:rsidRDefault="00E735B8" w:rsidP="007A721D">
            <w:pPr>
              <w:spacing w:after="0" w:line="240" w:lineRule="auto"/>
              <w:jc w:val="center"/>
            </w:pPr>
            <w:r w:rsidRPr="00824D58">
              <w:t xml:space="preserve">92.5 </w:t>
            </w:r>
            <w:r w:rsidRPr="00824D58">
              <w:rPr>
                <w:rFonts w:cstheme="minorHAnsi"/>
              </w:rPr>
              <w:t>±</w:t>
            </w:r>
            <w:r w:rsidRPr="00824D58">
              <w:t xml:space="preserve"> 79.3</w:t>
            </w:r>
          </w:p>
        </w:tc>
        <w:tc>
          <w:tcPr>
            <w:tcW w:w="322" w:type="dxa"/>
            <w:tcBorders>
              <w:top w:val="single" w:sz="4" w:space="0" w:color="auto"/>
              <w:bottom w:val="single" w:sz="4" w:space="0" w:color="auto"/>
              <w:right w:val="single" w:sz="4" w:space="0" w:color="auto"/>
            </w:tcBorders>
            <w:vAlign w:val="center"/>
          </w:tcPr>
          <w:p w:rsidR="00E735B8" w:rsidRPr="00824D58" w:rsidRDefault="00E735B8" w:rsidP="007A721D">
            <w:pPr>
              <w:spacing w:after="0" w:line="240" w:lineRule="auto"/>
              <w:jc w:val="center"/>
            </w:pPr>
          </w:p>
        </w:tc>
        <w:tc>
          <w:tcPr>
            <w:tcW w:w="1828" w:type="dxa"/>
            <w:gridSpan w:val="2"/>
            <w:tcBorders>
              <w:top w:val="single" w:sz="4" w:space="0" w:color="auto"/>
              <w:left w:val="single" w:sz="4" w:space="0" w:color="auto"/>
              <w:bottom w:val="single" w:sz="4" w:space="0" w:color="auto"/>
              <w:right w:val="single" w:sz="4" w:space="0" w:color="auto"/>
            </w:tcBorders>
            <w:vAlign w:val="center"/>
          </w:tcPr>
          <w:p w:rsidR="00E735B8" w:rsidRPr="00824D58" w:rsidRDefault="00E735B8" w:rsidP="007A721D">
            <w:pPr>
              <w:spacing w:after="0" w:line="240" w:lineRule="auto"/>
              <w:jc w:val="center"/>
            </w:pPr>
            <w:r w:rsidRPr="00824D58">
              <w:t>0.001</w:t>
            </w:r>
          </w:p>
        </w:tc>
      </w:tr>
      <w:tr w:rsidR="00E735B8" w:rsidRPr="00824D58" w:rsidTr="00456D91">
        <w:tc>
          <w:tcPr>
            <w:tcW w:w="1988" w:type="dxa"/>
            <w:tcBorders>
              <w:top w:val="single" w:sz="4" w:space="0" w:color="auto"/>
              <w:left w:val="single" w:sz="4" w:space="0" w:color="auto"/>
              <w:bottom w:val="single" w:sz="4" w:space="0" w:color="auto"/>
              <w:right w:val="single" w:sz="4" w:space="0" w:color="auto"/>
            </w:tcBorders>
            <w:vAlign w:val="center"/>
          </w:tcPr>
          <w:p w:rsidR="00E735B8" w:rsidRPr="00824D58" w:rsidRDefault="00E735B8" w:rsidP="007A721D">
            <w:pPr>
              <w:spacing w:after="0" w:line="240" w:lineRule="auto"/>
              <w:jc w:val="center"/>
            </w:pPr>
            <w:r w:rsidRPr="00824D58">
              <w:t>FSH</w:t>
            </w:r>
          </w:p>
        </w:tc>
        <w:tc>
          <w:tcPr>
            <w:tcW w:w="2096" w:type="dxa"/>
            <w:tcBorders>
              <w:top w:val="single" w:sz="4" w:space="0" w:color="auto"/>
              <w:left w:val="single" w:sz="4" w:space="0" w:color="auto"/>
              <w:bottom w:val="single" w:sz="4" w:space="0" w:color="auto"/>
            </w:tcBorders>
            <w:vAlign w:val="center"/>
          </w:tcPr>
          <w:p w:rsidR="00E735B8" w:rsidRPr="00824D58" w:rsidRDefault="00E735B8" w:rsidP="007A721D">
            <w:pPr>
              <w:spacing w:after="0" w:line="240" w:lineRule="auto"/>
              <w:jc w:val="center"/>
            </w:pPr>
            <w:r w:rsidRPr="00824D58">
              <w:t>2.89</w:t>
            </w:r>
            <w:r w:rsidRPr="00824D58">
              <w:tab/>
            </w:r>
            <w:r w:rsidRPr="00824D58">
              <w:rPr>
                <w:rFonts w:cstheme="minorHAnsi"/>
              </w:rPr>
              <w:t>±</w:t>
            </w:r>
            <w:r w:rsidRPr="00824D58">
              <w:t xml:space="preserve"> 3.37</w:t>
            </w:r>
          </w:p>
        </w:tc>
        <w:tc>
          <w:tcPr>
            <w:tcW w:w="236" w:type="dxa"/>
            <w:tcBorders>
              <w:top w:val="single" w:sz="4" w:space="0" w:color="auto"/>
              <w:bottom w:val="single" w:sz="4" w:space="0" w:color="auto"/>
              <w:right w:val="single" w:sz="4" w:space="0" w:color="auto"/>
            </w:tcBorders>
            <w:vAlign w:val="center"/>
          </w:tcPr>
          <w:p w:rsidR="00E735B8" w:rsidRPr="00824D58" w:rsidRDefault="00E735B8" w:rsidP="007A721D">
            <w:pPr>
              <w:spacing w:after="0" w:line="240" w:lineRule="auto"/>
              <w:jc w:val="center"/>
            </w:pPr>
          </w:p>
        </w:tc>
        <w:tc>
          <w:tcPr>
            <w:tcW w:w="2037" w:type="dxa"/>
            <w:gridSpan w:val="2"/>
            <w:tcBorders>
              <w:top w:val="single" w:sz="4" w:space="0" w:color="auto"/>
              <w:left w:val="single" w:sz="4" w:space="0" w:color="auto"/>
              <w:bottom w:val="single" w:sz="4" w:space="0" w:color="auto"/>
            </w:tcBorders>
            <w:vAlign w:val="center"/>
          </w:tcPr>
          <w:p w:rsidR="00E735B8" w:rsidRPr="00824D58" w:rsidRDefault="00E735B8" w:rsidP="007A721D">
            <w:pPr>
              <w:spacing w:after="0" w:line="240" w:lineRule="auto"/>
              <w:jc w:val="center"/>
            </w:pPr>
            <w:r w:rsidRPr="00824D58">
              <w:t xml:space="preserve">4.88   </w:t>
            </w:r>
            <w:r w:rsidRPr="00824D58">
              <w:rPr>
                <w:rFonts w:cstheme="minorHAnsi"/>
              </w:rPr>
              <w:t>±</w:t>
            </w:r>
            <w:r w:rsidRPr="00824D58">
              <w:t xml:space="preserve"> 5.45</w:t>
            </w:r>
          </w:p>
        </w:tc>
        <w:tc>
          <w:tcPr>
            <w:tcW w:w="322" w:type="dxa"/>
            <w:tcBorders>
              <w:top w:val="single" w:sz="4" w:space="0" w:color="auto"/>
              <w:bottom w:val="single" w:sz="4" w:space="0" w:color="auto"/>
              <w:right w:val="single" w:sz="4" w:space="0" w:color="auto"/>
            </w:tcBorders>
            <w:vAlign w:val="center"/>
          </w:tcPr>
          <w:p w:rsidR="00E735B8" w:rsidRPr="00824D58" w:rsidRDefault="00E735B8" w:rsidP="007A721D">
            <w:pPr>
              <w:spacing w:after="0" w:line="240" w:lineRule="auto"/>
              <w:jc w:val="center"/>
            </w:pPr>
          </w:p>
        </w:tc>
        <w:tc>
          <w:tcPr>
            <w:tcW w:w="1828" w:type="dxa"/>
            <w:gridSpan w:val="2"/>
            <w:tcBorders>
              <w:top w:val="single" w:sz="4" w:space="0" w:color="auto"/>
              <w:left w:val="single" w:sz="4" w:space="0" w:color="auto"/>
              <w:bottom w:val="single" w:sz="4" w:space="0" w:color="auto"/>
              <w:right w:val="single" w:sz="4" w:space="0" w:color="auto"/>
            </w:tcBorders>
            <w:vAlign w:val="center"/>
          </w:tcPr>
          <w:p w:rsidR="00E735B8" w:rsidRPr="00824D58" w:rsidRDefault="00E735B8" w:rsidP="007A721D">
            <w:pPr>
              <w:spacing w:after="0" w:line="240" w:lineRule="auto"/>
              <w:jc w:val="center"/>
            </w:pPr>
            <w:r w:rsidRPr="00824D58">
              <w:t>0.016</w:t>
            </w:r>
          </w:p>
        </w:tc>
      </w:tr>
      <w:tr w:rsidR="00E735B8" w:rsidRPr="00824D58" w:rsidTr="00456D91">
        <w:tc>
          <w:tcPr>
            <w:tcW w:w="1988" w:type="dxa"/>
            <w:tcBorders>
              <w:top w:val="single" w:sz="4" w:space="0" w:color="auto"/>
              <w:left w:val="single" w:sz="4" w:space="0" w:color="auto"/>
              <w:bottom w:val="single" w:sz="4" w:space="0" w:color="auto"/>
              <w:right w:val="single" w:sz="4" w:space="0" w:color="auto"/>
            </w:tcBorders>
            <w:vAlign w:val="center"/>
          </w:tcPr>
          <w:p w:rsidR="00E735B8" w:rsidRPr="00824D58" w:rsidRDefault="00E735B8" w:rsidP="007A721D">
            <w:pPr>
              <w:spacing w:after="0" w:line="240" w:lineRule="auto"/>
              <w:jc w:val="center"/>
            </w:pPr>
            <w:r w:rsidRPr="00824D58">
              <w:t>PSA</w:t>
            </w:r>
          </w:p>
        </w:tc>
        <w:tc>
          <w:tcPr>
            <w:tcW w:w="2096" w:type="dxa"/>
            <w:tcBorders>
              <w:top w:val="single" w:sz="4" w:space="0" w:color="auto"/>
              <w:left w:val="single" w:sz="4" w:space="0" w:color="auto"/>
              <w:bottom w:val="single" w:sz="4" w:space="0" w:color="auto"/>
            </w:tcBorders>
            <w:vAlign w:val="center"/>
          </w:tcPr>
          <w:p w:rsidR="00E735B8" w:rsidRPr="00824D58" w:rsidRDefault="00E735B8" w:rsidP="00235A9B">
            <w:pPr>
              <w:spacing w:after="0" w:line="240" w:lineRule="auto"/>
              <w:jc w:val="center"/>
            </w:pPr>
            <w:r w:rsidRPr="00824D58">
              <w:t xml:space="preserve">2.19 </w:t>
            </w:r>
            <w:r w:rsidRPr="00824D58">
              <w:rPr>
                <w:rFonts w:cstheme="minorHAnsi"/>
              </w:rPr>
              <w:t>±</w:t>
            </w:r>
            <w:r w:rsidRPr="00824D58">
              <w:t xml:space="preserve"> 0.57</w:t>
            </w:r>
          </w:p>
        </w:tc>
        <w:tc>
          <w:tcPr>
            <w:tcW w:w="236" w:type="dxa"/>
            <w:tcBorders>
              <w:top w:val="single" w:sz="4" w:space="0" w:color="auto"/>
              <w:bottom w:val="single" w:sz="4" w:space="0" w:color="auto"/>
              <w:right w:val="single" w:sz="4" w:space="0" w:color="auto"/>
            </w:tcBorders>
            <w:vAlign w:val="center"/>
          </w:tcPr>
          <w:p w:rsidR="00E735B8" w:rsidRPr="00824D58" w:rsidRDefault="00E735B8" w:rsidP="007A721D">
            <w:pPr>
              <w:spacing w:after="0" w:line="240" w:lineRule="auto"/>
              <w:jc w:val="center"/>
            </w:pPr>
          </w:p>
        </w:tc>
        <w:tc>
          <w:tcPr>
            <w:tcW w:w="2037" w:type="dxa"/>
            <w:gridSpan w:val="2"/>
            <w:tcBorders>
              <w:top w:val="single" w:sz="4" w:space="0" w:color="auto"/>
              <w:left w:val="single" w:sz="4" w:space="0" w:color="auto"/>
              <w:bottom w:val="single" w:sz="4" w:space="0" w:color="auto"/>
            </w:tcBorders>
            <w:vAlign w:val="center"/>
          </w:tcPr>
          <w:p w:rsidR="00E735B8" w:rsidRPr="00824D58" w:rsidRDefault="00E735B8" w:rsidP="007A721D">
            <w:pPr>
              <w:spacing w:after="0" w:line="240" w:lineRule="auto"/>
              <w:jc w:val="center"/>
            </w:pPr>
            <w:r w:rsidRPr="00824D58">
              <w:t xml:space="preserve">36.4 </w:t>
            </w:r>
            <w:r w:rsidRPr="00824D58">
              <w:rPr>
                <w:rFonts w:cstheme="minorHAnsi"/>
              </w:rPr>
              <w:t>±</w:t>
            </w:r>
            <w:r w:rsidRPr="00824D58">
              <w:t xml:space="preserve"> 13.3</w:t>
            </w:r>
          </w:p>
        </w:tc>
        <w:tc>
          <w:tcPr>
            <w:tcW w:w="322" w:type="dxa"/>
            <w:tcBorders>
              <w:top w:val="single" w:sz="4" w:space="0" w:color="auto"/>
              <w:bottom w:val="single" w:sz="4" w:space="0" w:color="auto"/>
              <w:right w:val="single" w:sz="4" w:space="0" w:color="auto"/>
            </w:tcBorders>
            <w:vAlign w:val="center"/>
          </w:tcPr>
          <w:p w:rsidR="00E735B8" w:rsidRPr="00824D58" w:rsidRDefault="00E735B8" w:rsidP="007A721D">
            <w:pPr>
              <w:spacing w:after="0" w:line="240" w:lineRule="auto"/>
              <w:jc w:val="center"/>
            </w:pPr>
          </w:p>
        </w:tc>
        <w:tc>
          <w:tcPr>
            <w:tcW w:w="1828" w:type="dxa"/>
            <w:gridSpan w:val="2"/>
            <w:tcBorders>
              <w:top w:val="single" w:sz="4" w:space="0" w:color="auto"/>
              <w:left w:val="single" w:sz="4" w:space="0" w:color="auto"/>
              <w:bottom w:val="single" w:sz="4" w:space="0" w:color="auto"/>
              <w:right w:val="single" w:sz="4" w:space="0" w:color="auto"/>
            </w:tcBorders>
            <w:vAlign w:val="center"/>
          </w:tcPr>
          <w:p w:rsidR="00E735B8" w:rsidRPr="00824D58" w:rsidRDefault="00E735B8" w:rsidP="007A721D">
            <w:pPr>
              <w:spacing w:after="0" w:line="240" w:lineRule="auto"/>
              <w:jc w:val="center"/>
            </w:pPr>
            <w:r w:rsidRPr="00824D58">
              <w:t>0.001</w:t>
            </w:r>
          </w:p>
        </w:tc>
      </w:tr>
      <w:tr w:rsidR="00E735B8" w:rsidRPr="00824D58" w:rsidTr="00456D91">
        <w:trPr>
          <w:trHeight w:val="645"/>
        </w:trPr>
        <w:tc>
          <w:tcPr>
            <w:tcW w:w="1988" w:type="dxa"/>
            <w:tcBorders>
              <w:top w:val="single" w:sz="4" w:space="0" w:color="auto"/>
              <w:left w:val="single" w:sz="4" w:space="0" w:color="auto"/>
              <w:bottom w:val="single" w:sz="4" w:space="0" w:color="auto"/>
              <w:right w:val="single" w:sz="4" w:space="0" w:color="auto"/>
            </w:tcBorders>
            <w:vAlign w:val="center"/>
          </w:tcPr>
          <w:p w:rsidR="00E735B8" w:rsidRPr="00824D58" w:rsidRDefault="00E735B8" w:rsidP="007A721D">
            <w:pPr>
              <w:spacing w:after="0"/>
              <w:jc w:val="center"/>
            </w:pPr>
            <w:r w:rsidRPr="00824D58">
              <w:t>H.H</w:t>
            </w:r>
          </w:p>
        </w:tc>
        <w:tc>
          <w:tcPr>
            <w:tcW w:w="2096" w:type="dxa"/>
            <w:tcBorders>
              <w:top w:val="single" w:sz="4" w:space="0" w:color="auto"/>
              <w:left w:val="single" w:sz="4" w:space="0" w:color="auto"/>
              <w:bottom w:val="single" w:sz="4" w:space="0" w:color="auto"/>
            </w:tcBorders>
            <w:vAlign w:val="center"/>
          </w:tcPr>
          <w:p w:rsidR="00E735B8" w:rsidRPr="00824D58" w:rsidRDefault="00E735B8" w:rsidP="006C7FED">
            <w:pPr>
              <w:jc w:val="center"/>
            </w:pPr>
            <w:r w:rsidRPr="00824D58">
              <w:t xml:space="preserve">2.44 </w:t>
            </w:r>
            <w:r w:rsidRPr="00824D58">
              <w:rPr>
                <w:rFonts w:cstheme="minorHAnsi"/>
              </w:rPr>
              <w:t>±</w:t>
            </w:r>
            <w:r w:rsidRPr="00824D58">
              <w:t xml:space="preserve"> 1.91</w:t>
            </w:r>
          </w:p>
        </w:tc>
        <w:tc>
          <w:tcPr>
            <w:tcW w:w="236" w:type="dxa"/>
            <w:tcBorders>
              <w:top w:val="single" w:sz="4" w:space="0" w:color="auto"/>
              <w:bottom w:val="single" w:sz="4" w:space="0" w:color="auto"/>
              <w:right w:val="single" w:sz="4" w:space="0" w:color="auto"/>
            </w:tcBorders>
            <w:vAlign w:val="center"/>
          </w:tcPr>
          <w:p w:rsidR="00E735B8" w:rsidRPr="00824D58" w:rsidRDefault="00E735B8" w:rsidP="007A721D">
            <w:pPr>
              <w:jc w:val="center"/>
            </w:pPr>
          </w:p>
        </w:tc>
        <w:tc>
          <w:tcPr>
            <w:tcW w:w="2037" w:type="dxa"/>
            <w:gridSpan w:val="2"/>
            <w:tcBorders>
              <w:top w:val="single" w:sz="4" w:space="0" w:color="auto"/>
              <w:left w:val="single" w:sz="4" w:space="0" w:color="auto"/>
              <w:bottom w:val="single" w:sz="4" w:space="0" w:color="auto"/>
            </w:tcBorders>
            <w:vAlign w:val="center"/>
          </w:tcPr>
          <w:p w:rsidR="00E735B8" w:rsidRPr="00824D58" w:rsidRDefault="00E735B8" w:rsidP="006C7FED">
            <w:pPr>
              <w:jc w:val="center"/>
            </w:pPr>
            <w:r w:rsidRPr="00824D58">
              <w:t xml:space="preserve">5.47 </w:t>
            </w:r>
            <w:r w:rsidRPr="00824D58">
              <w:rPr>
                <w:rFonts w:cstheme="minorHAnsi"/>
              </w:rPr>
              <w:t>±</w:t>
            </w:r>
            <w:r w:rsidRPr="00824D58">
              <w:t xml:space="preserve"> 3.24</w:t>
            </w:r>
          </w:p>
        </w:tc>
        <w:tc>
          <w:tcPr>
            <w:tcW w:w="322" w:type="dxa"/>
            <w:tcBorders>
              <w:top w:val="single" w:sz="4" w:space="0" w:color="auto"/>
              <w:bottom w:val="single" w:sz="4" w:space="0" w:color="auto"/>
              <w:right w:val="single" w:sz="4" w:space="0" w:color="auto"/>
            </w:tcBorders>
            <w:vAlign w:val="center"/>
          </w:tcPr>
          <w:p w:rsidR="00E735B8" w:rsidRPr="00824D58" w:rsidRDefault="00E735B8" w:rsidP="007A721D">
            <w:pPr>
              <w:jc w:val="center"/>
            </w:pPr>
          </w:p>
        </w:tc>
        <w:tc>
          <w:tcPr>
            <w:tcW w:w="1828" w:type="dxa"/>
            <w:gridSpan w:val="2"/>
            <w:tcBorders>
              <w:top w:val="single" w:sz="4" w:space="0" w:color="auto"/>
              <w:left w:val="single" w:sz="4" w:space="0" w:color="auto"/>
              <w:bottom w:val="single" w:sz="4" w:space="0" w:color="auto"/>
              <w:right w:val="single" w:sz="4" w:space="0" w:color="auto"/>
            </w:tcBorders>
            <w:vAlign w:val="center"/>
          </w:tcPr>
          <w:p w:rsidR="00E735B8" w:rsidRPr="00824D58" w:rsidRDefault="00E735B8" w:rsidP="006C7FED">
            <w:pPr>
              <w:jc w:val="center"/>
            </w:pPr>
            <w:r w:rsidRPr="00824D58">
              <w:t>0.001</w:t>
            </w:r>
          </w:p>
        </w:tc>
      </w:tr>
      <w:tr w:rsidR="00E735B8" w:rsidRPr="00824D58" w:rsidTr="00456D91">
        <w:tc>
          <w:tcPr>
            <w:tcW w:w="1988" w:type="dxa"/>
            <w:tcBorders>
              <w:top w:val="single" w:sz="4" w:space="0" w:color="auto"/>
              <w:left w:val="single" w:sz="4" w:space="0" w:color="auto"/>
              <w:bottom w:val="single" w:sz="4" w:space="0" w:color="auto"/>
              <w:right w:val="single" w:sz="4" w:space="0" w:color="auto"/>
            </w:tcBorders>
            <w:vAlign w:val="center"/>
          </w:tcPr>
          <w:p w:rsidR="00E735B8" w:rsidRPr="00824D58" w:rsidRDefault="00E735B8" w:rsidP="006C7FED">
            <w:pPr>
              <w:jc w:val="center"/>
            </w:pPr>
            <w:r w:rsidRPr="00824D58">
              <w:t>GDF15</w:t>
            </w:r>
          </w:p>
        </w:tc>
        <w:tc>
          <w:tcPr>
            <w:tcW w:w="2096" w:type="dxa"/>
            <w:tcBorders>
              <w:left w:val="single" w:sz="4" w:space="0" w:color="auto"/>
              <w:bottom w:val="single" w:sz="4" w:space="0" w:color="auto"/>
            </w:tcBorders>
            <w:vAlign w:val="center"/>
          </w:tcPr>
          <w:p w:rsidR="00E735B8" w:rsidRPr="00824D58" w:rsidRDefault="00E735B8" w:rsidP="006C7FED">
            <w:pPr>
              <w:jc w:val="center"/>
            </w:pPr>
            <w:r w:rsidRPr="00824D58">
              <w:t xml:space="preserve">33.3 </w:t>
            </w:r>
            <w:r w:rsidRPr="00824D58">
              <w:rPr>
                <w:rFonts w:cstheme="minorHAnsi"/>
              </w:rPr>
              <w:t>±</w:t>
            </w:r>
            <w:r w:rsidRPr="00824D58">
              <w:t xml:space="preserve"> 19.2</w:t>
            </w:r>
          </w:p>
        </w:tc>
        <w:tc>
          <w:tcPr>
            <w:tcW w:w="236" w:type="dxa"/>
            <w:tcBorders>
              <w:bottom w:val="single" w:sz="4" w:space="0" w:color="auto"/>
              <w:right w:val="single" w:sz="4" w:space="0" w:color="auto"/>
            </w:tcBorders>
            <w:vAlign w:val="center"/>
          </w:tcPr>
          <w:p w:rsidR="00E735B8" w:rsidRPr="00824D58" w:rsidRDefault="00E735B8" w:rsidP="007A721D">
            <w:pPr>
              <w:jc w:val="center"/>
            </w:pPr>
          </w:p>
        </w:tc>
        <w:tc>
          <w:tcPr>
            <w:tcW w:w="1867" w:type="dxa"/>
            <w:tcBorders>
              <w:left w:val="single" w:sz="4" w:space="0" w:color="auto"/>
              <w:bottom w:val="single" w:sz="4" w:space="0" w:color="auto"/>
            </w:tcBorders>
            <w:vAlign w:val="center"/>
          </w:tcPr>
          <w:p w:rsidR="00E735B8" w:rsidRPr="00824D58" w:rsidRDefault="00E735B8" w:rsidP="006C7FED">
            <w:pPr>
              <w:jc w:val="center"/>
            </w:pPr>
            <w:r w:rsidRPr="00824D58">
              <w:t xml:space="preserve">53.8 </w:t>
            </w:r>
            <w:r w:rsidRPr="00824D58">
              <w:rPr>
                <w:rFonts w:cstheme="minorHAnsi"/>
              </w:rPr>
              <w:t>±</w:t>
            </w:r>
            <w:r w:rsidRPr="00824D58">
              <w:t xml:space="preserve"> 50.8</w:t>
            </w:r>
          </w:p>
        </w:tc>
        <w:tc>
          <w:tcPr>
            <w:tcW w:w="492" w:type="dxa"/>
            <w:gridSpan w:val="2"/>
            <w:tcBorders>
              <w:bottom w:val="single" w:sz="4" w:space="0" w:color="auto"/>
              <w:right w:val="single" w:sz="4" w:space="0" w:color="auto"/>
            </w:tcBorders>
            <w:vAlign w:val="center"/>
          </w:tcPr>
          <w:p w:rsidR="00E735B8" w:rsidRPr="00824D58" w:rsidRDefault="00E735B8" w:rsidP="007A721D">
            <w:pPr>
              <w:jc w:val="center"/>
            </w:pPr>
          </w:p>
        </w:tc>
        <w:tc>
          <w:tcPr>
            <w:tcW w:w="1606" w:type="dxa"/>
            <w:tcBorders>
              <w:left w:val="single" w:sz="4" w:space="0" w:color="auto"/>
              <w:bottom w:val="single" w:sz="4" w:space="0" w:color="auto"/>
            </w:tcBorders>
            <w:vAlign w:val="center"/>
          </w:tcPr>
          <w:p w:rsidR="00E735B8" w:rsidRPr="00824D58" w:rsidRDefault="00E735B8" w:rsidP="006C7FED">
            <w:pPr>
              <w:jc w:val="center"/>
            </w:pPr>
            <w:r w:rsidRPr="00824D58">
              <w:t>0.004</w:t>
            </w:r>
          </w:p>
        </w:tc>
        <w:tc>
          <w:tcPr>
            <w:tcW w:w="222" w:type="dxa"/>
            <w:tcBorders>
              <w:bottom w:val="single" w:sz="4" w:space="0" w:color="auto"/>
              <w:right w:val="single" w:sz="4" w:space="0" w:color="auto"/>
            </w:tcBorders>
            <w:shd w:val="clear" w:color="auto" w:fill="auto"/>
          </w:tcPr>
          <w:p w:rsidR="00E735B8" w:rsidRPr="00824D58" w:rsidRDefault="00E735B8">
            <w:pPr>
              <w:spacing w:line="276" w:lineRule="auto"/>
              <w:jc w:val="left"/>
            </w:pPr>
          </w:p>
        </w:tc>
      </w:tr>
    </w:tbl>
    <w:p w:rsidR="00D879FF" w:rsidRPr="00824D58" w:rsidRDefault="00D879FF" w:rsidP="00D879FF">
      <w:pPr>
        <w:spacing w:after="0"/>
      </w:pPr>
    </w:p>
    <w:p w:rsidR="00D879FF" w:rsidRPr="00824D58" w:rsidRDefault="00D879FF" w:rsidP="00D879FF">
      <w:pPr>
        <w:spacing w:after="0"/>
      </w:pPr>
    </w:p>
    <w:p w:rsidR="00025A32" w:rsidRDefault="00025A32" w:rsidP="007A721D">
      <w:pPr>
        <w:tabs>
          <w:tab w:val="left" w:pos="3203"/>
        </w:tabs>
        <w:spacing w:after="0"/>
      </w:pPr>
    </w:p>
    <w:p w:rsidR="00307680" w:rsidRPr="00824D58" w:rsidRDefault="00307680" w:rsidP="007A721D">
      <w:pPr>
        <w:tabs>
          <w:tab w:val="left" w:pos="3203"/>
        </w:tabs>
        <w:spacing w:after="0"/>
      </w:pPr>
    </w:p>
    <w:p w:rsidR="00D879FF" w:rsidRPr="00824D58" w:rsidRDefault="007A721D" w:rsidP="00425BF0">
      <w:pPr>
        <w:tabs>
          <w:tab w:val="left" w:pos="3203"/>
        </w:tabs>
        <w:spacing w:after="0"/>
      </w:pPr>
      <w:r w:rsidRPr="00824D58">
        <w:tab/>
      </w:r>
    </w:p>
    <w:p w:rsidR="003642C1" w:rsidRPr="00824D58" w:rsidRDefault="006E218E" w:rsidP="003642C1">
      <w:pPr>
        <w:pStyle w:val="Caption"/>
        <w:keepNext/>
        <w:spacing w:after="0"/>
        <w:rPr>
          <w:noProof/>
        </w:rPr>
      </w:pPr>
      <w:bookmarkStart w:id="168" w:name="_Toc60183213"/>
      <w:r w:rsidRPr="00824D58">
        <w:t>Tablo 4.</w:t>
      </w:r>
      <w:fldSimple w:instr=" SEQ Tablo_4. \* ARABIC ">
        <w:r w:rsidR="00713623">
          <w:rPr>
            <w:noProof/>
          </w:rPr>
          <w:t>2</w:t>
        </w:r>
      </w:fldSimple>
      <w:r w:rsidRPr="00824D58">
        <w:rPr>
          <w:noProof/>
        </w:rPr>
        <w:t>. Correlation between Hepcidin Hormone and Some Variables in all Case of Prostate cancer</w:t>
      </w:r>
      <w:bookmarkEnd w:id="168"/>
    </w:p>
    <w:p w:rsidR="003642C1" w:rsidRPr="00824D58" w:rsidRDefault="003642C1" w:rsidP="003642C1">
      <w:pPr>
        <w:spacing w:after="0"/>
      </w:pPr>
    </w:p>
    <w:tbl>
      <w:tblPr>
        <w:tblStyle w:val="TableGrid"/>
        <w:tblpPr w:leftFromText="180" w:rightFromText="180" w:vertAnchor="text" w:horzAnchor="margin" w:tblpX="108" w:tblpY="151"/>
        <w:tblW w:w="8330" w:type="dxa"/>
        <w:tblLook w:val="04A0" w:firstRow="1" w:lastRow="0" w:firstColumn="1" w:lastColumn="0" w:noHBand="0" w:noVBand="1"/>
      </w:tblPr>
      <w:tblGrid>
        <w:gridCol w:w="4442"/>
        <w:gridCol w:w="2326"/>
        <w:gridCol w:w="1562"/>
      </w:tblGrid>
      <w:tr w:rsidR="00D879FF" w:rsidRPr="00824D58" w:rsidTr="003642C1">
        <w:trPr>
          <w:trHeight w:val="260"/>
        </w:trPr>
        <w:tc>
          <w:tcPr>
            <w:tcW w:w="4442" w:type="dxa"/>
            <w:tcBorders>
              <w:top w:val="thickThinSmallGap" w:sz="18" w:space="0" w:color="auto"/>
              <w:left w:val="thickThinSmallGap" w:sz="18" w:space="0" w:color="auto"/>
              <w:bottom w:val="nil"/>
              <w:right w:val="double" w:sz="4" w:space="0" w:color="auto"/>
            </w:tcBorders>
            <w:shd w:val="clear" w:color="auto" w:fill="C6D9F1" w:themeFill="text2" w:themeFillTint="33"/>
          </w:tcPr>
          <w:p w:rsidR="00D879FF" w:rsidRPr="00824D58" w:rsidRDefault="00D879FF" w:rsidP="003642C1">
            <w:pPr>
              <w:spacing w:line="276" w:lineRule="auto"/>
            </w:pPr>
          </w:p>
        </w:tc>
        <w:tc>
          <w:tcPr>
            <w:tcW w:w="3888" w:type="dxa"/>
            <w:gridSpan w:val="2"/>
            <w:tcBorders>
              <w:top w:val="thickThinSmallGap" w:sz="18" w:space="0" w:color="auto"/>
              <w:left w:val="double" w:sz="4" w:space="0" w:color="auto"/>
              <w:bottom w:val="double" w:sz="4" w:space="0" w:color="auto"/>
              <w:right w:val="thickThinSmallGap" w:sz="18" w:space="0" w:color="auto"/>
            </w:tcBorders>
            <w:shd w:val="clear" w:color="auto" w:fill="C6D9F1" w:themeFill="text2" w:themeFillTint="33"/>
          </w:tcPr>
          <w:p w:rsidR="00D879FF" w:rsidRPr="00824D58" w:rsidRDefault="00D879FF" w:rsidP="003642C1">
            <w:pPr>
              <w:spacing w:line="276" w:lineRule="auto"/>
              <w:jc w:val="center"/>
              <w:rPr>
                <w:shd w:val="clear" w:color="auto" w:fill="FFFFFF"/>
              </w:rPr>
            </w:pPr>
            <w:r w:rsidRPr="00824D58">
              <w:rPr>
                <w:bCs/>
                <w:shd w:val="clear" w:color="auto" w:fill="C6D9F1" w:themeFill="text2" w:themeFillTint="33"/>
              </w:rPr>
              <w:t>Hepcidin Hormone</w:t>
            </w:r>
          </w:p>
        </w:tc>
      </w:tr>
      <w:tr w:rsidR="00D879FF" w:rsidRPr="00824D58" w:rsidTr="003642C1">
        <w:trPr>
          <w:trHeight w:val="18"/>
        </w:trPr>
        <w:tc>
          <w:tcPr>
            <w:tcW w:w="4442" w:type="dxa"/>
            <w:tcBorders>
              <w:top w:val="nil"/>
              <w:left w:val="thickThinSmallGap" w:sz="18" w:space="0" w:color="auto"/>
              <w:bottom w:val="double" w:sz="4" w:space="0" w:color="auto"/>
              <w:right w:val="double" w:sz="4" w:space="0" w:color="auto"/>
            </w:tcBorders>
            <w:shd w:val="clear" w:color="auto" w:fill="C6D9F1" w:themeFill="text2" w:themeFillTint="33"/>
          </w:tcPr>
          <w:p w:rsidR="00D879FF" w:rsidRPr="00824D58" w:rsidRDefault="00D879FF" w:rsidP="003642C1">
            <w:pPr>
              <w:spacing w:line="276" w:lineRule="auto"/>
              <w:rPr>
                <w:shd w:val="clear" w:color="auto" w:fill="FFFFFF"/>
              </w:rPr>
            </w:pPr>
            <w:r w:rsidRPr="00824D58">
              <w:rPr>
                <w:shd w:val="clear" w:color="auto" w:fill="C6D9F1" w:themeFill="text2" w:themeFillTint="33"/>
              </w:rPr>
              <w:t>Variables</w:t>
            </w:r>
          </w:p>
        </w:tc>
        <w:tc>
          <w:tcPr>
            <w:tcW w:w="2326" w:type="dxa"/>
            <w:tcBorders>
              <w:top w:val="double" w:sz="4" w:space="0" w:color="auto"/>
              <w:left w:val="double" w:sz="4" w:space="0" w:color="auto"/>
              <w:bottom w:val="double" w:sz="4" w:space="0" w:color="auto"/>
              <w:right w:val="double" w:sz="4" w:space="0" w:color="auto"/>
            </w:tcBorders>
            <w:shd w:val="clear" w:color="auto" w:fill="C6D9F1" w:themeFill="text2" w:themeFillTint="33"/>
          </w:tcPr>
          <w:p w:rsidR="00D879FF" w:rsidRPr="00824D58" w:rsidRDefault="00C80432" w:rsidP="003642C1">
            <w:pPr>
              <w:spacing w:line="276" w:lineRule="auto"/>
              <w:jc w:val="center"/>
              <w:rPr>
                <w:i/>
                <w:iCs/>
                <w:shd w:val="clear" w:color="auto" w:fill="FFFFFF"/>
              </w:rPr>
            </w:pPr>
            <w:r w:rsidRPr="00824D58">
              <w:rPr>
                <w:i/>
                <w:iCs/>
                <w:shd w:val="clear" w:color="auto" w:fill="C6D9F1" w:themeFill="text2" w:themeFillTint="33"/>
              </w:rPr>
              <w:t>R</w:t>
            </w:r>
          </w:p>
        </w:tc>
        <w:tc>
          <w:tcPr>
            <w:tcW w:w="1562" w:type="dxa"/>
            <w:tcBorders>
              <w:top w:val="double" w:sz="4" w:space="0" w:color="auto"/>
              <w:left w:val="double" w:sz="4" w:space="0" w:color="auto"/>
              <w:bottom w:val="double" w:sz="4" w:space="0" w:color="auto"/>
              <w:right w:val="thickThinSmallGap" w:sz="18" w:space="0" w:color="auto"/>
            </w:tcBorders>
            <w:shd w:val="clear" w:color="auto" w:fill="C6D9F1" w:themeFill="text2" w:themeFillTint="33"/>
          </w:tcPr>
          <w:p w:rsidR="00D879FF" w:rsidRPr="00824D58" w:rsidRDefault="00D879FF" w:rsidP="003642C1">
            <w:pPr>
              <w:spacing w:line="276" w:lineRule="auto"/>
              <w:jc w:val="center"/>
              <w:rPr>
                <w:shd w:val="clear" w:color="auto" w:fill="FFFFFF"/>
              </w:rPr>
            </w:pPr>
            <w:r w:rsidRPr="00824D58">
              <w:rPr>
                <w:i/>
                <w:iCs/>
                <w:shd w:val="clear" w:color="auto" w:fill="C6D9F1" w:themeFill="text2" w:themeFillTint="33"/>
              </w:rPr>
              <w:t>P</w:t>
            </w:r>
            <w:r w:rsidRPr="00824D58">
              <w:rPr>
                <w:shd w:val="clear" w:color="auto" w:fill="C6D9F1" w:themeFill="text2" w:themeFillTint="33"/>
              </w:rPr>
              <w:t>-Value</w:t>
            </w:r>
          </w:p>
        </w:tc>
      </w:tr>
      <w:tr w:rsidR="00D879FF" w:rsidRPr="00824D58" w:rsidTr="003642C1">
        <w:trPr>
          <w:trHeight w:val="18"/>
        </w:trPr>
        <w:tc>
          <w:tcPr>
            <w:tcW w:w="4442" w:type="dxa"/>
            <w:tcBorders>
              <w:top w:val="double" w:sz="4" w:space="0" w:color="auto"/>
              <w:left w:val="thickThinSmallGap" w:sz="18" w:space="0" w:color="auto"/>
              <w:right w:val="double" w:sz="4" w:space="0" w:color="auto"/>
            </w:tcBorders>
            <w:shd w:val="clear" w:color="auto" w:fill="C6D9F1" w:themeFill="text2" w:themeFillTint="33"/>
          </w:tcPr>
          <w:p w:rsidR="00D879FF" w:rsidRPr="00824D58" w:rsidRDefault="00D879FF" w:rsidP="003642C1">
            <w:pPr>
              <w:spacing w:line="276" w:lineRule="auto"/>
              <w:rPr>
                <w:shd w:val="clear" w:color="auto" w:fill="FFFFFF"/>
              </w:rPr>
            </w:pPr>
            <w:r w:rsidRPr="00824D58">
              <w:rPr>
                <w:shd w:val="clear" w:color="auto" w:fill="C6D9F1" w:themeFill="text2" w:themeFillTint="33"/>
              </w:rPr>
              <w:t>Hepcidin Hormone - Age    (years)</w:t>
            </w:r>
          </w:p>
        </w:tc>
        <w:tc>
          <w:tcPr>
            <w:tcW w:w="2326" w:type="dxa"/>
            <w:tcBorders>
              <w:top w:val="double" w:sz="4" w:space="0" w:color="auto"/>
              <w:left w:val="double" w:sz="4" w:space="0" w:color="auto"/>
              <w:right w:val="double" w:sz="4" w:space="0" w:color="auto"/>
            </w:tcBorders>
          </w:tcPr>
          <w:p w:rsidR="00D879FF" w:rsidRPr="00824D58" w:rsidRDefault="00D879FF" w:rsidP="003642C1">
            <w:pPr>
              <w:spacing w:line="276" w:lineRule="auto"/>
              <w:jc w:val="center"/>
              <w:rPr>
                <w:rFonts w:cs="Times New Roman"/>
                <w:shd w:val="clear" w:color="auto" w:fill="FFFFFF"/>
              </w:rPr>
            </w:pPr>
            <w:r w:rsidRPr="00824D58">
              <w:rPr>
                <w:rFonts w:eastAsia="Times New Roman" w:cs="Times New Roman"/>
              </w:rPr>
              <w:t>0.257**</w:t>
            </w:r>
          </w:p>
        </w:tc>
        <w:tc>
          <w:tcPr>
            <w:tcW w:w="1562" w:type="dxa"/>
            <w:tcBorders>
              <w:top w:val="double" w:sz="4" w:space="0" w:color="auto"/>
              <w:left w:val="double" w:sz="4" w:space="0" w:color="auto"/>
              <w:right w:val="thickThinSmallGap" w:sz="18" w:space="0" w:color="auto"/>
            </w:tcBorders>
          </w:tcPr>
          <w:p w:rsidR="00D879FF" w:rsidRPr="00824D58" w:rsidRDefault="00D879FF" w:rsidP="003642C1">
            <w:pPr>
              <w:spacing w:line="276" w:lineRule="auto"/>
              <w:jc w:val="center"/>
              <w:rPr>
                <w:shd w:val="clear" w:color="auto" w:fill="FFFFFF"/>
              </w:rPr>
            </w:pPr>
            <w:r w:rsidRPr="00824D58">
              <w:rPr>
                <w:shd w:val="clear" w:color="auto" w:fill="FFFFFF"/>
              </w:rPr>
              <w:t>0.003</w:t>
            </w:r>
          </w:p>
        </w:tc>
      </w:tr>
      <w:tr w:rsidR="00D879FF" w:rsidRPr="00824D58" w:rsidTr="003642C1">
        <w:trPr>
          <w:trHeight w:val="18"/>
        </w:trPr>
        <w:tc>
          <w:tcPr>
            <w:tcW w:w="4442" w:type="dxa"/>
            <w:tcBorders>
              <w:left w:val="thickThinSmallGap" w:sz="18" w:space="0" w:color="auto"/>
              <w:right w:val="double" w:sz="4" w:space="0" w:color="auto"/>
            </w:tcBorders>
            <w:shd w:val="clear" w:color="auto" w:fill="C6D9F1" w:themeFill="text2" w:themeFillTint="33"/>
          </w:tcPr>
          <w:p w:rsidR="00D879FF" w:rsidRPr="00824D58" w:rsidRDefault="00D879FF" w:rsidP="003642C1">
            <w:pPr>
              <w:spacing w:line="276" w:lineRule="auto"/>
              <w:rPr>
                <w:shd w:val="clear" w:color="auto" w:fill="FFFFFF"/>
              </w:rPr>
            </w:pPr>
            <w:r w:rsidRPr="00824D58">
              <w:rPr>
                <w:shd w:val="clear" w:color="auto" w:fill="C6D9F1" w:themeFill="text2" w:themeFillTint="33"/>
              </w:rPr>
              <w:t>Hepcidin Hormone - Weight  (kg)</w:t>
            </w:r>
          </w:p>
        </w:tc>
        <w:tc>
          <w:tcPr>
            <w:tcW w:w="2326" w:type="dxa"/>
            <w:tcBorders>
              <w:left w:val="double" w:sz="4" w:space="0" w:color="auto"/>
              <w:right w:val="double" w:sz="4" w:space="0" w:color="auto"/>
            </w:tcBorders>
          </w:tcPr>
          <w:p w:rsidR="00D879FF" w:rsidRPr="00824D58" w:rsidRDefault="00D879FF" w:rsidP="003642C1">
            <w:pPr>
              <w:spacing w:line="276" w:lineRule="auto"/>
              <w:jc w:val="center"/>
              <w:rPr>
                <w:rFonts w:cs="Times New Roman"/>
                <w:shd w:val="clear" w:color="auto" w:fill="FFFFFF"/>
              </w:rPr>
            </w:pPr>
            <w:r w:rsidRPr="00824D58">
              <w:rPr>
                <w:rFonts w:eastAsia="Times New Roman" w:cs="Times New Roman"/>
              </w:rPr>
              <w:t>0.082</w:t>
            </w:r>
          </w:p>
        </w:tc>
        <w:tc>
          <w:tcPr>
            <w:tcW w:w="1562" w:type="dxa"/>
            <w:tcBorders>
              <w:left w:val="double" w:sz="4" w:space="0" w:color="auto"/>
              <w:right w:val="thickThinSmallGap" w:sz="18" w:space="0" w:color="auto"/>
            </w:tcBorders>
          </w:tcPr>
          <w:p w:rsidR="00D879FF" w:rsidRPr="00824D58" w:rsidRDefault="00D879FF" w:rsidP="003642C1">
            <w:pPr>
              <w:spacing w:line="276" w:lineRule="auto"/>
              <w:jc w:val="center"/>
              <w:rPr>
                <w:shd w:val="clear" w:color="auto" w:fill="FFFFFF"/>
              </w:rPr>
            </w:pPr>
            <w:r w:rsidRPr="00824D58">
              <w:rPr>
                <w:shd w:val="clear" w:color="auto" w:fill="FFFFFF"/>
              </w:rPr>
              <w:t>0.354</w:t>
            </w:r>
          </w:p>
        </w:tc>
      </w:tr>
      <w:tr w:rsidR="00D879FF" w:rsidRPr="00824D58" w:rsidTr="003642C1">
        <w:trPr>
          <w:trHeight w:val="18"/>
        </w:trPr>
        <w:tc>
          <w:tcPr>
            <w:tcW w:w="4442" w:type="dxa"/>
            <w:tcBorders>
              <w:left w:val="thickThinSmallGap" w:sz="18" w:space="0" w:color="auto"/>
              <w:right w:val="double" w:sz="4" w:space="0" w:color="auto"/>
            </w:tcBorders>
            <w:shd w:val="clear" w:color="auto" w:fill="C6D9F1" w:themeFill="text2" w:themeFillTint="33"/>
          </w:tcPr>
          <w:p w:rsidR="00D879FF" w:rsidRPr="00824D58" w:rsidRDefault="00D879FF" w:rsidP="003642C1">
            <w:pPr>
              <w:spacing w:line="276" w:lineRule="auto"/>
              <w:rPr>
                <w:shd w:val="clear" w:color="auto" w:fill="FFFFFF"/>
              </w:rPr>
            </w:pPr>
            <w:r w:rsidRPr="00824D58">
              <w:rPr>
                <w:shd w:val="clear" w:color="auto" w:fill="C6D9F1" w:themeFill="text2" w:themeFillTint="33"/>
              </w:rPr>
              <w:t>Hepcidin Hormone –C-RP  (mg/dl)</w:t>
            </w:r>
          </w:p>
        </w:tc>
        <w:tc>
          <w:tcPr>
            <w:tcW w:w="2326" w:type="dxa"/>
            <w:tcBorders>
              <w:left w:val="double" w:sz="4" w:space="0" w:color="auto"/>
              <w:right w:val="double" w:sz="4" w:space="0" w:color="auto"/>
            </w:tcBorders>
          </w:tcPr>
          <w:p w:rsidR="00D879FF" w:rsidRPr="00824D58" w:rsidRDefault="00D879FF" w:rsidP="003642C1">
            <w:pPr>
              <w:spacing w:line="276" w:lineRule="auto"/>
              <w:jc w:val="center"/>
              <w:rPr>
                <w:rFonts w:cs="Times New Roman"/>
                <w:shd w:val="clear" w:color="auto" w:fill="FFFFFF"/>
              </w:rPr>
            </w:pPr>
            <w:r w:rsidRPr="00824D58">
              <w:rPr>
                <w:rFonts w:eastAsia="Times New Roman" w:cs="Times New Roman"/>
              </w:rPr>
              <w:t>0.376**</w:t>
            </w:r>
          </w:p>
        </w:tc>
        <w:tc>
          <w:tcPr>
            <w:tcW w:w="1562" w:type="dxa"/>
            <w:tcBorders>
              <w:left w:val="double" w:sz="4" w:space="0" w:color="auto"/>
              <w:right w:val="thickThinSmallGap" w:sz="18" w:space="0" w:color="auto"/>
            </w:tcBorders>
          </w:tcPr>
          <w:p w:rsidR="00D879FF" w:rsidRPr="00824D58" w:rsidRDefault="00D879FF" w:rsidP="003642C1">
            <w:pPr>
              <w:spacing w:line="276" w:lineRule="auto"/>
              <w:jc w:val="center"/>
              <w:rPr>
                <w:shd w:val="clear" w:color="auto" w:fill="FFFFFF"/>
              </w:rPr>
            </w:pPr>
            <w:r w:rsidRPr="00824D58">
              <w:rPr>
                <w:shd w:val="clear" w:color="auto" w:fill="FFFFFF"/>
              </w:rPr>
              <w:t>0.001</w:t>
            </w:r>
          </w:p>
        </w:tc>
      </w:tr>
      <w:tr w:rsidR="00D879FF" w:rsidRPr="00824D58" w:rsidTr="003642C1">
        <w:trPr>
          <w:trHeight w:val="18"/>
        </w:trPr>
        <w:tc>
          <w:tcPr>
            <w:tcW w:w="4442" w:type="dxa"/>
            <w:tcBorders>
              <w:left w:val="thickThinSmallGap" w:sz="18" w:space="0" w:color="auto"/>
              <w:bottom w:val="single" w:sz="4" w:space="0" w:color="auto"/>
              <w:right w:val="double" w:sz="4" w:space="0" w:color="auto"/>
            </w:tcBorders>
            <w:shd w:val="clear" w:color="auto" w:fill="C6D9F1" w:themeFill="text2" w:themeFillTint="33"/>
          </w:tcPr>
          <w:p w:rsidR="00D879FF" w:rsidRPr="00824D58" w:rsidRDefault="00D879FF" w:rsidP="003642C1">
            <w:pPr>
              <w:spacing w:line="276" w:lineRule="auto"/>
              <w:rPr>
                <w:shd w:val="clear" w:color="auto" w:fill="FFFFFF"/>
              </w:rPr>
            </w:pPr>
            <w:r w:rsidRPr="00824D58">
              <w:rPr>
                <w:shd w:val="clear" w:color="auto" w:fill="C6D9F1" w:themeFill="text2" w:themeFillTint="33"/>
              </w:rPr>
              <w:t>Hepcidin Hormone – FSH  ( MU/ML)</w:t>
            </w:r>
          </w:p>
        </w:tc>
        <w:tc>
          <w:tcPr>
            <w:tcW w:w="2326" w:type="dxa"/>
            <w:tcBorders>
              <w:left w:val="double" w:sz="4" w:space="0" w:color="auto"/>
              <w:right w:val="double" w:sz="4" w:space="0" w:color="auto"/>
            </w:tcBorders>
          </w:tcPr>
          <w:p w:rsidR="00D879FF" w:rsidRPr="00824D58" w:rsidRDefault="00D879FF" w:rsidP="003642C1">
            <w:pPr>
              <w:spacing w:line="276" w:lineRule="auto"/>
              <w:jc w:val="center"/>
              <w:rPr>
                <w:rFonts w:cs="Times New Roman"/>
                <w:shd w:val="clear" w:color="auto" w:fill="FFFFFF"/>
              </w:rPr>
            </w:pPr>
            <w:r w:rsidRPr="00824D58">
              <w:rPr>
                <w:rFonts w:eastAsia="Times New Roman" w:cs="Times New Roman"/>
              </w:rPr>
              <w:t>0.163</w:t>
            </w:r>
          </w:p>
        </w:tc>
        <w:tc>
          <w:tcPr>
            <w:tcW w:w="1562" w:type="dxa"/>
            <w:tcBorders>
              <w:left w:val="double" w:sz="4" w:space="0" w:color="auto"/>
              <w:bottom w:val="single" w:sz="4" w:space="0" w:color="auto"/>
              <w:right w:val="thickThinSmallGap" w:sz="18" w:space="0" w:color="auto"/>
            </w:tcBorders>
          </w:tcPr>
          <w:p w:rsidR="00D879FF" w:rsidRPr="00824D58" w:rsidRDefault="00D879FF" w:rsidP="003642C1">
            <w:pPr>
              <w:spacing w:line="276" w:lineRule="auto"/>
              <w:jc w:val="center"/>
              <w:rPr>
                <w:shd w:val="clear" w:color="auto" w:fill="FFFFFF"/>
              </w:rPr>
            </w:pPr>
            <w:r w:rsidRPr="00824D58">
              <w:rPr>
                <w:shd w:val="clear" w:color="auto" w:fill="FFFFFF"/>
              </w:rPr>
              <w:t>0.063</w:t>
            </w:r>
          </w:p>
        </w:tc>
      </w:tr>
      <w:tr w:rsidR="00D879FF" w:rsidRPr="00824D58" w:rsidTr="003642C1">
        <w:trPr>
          <w:trHeight w:val="18"/>
        </w:trPr>
        <w:tc>
          <w:tcPr>
            <w:tcW w:w="4442" w:type="dxa"/>
            <w:tcBorders>
              <w:top w:val="single" w:sz="4" w:space="0" w:color="auto"/>
              <w:left w:val="thickThinSmallGap" w:sz="18" w:space="0" w:color="auto"/>
              <w:right w:val="double" w:sz="4" w:space="0" w:color="auto"/>
            </w:tcBorders>
            <w:shd w:val="clear" w:color="auto" w:fill="C6D9F1" w:themeFill="text2" w:themeFillTint="33"/>
          </w:tcPr>
          <w:p w:rsidR="00D879FF" w:rsidRPr="00824D58" w:rsidRDefault="00D879FF" w:rsidP="003642C1">
            <w:pPr>
              <w:spacing w:line="276" w:lineRule="auto"/>
              <w:rPr>
                <w:shd w:val="clear" w:color="auto" w:fill="FFFFFF"/>
              </w:rPr>
            </w:pPr>
            <w:r w:rsidRPr="00824D58">
              <w:rPr>
                <w:shd w:val="clear" w:color="auto" w:fill="C6D9F1" w:themeFill="text2" w:themeFillTint="33"/>
              </w:rPr>
              <w:t>Hepcidin Hormone – PSA  (mg/dl)</w:t>
            </w:r>
          </w:p>
        </w:tc>
        <w:tc>
          <w:tcPr>
            <w:tcW w:w="2326" w:type="dxa"/>
            <w:tcBorders>
              <w:left w:val="double" w:sz="4" w:space="0" w:color="auto"/>
              <w:right w:val="double" w:sz="4" w:space="0" w:color="auto"/>
            </w:tcBorders>
          </w:tcPr>
          <w:p w:rsidR="00D879FF" w:rsidRPr="00824D58" w:rsidRDefault="00D879FF" w:rsidP="003642C1">
            <w:pPr>
              <w:spacing w:line="276" w:lineRule="auto"/>
              <w:jc w:val="center"/>
              <w:rPr>
                <w:rFonts w:cs="Times New Roman"/>
                <w:shd w:val="clear" w:color="auto" w:fill="FFFFFF"/>
              </w:rPr>
            </w:pPr>
            <w:r w:rsidRPr="00824D58">
              <w:rPr>
                <w:rFonts w:eastAsia="Times New Roman" w:cs="Times New Roman"/>
              </w:rPr>
              <w:t>0.454**</w:t>
            </w:r>
          </w:p>
        </w:tc>
        <w:tc>
          <w:tcPr>
            <w:tcW w:w="1562" w:type="dxa"/>
            <w:tcBorders>
              <w:top w:val="single" w:sz="4" w:space="0" w:color="auto"/>
              <w:left w:val="double" w:sz="4" w:space="0" w:color="auto"/>
              <w:right w:val="thickThinSmallGap" w:sz="18" w:space="0" w:color="auto"/>
            </w:tcBorders>
          </w:tcPr>
          <w:p w:rsidR="00D879FF" w:rsidRPr="00824D58" w:rsidRDefault="00D879FF" w:rsidP="003642C1">
            <w:pPr>
              <w:spacing w:line="276" w:lineRule="auto"/>
              <w:jc w:val="center"/>
              <w:rPr>
                <w:shd w:val="clear" w:color="auto" w:fill="FFFFFF"/>
              </w:rPr>
            </w:pPr>
            <w:r w:rsidRPr="00824D58">
              <w:rPr>
                <w:shd w:val="clear" w:color="auto" w:fill="FFFFFF"/>
              </w:rPr>
              <w:t>0.001</w:t>
            </w:r>
          </w:p>
        </w:tc>
      </w:tr>
      <w:tr w:rsidR="00D879FF" w:rsidRPr="00824D58" w:rsidTr="003642C1">
        <w:trPr>
          <w:trHeight w:val="18"/>
        </w:trPr>
        <w:tc>
          <w:tcPr>
            <w:tcW w:w="4442" w:type="dxa"/>
            <w:tcBorders>
              <w:left w:val="thickThinSmallGap" w:sz="18" w:space="0" w:color="auto"/>
              <w:right w:val="double" w:sz="4" w:space="0" w:color="auto"/>
            </w:tcBorders>
            <w:shd w:val="clear" w:color="auto" w:fill="C6D9F1" w:themeFill="text2" w:themeFillTint="33"/>
          </w:tcPr>
          <w:p w:rsidR="00D879FF" w:rsidRPr="00824D58" w:rsidRDefault="00D879FF" w:rsidP="003642C1">
            <w:pPr>
              <w:spacing w:line="276" w:lineRule="auto"/>
              <w:rPr>
                <w:shd w:val="clear" w:color="auto" w:fill="FFFFFF"/>
              </w:rPr>
            </w:pPr>
            <w:r w:rsidRPr="00824D58">
              <w:rPr>
                <w:shd w:val="clear" w:color="auto" w:fill="C6D9F1" w:themeFill="text2" w:themeFillTint="33"/>
              </w:rPr>
              <w:t>Hepcidin Hormone – Gdf15  (mg/dl)</w:t>
            </w:r>
          </w:p>
        </w:tc>
        <w:tc>
          <w:tcPr>
            <w:tcW w:w="2326" w:type="dxa"/>
            <w:tcBorders>
              <w:left w:val="double" w:sz="4" w:space="0" w:color="auto"/>
              <w:right w:val="double" w:sz="4" w:space="0" w:color="auto"/>
            </w:tcBorders>
          </w:tcPr>
          <w:p w:rsidR="00D879FF" w:rsidRPr="00824D58" w:rsidRDefault="00D879FF" w:rsidP="003642C1">
            <w:pPr>
              <w:spacing w:line="276" w:lineRule="auto"/>
              <w:jc w:val="center"/>
              <w:rPr>
                <w:rFonts w:cs="Times New Roman"/>
                <w:shd w:val="clear" w:color="auto" w:fill="FFFFFF"/>
              </w:rPr>
            </w:pPr>
            <w:r w:rsidRPr="00824D58">
              <w:rPr>
                <w:rFonts w:eastAsia="Times New Roman" w:cs="Times New Roman"/>
              </w:rPr>
              <w:t>0.220*</w:t>
            </w:r>
          </w:p>
        </w:tc>
        <w:tc>
          <w:tcPr>
            <w:tcW w:w="1562" w:type="dxa"/>
            <w:tcBorders>
              <w:left w:val="double" w:sz="4" w:space="0" w:color="auto"/>
              <w:right w:val="thickThinSmallGap" w:sz="18" w:space="0" w:color="auto"/>
            </w:tcBorders>
          </w:tcPr>
          <w:p w:rsidR="00D879FF" w:rsidRPr="00824D58" w:rsidRDefault="00D879FF" w:rsidP="003642C1">
            <w:pPr>
              <w:spacing w:line="276" w:lineRule="auto"/>
              <w:jc w:val="center"/>
              <w:rPr>
                <w:shd w:val="clear" w:color="auto" w:fill="FFFFFF"/>
              </w:rPr>
            </w:pPr>
            <w:r w:rsidRPr="00824D58">
              <w:rPr>
                <w:shd w:val="clear" w:color="auto" w:fill="FFFFFF"/>
              </w:rPr>
              <w:t>0.012</w:t>
            </w:r>
          </w:p>
        </w:tc>
      </w:tr>
      <w:tr w:rsidR="00D879FF" w:rsidRPr="00824D58" w:rsidTr="003642C1">
        <w:trPr>
          <w:trHeight w:val="18"/>
        </w:trPr>
        <w:tc>
          <w:tcPr>
            <w:tcW w:w="8330" w:type="dxa"/>
            <w:gridSpan w:val="3"/>
            <w:tcBorders>
              <w:left w:val="thickThinSmallGap" w:sz="18" w:space="0" w:color="auto"/>
              <w:bottom w:val="thickThinSmallGap" w:sz="18" w:space="0" w:color="auto"/>
              <w:right w:val="thickThinSmallGap" w:sz="18" w:space="0" w:color="auto"/>
            </w:tcBorders>
            <w:shd w:val="clear" w:color="auto" w:fill="C6D9F1" w:themeFill="text2" w:themeFillTint="33"/>
          </w:tcPr>
          <w:p w:rsidR="00D879FF" w:rsidRPr="00824D58" w:rsidRDefault="00D879FF" w:rsidP="00151652">
            <w:pPr>
              <w:spacing w:line="276" w:lineRule="auto"/>
              <w:jc w:val="center"/>
              <w:rPr>
                <w:shd w:val="clear" w:color="auto" w:fill="CCC0D9" w:themeFill="accent4" w:themeFillTint="66"/>
              </w:rPr>
            </w:pPr>
            <w:r w:rsidRPr="00824D58">
              <w:rPr>
                <w:shd w:val="clear" w:color="auto" w:fill="C6D9F1" w:themeFill="text2" w:themeFillTint="33"/>
              </w:rPr>
              <w:t>no risk:</w:t>
            </w:r>
            <w:r w:rsidR="00151652">
              <w:rPr>
                <w:rFonts w:hint="cs"/>
                <w:shd w:val="clear" w:color="auto" w:fill="C6D9F1" w:themeFill="text2" w:themeFillTint="33"/>
                <w:rtl/>
              </w:rPr>
              <w:t xml:space="preserve"> </w:t>
            </w:r>
            <w:r w:rsidRPr="00824D58">
              <w:rPr>
                <w:shd w:val="clear" w:color="auto" w:fill="C6D9F1" w:themeFill="text2" w:themeFillTint="33"/>
              </w:rPr>
              <w:t xml:space="preserve">P &gt; 0.05; </w:t>
            </w:r>
            <w:r w:rsidR="00151652">
              <w:rPr>
                <w:rFonts w:hint="cs"/>
                <w:shd w:val="clear" w:color="auto" w:fill="C6D9F1" w:themeFill="text2" w:themeFillTint="33"/>
                <w:rtl/>
              </w:rPr>
              <w:t xml:space="preserve"> </w:t>
            </w:r>
            <w:r w:rsidRPr="00824D58">
              <w:rPr>
                <w:shd w:val="clear" w:color="auto" w:fill="C6D9F1" w:themeFill="text2" w:themeFillTint="33"/>
              </w:rPr>
              <w:t xml:space="preserve">⃰  </w:t>
            </w:r>
            <w:r w:rsidRPr="00151652">
              <w:rPr>
                <w:shd w:val="clear" w:color="auto" w:fill="C6D9F1" w:themeFill="text2" w:themeFillTint="33"/>
              </w:rPr>
              <w:t>⃰  highly significant at (P &lt; 0.01); ⃰  Statist</w:t>
            </w:r>
            <w:r w:rsidRPr="00151652">
              <w:rPr>
                <w:shd w:val="clear" w:color="auto" w:fill="D9D9D9" w:themeFill="background1" w:themeFillShade="D9"/>
              </w:rPr>
              <w:t>i</w:t>
            </w:r>
            <w:r w:rsidRPr="00151652">
              <w:rPr>
                <w:shd w:val="clear" w:color="auto" w:fill="C6D9F1" w:themeFill="text2" w:themeFillTint="33"/>
              </w:rPr>
              <w:t>ca</w:t>
            </w:r>
            <w:r w:rsidRPr="00151652">
              <w:t xml:space="preserve">lly </w:t>
            </w:r>
            <w:r w:rsidRPr="00151652">
              <w:rPr>
                <w:shd w:val="clear" w:color="auto" w:fill="C6D9F1" w:themeFill="text2" w:themeFillTint="33"/>
              </w:rPr>
              <w:t>significant at (P &lt; 0.05); N.S. : non-signific</w:t>
            </w:r>
            <w:r w:rsidRPr="00151652">
              <w:rPr>
                <w:shd w:val="clear" w:color="auto" w:fill="D9D9D9" w:themeFill="background1" w:themeFillShade="D9"/>
              </w:rPr>
              <w:t>ant.</w:t>
            </w:r>
          </w:p>
        </w:tc>
      </w:tr>
    </w:tbl>
    <w:p w:rsidR="00D879FF" w:rsidRPr="00824D58" w:rsidRDefault="00D879FF" w:rsidP="00D879FF">
      <w:pPr>
        <w:pStyle w:val="Default"/>
        <w:spacing w:line="360" w:lineRule="auto"/>
        <w:jc w:val="both"/>
        <w:rPr>
          <w:color w:val="auto"/>
        </w:rPr>
      </w:pPr>
    </w:p>
    <w:p w:rsidR="00D879FF" w:rsidRPr="00824D58" w:rsidRDefault="00D879FF" w:rsidP="00D879FF">
      <w:pPr>
        <w:pStyle w:val="Default"/>
        <w:spacing w:line="360" w:lineRule="auto"/>
        <w:jc w:val="both"/>
        <w:rPr>
          <w:color w:val="auto"/>
        </w:rPr>
      </w:pPr>
    </w:p>
    <w:p w:rsidR="00D879FF" w:rsidRPr="00824D58" w:rsidRDefault="00D879FF" w:rsidP="00D879FF">
      <w:pPr>
        <w:pStyle w:val="Default"/>
        <w:keepNext/>
        <w:spacing w:line="360" w:lineRule="auto"/>
        <w:jc w:val="both"/>
        <w:rPr>
          <w:color w:val="auto"/>
        </w:rPr>
      </w:pPr>
      <w:r w:rsidRPr="00824D58">
        <w:rPr>
          <w:rFonts w:eastAsia="Times New Roman"/>
          <w:noProof/>
          <w:color w:val="auto"/>
        </w:rPr>
        <w:drawing>
          <wp:inline distT="0" distB="0" distL="0" distR="0" wp14:anchorId="2ECB63C6" wp14:editId="4BBF7CC5">
            <wp:extent cx="5189732" cy="3429000"/>
            <wp:effectExtent l="76200" t="76200" r="125730" b="13335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cstate="print">
                      <a:grayscl/>
                      <a:extLst>
                        <a:ext uri="{BEBA8EAE-BF5A-486C-A8C5-ECC9F3942E4B}">
                          <a14:imgProps xmlns:a14="http://schemas.microsoft.com/office/drawing/2010/main">
                            <a14:imgLayer r:embed="rId30">
                              <a14:imgEffect>
                                <a14:colorTemperature colorTemp="4700"/>
                              </a14:imgEffect>
                              <a14:imgEffect>
                                <a14:saturation sat="243000"/>
                              </a14:imgEffect>
                            </a14:imgLayer>
                          </a14:imgProps>
                        </a:ext>
                        <a:ext uri="{28A0092B-C50C-407E-A947-70E740481C1C}">
                          <a14:useLocalDpi xmlns:a14="http://schemas.microsoft.com/office/drawing/2010/main" val="0"/>
                        </a:ext>
                      </a:extLst>
                    </a:blip>
                    <a:srcRect/>
                    <a:stretch>
                      <a:fillRect/>
                    </a:stretch>
                  </pic:blipFill>
                  <pic:spPr bwMode="auto">
                    <a:xfrm>
                      <a:off x="0" y="0"/>
                      <a:ext cx="5220335" cy="3449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642C1" w:rsidRPr="00824D58" w:rsidRDefault="003642C1" w:rsidP="00D879FF">
      <w:pPr>
        <w:pStyle w:val="Default"/>
        <w:spacing w:line="360" w:lineRule="auto"/>
        <w:jc w:val="center"/>
        <w:rPr>
          <w:b/>
          <w:bCs/>
          <w:color w:val="auto"/>
        </w:rPr>
      </w:pPr>
      <w:bookmarkStart w:id="169" w:name="_Toc58497143"/>
      <w:bookmarkStart w:id="170" w:name="_Toc59130992"/>
      <w:bookmarkStart w:id="171" w:name="_Toc60183495"/>
    </w:p>
    <w:p w:rsidR="00D879FF" w:rsidRPr="00824D58" w:rsidRDefault="00D879FF" w:rsidP="00D879FF">
      <w:pPr>
        <w:pStyle w:val="Default"/>
        <w:spacing w:line="360" w:lineRule="auto"/>
        <w:jc w:val="center"/>
        <w:rPr>
          <w:color w:val="auto"/>
        </w:rPr>
      </w:pPr>
      <w:r w:rsidRPr="00824D58">
        <w:rPr>
          <w:b/>
          <w:bCs/>
          <w:color w:val="auto"/>
        </w:rPr>
        <w:t>Figure 4.</w:t>
      </w:r>
      <w:r w:rsidR="008F1049" w:rsidRPr="00824D58">
        <w:rPr>
          <w:b/>
          <w:bCs/>
          <w:color w:val="auto"/>
        </w:rPr>
        <w:fldChar w:fldCharType="begin"/>
      </w:r>
      <w:r w:rsidR="008F1049" w:rsidRPr="00824D58">
        <w:rPr>
          <w:b/>
          <w:bCs/>
          <w:color w:val="auto"/>
        </w:rPr>
        <w:instrText xml:space="preserve"> SEQ Figure_4. \* ARABIC </w:instrText>
      </w:r>
      <w:r w:rsidR="008F1049" w:rsidRPr="00824D58">
        <w:rPr>
          <w:b/>
          <w:bCs/>
          <w:color w:val="auto"/>
        </w:rPr>
        <w:fldChar w:fldCharType="separate"/>
      </w:r>
      <w:r w:rsidR="00713623">
        <w:rPr>
          <w:b/>
          <w:bCs/>
          <w:noProof/>
          <w:color w:val="auto"/>
        </w:rPr>
        <w:t>1</w:t>
      </w:r>
      <w:r w:rsidR="008F1049" w:rsidRPr="00824D58">
        <w:rPr>
          <w:b/>
          <w:bCs/>
          <w:noProof/>
          <w:color w:val="auto"/>
        </w:rPr>
        <w:fldChar w:fldCharType="end"/>
      </w:r>
      <w:r w:rsidRPr="00824D58">
        <w:rPr>
          <w:color w:val="auto"/>
        </w:rPr>
        <w:t>.The relation between Control group and patient group with Mean of age</w:t>
      </w:r>
      <w:bookmarkEnd w:id="169"/>
      <w:bookmarkEnd w:id="170"/>
      <w:bookmarkEnd w:id="171"/>
    </w:p>
    <w:p w:rsidR="006E218E" w:rsidRPr="00824D58" w:rsidRDefault="006E218E" w:rsidP="00D879FF">
      <w:pPr>
        <w:pStyle w:val="Default"/>
        <w:spacing w:line="360" w:lineRule="auto"/>
        <w:jc w:val="center"/>
        <w:rPr>
          <w:color w:val="auto"/>
        </w:rPr>
      </w:pPr>
    </w:p>
    <w:p w:rsidR="00D879FF" w:rsidRPr="00824D58" w:rsidRDefault="00D879FF" w:rsidP="003642C1">
      <w:pPr>
        <w:pStyle w:val="Default"/>
        <w:spacing w:line="360" w:lineRule="auto"/>
        <w:jc w:val="both"/>
        <w:rPr>
          <w:color w:val="auto"/>
        </w:rPr>
      </w:pPr>
      <w:r w:rsidRPr="00824D58">
        <w:rPr>
          <w:color w:val="auto"/>
        </w:rPr>
        <w:t>As a result shown in Table 4.1 the mean of weight (kg) was has a no significant difference between control group (group A, 80.5 ± 12.9) as compare to the patients group (B group, 78.9 ± 12.5)</w:t>
      </w:r>
      <w:r w:rsidR="006E218E" w:rsidRPr="00824D58">
        <w:rPr>
          <w:color w:val="auto"/>
        </w:rPr>
        <w:t xml:space="preserve"> </w:t>
      </w:r>
      <w:r w:rsidRPr="00824D58">
        <w:rPr>
          <w:color w:val="auto"/>
        </w:rPr>
        <w:t>(Figure 4.2).</w:t>
      </w:r>
    </w:p>
    <w:p w:rsidR="003642C1" w:rsidRPr="00824D58" w:rsidRDefault="003642C1" w:rsidP="003642C1">
      <w:pPr>
        <w:pStyle w:val="Default"/>
        <w:spacing w:line="360" w:lineRule="auto"/>
        <w:jc w:val="both"/>
        <w:rPr>
          <w:color w:val="auto"/>
        </w:rPr>
      </w:pPr>
    </w:p>
    <w:p w:rsidR="00D879FF" w:rsidRPr="00824D58" w:rsidRDefault="00D879FF" w:rsidP="00D879FF">
      <w:pPr>
        <w:pStyle w:val="Default"/>
        <w:spacing w:line="360" w:lineRule="auto"/>
        <w:jc w:val="both"/>
        <w:rPr>
          <w:color w:val="auto"/>
        </w:rPr>
      </w:pPr>
      <w:r w:rsidRPr="00824D58">
        <w:rPr>
          <w:color w:val="auto"/>
        </w:rPr>
        <w:t xml:space="preserve">There are link between rheumatoid arthritis (RA) </w:t>
      </w:r>
      <w:r w:rsidR="00EB3441" w:rsidRPr="00824D58">
        <w:rPr>
          <w:color w:val="auto"/>
        </w:rPr>
        <w:t>weights</w:t>
      </w:r>
      <w:r w:rsidRPr="00824D58">
        <w:rPr>
          <w:color w:val="auto"/>
        </w:rPr>
        <w:t xml:space="preserve"> (Pødenphant, J., </w:t>
      </w:r>
      <w:r w:rsidRPr="00824D58">
        <w:rPr>
          <w:i/>
          <w:iCs/>
          <w:color w:val="auto"/>
        </w:rPr>
        <w:t>et al.,</w:t>
      </w:r>
      <w:r w:rsidRPr="00824D58">
        <w:rPr>
          <w:color w:val="auto"/>
        </w:rPr>
        <w:t xml:space="preserve"> 1996), this study agreed with our study. While don't there are correlation between Hepcidin Hormone and weight (r = 0.082, P-Value 0.354) (Figure 4.2). The association between BMI and risk of prostate cancer differed by stage and grade at diagnosis (Rodriguez, C., </w:t>
      </w:r>
      <w:r w:rsidRPr="00824D58">
        <w:rPr>
          <w:i/>
          <w:iCs/>
          <w:color w:val="auto"/>
        </w:rPr>
        <w:t>et al.</w:t>
      </w:r>
      <w:r w:rsidRPr="00824D58">
        <w:rPr>
          <w:color w:val="auto"/>
        </w:rPr>
        <w:t>, 2007). There are not was adiposity related positively to prostate cancer incidence (Wright, M. E.,</w:t>
      </w:r>
      <w:r w:rsidRPr="00824D58">
        <w:rPr>
          <w:i/>
          <w:iCs/>
          <w:color w:val="auto"/>
        </w:rPr>
        <w:t xml:space="preserve"> et al.,</w:t>
      </w:r>
      <w:r w:rsidRPr="00824D58">
        <w:rPr>
          <w:color w:val="auto"/>
        </w:rPr>
        <w:t xml:space="preserve"> 2007).</w:t>
      </w:r>
    </w:p>
    <w:p w:rsidR="00D879FF" w:rsidRPr="00824D58" w:rsidRDefault="00D879FF" w:rsidP="00D879FF">
      <w:pPr>
        <w:pStyle w:val="Default"/>
        <w:spacing w:line="360" w:lineRule="auto"/>
        <w:jc w:val="both"/>
        <w:rPr>
          <w:color w:val="auto"/>
        </w:rPr>
      </w:pPr>
    </w:p>
    <w:p w:rsidR="00D879FF" w:rsidRPr="00824D58" w:rsidRDefault="00D879FF" w:rsidP="00D879FF">
      <w:pPr>
        <w:pStyle w:val="Default"/>
        <w:keepNext/>
        <w:spacing w:line="360" w:lineRule="auto"/>
        <w:jc w:val="both"/>
        <w:rPr>
          <w:color w:val="auto"/>
        </w:rPr>
      </w:pPr>
      <w:r w:rsidRPr="00824D58">
        <w:rPr>
          <w:rFonts w:eastAsia="Times New Roman"/>
          <w:noProof/>
          <w:color w:val="auto"/>
        </w:rPr>
        <w:drawing>
          <wp:inline distT="0" distB="0" distL="0" distR="0" wp14:anchorId="0C22633E" wp14:editId="1E45F48D">
            <wp:extent cx="5212069" cy="4229100"/>
            <wp:effectExtent l="19050" t="19050" r="27305" b="1905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cstate="print">
                      <a:grayscl/>
                      <a:extLst>
                        <a:ext uri="{BEBA8EAE-BF5A-486C-A8C5-ECC9F3942E4B}">
                          <a14:imgProps xmlns:a14="http://schemas.microsoft.com/office/drawing/2010/main">
                            <a14:imgLayer r:embed="rId30">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5219582" cy="4235196"/>
                    </a:xfrm>
                    <a:prstGeom prst="rect">
                      <a:avLst/>
                    </a:prstGeom>
                    <a:noFill/>
                    <a:ln w="3175">
                      <a:solidFill>
                        <a:schemeClr val="tx1"/>
                      </a:solidFill>
                    </a:ln>
                  </pic:spPr>
                </pic:pic>
              </a:graphicData>
            </a:graphic>
          </wp:inline>
        </w:drawing>
      </w:r>
    </w:p>
    <w:p w:rsidR="003642C1" w:rsidRPr="00824D58" w:rsidRDefault="003642C1" w:rsidP="003642C1">
      <w:pPr>
        <w:pStyle w:val="Caption"/>
        <w:spacing w:after="0" w:line="276" w:lineRule="auto"/>
        <w:ind w:left="1276" w:hanging="1276"/>
        <w:rPr>
          <w:b/>
          <w:bCs/>
        </w:rPr>
      </w:pPr>
      <w:bookmarkStart w:id="172" w:name="_Toc58497144"/>
      <w:bookmarkStart w:id="173" w:name="_Toc59130993"/>
      <w:bookmarkStart w:id="174" w:name="_Toc60183496"/>
    </w:p>
    <w:p w:rsidR="00D879FF" w:rsidRPr="00824D58" w:rsidRDefault="00D879FF" w:rsidP="003642C1">
      <w:pPr>
        <w:pStyle w:val="Caption"/>
        <w:spacing w:after="0" w:line="276" w:lineRule="auto"/>
        <w:ind w:left="1276" w:hanging="1276"/>
      </w:pPr>
      <w:r w:rsidRPr="00824D58">
        <w:rPr>
          <w:b/>
          <w:bCs/>
        </w:rPr>
        <w:t>Figure 4.</w:t>
      </w:r>
      <w:r w:rsidR="002470BB" w:rsidRPr="00824D58">
        <w:rPr>
          <w:b/>
          <w:bCs/>
        </w:rPr>
        <w:fldChar w:fldCharType="begin"/>
      </w:r>
      <w:r w:rsidR="00025A32" w:rsidRPr="00824D58">
        <w:rPr>
          <w:b/>
          <w:bCs/>
        </w:rPr>
        <w:instrText xml:space="preserve"> SEQ Figure_4. \* ARABIC </w:instrText>
      </w:r>
      <w:r w:rsidR="002470BB" w:rsidRPr="00824D58">
        <w:rPr>
          <w:b/>
          <w:bCs/>
        </w:rPr>
        <w:fldChar w:fldCharType="separate"/>
      </w:r>
      <w:r w:rsidR="00713623">
        <w:rPr>
          <w:b/>
          <w:bCs/>
          <w:noProof/>
        </w:rPr>
        <w:t>2</w:t>
      </w:r>
      <w:r w:rsidR="002470BB" w:rsidRPr="00824D58">
        <w:rPr>
          <w:b/>
          <w:bCs/>
          <w:noProof/>
        </w:rPr>
        <w:fldChar w:fldCharType="end"/>
      </w:r>
      <w:r w:rsidRPr="00824D58">
        <w:rPr>
          <w:b/>
          <w:bCs/>
          <w:noProof/>
        </w:rPr>
        <w:t>.</w:t>
      </w:r>
      <w:r w:rsidR="00025A32" w:rsidRPr="00824D58">
        <w:rPr>
          <w:noProof/>
        </w:rPr>
        <w:t xml:space="preserve"> </w:t>
      </w:r>
      <w:r w:rsidRPr="00824D58">
        <w:t>The relation between Control group and patient group with Mean of weıght (Kg)</w:t>
      </w:r>
      <w:bookmarkEnd w:id="172"/>
      <w:bookmarkEnd w:id="173"/>
      <w:bookmarkEnd w:id="174"/>
    </w:p>
    <w:p w:rsidR="00D879FF" w:rsidRPr="00824D58" w:rsidRDefault="00151652" w:rsidP="003642C1">
      <w:pPr>
        <w:spacing w:after="0"/>
      </w:pPr>
      <w:r w:rsidRPr="00151652">
        <w:t>As indicated in Table 4.1 and Figure 4.3, there is a substantial difference in the mean C-reactive protein concentration (mg/dl) between the control group (group A) (12.9 ± 30.6) and the patient group (group B) (92.5 ± 79.3)</w:t>
      </w:r>
      <w:r>
        <w:rPr>
          <w:rFonts w:hint="cs"/>
          <w:rtl/>
        </w:rPr>
        <w:t>.</w:t>
      </w:r>
      <w:r w:rsidR="00D879FF" w:rsidRPr="00824D58">
        <w:t xml:space="preserve"> As well as the mean of BMI (kg/m</w:t>
      </w:r>
      <w:r w:rsidR="00D879FF" w:rsidRPr="00824D58">
        <w:rPr>
          <w:vertAlign w:val="superscript"/>
        </w:rPr>
        <w:t>2</w:t>
      </w:r>
      <w:r w:rsidR="00D879FF" w:rsidRPr="00824D58">
        <w:t>) in group A was (28.32± 3.60), addition, the Correlation between Hepcidin Hormone and C-RP was strong (r=0.37</w:t>
      </w:r>
      <w:r w:rsidR="006E218E" w:rsidRPr="00824D58">
        <w:t>6**, P-Value=0.001) showing in T</w:t>
      </w:r>
      <w:r w:rsidR="00D879FF" w:rsidRPr="00824D58">
        <w:t xml:space="preserve">able 4.2. In a study Steven Lehrer and other friends in 2005, </w:t>
      </w:r>
      <w:r w:rsidR="00235A9B" w:rsidRPr="00824D58">
        <w:t>there</w:t>
      </w:r>
      <w:r w:rsidR="00D879FF" w:rsidRPr="00824D58">
        <w:t xml:space="preserve"> was also a significant correlation of CRP level with prostate</w:t>
      </w:r>
      <w:r w:rsidR="00D879FF" w:rsidRPr="00824D58">
        <w:rPr>
          <w:rFonts w:ascii="Cambria Math" w:hAnsi="Cambria Math"/>
        </w:rPr>
        <w:t>‐</w:t>
      </w:r>
      <w:r w:rsidR="00D879FF" w:rsidRPr="00824D58">
        <w:t>specific antigen (PSA) in those with cancer</w:t>
      </w:r>
      <w:r w:rsidR="00FC5CC1">
        <w:t>,&amp;</w:t>
      </w:r>
      <w:r w:rsidR="00D879FF" w:rsidRPr="00824D58">
        <w:t xml:space="preserve"> this agreement with our study. The level of C</w:t>
      </w:r>
      <w:r w:rsidR="00D879FF" w:rsidRPr="00824D58">
        <w:rPr>
          <w:rFonts w:ascii="Cambria Math" w:hAnsi="Cambria Math"/>
        </w:rPr>
        <w:t>‐</w:t>
      </w:r>
      <w:r w:rsidR="00D879FF" w:rsidRPr="00824D58">
        <w:t>reactive protein in another study is elevated in prostate cancer patients (Stark, J. R., et al., 2009)</w:t>
      </w:r>
      <w:r w:rsidR="00FC5CC1">
        <w:t>,&amp;</w:t>
      </w:r>
      <w:r w:rsidR="00D879FF" w:rsidRPr="00824D58">
        <w:t xml:space="preserve"> this agree with our study.</w:t>
      </w:r>
    </w:p>
    <w:p w:rsidR="00D879FF" w:rsidRPr="00824D58" w:rsidRDefault="00D879FF" w:rsidP="00D879FF">
      <w:pPr>
        <w:pStyle w:val="Default"/>
        <w:spacing w:line="360" w:lineRule="auto"/>
        <w:jc w:val="both"/>
        <w:rPr>
          <w:b/>
          <w:bCs/>
          <w:color w:val="auto"/>
        </w:rPr>
      </w:pPr>
    </w:p>
    <w:p w:rsidR="00D879FF" w:rsidRPr="00824D58" w:rsidRDefault="00D879FF" w:rsidP="00D879FF">
      <w:pPr>
        <w:pStyle w:val="Default"/>
        <w:keepNext/>
        <w:spacing w:line="360" w:lineRule="auto"/>
        <w:jc w:val="both"/>
        <w:rPr>
          <w:color w:val="auto"/>
        </w:rPr>
      </w:pPr>
      <w:r w:rsidRPr="00824D58">
        <w:rPr>
          <w:rFonts w:eastAsia="Times New Roman"/>
          <w:noProof/>
          <w:color w:val="auto"/>
        </w:rPr>
        <w:drawing>
          <wp:inline distT="0" distB="0" distL="0" distR="0" wp14:anchorId="6391CF7F" wp14:editId="6BD22D8D">
            <wp:extent cx="5216539" cy="3604701"/>
            <wp:effectExtent l="19050" t="19050" r="22225" b="1524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20335" cy="3607324"/>
                    </a:xfrm>
                    <a:prstGeom prst="rect">
                      <a:avLst/>
                    </a:prstGeom>
                    <a:noFill/>
                    <a:ln w="3175">
                      <a:solidFill>
                        <a:schemeClr val="tx1"/>
                      </a:solidFill>
                    </a:ln>
                  </pic:spPr>
                </pic:pic>
              </a:graphicData>
            </a:graphic>
          </wp:inline>
        </w:drawing>
      </w:r>
    </w:p>
    <w:p w:rsidR="003642C1" w:rsidRPr="00824D58" w:rsidRDefault="003642C1" w:rsidP="003642C1">
      <w:pPr>
        <w:pStyle w:val="Caption"/>
        <w:spacing w:after="0"/>
      </w:pPr>
      <w:bookmarkStart w:id="175" w:name="_Toc58497145"/>
      <w:bookmarkStart w:id="176" w:name="_Toc59130994"/>
      <w:bookmarkStart w:id="177" w:name="_Toc60183497"/>
    </w:p>
    <w:p w:rsidR="00D879FF" w:rsidRPr="00824D58" w:rsidRDefault="00D879FF" w:rsidP="003642C1">
      <w:pPr>
        <w:pStyle w:val="Caption"/>
        <w:spacing w:after="0"/>
      </w:pPr>
      <w:r w:rsidRPr="00824D58">
        <w:t>Figure 4.</w:t>
      </w:r>
      <w:fldSimple w:instr=" SEQ Figure_4. \* ARABIC ">
        <w:r w:rsidR="00713623">
          <w:rPr>
            <w:noProof/>
          </w:rPr>
          <w:t>3</w:t>
        </w:r>
      </w:fldSimple>
      <w:r w:rsidRPr="00824D58">
        <w:rPr>
          <w:noProof/>
        </w:rPr>
        <w:t>.</w:t>
      </w:r>
      <w:r w:rsidRPr="00824D58">
        <w:t>The relation between Control group and patient group with Mean of CRP</w:t>
      </w:r>
      <w:bookmarkEnd w:id="175"/>
      <w:bookmarkEnd w:id="176"/>
      <w:bookmarkEnd w:id="177"/>
    </w:p>
    <w:p w:rsidR="003642C1" w:rsidRPr="00824D58" w:rsidRDefault="003642C1" w:rsidP="003642C1"/>
    <w:p w:rsidR="003642C1" w:rsidRPr="00824D58" w:rsidRDefault="003642C1" w:rsidP="003642C1"/>
    <w:p w:rsidR="003642C1" w:rsidRPr="00824D58" w:rsidRDefault="003642C1" w:rsidP="003642C1"/>
    <w:p w:rsidR="00D879FF" w:rsidRPr="00824D58" w:rsidRDefault="00D879FF" w:rsidP="003642C1">
      <w:pPr>
        <w:pStyle w:val="Heading2"/>
        <w:numPr>
          <w:ilvl w:val="1"/>
          <w:numId w:val="11"/>
        </w:numPr>
        <w:spacing w:before="0"/>
        <w:ind w:left="426" w:hanging="426"/>
        <w:jc w:val="left"/>
        <w:rPr>
          <w:bCs w:val="0"/>
        </w:rPr>
      </w:pPr>
      <w:bookmarkStart w:id="178" w:name="_Toc59130705"/>
      <w:bookmarkStart w:id="179" w:name="_Toc60183469"/>
      <w:r w:rsidRPr="00824D58">
        <w:rPr>
          <w:bCs w:val="0"/>
        </w:rPr>
        <w:t>H</w:t>
      </w:r>
      <w:r w:rsidR="00BA7CC1" w:rsidRPr="00824D58">
        <w:rPr>
          <w:bCs w:val="0"/>
        </w:rPr>
        <w:t>o</w:t>
      </w:r>
      <w:r w:rsidRPr="00824D58">
        <w:rPr>
          <w:bCs w:val="0"/>
        </w:rPr>
        <w:t>rmons Results</w:t>
      </w:r>
      <w:bookmarkEnd w:id="178"/>
      <w:bookmarkEnd w:id="179"/>
    </w:p>
    <w:p w:rsidR="003642C1" w:rsidRPr="00824D58" w:rsidRDefault="003642C1" w:rsidP="003642C1">
      <w:pPr>
        <w:spacing w:after="0"/>
      </w:pPr>
    </w:p>
    <w:p w:rsidR="00D879FF" w:rsidRPr="00824D58" w:rsidRDefault="00D879FF" w:rsidP="003642C1">
      <w:pPr>
        <w:pStyle w:val="Heading3"/>
        <w:numPr>
          <w:ilvl w:val="2"/>
          <w:numId w:val="11"/>
        </w:numPr>
        <w:spacing w:before="0" w:after="0"/>
        <w:ind w:left="567" w:hanging="567"/>
        <w:jc w:val="left"/>
      </w:pPr>
      <w:bookmarkStart w:id="180" w:name="_Toc59130706"/>
      <w:bookmarkStart w:id="181" w:name="_Toc60183470"/>
      <w:r w:rsidRPr="00824D58">
        <w:t>FSH</w:t>
      </w:r>
      <w:bookmarkEnd w:id="180"/>
      <w:bookmarkEnd w:id="181"/>
    </w:p>
    <w:p w:rsidR="003642C1" w:rsidRPr="00824D58" w:rsidRDefault="003642C1" w:rsidP="003642C1">
      <w:pPr>
        <w:spacing w:after="0"/>
      </w:pPr>
    </w:p>
    <w:p w:rsidR="00D879FF" w:rsidRPr="00824D58" w:rsidRDefault="00D879FF" w:rsidP="003642C1">
      <w:pPr>
        <w:pStyle w:val="Default"/>
        <w:spacing w:line="360" w:lineRule="auto"/>
        <w:jc w:val="both"/>
        <w:rPr>
          <w:color w:val="auto"/>
        </w:rPr>
      </w:pPr>
      <w:r w:rsidRPr="00824D58">
        <w:rPr>
          <w:color w:val="auto"/>
        </w:rPr>
        <w:t>As shown in Table 4.1 the mean of FSH concentration was has a significant difference between the control group (group A, 2.89 ± 3.37) as compared to the patients' group (B groups,</w:t>
      </w:r>
      <w:r w:rsidR="006E218E" w:rsidRPr="00824D58">
        <w:rPr>
          <w:color w:val="auto"/>
        </w:rPr>
        <w:t xml:space="preserve"> </w:t>
      </w:r>
      <w:r w:rsidRPr="00824D58">
        <w:rPr>
          <w:color w:val="auto"/>
        </w:rPr>
        <w:t xml:space="preserve">4.88± 5.45) at P &gt; 0.05, also the correlations with Hepcidin Hormone was no significant difference positively (r= 0.163, P-0.063 ) as shown in Table 4.2. Immunohistochemistry revealed the found of FSH in PC3 and Du145 cells, as well as in human adenocarcinoma of the prostate (Ben-Josef, E., </w:t>
      </w:r>
      <w:r w:rsidRPr="00824D58">
        <w:rPr>
          <w:i/>
          <w:iCs/>
          <w:color w:val="auto"/>
        </w:rPr>
        <w:t xml:space="preserve">et al., </w:t>
      </w:r>
      <w:r w:rsidRPr="00824D58">
        <w:rPr>
          <w:color w:val="auto"/>
        </w:rPr>
        <w:t xml:space="preserve">1999). In the study of  Mariani, S., </w:t>
      </w:r>
      <w:r w:rsidRPr="00824D58">
        <w:rPr>
          <w:i/>
          <w:iCs/>
          <w:color w:val="auto"/>
        </w:rPr>
        <w:t>et al.</w:t>
      </w:r>
      <w:r w:rsidRPr="00824D58">
        <w:rPr>
          <w:color w:val="auto"/>
        </w:rPr>
        <w:t>, 2006, It has become clear recently recent interest focusing on gonadotropin, follicle-stimulating hormone (FSH).</w:t>
      </w:r>
    </w:p>
    <w:p w:rsidR="003642C1" w:rsidRPr="00824D58" w:rsidRDefault="003642C1" w:rsidP="003642C1">
      <w:pPr>
        <w:pStyle w:val="Default"/>
        <w:spacing w:line="360" w:lineRule="auto"/>
        <w:jc w:val="both"/>
        <w:rPr>
          <w:color w:val="auto"/>
        </w:rPr>
      </w:pPr>
    </w:p>
    <w:p w:rsidR="00D879FF" w:rsidRPr="00824D58" w:rsidRDefault="00F27997" w:rsidP="003642C1">
      <w:pPr>
        <w:pStyle w:val="Default"/>
        <w:spacing w:line="360" w:lineRule="auto"/>
        <w:jc w:val="both"/>
        <w:rPr>
          <w:color w:val="auto"/>
        </w:rPr>
      </w:pPr>
      <w:r w:rsidRPr="00F27997">
        <w:rPr>
          <w:color w:val="auto"/>
        </w:rPr>
        <w:t>FSH is generated in and FSH receptors are expressed in the prostate, according to research conducted over the past decade. Additionally, researchers discovered that prostate cancer alters FSH production: FSH levels are increased and receptor synthesis is enhanced in the malignant prostate. These findings corroborate previous research.</w:t>
      </w:r>
      <w:r w:rsidR="00D879FF" w:rsidRPr="00824D58">
        <w:rPr>
          <w:color w:val="auto"/>
        </w:rPr>
        <w:t>.</w:t>
      </w:r>
    </w:p>
    <w:p w:rsidR="003642C1" w:rsidRPr="00824D58" w:rsidRDefault="003642C1" w:rsidP="003642C1">
      <w:pPr>
        <w:pStyle w:val="Default"/>
        <w:spacing w:line="360" w:lineRule="auto"/>
        <w:jc w:val="both"/>
        <w:rPr>
          <w:color w:val="auto"/>
        </w:rPr>
      </w:pPr>
    </w:p>
    <w:p w:rsidR="00D879FF" w:rsidRPr="00824D58" w:rsidRDefault="00D879FF" w:rsidP="00D879FF">
      <w:pPr>
        <w:pStyle w:val="Default"/>
        <w:keepNext/>
        <w:spacing w:line="360" w:lineRule="auto"/>
        <w:jc w:val="both"/>
        <w:rPr>
          <w:color w:val="auto"/>
        </w:rPr>
      </w:pPr>
      <w:r w:rsidRPr="00824D58">
        <w:rPr>
          <w:rFonts w:eastAsia="Times New Roman"/>
          <w:noProof/>
          <w:color w:val="auto"/>
        </w:rPr>
        <w:drawing>
          <wp:inline distT="0" distB="0" distL="0" distR="0" wp14:anchorId="792A6212" wp14:editId="6A014373">
            <wp:extent cx="5209608" cy="2675187"/>
            <wp:effectExtent l="19050" t="19050" r="10160" b="1143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23309" cy="2682222"/>
                    </a:xfrm>
                    <a:prstGeom prst="rect">
                      <a:avLst/>
                    </a:prstGeom>
                    <a:noFill/>
                    <a:ln w="3175">
                      <a:solidFill>
                        <a:schemeClr val="tx1"/>
                      </a:solidFill>
                    </a:ln>
                  </pic:spPr>
                </pic:pic>
              </a:graphicData>
            </a:graphic>
          </wp:inline>
        </w:drawing>
      </w:r>
    </w:p>
    <w:p w:rsidR="003642C1" w:rsidRPr="00824D58" w:rsidRDefault="003642C1" w:rsidP="00D879FF">
      <w:pPr>
        <w:pStyle w:val="Caption"/>
      </w:pPr>
      <w:bookmarkStart w:id="182" w:name="_Toc58497146"/>
      <w:bookmarkStart w:id="183" w:name="_Toc59130995"/>
      <w:bookmarkStart w:id="184" w:name="_Toc60183498"/>
    </w:p>
    <w:p w:rsidR="00D879FF" w:rsidRPr="00824D58" w:rsidRDefault="00D879FF" w:rsidP="00D879FF">
      <w:pPr>
        <w:pStyle w:val="Caption"/>
      </w:pPr>
      <w:r w:rsidRPr="00824D58">
        <w:t>Figure 4.</w:t>
      </w:r>
      <w:fldSimple w:instr=" SEQ Figure_4. \* ARABIC ">
        <w:r w:rsidR="00713623">
          <w:rPr>
            <w:noProof/>
          </w:rPr>
          <w:t>4</w:t>
        </w:r>
      </w:fldSimple>
      <w:r w:rsidRPr="00824D58">
        <w:rPr>
          <w:noProof/>
        </w:rPr>
        <w:t>.</w:t>
      </w:r>
      <w:r w:rsidRPr="00824D58">
        <w:t>The relation between Control group and patient group with Mean of FSH</w:t>
      </w:r>
      <w:bookmarkEnd w:id="182"/>
      <w:bookmarkEnd w:id="183"/>
      <w:bookmarkEnd w:id="184"/>
    </w:p>
    <w:p w:rsidR="00D879FF" w:rsidRPr="00824D58" w:rsidRDefault="00D879FF" w:rsidP="003642C1">
      <w:pPr>
        <w:pStyle w:val="ListParagraph"/>
        <w:numPr>
          <w:ilvl w:val="2"/>
          <w:numId w:val="11"/>
        </w:numPr>
        <w:spacing w:after="0"/>
        <w:ind w:left="567" w:hanging="567"/>
        <w:rPr>
          <w:rStyle w:val="Heading3Char"/>
          <w:rFonts w:eastAsiaTheme="minorEastAsia"/>
          <w:sz w:val="32"/>
          <w:szCs w:val="32"/>
        </w:rPr>
      </w:pPr>
      <w:bookmarkStart w:id="185" w:name="_Toc59130707"/>
      <w:bookmarkStart w:id="186" w:name="_Toc60183471"/>
      <w:r w:rsidRPr="00824D58">
        <w:rPr>
          <w:rStyle w:val="Heading3Char"/>
        </w:rPr>
        <w:t>PSA</w:t>
      </w:r>
      <w:bookmarkEnd w:id="185"/>
      <w:bookmarkEnd w:id="186"/>
    </w:p>
    <w:p w:rsidR="003642C1" w:rsidRPr="00824D58" w:rsidRDefault="003642C1" w:rsidP="003642C1">
      <w:pPr>
        <w:spacing w:after="0"/>
        <w:rPr>
          <w:b/>
          <w:bCs/>
        </w:rPr>
      </w:pPr>
    </w:p>
    <w:p w:rsidR="00D879FF" w:rsidRPr="00824D58" w:rsidRDefault="00D879FF" w:rsidP="00490B61">
      <w:pPr>
        <w:spacing w:after="480"/>
        <w:rPr>
          <w:rFonts w:eastAsia="Times New Roman" w:cs="Times New Roman"/>
        </w:rPr>
      </w:pPr>
      <w:r w:rsidRPr="00824D58">
        <w:t xml:space="preserve">As shown in Table 4.1, The mean of PSA (mg/dl) in the Control group (Group A) there was </w:t>
      </w:r>
      <w:r w:rsidR="00757650" w:rsidRPr="00824D58">
        <w:t>(2</w:t>
      </w:r>
      <w:r w:rsidRPr="00824D58">
        <w:t>.</w:t>
      </w:r>
      <w:r w:rsidR="00757650" w:rsidRPr="00824D58">
        <w:t>19± 0.57</w:t>
      </w:r>
      <w:r w:rsidRPr="00824D58">
        <w:t xml:space="preserve">), a significant difference with patient's group (Group B),  also, the correlation between Hepcidin Hormone and PSA was positive as shown in Table 4.2. These results agreed with a previous study (Catalona, W. J., </w:t>
      </w:r>
      <w:r w:rsidRPr="00824D58">
        <w:rPr>
          <w:i/>
          <w:iCs/>
        </w:rPr>
        <w:t>et al.,</w:t>
      </w:r>
      <w:r w:rsidRPr="00824D58">
        <w:t xml:space="preserve"> 1991), Serum PSA levels ranged from 4.0 to 9.9 μ9 per liter, which means an elevation of PSA in men with prostate cancer. Prostate-specific antigen (PSA) may be elevated in men with prostate disease.(Catalona, W. J., </w:t>
      </w:r>
      <w:r w:rsidRPr="00824D58">
        <w:rPr>
          <w:i/>
          <w:iCs/>
        </w:rPr>
        <w:t>et al.</w:t>
      </w:r>
      <w:r w:rsidRPr="00824D58">
        <w:t>, 2000 ).</w:t>
      </w:r>
      <w:r w:rsidR="00235A9B" w:rsidRPr="00824D58">
        <w:rPr>
          <w:rFonts w:eastAsia="Times New Roman" w:cs="Times New Roman"/>
        </w:rPr>
        <w:t xml:space="preserve"> See Fi</w:t>
      </w:r>
      <w:r w:rsidRPr="00824D58">
        <w:rPr>
          <w:rFonts w:eastAsia="Times New Roman" w:cs="Times New Roman"/>
        </w:rPr>
        <w:t>gure 4.5.</w:t>
      </w:r>
    </w:p>
    <w:p w:rsidR="00D879FF" w:rsidRPr="00824D58" w:rsidRDefault="00D879FF" w:rsidP="00D879FF">
      <w:pPr>
        <w:keepNext/>
        <w:spacing w:after="0"/>
      </w:pPr>
      <w:r w:rsidRPr="00824D58">
        <w:rPr>
          <w:rFonts w:eastAsia="Times New Roman"/>
          <w:noProof/>
        </w:rPr>
        <w:drawing>
          <wp:inline distT="0" distB="0" distL="0" distR="0" wp14:anchorId="4D8576CE" wp14:editId="142BA97C">
            <wp:extent cx="5222733" cy="4631055"/>
            <wp:effectExtent l="19050" t="19050" r="16017" b="17145"/>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20335" cy="4628929"/>
                    </a:xfrm>
                    <a:prstGeom prst="rect">
                      <a:avLst/>
                    </a:prstGeom>
                    <a:noFill/>
                    <a:ln w="3175">
                      <a:solidFill>
                        <a:schemeClr val="tx1"/>
                      </a:solidFill>
                    </a:ln>
                  </pic:spPr>
                </pic:pic>
              </a:graphicData>
            </a:graphic>
          </wp:inline>
        </w:drawing>
      </w:r>
    </w:p>
    <w:p w:rsidR="00D879FF" w:rsidRPr="00824D58" w:rsidRDefault="00D879FF" w:rsidP="009F2C15">
      <w:pPr>
        <w:pStyle w:val="Caption"/>
        <w:spacing w:line="360" w:lineRule="auto"/>
        <w:jc w:val="center"/>
      </w:pPr>
      <w:bookmarkStart w:id="187" w:name="_Toc58497147"/>
      <w:bookmarkStart w:id="188" w:name="_Toc59130996"/>
      <w:bookmarkStart w:id="189" w:name="_Toc60183499"/>
      <w:r w:rsidRPr="00824D58">
        <w:t>Figure 4.</w:t>
      </w:r>
      <w:fldSimple w:instr=" SEQ Figure_4. \* ARABIC ">
        <w:r w:rsidR="00713623">
          <w:rPr>
            <w:noProof/>
          </w:rPr>
          <w:t>5</w:t>
        </w:r>
      </w:fldSimple>
      <w:r w:rsidRPr="00824D58">
        <w:rPr>
          <w:noProof/>
        </w:rPr>
        <w:t>.</w:t>
      </w:r>
      <w:r w:rsidRPr="00824D58">
        <w:t>The relation between Control group and patient group with Mean of PSA</w:t>
      </w:r>
      <w:bookmarkEnd w:id="187"/>
      <w:bookmarkEnd w:id="188"/>
      <w:bookmarkEnd w:id="189"/>
    </w:p>
    <w:p w:rsidR="00FB7A96" w:rsidRPr="00824D58" w:rsidRDefault="00FB7A96" w:rsidP="00FB7A96"/>
    <w:p w:rsidR="003642C1" w:rsidRPr="00824D58" w:rsidRDefault="003642C1" w:rsidP="003642C1">
      <w:pPr>
        <w:spacing w:after="0"/>
      </w:pPr>
    </w:p>
    <w:p w:rsidR="00D879FF" w:rsidRPr="00824D58" w:rsidRDefault="00D879FF" w:rsidP="003642C1">
      <w:pPr>
        <w:pStyle w:val="ListParagraph"/>
        <w:numPr>
          <w:ilvl w:val="2"/>
          <w:numId w:val="11"/>
        </w:numPr>
        <w:spacing w:after="0"/>
        <w:ind w:left="567" w:hanging="567"/>
        <w:rPr>
          <w:rStyle w:val="Heading3Char"/>
          <w:rFonts w:eastAsiaTheme="minorEastAsia" w:cs="Times New Roman"/>
          <w:sz w:val="28"/>
          <w:szCs w:val="28"/>
        </w:rPr>
      </w:pPr>
      <w:bookmarkStart w:id="190" w:name="_Toc59130708"/>
      <w:bookmarkStart w:id="191" w:name="_Toc60183472"/>
      <w:r w:rsidRPr="00824D58">
        <w:rPr>
          <w:rStyle w:val="Heading3Char"/>
        </w:rPr>
        <w:t>Hepcidin Hormone</w:t>
      </w:r>
      <w:bookmarkEnd w:id="190"/>
      <w:bookmarkEnd w:id="191"/>
    </w:p>
    <w:p w:rsidR="003642C1" w:rsidRPr="00824D58" w:rsidRDefault="003642C1" w:rsidP="003642C1">
      <w:pPr>
        <w:spacing w:after="0"/>
        <w:rPr>
          <w:rFonts w:cs="Times New Roman"/>
          <w:b/>
          <w:bCs/>
        </w:rPr>
      </w:pPr>
    </w:p>
    <w:p w:rsidR="00D879FF" w:rsidRPr="00824D58" w:rsidRDefault="00D879FF" w:rsidP="00F27997">
      <w:pPr>
        <w:spacing w:after="0"/>
      </w:pPr>
      <w:r w:rsidRPr="00824D58">
        <w:t xml:space="preserve">Hepcidin hormon </w:t>
      </w:r>
      <w:r w:rsidR="00F27997" w:rsidRPr="00F27997">
        <w:t xml:space="preserve">Hepcidin hormone is a circulating peptide hormone produced by the human liver. It is a critical regulator of systemic iron absorption and recycling. </w:t>
      </w:r>
      <w:r w:rsidRPr="00824D58">
        <w:t xml:space="preserve">(Tesfay, L., </w:t>
      </w:r>
      <w:r w:rsidRPr="00824D58">
        <w:rPr>
          <w:i/>
          <w:iCs/>
        </w:rPr>
        <w:t>et al.,</w:t>
      </w:r>
      <w:r w:rsidRPr="00824D58">
        <w:t xml:space="preserve"> 2015). The data of this study showed that there were significant differences in level of Hepcidin Hormone (mg/dL) in Control  group (group A) with patient (Group B) (2.44 ± 1.91; 5.47 ± 3.24) respectively, as shown in Table 4.1 (Figure 4.6). Hepcidin hormon in patients with Prostate cancer increasing than in controls (p &lt; 0.01) (Tesfay, L., </w:t>
      </w:r>
      <w:r w:rsidRPr="00824D58">
        <w:rPr>
          <w:i/>
          <w:iCs/>
        </w:rPr>
        <w:t>et al.,</w:t>
      </w:r>
      <w:r w:rsidRPr="00824D58">
        <w:t xml:space="preserve"> 2015). High concentration of urea and creatinine in RA (Pattrick, M., et al., 1989), </w:t>
      </w:r>
      <w:r w:rsidR="00235A9B" w:rsidRPr="00824D58">
        <w:t>there</w:t>
      </w:r>
      <w:r w:rsidRPr="00824D58">
        <w:t xml:space="preserve"> was a trend to higher serum hepcidin (Winand, F. J., </w:t>
      </w:r>
      <w:r w:rsidRPr="00824D58">
        <w:rPr>
          <w:i/>
          <w:iCs/>
        </w:rPr>
        <w:t>et al.,</w:t>
      </w:r>
      <w:r w:rsidRPr="00824D58">
        <w:t xml:space="preserve"> 2014), this result shows agreed with our study.</w:t>
      </w:r>
    </w:p>
    <w:p w:rsidR="003642C1" w:rsidRPr="00824D58" w:rsidRDefault="003642C1" w:rsidP="003642C1">
      <w:pPr>
        <w:spacing w:after="0"/>
      </w:pPr>
    </w:p>
    <w:p w:rsidR="00D879FF" w:rsidRPr="00824D58" w:rsidRDefault="00D879FF" w:rsidP="00D879FF">
      <w:pPr>
        <w:keepNext/>
        <w:jc w:val="center"/>
      </w:pPr>
      <w:r w:rsidRPr="00824D58">
        <w:rPr>
          <w:rFonts w:eastAsia="Times New Roman"/>
          <w:noProof/>
        </w:rPr>
        <w:drawing>
          <wp:inline distT="0" distB="0" distL="0" distR="0" wp14:anchorId="6A11BC0E" wp14:editId="45686643">
            <wp:extent cx="5214031" cy="3937210"/>
            <wp:effectExtent l="19050" t="19050" r="24765" b="25400"/>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20335" cy="3941970"/>
                    </a:xfrm>
                    <a:prstGeom prst="rect">
                      <a:avLst/>
                    </a:prstGeom>
                    <a:noFill/>
                    <a:ln w="3175">
                      <a:solidFill>
                        <a:schemeClr val="tx1"/>
                      </a:solidFill>
                    </a:ln>
                  </pic:spPr>
                </pic:pic>
              </a:graphicData>
            </a:graphic>
          </wp:inline>
        </w:drawing>
      </w:r>
    </w:p>
    <w:p w:rsidR="003642C1" w:rsidRPr="00824D58" w:rsidRDefault="003642C1" w:rsidP="003642C1">
      <w:pPr>
        <w:pStyle w:val="Caption"/>
        <w:spacing w:after="0" w:line="360" w:lineRule="auto"/>
        <w:jc w:val="center"/>
      </w:pPr>
      <w:bookmarkStart w:id="192" w:name="_Toc58497148"/>
      <w:bookmarkStart w:id="193" w:name="_Toc59130997"/>
      <w:bookmarkStart w:id="194" w:name="_Toc60183500"/>
    </w:p>
    <w:p w:rsidR="00D879FF" w:rsidRPr="00824D58" w:rsidRDefault="00D879FF" w:rsidP="003642C1">
      <w:pPr>
        <w:pStyle w:val="Caption"/>
        <w:spacing w:after="0" w:line="360" w:lineRule="auto"/>
        <w:jc w:val="center"/>
      </w:pPr>
      <w:r w:rsidRPr="00824D58">
        <w:t>Figure 4.</w:t>
      </w:r>
      <w:fldSimple w:instr=" SEQ Figure_4. \* ARABIC ">
        <w:r w:rsidR="00713623">
          <w:rPr>
            <w:noProof/>
          </w:rPr>
          <w:t>6</w:t>
        </w:r>
      </w:fldSimple>
      <w:r w:rsidRPr="00824D58">
        <w:t>. The relation between Control group and patient group with Mean of HH</w:t>
      </w:r>
      <w:bookmarkEnd w:id="192"/>
      <w:bookmarkEnd w:id="193"/>
      <w:bookmarkEnd w:id="194"/>
    </w:p>
    <w:p w:rsidR="00D879FF" w:rsidRPr="00824D58" w:rsidRDefault="00D879FF" w:rsidP="003642C1">
      <w:pPr>
        <w:pStyle w:val="Heading3"/>
        <w:numPr>
          <w:ilvl w:val="2"/>
          <w:numId w:val="11"/>
        </w:numPr>
        <w:spacing w:before="0" w:after="0"/>
        <w:ind w:left="567" w:hanging="567"/>
        <w:jc w:val="left"/>
      </w:pPr>
      <w:bookmarkStart w:id="195" w:name="_Toc59130709"/>
      <w:bookmarkStart w:id="196" w:name="_Toc60183473"/>
      <w:r w:rsidRPr="00824D58">
        <w:t>GDF15</w:t>
      </w:r>
      <w:bookmarkEnd w:id="195"/>
      <w:bookmarkEnd w:id="196"/>
    </w:p>
    <w:p w:rsidR="003642C1" w:rsidRPr="00824D58" w:rsidRDefault="003642C1" w:rsidP="003642C1">
      <w:pPr>
        <w:spacing w:after="0"/>
      </w:pPr>
    </w:p>
    <w:p w:rsidR="00D879FF" w:rsidRPr="00824D58" w:rsidRDefault="00D879FF" w:rsidP="00A25228">
      <w:pPr>
        <w:spacing w:after="0"/>
        <w:rPr>
          <w:rFonts w:eastAsia="Times New Roman" w:cs="Times New Roman"/>
        </w:rPr>
      </w:pPr>
      <w:r w:rsidRPr="00824D58">
        <w:t xml:space="preserve">The mean of GDF15 (mg/dl) in control group (Group A) was (5.25± 0.91), while patient group (Group B) Non a significant difference between group A with B, groups. Also, the correlation between Hepcidin Hormone and Gdf15 was therebare correlated (r=0.220*, P=0.012) as showed in Table 4.2 (Figure 4.7). </w:t>
      </w:r>
      <w:r w:rsidR="00A25228" w:rsidRPr="00A25228">
        <w:t>There was a correlation between prostate-specific antigen (PSA) and serum levels of hepcidin and GDF15. There was a correlation between serum GDF15 l</w:t>
      </w:r>
      <w:r w:rsidR="00A25228">
        <w:t>evels and serum hepcidin levels</w:t>
      </w:r>
      <w:r w:rsidRPr="00824D58">
        <w:t xml:space="preserve"> (Winand, F. J.,</w:t>
      </w:r>
      <w:r w:rsidR="009F2C15" w:rsidRPr="00824D58">
        <w:t xml:space="preserve"> </w:t>
      </w:r>
      <w:r w:rsidRPr="00824D58">
        <w:rPr>
          <w:i/>
          <w:iCs/>
        </w:rPr>
        <w:t>et al.,</w:t>
      </w:r>
      <w:r w:rsidRPr="00824D58">
        <w:t xml:space="preserve"> 2014). This result shows agree</w:t>
      </w:r>
      <w:r w:rsidR="009F2C15" w:rsidRPr="00824D58">
        <w:t xml:space="preserve"> </w:t>
      </w:r>
      <w:r w:rsidRPr="00824D58">
        <w:t>compared this study with our study.</w:t>
      </w:r>
    </w:p>
    <w:p w:rsidR="00D879FF" w:rsidRPr="00824D58" w:rsidRDefault="00D879FF" w:rsidP="00D879FF">
      <w:pPr>
        <w:spacing w:after="0"/>
        <w:rPr>
          <w:rFonts w:eastAsia="Times New Roman" w:cs="Times New Roman"/>
        </w:rPr>
      </w:pPr>
    </w:p>
    <w:p w:rsidR="00D879FF" w:rsidRPr="00824D58" w:rsidRDefault="00D879FF" w:rsidP="00D879FF">
      <w:pPr>
        <w:keepNext/>
        <w:spacing w:after="0"/>
      </w:pPr>
      <w:r w:rsidRPr="00824D58">
        <w:rPr>
          <w:rFonts w:eastAsia="Times New Roman"/>
          <w:noProof/>
        </w:rPr>
        <w:drawing>
          <wp:inline distT="0" distB="0" distL="0" distR="0" wp14:anchorId="5127F7DF" wp14:editId="055D168F">
            <wp:extent cx="5213147" cy="3748285"/>
            <wp:effectExtent l="19050" t="19050" r="26035" b="2413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20335" cy="3753453"/>
                    </a:xfrm>
                    <a:prstGeom prst="rect">
                      <a:avLst/>
                    </a:prstGeom>
                    <a:noFill/>
                    <a:ln w="3175">
                      <a:solidFill>
                        <a:schemeClr val="tx1"/>
                      </a:solidFill>
                    </a:ln>
                  </pic:spPr>
                </pic:pic>
              </a:graphicData>
            </a:graphic>
          </wp:inline>
        </w:drawing>
      </w:r>
    </w:p>
    <w:p w:rsidR="003642C1" w:rsidRPr="00824D58" w:rsidRDefault="003642C1" w:rsidP="00D879FF">
      <w:pPr>
        <w:pStyle w:val="Caption"/>
        <w:ind w:left="1276" w:hanging="1276"/>
      </w:pPr>
      <w:bookmarkStart w:id="197" w:name="_Toc58497149"/>
      <w:bookmarkStart w:id="198" w:name="_Toc59130998"/>
      <w:bookmarkStart w:id="199" w:name="_Toc60183501"/>
    </w:p>
    <w:p w:rsidR="00D879FF" w:rsidRPr="00824D58" w:rsidRDefault="00D879FF" w:rsidP="00D879FF">
      <w:pPr>
        <w:pStyle w:val="Caption"/>
        <w:ind w:left="1276" w:hanging="1276"/>
      </w:pPr>
      <w:r w:rsidRPr="00824D58">
        <w:t>Figure 4.</w:t>
      </w:r>
      <w:fldSimple w:instr=" SEQ Figure_4. \* ARABIC ">
        <w:r w:rsidR="00713623">
          <w:rPr>
            <w:noProof/>
          </w:rPr>
          <w:t>7</w:t>
        </w:r>
      </w:fldSimple>
      <w:r w:rsidRPr="00824D58">
        <w:t>. The relation between Control group and patient group with Mean of GDF15</w:t>
      </w:r>
      <w:bookmarkEnd w:id="197"/>
      <w:bookmarkEnd w:id="198"/>
      <w:bookmarkEnd w:id="199"/>
    </w:p>
    <w:p w:rsidR="009F2C15" w:rsidRPr="00824D58" w:rsidRDefault="009F2C15" w:rsidP="003642C1">
      <w:pPr>
        <w:spacing w:after="0"/>
      </w:pPr>
    </w:p>
    <w:p w:rsidR="009F2C15" w:rsidRPr="00824D58" w:rsidRDefault="009F2C15" w:rsidP="009F2C15"/>
    <w:p w:rsidR="00D879FF" w:rsidRPr="00824D58" w:rsidRDefault="00D879FF" w:rsidP="007B7FBE">
      <w:pPr>
        <w:pStyle w:val="Heading1"/>
        <w:keepNext/>
        <w:keepLines/>
        <w:numPr>
          <w:ilvl w:val="0"/>
          <w:numId w:val="11"/>
        </w:numPr>
        <w:spacing w:before="0" w:beforeAutospacing="0" w:after="0" w:afterAutospacing="0"/>
        <w:jc w:val="left"/>
      </w:pPr>
      <w:bookmarkStart w:id="200" w:name="_Toc59130710"/>
      <w:bookmarkStart w:id="201" w:name="_Toc60183474"/>
      <w:r w:rsidRPr="00824D58">
        <w:t>CONCLUS</w:t>
      </w:r>
      <w:r w:rsidR="007B7FBE">
        <w:t>I</w:t>
      </w:r>
      <w:r w:rsidRPr="00824D58">
        <w:t>ONS</w:t>
      </w:r>
      <w:bookmarkEnd w:id="200"/>
      <w:bookmarkEnd w:id="201"/>
    </w:p>
    <w:p w:rsidR="003642C1" w:rsidRPr="00824D58" w:rsidRDefault="003642C1" w:rsidP="003642C1">
      <w:pPr>
        <w:pStyle w:val="Heading1"/>
        <w:keepNext/>
        <w:keepLines/>
        <w:spacing w:before="0" w:beforeAutospacing="0" w:after="0" w:afterAutospacing="0"/>
        <w:jc w:val="left"/>
      </w:pPr>
    </w:p>
    <w:p w:rsidR="00D879FF" w:rsidRPr="00824D58" w:rsidRDefault="00D879FF" w:rsidP="00D879FF">
      <w:pPr>
        <w:autoSpaceDE w:val="0"/>
        <w:autoSpaceDN w:val="0"/>
        <w:adjustRightInd w:val="0"/>
        <w:spacing w:after="0"/>
      </w:pPr>
      <w:r w:rsidRPr="00824D58">
        <w:t>After performing pathological analyzes for prostate cancer patients and hormonal laboratory analyzes, depending on the results and statistical analyzes and comparison the obtained results with previous investigation in the same topics. It has been concluded:-</w:t>
      </w:r>
    </w:p>
    <w:p w:rsidR="003642C1" w:rsidRPr="00824D58" w:rsidRDefault="003642C1" w:rsidP="00D879FF">
      <w:pPr>
        <w:autoSpaceDE w:val="0"/>
        <w:autoSpaceDN w:val="0"/>
        <w:adjustRightInd w:val="0"/>
        <w:spacing w:after="0"/>
        <w:rPr>
          <w:rFonts w:cs="Times New Roman"/>
        </w:rPr>
      </w:pPr>
    </w:p>
    <w:p w:rsidR="00D879FF" w:rsidRPr="00824D58" w:rsidRDefault="003F56AA" w:rsidP="007371F8">
      <w:pPr>
        <w:pStyle w:val="ListParagraph"/>
        <w:numPr>
          <w:ilvl w:val="0"/>
          <w:numId w:val="13"/>
        </w:numPr>
        <w:autoSpaceDE w:val="0"/>
        <w:autoSpaceDN w:val="0"/>
        <w:adjustRightInd w:val="0"/>
        <w:spacing w:after="0"/>
        <w:ind w:left="567"/>
        <w:rPr>
          <w:rFonts w:cs="Times New Roman"/>
        </w:rPr>
      </w:pPr>
      <w:r w:rsidRPr="00824D58">
        <w:rPr>
          <w:rFonts w:cs="Times New Roman"/>
        </w:rPr>
        <w:t>This</w:t>
      </w:r>
      <w:r w:rsidR="00D879FF" w:rsidRPr="00824D58">
        <w:rPr>
          <w:rFonts w:cs="Times New Roman"/>
        </w:rPr>
        <w:t xml:space="preserve"> study</w:t>
      </w:r>
      <w:r w:rsidRPr="00824D58">
        <w:rPr>
          <w:rFonts w:cs="Times New Roman"/>
        </w:rPr>
        <w:t xml:space="preserve"> has</w:t>
      </w:r>
      <w:r w:rsidR="00D879FF" w:rsidRPr="00824D58">
        <w:rPr>
          <w:rFonts w:cs="Times New Roman"/>
        </w:rPr>
        <w:t xml:space="preserve"> significant differences with H.H, C-RP, Gdf15 and FSH, that means we can use these biochemical parameters as marker for risk prostate diseases.</w:t>
      </w:r>
    </w:p>
    <w:p w:rsidR="007371F8" w:rsidRPr="00824D58" w:rsidRDefault="00F06C6D" w:rsidP="00F06C6D">
      <w:pPr>
        <w:pStyle w:val="ListParagraph"/>
        <w:numPr>
          <w:ilvl w:val="0"/>
          <w:numId w:val="13"/>
        </w:numPr>
        <w:autoSpaceDE w:val="0"/>
        <w:autoSpaceDN w:val="0"/>
        <w:adjustRightInd w:val="0"/>
        <w:spacing w:after="0"/>
        <w:ind w:left="570"/>
        <w:rPr>
          <w:rFonts w:cs="Times New Roman"/>
        </w:rPr>
      </w:pPr>
      <w:r w:rsidRPr="00F06C6D">
        <w:rPr>
          <w:rFonts w:cs="Times New Roman"/>
        </w:rPr>
        <w:t>Because both age and weight have a role in prostate illness, these characteristics are frequently utilized as biomarkers to identify men who are at risk for developing prostate disease.</w:t>
      </w:r>
    </w:p>
    <w:p w:rsidR="00D879FF" w:rsidRPr="00824D58" w:rsidRDefault="00151652" w:rsidP="00151652">
      <w:pPr>
        <w:pStyle w:val="ListParagraph"/>
        <w:numPr>
          <w:ilvl w:val="0"/>
          <w:numId w:val="13"/>
        </w:numPr>
        <w:autoSpaceDE w:val="0"/>
        <w:autoSpaceDN w:val="0"/>
        <w:adjustRightInd w:val="0"/>
        <w:spacing w:after="0"/>
        <w:ind w:left="570"/>
        <w:rPr>
          <w:rFonts w:cs="Times New Roman"/>
        </w:rPr>
      </w:pPr>
      <w:r>
        <w:rPr>
          <w:rFonts w:cs="Times New Roman"/>
        </w:rPr>
        <w:t>T</w:t>
      </w:r>
      <w:r w:rsidRPr="00151652">
        <w:rPr>
          <w:rFonts w:cs="Times New Roman"/>
        </w:rPr>
        <w:t>he study's findings of high significance (correlation) between the sick group (Group B) and the control group (Group A) for H. H, C0RP, GDF15, and PSA allow for the reliable prediction of prostate diseases.</w:t>
      </w:r>
    </w:p>
    <w:p w:rsidR="00D879FF" w:rsidRDefault="00F06C6D" w:rsidP="00F06C6D">
      <w:pPr>
        <w:pStyle w:val="ListParagraph"/>
        <w:numPr>
          <w:ilvl w:val="0"/>
          <w:numId w:val="13"/>
        </w:numPr>
        <w:autoSpaceDE w:val="0"/>
        <w:autoSpaceDN w:val="0"/>
        <w:adjustRightInd w:val="0"/>
        <w:spacing w:after="0"/>
        <w:ind w:left="570"/>
        <w:rPr>
          <w:rFonts w:cs="Times New Roman"/>
        </w:rPr>
      </w:pPr>
      <w:r w:rsidRPr="00F06C6D">
        <w:rPr>
          <w:rFonts w:cs="Times New Roman"/>
        </w:rPr>
        <w:t>There are significant connections between H.H factors and various physiological variables such as age, C-reactive protein, prostate specific antigen (PSA), and Gdf15</w:t>
      </w:r>
      <w:r>
        <w:rPr>
          <w:rFonts w:cs="Times New Roman"/>
        </w:rPr>
        <w:t>.</w:t>
      </w:r>
    </w:p>
    <w:p w:rsidR="002154F4" w:rsidRDefault="002154F4" w:rsidP="002154F4">
      <w:pPr>
        <w:autoSpaceDE w:val="0"/>
        <w:autoSpaceDN w:val="0"/>
        <w:adjustRightInd w:val="0"/>
        <w:spacing w:after="0"/>
        <w:rPr>
          <w:rFonts w:cs="Times New Roman"/>
        </w:rPr>
      </w:pPr>
    </w:p>
    <w:p w:rsidR="002154F4" w:rsidRDefault="002154F4" w:rsidP="002154F4">
      <w:pPr>
        <w:autoSpaceDE w:val="0"/>
        <w:autoSpaceDN w:val="0"/>
        <w:adjustRightInd w:val="0"/>
        <w:spacing w:after="0"/>
        <w:rPr>
          <w:rFonts w:cs="Times New Roman"/>
        </w:rPr>
      </w:pPr>
    </w:p>
    <w:p w:rsidR="002154F4" w:rsidRDefault="002154F4" w:rsidP="002154F4">
      <w:pPr>
        <w:autoSpaceDE w:val="0"/>
        <w:autoSpaceDN w:val="0"/>
        <w:adjustRightInd w:val="0"/>
        <w:spacing w:after="0"/>
        <w:rPr>
          <w:rFonts w:cs="Times New Roman"/>
        </w:rPr>
      </w:pPr>
    </w:p>
    <w:p w:rsidR="002154F4" w:rsidRDefault="002154F4" w:rsidP="002154F4">
      <w:pPr>
        <w:autoSpaceDE w:val="0"/>
        <w:autoSpaceDN w:val="0"/>
        <w:adjustRightInd w:val="0"/>
        <w:spacing w:after="0"/>
        <w:rPr>
          <w:rFonts w:cs="Times New Roman"/>
        </w:rPr>
      </w:pPr>
    </w:p>
    <w:p w:rsidR="002154F4" w:rsidRDefault="002154F4" w:rsidP="002154F4">
      <w:pPr>
        <w:autoSpaceDE w:val="0"/>
        <w:autoSpaceDN w:val="0"/>
        <w:adjustRightInd w:val="0"/>
        <w:spacing w:after="0"/>
        <w:rPr>
          <w:rFonts w:cs="Times New Roman"/>
        </w:rPr>
      </w:pPr>
    </w:p>
    <w:p w:rsidR="002154F4" w:rsidRDefault="002154F4" w:rsidP="002154F4">
      <w:pPr>
        <w:autoSpaceDE w:val="0"/>
        <w:autoSpaceDN w:val="0"/>
        <w:adjustRightInd w:val="0"/>
        <w:spacing w:after="0"/>
        <w:rPr>
          <w:rFonts w:cs="Times New Roman"/>
        </w:rPr>
      </w:pPr>
    </w:p>
    <w:p w:rsidR="002154F4" w:rsidRDefault="002154F4" w:rsidP="002154F4">
      <w:pPr>
        <w:autoSpaceDE w:val="0"/>
        <w:autoSpaceDN w:val="0"/>
        <w:adjustRightInd w:val="0"/>
        <w:spacing w:after="0"/>
        <w:rPr>
          <w:rFonts w:cs="Times New Roman"/>
        </w:rPr>
      </w:pPr>
    </w:p>
    <w:p w:rsidR="002154F4" w:rsidRDefault="002154F4" w:rsidP="002154F4">
      <w:pPr>
        <w:autoSpaceDE w:val="0"/>
        <w:autoSpaceDN w:val="0"/>
        <w:adjustRightInd w:val="0"/>
        <w:spacing w:after="0"/>
        <w:rPr>
          <w:rFonts w:cs="Times New Roman"/>
        </w:rPr>
      </w:pPr>
    </w:p>
    <w:p w:rsidR="002154F4" w:rsidRDefault="002154F4" w:rsidP="002154F4">
      <w:pPr>
        <w:autoSpaceDE w:val="0"/>
        <w:autoSpaceDN w:val="0"/>
        <w:adjustRightInd w:val="0"/>
        <w:spacing w:after="0"/>
        <w:rPr>
          <w:rFonts w:cs="Times New Roman"/>
        </w:rPr>
      </w:pPr>
    </w:p>
    <w:p w:rsidR="002154F4" w:rsidRDefault="002154F4" w:rsidP="002154F4">
      <w:pPr>
        <w:autoSpaceDE w:val="0"/>
        <w:autoSpaceDN w:val="0"/>
        <w:adjustRightInd w:val="0"/>
        <w:spacing w:after="0"/>
        <w:rPr>
          <w:rFonts w:cs="Times New Roman"/>
        </w:rPr>
      </w:pPr>
    </w:p>
    <w:p w:rsidR="002154F4" w:rsidRDefault="002154F4" w:rsidP="002154F4">
      <w:pPr>
        <w:autoSpaceDE w:val="0"/>
        <w:autoSpaceDN w:val="0"/>
        <w:adjustRightInd w:val="0"/>
        <w:spacing w:after="0"/>
        <w:rPr>
          <w:rFonts w:cs="Times New Roman"/>
        </w:rPr>
      </w:pPr>
    </w:p>
    <w:p w:rsidR="002154F4" w:rsidRDefault="002154F4" w:rsidP="002154F4">
      <w:pPr>
        <w:autoSpaceDE w:val="0"/>
        <w:autoSpaceDN w:val="0"/>
        <w:adjustRightInd w:val="0"/>
        <w:spacing w:after="0"/>
        <w:rPr>
          <w:rFonts w:cs="Times New Roman"/>
        </w:rPr>
      </w:pPr>
    </w:p>
    <w:p w:rsidR="002154F4" w:rsidRPr="002154F4" w:rsidRDefault="002154F4" w:rsidP="00FA1A76">
      <w:pPr>
        <w:spacing w:before="100" w:beforeAutospacing="1" w:after="100" w:afterAutospacing="1"/>
        <w:outlineLvl w:val="0"/>
        <w:rPr>
          <w:rFonts w:ascii="Times New Roman" w:eastAsia="Times New Roman" w:hAnsi="Times New Roman" w:cs="Times New Roman"/>
          <w:b/>
          <w:bCs/>
          <w:kern w:val="36"/>
          <w:sz w:val="28"/>
          <w:szCs w:val="28"/>
        </w:rPr>
      </w:pPr>
      <w:r w:rsidRPr="002154F4">
        <w:rPr>
          <w:rFonts w:ascii="Times New Roman" w:eastAsia="Times New Roman" w:hAnsi="Times New Roman" w:cs="Times New Roman"/>
          <w:b/>
          <w:bCs/>
          <w:kern w:val="36"/>
          <w:sz w:val="28"/>
          <w:szCs w:val="28"/>
        </w:rPr>
        <w:t>References</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tl/>
        </w:rPr>
        <w:t>‏</w:t>
      </w:r>
      <w:r w:rsidRPr="002154F4">
        <w:rPr>
          <w:color w:val="222222"/>
          <w:shd w:val="clear" w:color="auto" w:fill="FFFFFF"/>
        </w:rPr>
        <w:t xml:space="preserve"> Albertsen, P. C., Hanley, J. A., Gleason, D. F., &amp; Barry, M. J. (1998). Competing risk analysis of men aged 55 to 74 years at diagnosis managed conservatively for clinically localized prostate cancer. </w:t>
      </w:r>
      <w:r w:rsidRPr="002154F4">
        <w:rPr>
          <w:i/>
          <w:iCs/>
          <w:color w:val="222222"/>
          <w:shd w:val="clear" w:color="auto" w:fill="FFFFFF"/>
        </w:rPr>
        <w:t>Jama</w:t>
      </w:r>
      <w:r w:rsidRPr="002154F4">
        <w:rPr>
          <w:color w:val="222222"/>
          <w:shd w:val="clear" w:color="auto" w:fill="FFFFFF"/>
        </w:rPr>
        <w:t>, </w:t>
      </w:r>
      <w:r w:rsidRPr="002154F4">
        <w:rPr>
          <w:i/>
          <w:iCs/>
          <w:color w:val="222222"/>
          <w:shd w:val="clear" w:color="auto" w:fill="FFFFFF"/>
        </w:rPr>
        <w:t>280</w:t>
      </w:r>
      <w:r w:rsidRPr="002154F4">
        <w:rPr>
          <w:color w:val="222222"/>
          <w:shd w:val="clear" w:color="auto" w:fill="FFFFFF"/>
        </w:rPr>
        <w:t>(11), 975-980.</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Allsbrook Jr, W. C., Mangold, K. A., Johnson, M. H., Lane, R. B., Lane, C. G., Amin, M. B., ... &amp; Sakr, W. (2001). Interobserver reproducibility of Gleason grading of prostatic carcinoma: urologic pathologists. </w:t>
      </w:r>
      <w:r w:rsidRPr="002154F4">
        <w:rPr>
          <w:i/>
          <w:iCs/>
          <w:color w:val="222222"/>
          <w:shd w:val="clear" w:color="auto" w:fill="FFFFFF"/>
        </w:rPr>
        <w:t>Human pathology</w:t>
      </w:r>
      <w:r w:rsidRPr="002154F4">
        <w:rPr>
          <w:color w:val="222222"/>
          <w:shd w:val="clear" w:color="auto" w:fill="FFFFFF"/>
        </w:rPr>
        <w:t>, </w:t>
      </w:r>
      <w:r w:rsidRPr="002154F4">
        <w:rPr>
          <w:i/>
          <w:iCs/>
          <w:color w:val="222222"/>
          <w:shd w:val="clear" w:color="auto" w:fill="FFFFFF"/>
        </w:rPr>
        <w:t>32</w:t>
      </w:r>
      <w:r w:rsidRPr="002154F4">
        <w:rPr>
          <w:color w:val="222222"/>
          <w:shd w:val="clear" w:color="auto" w:fill="FFFFFF"/>
        </w:rPr>
        <w:t>(1), 74-80.</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Andrews, N. C. (2008). Forging a field: the golden age of iron biology. </w:t>
      </w:r>
      <w:r w:rsidRPr="002154F4">
        <w:rPr>
          <w:i/>
          <w:iCs/>
          <w:color w:val="222222"/>
          <w:shd w:val="clear" w:color="auto" w:fill="FFFFFF"/>
        </w:rPr>
        <w:t>Blood, The Journal of the American Society of Hematology</w:t>
      </w:r>
      <w:r w:rsidRPr="002154F4">
        <w:rPr>
          <w:color w:val="222222"/>
          <w:shd w:val="clear" w:color="auto" w:fill="FFFFFF"/>
        </w:rPr>
        <w:t>, </w:t>
      </w:r>
      <w:r w:rsidRPr="002154F4">
        <w:rPr>
          <w:i/>
          <w:iCs/>
          <w:color w:val="222222"/>
          <w:shd w:val="clear" w:color="auto" w:fill="FFFFFF"/>
        </w:rPr>
        <w:t>112</w:t>
      </w:r>
      <w:r w:rsidRPr="002154F4">
        <w:rPr>
          <w:color w:val="222222"/>
          <w:shd w:val="clear" w:color="auto" w:fill="FFFFFF"/>
        </w:rPr>
        <w:t>(2), 219-230.</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Andriopoulos Jr, B., Corradini, E., Xia, Y., Faasse, S. A., Chen, S., Grgurevic, L., ... &amp; Babitt, J. L. (2009). BMP6 is a key endogenous regulator of hepcidin expression and iron metabolism. </w:t>
      </w:r>
      <w:r w:rsidRPr="002154F4">
        <w:rPr>
          <w:i/>
          <w:iCs/>
          <w:color w:val="222222"/>
          <w:shd w:val="clear" w:color="auto" w:fill="FFFFFF"/>
        </w:rPr>
        <w:t>Nature genetics</w:t>
      </w:r>
      <w:r w:rsidRPr="002154F4">
        <w:rPr>
          <w:color w:val="222222"/>
          <w:shd w:val="clear" w:color="auto" w:fill="FFFFFF"/>
        </w:rPr>
        <w:t>, </w:t>
      </w:r>
      <w:r w:rsidRPr="002154F4">
        <w:rPr>
          <w:i/>
          <w:iCs/>
          <w:color w:val="222222"/>
          <w:shd w:val="clear" w:color="auto" w:fill="FFFFFF"/>
        </w:rPr>
        <w:t>41</w:t>
      </w:r>
      <w:r w:rsidRPr="002154F4">
        <w:rPr>
          <w:color w:val="222222"/>
          <w:shd w:val="clear" w:color="auto" w:fill="FFFFFF"/>
        </w:rPr>
        <w:t>(4), 482-487.</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Atwell, J. W., Cardoso, G. C., Whittaker, D. J., Campbell-Nelson, S., Robertson, K. W., &amp; Ketterson, E. D. (2012). Boldness behavior and stress physiology in a novel urban environment suggest rapid correlated evolutionary adaptation. </w:t>
      </w:r>
      <w:r w:rsidRPr="002154F4">
        <w:rPr>
          <w:i/>
          <w:iCs/>
          <w:color w:val="222222"/>
          <w:shd w:val="clear" w:color="auto" w:fill="FFFFFF"/>
        </w:rPr>
        <w:t>Behavioral Ecology</w:t>
      </w:r>
      <w:r w:rsidRPr="002154F4">
        <w:rPr>
          <w:color w:val="222222"/>
          <w:shd w:val="clear" w:color="auto" w:fill="FFFFFF"/>
        </w:rPr>
        <w:t>, </w:t>
      </w:r>
      <w:r w:rsidRPr="002154F4">
        <w:rPr>
          <w:i/>
          <w:iCs/>
          <w:color w:val="222222"/>
          <w:shd w:val="clear" w:color="auto" w:fill="FFFFFF"/>
        </w:rPr>
        <w:t>23</w:t>
      </w:r>
      <w:r w:rsidRPr="002154F4">
        <w:rPr>
          <w:color w:val="222222"/>
          <w:shd w:val="clear" w:color="auto" w:fill="FFFFFF"/>
        </w:rPr>
        <w:t>(5), 960-969.</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Babitt, J. L., Huang, F. W., Wrighting, D. M., Xia, Y., Sidis, Y., Samad, T. A., ... &amp; Andrews, N. C. (2006). Bone morphogenetic protein signaling by hemojuvelin regulates hepcidin expression. </w:t>
      </w:r>
      <w:r w:rsidRPr="002154F4">
        <w:rPr>
          <w:i/>
          <w:iCs/>
          <w:color w:val="222222"/>
          <w:shd w:val="clear" w:color="auto" w:fill="FFFFFF"/>
        </w:rPr>
        <w:t>Nature genetics</w:t>
      </w:r>
      <w:r w:rsidRPr="002154F4">
        <w:rPr>
          <w:color w:val="222222"/>
          <w:shd w:val="clear" w:color="auto" w:fill="FFFFFF"/>
        </w:rPr>
        <w:t>, </w:t>
      </w:r>
      <w:r w:rsidRPr="002154F4">
        <w:rPr>
          <w:i/>
          <w:iCs/>
          <w:color w:val="222222"/>
          <w:shd w:val="clear" w:color="auto" w:fill="FFFFFF"/>
        </w:rPr>
        <w:t>38</w:t>
      </w:r>
      <w:r w:rsidRPr="002154F4">
        <w:rPr>
          <w:color w:val="222222"/>
          <w:shd w:val="clear" w:color="auto" w:fill="FFFFFF"/>
        </w:rPr>
        <w:t>(5), 531-539.</w:t>
      </w:r>
      <w:r w:rsidRPr="002154F4">
        <w:rPr>
          <w:color w:val="222222"/>
          <w:shd w:val="clear" w:color="auto" w:fill="FFFFFF"/>
          <w:rtl/>
        </w:rPr>
        <w:t>‏ ‏</w:t>
      </w:r>
    </w:p>
    <w:p w:rsidR="002154F4" w:rsidRPr="002154F4" w:rsidRDefault="002154F4" w:rsidP="002154F4">
      <w:pPr>
        <w:spacing w:line="276" w:lineRule="auto"/>
        <w:ind w:left="709" w:hanging="709"/>
      </w:pPr>
      <w:r w:rsidRPr="002154F4">
        <w:rPr>
          <w:color w:val="222222"/>
          <w:shd w:val="clear" w:color="auto" w:fill="FFFFFF"/>
        </w:rPr>
        <w:t>Badawy, A. E. A. (2010). </w:t>
      </w:r>
      <w:r w:rsidRPr="002154F4">
        <w:rPr>
          <w:i/>
          <w:iCs/>
          <w:color w:val="222222"/>
          <w:shd w:val="clear" w:color="auto" w:fill="FFFFFF"/>
        </w:rPr>
        <w:t>ROLE OF HEPCIDIN HORMONE IN PATIENTS OF β-THALASSEMIA MAJOR</w:t>
      </w:r>
      <w:r w:rsidRPr="002154F4">
        <w:rPr>
          <w:color w:val="222222"/>
          <w:shd w:val="clear" w:color="auto" w:fill="FFFFFF"/>
        </w:rPr>
        <w:t> (Doctoral dissertation, Zagazig University).</w:t>
      </w:r>
      <w:r w:rsidRPr="002154F4">
        <w:rPr>
          <w:color w:val="222222"/>
          <w:shd w:val="clear" w:color="auto" w:fill="FFFFFF"/>
          <w:rtl/>
        </w:rPr>
        <w:t>‏ ‏</w:t>
      </w:r>
    </w:p>
    <w:p w:rsidR="002154F4" w:rsidRPr="002154F4" w:rsidRDefault="002154F4" w:rsidP="002154F4">
      <w:pPr>
        <w:spacing w:line="276" w:lineRule="auto"/>
        <w:ind w:left="709" w:hanging="709"/>
      </w:pPr>
      <w:r w:rsidRPr="002154F4">
        <w:rPr>
          <w:color w:val="222222"/>
          <w:shd w:val="clear" w:color="auto" w:fill="FFFFFF"/>
        </w:rPr>
        <w:t>Baek, K. E., Yoon, S. R., Kim, J. T., Kim, K. S., Kang, S. H., Yang, Y., ... &amp; Lee, H. G. (2009). Upregulation and secretion of macrophage inhibitory cytokine-1 (MIC-1) in gastric cancers. </w:t>
      </w:r>
      <w:r w:rsidRPr="002154F4">
        <w:rPr>
          <w:i/>
          <w:iCs/>
          <w:color w:val="222222"/>
          <w:shd w:val="clear" w:color="auto" w:fill="FFFFFF"/>
        </w:rPr>
        <w:t>Clinica Chimica Acta</w:t>
      </w:r>
      <w:r w:rsidRPr="002154F4">
        <w:rPr>
          <w:color w:val="222222"/>
          <w:shd w:val="clear" w:color="auto" w:fill="FFFFFF"/>
        </w:rPr>
        <w:t>, </w:t>
      </w:r>
      <w:r w:rsidRPr="002154F4">
        <w:rPr>
          <w:i/>
          <w:iCs/>
          <w:color w:val="222222"/>
          <w:shd w:val="clear" w:color="auto" w:fill="FFFFFF"/>
        </w:rPr>
        <w:t>401</w:t>
      </w:r>
      <w:r w:rsidRPr="002154F4">
        <w:rPr>
          <w:color w:val="222222"/>
          <w:shd w:val="clear" w:color="auto" w:fill="FFFFFF"/>
        </w:rPr>
        <w:t xml:space="preserve">(1-2), 128-133. </w:t>
      </w:r>
    </w:p>
    <w:p w:rsidR="002154F4" w:rsidRPr="002154F4" w:rsidRDefault="002154F4" w:rsidP="002154F4">
      <w:pPr>
        <w:spacing w:line="276" w:lineRule="auto"/>
        <w:ind w:left="709" w:hanging="709"/>
      </w:pPr>
      <w:r w:rsidRPr="002154F4">
        <w:rPr>
          <w:color w:val="222222"/>
          <w:shd w:val="clear" w:color="auto" w:fill="FFFFFF"/>
        </w:rPr>
        <w:t>Baek, S. J., Kim, J. S., Moore, S. M., Lee, S. H., Martinez, J., &amp; Eling, T. E. (2005). Cyclooxygenase inhibitors induce the expression of the tumor suppressor gene EGR-1, which results in the up-regulation of NAG-1, an antitumorigenic protein. </w:t>
      </w:r>
      <w:r w:rsidRPr="002154F4">
        <w:rPr>
          <w:i/>
          <w:iCs/>
          <w:color w:val="222222"/>
          <w:shd w:val="clear" w:color="auto" w:fill="FFFFFF"/>
        </w:rPr>
        <w:t>Molecular pharmacology</w:t>
      </w:r>
      <w:r w:rsidRPr="002154F4">
        <w:rPr>
          <w:color w:val="222222"/>
          <w:shd w:val="clear" w:color="auto" w:fill="FFFFFF"/>
        </w:rPr>
        <w:t>, </w:t>
      </w:r>
      <w:r w:rsidRPr="002154F4">
        <w:rPr>
          <w:i/>
          <w:iCs/>
          <w:color w:val="222222"/>
          <w:shd w:val="clear" w:color="auto" w:fill="FFFFFF"/>
        </w:rPr>
        <w:t>67</w:t>
      </w:r>
      <w:r w:rsidRPr="002154F4">
        <w:rPr>
          <w:color w:val="222222"/>
          <w:shd w:val="clear" w:color="auto" w:fill="FFFFFF"/>
        </w:rPr>
        <w:t>(2), 356-364.</w:t>
      </w:r>
      <w:r w:rsidRPr="002154F4">
        <w:rPr>
          <w:color w:val="222222"/>
          <w:shd w:val="clear" w:color="auto" w:fill="FFFFFF"/>
          <w:rtl/>
        </w:rPr>
        <w:t>‏</w:t>
      </w:r>
    </w:p>
    <w:p w:rsidR="002154F4" w:rsidRPr="002154F4" w:rsidRDefault="002154F4" w:rsidP="002154F4">
      <w:pPr>
        <w:spacing w:line="276" w:lineRule="auto"/>
        <w:ind w:left="709" w:hanging="709"/>
      </w:pPr>
      <w:r w:rsidRPr="002154F4">
        <w:rPr>
          <w:color w:val="222222"/>
          <w:shd w:val="clear" w:color="auto" w:fill="FFFFFF"/>
        </w:rPr>
        <w:t>Baek, S. J., Kim, K. S., Nixon, J. B., Wilson, L. C., &amp; Eling, T. E. (2001). Cyclooxygenase inhibitors regulate the expression of a TGF-β superfamily member that has proapoptotic and antitumorigenic activities. </w:t>
      </w:r>
      <w:r w:rsidRPr="002154F4">
        <w:rPr>
          <w:i/>
          <w:iCs/>
          <w:color w:val="222222"/>
          <w:shd w:val="clear" w:color="auto" w:fill="FFFFFF"/>
        </w:rPr>
        <w:t>Molecular pharmacology</w:t>
      </w:r>
      <w:r w:rsidRPr="002154F4">
        <w:rPr>
          <w:color w:val="222222"/>
          <w:shd w:val="clear" w:color="auto" w:fill="FFFFFF"/>
        </w:rPr>
        <w:t>, </w:t>
      </w:r>
      <w:r w:rsidRPr="002154F4">
        <w:rPr>
          <w:i/>
          <w:iCs/>
          <w:color w:val="222222"/>
          <w:shd w:val="clear" w:color="auto" w:fill="FFFFFF"/>
        </w:rPr>
        <w:t>59</w:t>
      </w:r>
      <w:r w:rsidRPr="002154F4">
        <w:rPr>
          <w:color w:val="222222"/>
          <w:shd w:val="clear" w:color="auto" w:fill="FFFFFF"/>
        </w:rPr>
        <w:t>(4), 901-908.</w:t>
      </w:r>
      <w:r w:rsidRPr="002154F4">
        <w:rPr>
          <w:color w:val="222222"/>
          <w:shd w:val="clear" w:color="auto" w:fill="FFFFFF"/>
          <w:rtl/>
        </w:rPr>
        <w:t>‏</w:t>
      </w:r>
    </w:p>
    <w:p w:rsidR="002154F4" w:rsidRPr="002154F4" w:rsidRDefault="002154F4" w:rsidP="002154F4">
      <w:pPr>
        <w:spacing w:line="276" w:lineRule="auto"/>
        <w:ind w:left="709" w:hanging="709"/>
      </w:pPr>
      <w:r w:rsidRPr="002154F4">
        <w:rPr>
          <w:color w:val="222222"/>
          <w:shd w:val="clear" w:color="auto" w:fill="FFFFFF"/>
        </w:rPr>
        <w:t>Baek, S. J., Wilson, L. C., Lee, C. H., &amp; Eling, T. E. (2002). Dual function of nonsteroidal anti-inflammatory drugs (NSAIDs): inhibition of cyclooxygenase and induction of NSAID-activated gene. </w:t>
      </w:r>
      <w:r w:rsidRPr="002154F4">
        <w:rPr>
          <w:i/>
          <w:iCs/>
          <w:color w:val="222222"/>
          <w:shd w:val="clear" w:color="auto" w:fill="FFFFFF"/>
        </w:rPr>
        <w:t>Journal of Pharmacology and Experimental Therapeutics</w:t>
      </w:r>
      <w:r w:rsidRPr="002154F4">
        <w:rPr>
          <w:color w:val="222222"/>
          <w:shd w:val="clear" w:color="auto" w:fill="FFFFFF"/>
        </w:rPr>
        <w:t>, </w:t>
      </w:r>
      <w:r w:rsidRPr="002154F4">
        <w:rPr>
          <w:i/>
          <w:iCs/>
          <w:color w:val="222222"/>
          <w:shd w:val="clear" w:color="auto" w:fill="FFFFFF"/>
        </w:rPr>
        <w:t>301</w:t>
      </w:r>
      <w:r w:rsidRPr="002154F4">
        <w:rPr>
          <w:color w:val="222222"/>
          <w:shd w:val="clear" w:color="auto" w:fill="FFFFFF"/>
        </w:rPr>
        <w:t xml:space="preserve">(3), 1126-1131. </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Balk, S. P., Ko, Y. J., &amp; Bubley, G. J. (2003). Biology of prostate-specific antigen. </w:t>
      </w:r>
      <w:r w:rsidRPr="002154F4">
        <w:rPr>
          <w:i/>
          <w:iCs/>
          <w:color w:val="222222"/>
          <w:shd w:val="clear" w:color="auto" w:fill="FFFFFF"/>
        </w:rPr>
        <w:t>Journal of clinical oncology</w:t>
      </w:r>
      <w:r w:rsidRPr="002154F4">
        <w:rPr>
          <w:color w:val="222222"/>
          <w:shd w:val="clear" w:color="auto" w:fill="FFFFFF"/>
        </w:rPr>
        <w:t>, </w:t>
      </w:r>
      <w:r w:rsidRPr="002154F4">
        <w:rPr>
          <w:i/>
          <w:iCs/>
          <w:color w:val="222222"/>
          <w:shd w:val="clear" w:color="auto" w:fill="FFFFFF"/>
        </w:rPr>
        <w:t>21</w:t>
      </w:r>
      <w:r w:rsidRPr="002154F4">
        <w:rPr>
          <w:color w:val="222222"/>
          <w:shd w:val="clear" w:color="auto" w:fill="FFFFFF"/>
        </w:rPr>
        <w:t>(2), 383-391.</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Bechis, S. K., Otsetov, A. G., Ge, R., &amp; Olumi, A. F. (2014). Personalized medicine for the management of benign prostatic hyperplasia. </w:t>
      </w:r>
      <w:r w:rsidRPr="002154F4">
        <w:rPr>
          <w:i/>
          <w:iCs/>
          <w:color w:val="222222"/>
          <w:shd w:val="clear" w:color="auto" w:fill="FFFFFF"/>
        </w:rPr>
        <w:t>The Journal of urology</w:t>
      </w:r>
      <w:r w:rsidRPr="002154F4">
        <w:rPr>
          <w:color w:val="222222"/>
          <w:shd w:val="clear" w:color="auto" w:fill="FFFFFF"/>
        </w:rPr>
        <w:t>, </w:t>
      </w:r>
      <w:r w:rsidRPr="002154F4">
        <w:rPr>
          <w:i/>
          <w:iCs/>
          <w:color w:val="222222"/>
          <w:shd w:val="clear" w:color="auto" w:fill="FFFFFF"/>
        </w:rPr>
        <w:t>192</w:t>
      </w:r>
      <w:r w:rsidRPr="002154F4">
        <w:rPr>
          <w:color w:val="222222"/>
          <w:shd w:val="clear" w:color="auto" w:fill="FFFFFF"/>
        </w:rPr>
        <w:t>(1), 16-23.</w:t>
      </w:r>
      <w:r w:rsidRPr="002154F4">
        <w:rPr>
          <w:color w:val="222222"/>
          <w:shd w:val="clear" w:color="auto" w:fill="FFFFFF"/>
          <w:rtl/>
        </w:rPr>
        <w:t>‏ ‏</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Bekri, S., Gual, P., Anty, R., Luciani, N., Dahman, M., Ramesh, B., ... &amp; Saint–Paul, M. C. (2006). Increased adipose tissue expression of hepcidin in severe obesity is independent from diabetes and NASH. </w:t>
      </w:r>
      <w:r w:rsidRPr="002154F4">
        <w:rPr>
          <w:i/>
          <w:iCs/>
          <w:color w:val="222222"/>
          <w:shd w:val="clear" w:color="auto" w:fill="FFFFFF"/>
        </w:rPr>
        <w:t>Gastroenterology</w:t>
      </w:r>
      <w:r w:rsidRPr="002154F4">
        <w:rPr>
          <w:color w:val="222222"/>
          <w:shd w:val="clear" w:color="auto" w:fill="FFFFFF"/>
        </w:rPr>
        <w:t>, </w:t>
      </w:r>
      <w:r w:rsidRPr="002154F4">
        <w:rPr>
          <w:i/>
          <w:iCs/>
          <w:color w:val="222222"/>
          <w:shd w:val="clear" w:color="auto" w:fill="FFFFFF"/>
        </w:rPr>
        <w:t>131</w:t>
      </w:r>
      <w:r w:rsidRPr="002154F4">
        <w:rPr>
          <w:color w:val="222222"/>
          <w:shd w:val="clear" w:color="auto" w:fill="FFFFFF"/>
        </w:rPr>
        <w:t>(3), 788-796</w:t>
      </w:r>
    </w:p>
    <w:p w:rsidR="002154F4" w:rsidRPr="002154F4" w:rsidRDefault="002154F4" w:rsidP="002154F4">
      <w:pPr>
        <w:spacing w:line="276" w:lineRule="auto"/>
        <w:ind w:left="1080" w:hanging="1080"/>
      </w:pPr>
      <w:r w:rsidRPr="002154F4">
        <w:t>Ben-Josef, E., YANG, S. Y., Ji, T. H., BIDART, J. M., Garde, S. V., Chopra, D. P., ... &amp; Tang, D. G. (1999). Hormone-refractory prostate cancer cells express functional follicle-stimulating hormone receptor (FSHR). The Journal of urology, 161(3), 970-976.</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Bissell, M. J., &amp; Hines, W. C. (2011). Why don't we get more cancer? A proposed role of the microenvironment in restraining cancer progression. Nature medicine, 17(3), 320-329.</w:t>
      </w:r>
      <w:r w:rsidRPr="002154F4">
        <w:rPr>
          <w:color w:val="222222"/>
          <w:shd w:val="clear" w:color="auto" w:fill="FFFFFF"/>
          <w:rtl/>
        </w:rPr>
        <w:t>‏</w:t>
      </w:r>
    </w:p>
    <w:p w:rsidR="002154F4" w:rsidRPr="002154F4" w:rsidRDefault="002154F4" w:rsidP="002154F4">
      <w:pPr>
        <w:spacing w:line="276" w:lineRule="auto"/>
        <w:ind w:left="709" w:hanging="709"/>
      </w:pPr>
      <w:r w:rsidRPr="002154F4">
        <w:rPr>
          <w:color w:val="222222"/>
          <w:shd w:val="clear" w:color="auto" w:fill="FFFFFF"/>
        </w:rPr>
        <w:t>Bock, A. J., Stavnes, H. T., Kempf, T., Tropè, C. G., Berner, A., Davidson, B., &amp; Staff, A. C. (2010). Expression and clinical role of growth differentiation factor-15 in ovarian carcinoma effusions. </w:t>
      </w:r>
      <w:r w:rsidRPr="002154F4">
        <w:rPr>
          <w:i/>
          <w:iCs/>
          <w:color w:val="222222"/>
          <w:shd w:val="clear" w:color="auto" w:fill="FFFFFF"/>
        </w:rPr>
        <w:t>International Journal of Gynecologic Cancer</w:t>
      </w:r>
      <w:r w:rsidRPr="002154F4">
        <w:rPr>
          <w:color w:val="222222"/>
          <w:shd w:val="clear" w:color="auto" w:fill="FFFFFF"/>
        </w:rPr>
        <w:t>, </w:t>
      </w:r>
      <w:r w:rsidRPr="002154F4">
        <w:rPr>
          <w:i/>
          <w:iCs/>
          <w:color w:val="222222"/>
          <w:shd w:val="clear" w:color="auto" w:fill="FFFFFF"/>
        </w:rPr>
        <w:t>20</w:t>
      </w:r>
      <w:r w:rsidRPr="002154F4">
        <w:rPr>
          <w:color w:val="222222"/>
          <w:shd w:val="clear" w:color="auto" w:fill="FFFFFF"/>
        </w:rPr>
        <w:t>(9).</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Bootcov, M. R., Bauskin, A. R., Valenzuela, S. M., Moore, A. G., Bansal, M., He, X. Y., ... &amp; Walsh, B. J. (1997). MIC-1, a novel macrophage inhibitory cytokine, is a divergent member of the TGF-β superfamily. </w:t>
      </w:r>
      <w:r w:rsidRPr="002154F4">
        <w:rPr>
          <w:i/>
          <w:iCs/>
          <w:color w:val="222222"/>
          <w:shd w:val="clear" w:color="auto" w:fill="FFFFFF"/>
        </w:rPr>
        <w:t>Proceedings of the National Academy of Sciences</w:t>
      </w:r>
      <w:r w:rsidRPr="002154F4">
        <w:rPr>
          <w:color w:val="222222"/>
          <w:shd w:val="clear" w:color="auto" w:fill="FFFFFF"/>
        </w:rPr>
        <w:t>, </w:t>
      </w:r>
      <w:r w:rsidRPr="002154F4">
        <w:rPr>
          <w:i/>
          <w:iCs/>
          <w:color w:val="222222"/>
          <w:shd w:val="clear" w:color="auto" w:fill="FFFFFF"/>
        </w:rPr>
        <w:t>94</w:t>
      </w:r>
      <w:r w:rsidRPr="002154F4">
        <w:rPr>
          <w:color w:val="222222"/>
          <w:shd w:val="clear" w:color="auto" w:fill="FFFFFF"/>
        </w:rPr>
        <w:t>(21), 11514-11519.</w:t>
      </w:r>
      <w:r w:rsidRPr="002154F4">
        <w:rPr>
          <w:color w:val="222222"/>
          <w:shd w:val="clear" w:color="auto" w:fill="FFFFFF"/>
          <w:rtl/>
        </w:rPr>
        <w:t>‏</w:t>
      </w:r>
    </w:p>
    <w:p w:rsidR="002154F4" w:rsidRPr="002154F4" w:rsidRDefault="002154F4" w:rsidP="002154F4">
      <w:pPr>
        <w:spacing w:line="276" w:lineRule="auto"/>
        <w:ind w:left="709" w:hanging="709"/>
      </w:pPr>
      <w:r w:rsidRPr="002154F4">
        <w:rPr>
          <w:color w:val="222222"/>
          <w:shd w:val="clear" w:color="auto" w:fill="FFFFFF"/>
        </w:rPr>
        <w:t>Braliou, G. G., Falzacappa, M. V. V., Chachami, G., Casanovas, G., Muckenthaler, M. U., &amp; Simos, G. (2008). 2-Oxoglutarate-dependent oxygenases control hepcidin gene expression. </w:t>
      </w:r>
      <w:r w:rsidRPr="002154F4">
        <w:rPr>
          <w:i/>
          <w:iCs/>
          <w:color w:val="222222"/>
          <w:shd w:val="clear" w:color="auto" w:fill="FFFFFF"/>
        </w:rPr>
        <w:t>Journal of hepatology</w:t>
      </w:r>
      <w:r w:rsidRPr="002154F4">
        <w:rPr>
          <w:color w:val="222222"/>
          <w:shd w:val="clear" w:color="auto" w:fill="FFFFFF"/>
        </w:rPr>
        <w:t>, </w:t>
      </w:r>
      <w:r w:rsidRPr="002154F4">
        <w:rPr>
          <w:i/>
          <w:iCs/>
          <w:color w:val="222222"/>
          <w:shd w:val="clear" w:color="auto" w:fill="FFFFFF"/>
        </w:rPr>
        <w:t>48</w:t>
      </w:r>
      <w:r w:rsidRPr="002154F4">
        <w:rPr>
          <w:color w:val="222222"/>
          <w:shd w:val="clear" w:color="auto" w:fill="FFFFFF"/>
        </w:rPr>
        <w:t>(5), 801-810</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Broeke, N. C. (2018). Characterization of Human Prostate Cancer Using Sodium Magnetic Resonance Imaging.</w:t>
      </w:r>
      <w:r w:rsidRPr="002154F4">
        <w:rPr>
          <w:color w:val="222222"/>
          <w:shd w:val="clear" w:color="auto" w:fill="FFFFFF"/>
          <w:rtl/>
        </w:rPr>
        <w:t>‏</w:t>
      </w:r>
      <w:r w:rsidRPr="002154F4">
        <w:rPr>
          <w:color w:val="222222"/>
          <w:shd w:val="clear" w:color="auto" w:fill="FFFFFF"/>
        </w:rPr>
        <w:t xml:space="preserve"> Available at:-</w:t>
      </w:r>
      <w:hyperlink r:id="rId37" w:history="1">
        <w:r w:rsidRPr="002154F4">
          <w:rPr>
            <w:color w:val="0000FF"/>
            <w:u w:val="single"/>
          </w:rPr>
          <w:t>https://ir.lib.uwo.ca/cgi/viewcontent.cgi?article=7467&amp;context=etd</w:t>
        </w:r>
      </w:hyperlink>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Brown, D. A., Bauskin, A. R., Fairlie, W. D., Smith, M. D., Liu, T., Xu, N., &amp; Breit, S. N. (2002). Antibody-based approach to high-volume genotyping for MIC-1 polymorphism. </w:t>
      </w:r>
      <w:r w:rsidRPr="002154F4">
        <w:rPr>
          <w:i/>
          <w:iCs/>
          <w:color w:val="222222"/>
          <w:shd w:val="clear" w:color="auto" w:fill="FFFFFF"/>
        </w:rPr>
        <w:t>Biotechniques</w:t>
      </w:r>
      <w:r w:rsidRPr="002154F4">
        <w:rPr>
          <w:color w:val="222222"/>
          <w:shd w:val="clear" w:color="auto" w:fill="FFFFFF"/>
        </w:rPr>
        <w:t>, </w:t>
      </w:r>
      <w:r w:rsidRPr="002154F4">
        <w:rPr>
          <w:i/>
          <w:iCs/>
          <w:color w:val="222222"/>
          <w:shd w:val="clear" w:color="auto" w:fill="FFFFFF"/>
        </w:rPr>
        <w:t>33</w:t>
      </w:r>
      <w:r w:rsidRPr="002154F4">
        <w:rPr>
          <w:color w:val="222222"/>
          <w:shd w:val="clear" w:color="auto" w:fill="FFFFFF"/>
        </w:rPr>
        <w:t>(1), 118-126</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Brown, D. A., Lindmark, F., Stattin, P., Bälter, K., Adami, H. O., Zheng, S. L., ... &amp; Wiklund, F. E. (2009). Macrophage inhibitory cytokine 1: a new prognostic marker in prostate cancer. </w:t>
      </w:r>
      <w:r w:rsidRPr="002154F4">
        <w:rPr>
          <w:i/>
          <w:iCs/>
          <w:color w:val="222222"/>
          <w:shd w:val="clear" w:color="auto" w:fill="FFFFFF"/>
        </w:rPr>
        <w:t>Clinical cancer research</w:t>
      </w:r>
      <w:r w:rsidRPr="002154F4">
        <w:rPr>
          <w:color w:val="222222"/>
          <w:shd w:val="clear" w:color="auto" w:fill="FFFFFF"/>
        </w:rPr>
        <w:t>, </w:t>
      </w:r>
      <w:r w:rsidRPr="002154F4">
        <w:rPr>
          <w:i/>
          <w:iCs/>
          <w:color w:val="222222"/>
          <w:shd w:val="clear" w:color="auto" w:fill="FFFFFF"/>
        </w:rPr>
        <w:t>15</w:t>
      </w:r>
      <w:r w:rsidRPr="002154F4">
        <w:rPr>
          <w:color w:val="222222"/>
          <w:shd w:val="clear" w:color="auto" w:fill="FFFFFF"/>
        </w:rPr>
        <w:t>(21), 6658-6664.</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Brown, D. A., Ward, R. L., Buckhaults, P., Liu, T., Romans, K. E., Hawkins, N. J., ... &amp; Breit, S. N. (2003). MIC-1 serum level and genotype: associations with progress and prognosis of colorectal carcinoma. </w:t>
      </w:r>
      <w:r w:rsidRPr="002154F4">
        <w:rPr>
          <w:i/>
          <w:iCs/>
          <w:color w:val="222222"/>
          <w:shd w:val="clear" w:color="auto" w:fill="FFFFFF"/>
        </w:rPr>
        <w:t>Clinical Cancer Research</w:t>
      </w:r>
      <w:r w:rsidRPr="002154F4">
        <w:rPr>
          <w:color w:val="222222"/>
          <w:shd w:val="clear" w:color="auto" w:fill="FFFFFF"/>
        </w:rPr>
        <w:t>, </w:t>
      </w:r>
      <w:r w:rsidRPr="002154F4">
        <w:rPr>
          <w:i/>
          <w:iCs/>
          <w:color w:val="222222"/>
          <w:shd w:val="clear" w:color="auto" w:fill="FFFFFF"/>
        </w:rPr>
        <w:t>9</w:t>
      </w:r>
      <w:r w:rsidRPr="002154F4">
        <w:rPr>
          <w:color w:val="222222"/>
          <w:shd w:val="clear" w:color="auto" w:fill="FFFFFF"/>
        </w:rPr>
        <w:t>(7), 2642-2650.</w:t>
      </w:r>
      <w:r w:rsidRPr="002154F4">
        <w:rPr>
          <w:color w:val="222222"/>
          <w:shd w:val="clear" w:color="auto" w:fill="FFFFFF"/>
          <w:rtl/>
        </w:rPr>
        <w:t>‏ ‏</w:t>
      </w:r>
    </w:p>
    <w:p w:rsidR="002154F4" w:rsidRPr="002154F4" w:rsidRDefault="002154F4" w:rsidP="002154F4">
      <w:pPr>
        <w:spacing w:line="276" w:lineRule="auto"/>
        <w:ind w:left="709" w:hanging="709"/>
        <w:rPr>
          <w:spacing w:val="-1"/>
        </w:rPr>
      </w:pPr>
      <w:r w:rsidRPr="002154F4">
        <w:rPr>
          <w:color w:val="222222"/>
          <w:shd w:val="clear" w:color="auto" w:fill="FFFFFF"/>
        </w:rPr>
        <w:t>BURRIS III, Howard A. Dual kinase inhibition in the treatment of breast cancer: initial experience with the EGFR/ErbB</w:t>
      </w:r>
      <w:r w:rsidRPr="002154F4">
        <w:rPr>
          <w:rFonts w:ascii="Cambria Math" w:hAnsi="Cambria Math"/>
          <w:color w:val="222222"/>
          <w:shd w:val="clear" w:color="auto" w:fill="FFFFFF"/>
        </w:rPr>
        <w:t>‐</w:t>
      </w:r>
      <w:r w:rsidRPr="002154F4">
        <w:rPr>
          <w:color w:val="222222"/>
          <w:shd w:val="clear" w:color="auto" w:fill="FFFFFF"/>
        </w:rPr>
        <w:t>2 inhibitor lapatinib. </w:t>
      </w:r>
      <w:r w:rsidRPr="002154F4">
        <w:rPr>
          <w:i/>
          <w:iCs/>
          <w:color w:val="222222"/>
          <w:shd w:val="clear" w:color="auto" w:fill="FFFFFF"/>
        </w:rPr>
        <w:t>The oncologist</w:t>
      </w:r>
      <w:r w:rsidRPr="002154F4">
        <w:rPr>
          <w:color w:val="222222"/>
          <w:shd w:val="clear" w:color="auto" w:fill="FFFFFF"/>
        </w:rPr>
        <w:t>, 2004, 9: 10-15.</w:t>
      </w:r>
      <w:r w:rsidRPr="002154F4">
        <w:rPr>
          <w:color w:val="222222"/>
          <w:shd w:val="clear" w:color="auto" w:fill="FFFFFF"/>
          <w:rtl/>
        </w:rPr>
        <w:t>‏</w:t>
      </w:r>
      <w:r w:rsidRPr="002154F4">
        <w:rPr>
          <w:color w:val="222222"/>
          <w:shd w:val="clear" w:color="auto" w:fill="FFFFFF"/>
        </w:rPr>
        <w:t xml:space="preserve"> Available at:- </w:t>
      </w:r>
      <w:hyperlink r:id="rId38" w:history="1">
        <w:r w:rsidRPr="002154F4">
          <w:rPr>
            <w:color w:val="0000FF"/>
            <w:u w:val="single"/>
          </w:rPr>
          <w:t>https://scholar.google.com/scholar?hl=ar&amp;as_sdt=0%2C5&amp;q=Burris+III%2C+H.+A.+%282004%29.+Dual+Kinase+Inhibition+in+the+Treatment+of+Breast+Cancer%3A+Initial+Experience+with+the+EGFR%2FErbB%E2%80%902+Inhibitor+Lapatinib.+The+Oncologist%2C+9%2C+10-15.%E2%80%8F&amp;btnG=#</w:t>
        </w:r>
      </w:hyperlink>
    </w:p>
    <w:p w:rsidR="002154F4" w:rsidRPr="002154F4" w:rsidRDefault="002154F4" w:rsidP="002154F4">
      <w:pPr>
        <w:spacing w:after="0" w:line="276" w:lineRule="auto"/>
        <w:ind w:left="709" w:hanging="709"/>
        <w:rPr>
          <w:color w:val="222222"/>
          <w:shd w:val="clear" w:color="auto" w:fill="FFFFFF"/>
        </w:rPr>
      </w:pPr>
      <w:r w:rsidRPr="002154F4">
        <w:rPr>
          <w:color w:val="222222"/>
          <w:shd w:val="clear" w:color="auto" w:fill="FFFFFF"/>
        </w:rPr>
        <w:t>Camaschella,  C.  &amp;  Poggiali,  E.  2011.  Inherited  disorders  of  iron  metabolism  25.</w:t>
      </w:r>
    </w:p>
    <w:p w:rsidR="002154F4" w:rsidRPr="002154F4" w:rsidRDefault="002154F4" w:rsidP="002154F4">
      <w:pPr>
        <w:spacing w:after="0" w:line="276" w:lineRule="auto"/>
        <w:ind w:left="709" w:hanging="709"/>
      </w:pPr>
      <w:r w:rsidRPr="002154F4">
        <w:rPr>
          <w:color w:val="222222"/>
          <w:shd w:val="clear" w:color="auto" w:fill="FFFFFF"/>
        </w:rPr>
        <w:t>Cao, Y., &amp; Ma, J. (2011). Body mass index, prostate cancer–specific mortality, and biochemical recurrence: a systematic review and meta-analysis. </w:t>
      </w:r>
      <w:r w:rsidRPr="002154F4">
        <w:rPr>
          <w:i/>
          <w:iCs/>
          <w:color w:val="222222"/>
          <w:shd w:val="clear" w:color="auto" w:fill="FFFFFF"/>
        </w:rPr>
        <w:t>Cancer prevention research</w:t>
      </w:r>
      <w:r w:rsidRPr="002154F4">
        <w:rPr>
          <w:color w:val="222222"/>
          <w:shd w:val="clear" w:color="auto" w:fill="FFFFFF"/>
        </w:rPr>
        <w:t>, </w:t>
      </w:r>
      <w:r w:rsidRPr="002154F4">
        <w:rPr>
          <w:i/>
          <w:iCs/>
          <w:color w:val="222222"/>
          <w:shd w:val="clear" w:color="auto" w:fill="FFFFFF"/>
        </w:rPr>
        <w:t>4</w:t>
      </w:r>
      <w:r w:rsidRPr="002154F4">
        <w:rPr>
          <w:color w:val="222222"/>
          <w:shd w:val="clear" w:color="auto" w:fill="FFFFFF"/>
        </w:rPr>
        <w:t>(4), 486-501.</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Catalona, W. J., Partin, A. W., Slawin, K. M., Brawer, M. K., Flanigan, R. C., Patel, A., ... &amp; Lange, P. H. (1998). Use of the percentage of free prostate-specific antigen to enhance differentiation of prostate cancer from benign prostatic disease: a prospective multicenter clinical trial. </w:t>
      </w:r>
      <w:r w:rsidRPr="002154F4">
        <w:rPr>
          <w:i/>
          <w:iCs/>
          <w:color w:val="222222"/>
          <w:shd w:val="clear" w:color="auto" w:fill="FFFFFF"/>
        </w:rPr>
        <w:t>Jama</w:t>
      </w:r>
      <w:r w:rsidRPr="002154F4">
        <w:rPr>
          <w:color w:val="222222"/>
          <w:shd w:val="clear" w:color="auto" w:fill="FFFFFF"/>
        </w:rPr>
        <w:t>, </w:t>
      </w:r>
      <w:r w:rsidRPr="002154F4">
        <w:rPr>
          <w:i/>
          <w:iCs/>
          <w:color w:val="222222"/>
          <w:shd w:val="clear" w:color="auto" w:fill="FFFFFF"/>
        </w:rPr>
        <w:t>279</w:t>
      </w:r>
      <w:r w:rsidRPr="002154F4">
        <w:rPr>
          <w:color w:val="222222"/>
          <w:shd w:val="clear" w:color="auto" w:fill="FFFFFF"/>
        </w:rPr>
        <w:t>(19), 1542-1547</w:t>
      </w:r>
    </w:p>
    <w:p w:rsidR="002154F4" w:rsidRPr="002154F4" w:rsidRDefault="002154F4" w:rsidP="002154F4">
      <w:pPr>
        <w:spacing w:line="276" w:lineRule="auto"/>
        <w:ind w:left="709" w:hanging="709"/>
      </w:pPr>
      <w:r w:rsidRPr="002154F4">
        <w:t>Catalona, W. J., Smith, D. S., Ratliff, T. L., Dodds, K. M., Coplen, D. E., Yuan, J. J., ... &amp; Andriole, G. L. (1991). Measurement of prostate-specific antigen in serum as a screening test for prostate cancer. New England Journal of Medicine, 324(17), 1156-1161.</w:t>
      </w:r>
    </w:p>
    <w:p w:rsidR="002154F4" w:rsidRPr="002154F4" w:rsidRDefault="002154F4" w:rsidP="002154F4">
      <w:pPr>
        <w:spacing w:line="276" w:lineRule="auto"/>
        <w:ind w:left="709" w:hanging="709"/>
      </w:pPr>
      <w:r w:rsidRPr="002154F4">
        <w:t>Catalona, W. J., Southwick, P. C., Slawin, K. M., Partin, A. W., Brawer, M. K., Flanigan, R. C., ... &amp; Lange, P. H. (2000). Comparison of percent free PSA, PSA density, and age-specific PSA cutoffs for prostate cancer detection and staging. Urology, 56(2), 255-260.</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Cheng, J. C., Chang, H. M., &amp; Leung, P. C. (2011). Wild-type p53 attenuates cancer cell motility by inducing growth differentiation factor-15 expression. </w:t>
      </w:r>
      <w:r w:rsidRPr="002154F4">
        <w:rPr>
          <w:i/>
          <w:iCs/>
          <w:color w:val="222222"/>
          <w:shd w:val="clear" w:color="auto" w:fill="FFFFFF"/>
        </w:rPr>
        <w:t>Endocrinology</w:t>
      </w:r>
      <w:r w:rsidRPr="002154F4">
        <w:rPr>
          <w:color w:val="222222"/>
          <w:shd w:val="clear" w:color="auto" w:fill="FFFFFF"/>
        </w:rPr>
        <w:t>, </w:t>
      </w:r>
      <w:r w:rsidRPr="002154F4">
        <w:rPr>
          <w:i/>
          <w:iCs/>
          <w:color w:val="222222"/>
          <w:shd w:val="clear" w:color="auto" w:fill="FFFFFF"/>
        </w:rPr>
        <w:t>152</w:t>
      </w:r>
      <w:r w:rsidRPr="002154F4">
        <w:rPr>
          <w:color w:val="222222"/>
          <w:shd w:val="clear" w:color="auto" w:fill="FFFFFF"/>
        </w:rPr>
        <w:t>(8), 2987-2995.</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Choulika, A., &amp; Nicolas, J. F. (2001). </w:t>
      </w:r>
      <w:r w:rsidRPr="002154F4">
        <w:rPr>
          <w:i/>
          <w:iCs/>
          <w:color w:val="222222"/>
          <w:shd w:val="clear" w:color="auto" w:fill="FFFFFF"/>
        </w:rPr>
        <w:t>U.S. Patent No. 6,200,800</w:t>
      </w:r>
      <w:r w:rsidRPr="002154F4">
        <w:rPr>
          <w:color w:val="222222"/>
          <w:shd w:val="clear" w:color="auto" w:fill="FFFFFF"/>
        </w:rPr>
        <w:t>. Washington, DC: U.S. Patent and Trademark Office.</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Costa, V. L., Henrique, R., Danielsen, S. A., Duarte-Pereira, S., Eknaes, M., Skotheim, R. I., ... &amp; Teixeira, M. R. (2010). Three epigenetic biomarkers, GDF15, TMEFF2, and VIM, accurately predict bladder cancer from DNA-based analyses of urine samples. </w:t>
      </w:r>
      <w:r w:rsidRPr="002154F4">
        <w:rPr>
          <w:i/>
          <w:iCs/>
          <w:color w:val="222222"/>
          <w:shd w:val="clear" w:color="auto" w:fill="FFFFFF"/>
        </w:rPr>
        <w:t>Clinical Cancer Research</w:t>
      </w:r>
      <w:r w:rsidRPr="002154F4">
        <w:rPr>
          <w:color w:val="222222"/>
          <w:shd w:val="clear" w:color="auto" w:fill="FFFFFF"/>
        </w:rPr>
        <w:t>, </w:t>
      </w:r>
      <w:r w:rsidRPr="002154F4">
        <w:rPr>
          <w:i/>
          <w:iCs/>
          <w:color w:val="222222"/>
          <w:shd w:val="clear" w:color="auto" w:fill="FFFFFF"/>
        </w:rPr>
        <w:t>16</w:t>
      </w:r>
      <w:r w:rsidRPr="002154F4">
        <w:rPr>
          <w:color w:val="222222"/>
          <w:shd w:val="clear" w:color="auto" w:fill="FFFFFF"/>
        </w:rPr>
        <w:t>(23), 5842-5851.</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Crichton, R. (2016). </w:t>
      </w:r>
      <w:r w:rsidRPr="002154F4">
        <w:rPr>
          <w:i/>
          <w:iCs/>
          <w:color w:val="222222"/>
          <w:shd w:val="clear" w:color="auto" w:fill="FFFFFF"/>
        </w:rPr>
        <w:t>Iron metabolism: from molecular mechanisms to clinical consequences</w:t>
      </w:r>
      <w:r w:rsidRPr="002154F4">
        <w:rPr>
          <w:color w:val="222222"/>
          <w:shd w:val="clear" w:color="auto" w:fill="FFFFFF"/>
        </w:rPr>
        <w:t>. John Wiley &amp; Sons.</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tl/>
        </w:rPr>
        <w:t>‏</w:t>
      </w:r>
      <w:r w:rsidRPr="002154F4">
        <w:rPr>
          <w:color w:val="222222"/>
          <w:shd w:val="clear" w:color="auto" w:fill="FFFFFF"/>
        </w:rPr>
        <w:t>Curr.Opin.Pediatr., 23, (1) 14-20.</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Daniels, L. B., Clopton, P., Laughlin, G. A., Maisel, A. S., &amp; Barrett-Connor, E. (2011). Growth-differentiation factor-15 is a robust, independent predictor of 11-year mortality risk in community-dwelling older adults: the Rancho Bernardo Study. </w:t>
      </w:r>
      <w:r w:rsidRPr="002154F4">
        <w:rPr>
          <w:i/>
          <w:iCs/>
          <w:color w:val="222222"/>
          <w:shd w:val="clear" w:color="auto" w:fill="FFFFFF"/>
        </w:rPr>
        <w:t>Circulation</w:t>
      </w:r>
      <w:r w:rsidRPr="002154F4">
        <w:rPr>
          <w:color w:val="222222"/>
          <w:shd w:val="clear" w:color="auto" w:fill="FFFFFF"/>
        </w:rPr>
        <w:t>, </w:t>
      </w:r>
      <w:r w:rsidRPr="002154F4">
        <w:rPr>
          <w:i/>
          <w:iCs/>
          <w:color w:val="222222"/>
          <w:shd w:val="clear" w:color="auto" w:fill="FFFFFF"/>
        </w:rPr>
        <w:t>123</w:t>
      </w:r>
      <w:r w:rsidRPr="002154F4">
        <w:rPr>
          <w:color w:val="222222"/>
          <w:shd w:val="clear" w:color="auto" w:fill="FFFFFF"/>
        </w:rPr>
        <w:t>(19), 2101-2110.</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Davison, B. J., Goldenberg, S. L., Gleave, M. E., &amp; Degner, L. F. (2003, January). Provision of individualized information to men and their partners to facilitate treatment decision making in prostate cancer. In </w:t>
      </w:r>
      <w:r w:rsidRPr="002154F4">
        <w:rPr>
          <w:i/>
          <w:iCs/>
          <w:color w:val="222222"/>
          <w:shd w:val="clear" w:color="auto" w:fill="FFFFFF"/>
        </w:rPr>
        <w:t>Oncology nursing forum</w:t>
      </w:r>
      <w:r w:rsidRPr="002154F4">
        <w:rPr>
          <w:color w:val="222222"/>
          <w:shd w:val="clear" w:color="auto" w:fill="FFFFFF"/>
        </w:rPr>
        <w:t> (Vol. 30, No. 1).</w:t>
      </w:r>
      <w:r w:rsidRPr="002154F4">
        <w:rPr>
          <w:color w:val="222222"/>
          <w:shd w:val="clear" w:color="auto" w:fill="FFFFFF"/>
          <w:rtl/>
        </w:rPr>
        <w:t>‏</w:t>
      </w:r>
    </w:p>
    <w:p w:rsidR="002154F4" w:rsidRPr="002154F4" w:rsidRDefault="002154F4" w:rsidP="002154F4">
      <w:pPr>
        <w:spacing w:line="276" w:lineRule="auto"/>
        <w:ind w:left="709" w:hanging="709"/>
        <w:rPr>
          <w:lang w:bidi="ar-IQ"/>
        </w:rPr>
      </w:pPr>
      <w:r w:rsidRPr="002154F4">
        <w:rPr>
          <w:color w:val="222222"/>
          <w:shd w:val="clear" w:color="auto" w:fill="FFFFFF"/>
        </w:rPr>
        <w:t>Dinh, W., Füth, R., Lankisch, M., Hess, G., Zdunek, D., Scheffold, T., ... &amp; Nickl, W. (2011). Growth-differentiation factor-15: a novel biomarker in patients with diastolic dysfunction?. </w:t>
      </w:r>
      <w:r w:rsidRPr="002154F4">
        <w:rPr>
          <w:i/>
          <w:iCs/>
          <w:color w:val="222222"/>
          <w:shd w:val="clear" w:color="auto" w:fill="FFFFFF"/>
        </w:rPr>
        <w:t>Arquivos Brasileiros de Cardiologia</w:t>
      </w:r>
      <w:r w:rsidRPr="002154F4">
        <w:rPr>
          <w:color w:val="222222"/>
          <w:shd w:val="clear" w:color="auto" w:fill="FFFFFF"/>
        </w:rPr>
        <w:t>, </w:t>
      </w:r>
      <w:r w:rsidRPr="002154F4">
        <w:rPr>
          <w:i/>
          <w:iCs/>
          <w:color w:val="222222"/>
          <w:shd w:val="clear" w:color="auto" w:fill="FFFFFF"/>
        </w:rPr>
        <w:t>97</w:t>
      </w:r>
      <w:r w:rsidRPr="002154F4">
        <w:rPr>
          <w:color w:val="222222"/>
          <w:shd w:val="clear" w:color="auto" w:fill="FFFFFF"/>
        </w:rPr>
        <w:t xml:space="preserve">(1), 65-75. </w:t>
      </w:r>
    </w:p>
    <w:p w:rsidR="002154F4" w:rsidRPr="002154F4" w:rsidRDefault="002154F4" w:rsidP="002154F4">
      <w:pPr>
        <w:spacing w:line="276" w:lineRule="auto"/>
        <w:ind w:left="709" w:hanging="709"/>
        <w:rPr>
          <w:shd w:val="clear" w:color="auto" w:fill="FFFFFF"/>
        </w:rPr>
      </w:pPr>
      <w:r w:rsidRPr="002154F4">
        <w:rPr>
          <w:shd w:val="clear" w:color="auto" w:fill="FFFFFF"/>
        </w:rPr>
        <w:t xml:space="preserve">Epstein, J. I. (2000). Gleason score 2–4 adenocarcinoma of the prostate on needle biopsy: a diagnosis that should not be made (Available on Google Scholar).  </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Epstein, J. I. (2010). An update of the Gleason grading system. </w:t>
      </w:r>
      <w:r w:rsidRPr="002154F4">
        <w:rPr>
          <w:i/>
          <w:iCs/>
          <w:color w:val="222222"/>
          <w:shd w:val="clear" w:color="auto" w:fill="FFFFFF"/>
        </w:rPr>
        <w:t>The Journal of urology</w:t>
      </w:r>
      <w:r w:rsidRPr="002154F4">
        <w:rPr>
          <w:color w:val="222222"/>
          <w:shd w:val="clear" w:color="auto" w:fill="FFFFFF"/>
        </w:rPr>
        <w:t>, </w:t>
      </w:r>
      <w:r w:rsidRPr="002154F4">
        <w:rPr>
          <w:i/>
          <w:iCs/>
          <w:color w:val="222222"/>
          <w:shd w:val="clear" w:color="auto" w:fill="FFFFFF"/>
        </w:rPr>
        <w:t>183</w:t>
      </w:r>
      <w:r w:rsidRPr="002154F4">
        <w:rPr>
          <w:color w:val="222222"/>
          <w:shd w:val="clear" w:color="auto" w:fill="FFFFFF"/>
        </w:rPr>
        <w:t>(2), 433-440.</w:t>
      </w:r>
      <w:r w:rsidRPr="002154F4">
        <w:rPr>
          <w:color w:val="222222"/>
          <w:shd w:val="clear" w:color="auto" w:fill="FFFFFF"/>
          <w:rtl/>
        </w:rPr>
        <w:t>‏</w:t>
      </w:r>
      <w:r w:rsidRPr="002154F4">
        <w:rPr>
          <w:color w:val="222222"/>
          <w:shd w:val="clear" w:color="auto" w:fill="FFFFFF"/>
        </w:rPr>
        <w:t xml:space="preserve"> Available on:- </w:t>
      </w:r>
      <w:hyperlink r:id="rId39" w:history="1">
        <w:r w:rsidRPr="002154F4">
          <w:rPr>
            <w:color w:val="0000FF"/>
            <w:u w:val="single"/>
          </w:rPr>
          <w:t>https://scholar.google.com/scholar?hl=ar&amp;as_sdt=0%2C5&amp;q=Epstein%2C+J.+I.+%282010%29.+An+update+of+the+Gleason+grading+system.+The+Journal+of+urology%2C+183%282%29%2C+433-440.%E2%80%8F&amp;btnG=</w:t>
        </w:r>
      </w:hyperlink>
    </w:p>
    <w:p w:rsidR="002154F4" w:rsidRPr="002154F4" w:rsidRDefault="002154F4" w:rsidP="002154F4">
      <w:pPr>
        <w:widowControl w:val="0"/>
        <w:tabs>
          <w:tab w:val="left" w:pos="1165"/>
          <w:tab w:val="right" w:pos="8931"/>
        </w:tabs>
        <w:spacing w:before="69" w:line="276" w:lineRule="auto"/>
        <w:ind w:left="709" w:right="42" w:hanging="709"/>
        <w:rPr>
          <w:rFonts w:eastAsia="Times New Roman"/>
        </w:rPr>
      </w:pPr>
      <w:r w:rsidRPr="002154F4">
        <w:t>Epstein,J.I.,etal.,</w:t>
      </w:r>
      <w:r w:rsidRPr="002154F4">
        <w:rPr>
          <w:i/>
        </w:rPr>
        <w:t>The2005InternationalSocietyofUrologicalPathology(ISUP)ConsensusConferenceonGleasonGradingofProstaticCarcinoma.</w:t>
      </w:r>
      <w:r w:rsidRPr="002154F4">
        <w:rPr>
          <w:spacing w:val="-1"/>
        </w:rPr>
        <w:t>Am</w:t>
      </w:r>
      <w:r w:rsidRPr="002154F4">
        <w:t>JSurgPathol,2005.</w:t>
      </w:r>
      <w:r w:rsidRPr="002154F4">
        <w:rPr>
          <w:b/>
        </w:rPr>
        <w:t>29</w:t>
      </w:r>
      <w:r w:rsidRPr="002154F4">
        <w:t>(9):p.1228-42.</w:t>
      </w:r>
    </w:p>
    <w:p w:rsidR="002154F4" w:rsidRPr="002154F4" w:rsidRDefault="002154F4" w:rsidP="002154F4">
      <w:pPr>
        <w:widowControl w:val="0"/>
        <w:tabs>
          <w:tab w:val="left" w:pos="1165"/>
          <w:tab w:val="right" w:pos="8931"/>
        </w:tabs>
        <w:spacing w:before="69" w:line="276" w:lineRule="auto"/>
        <w:ind w:left="709" w:right="42" w:hanging="709"/>
        <w:rPr>
          <w:rFonts w:eastAsia="Times New Roman"/>
        </w:rPr>
      </w:pPr>
      <w:r w:rsidRPr="002154F4">
        <w:rPr>
          <w:color w:val="222222"/>
          <w:shd w:val="clear" w:color="auto" w:fill="FFFFFF"/>
        </w:rPr>
        <w:t>Farnaud, S., Patel, A., &amp; Evans, R. W. (2006). Modelling of a metal-containing hepcidin. </w:t>
      </w:r>
      <w:r w:rsidRPr="002154F4">
        <w:rPr>
          <w:i/>
          <w:iCs/>
          <w:color w:val="222222"/>
          <w:shd w:val="clear" w:color="auto" w:fill="FFFFFF"/>
        </w:rPr>
        <w:t>Biometals</w:t>
      </w:r>
      <w:r w:rsidRPr="002154F4">
        <w:rPr>
          <w:color w:val="222222"/>
          <w:shd w:val="clear" w:color="auto" w:fill="FFFFFF"/>
        </w:rPr>
        <w:t>, </w:t>
      </w:r>
      <w:r w:rsidRPr="002154F4">
        <w:rPr>
          <w:i/>
          <w:iCs/>
          <w:color w:val="222222"/>
          <w:shd w:val="clear" w:color="auto" w:fill="FFFFFF"/>
        </w:rPr>
        <w:t>19</w:t>
      </w:r>
      <w:r w:rsidRPr="002154F4">
        <w:rPr>
          <w:color w:val="222222"/>
          <w:shd w:val="clear" w:color="auto" w:fill="FFFFFF"/>
        </w:rPr>
        <w:t>(5), 527-533.</w:t>
      </w:r>
      <w:r w:rsidRPr="002154F4">
        <w:rPr>
          <w:color w:val="222222"/>
          <w:shd w:val="clear" w:color="auto" w:fill="FFFFFF"/>
          <w:rtl/>
        </w:rPr>
        <w:t>‏</w:t>
      </w:r>
    </w:p>
    <w:p w:rsidR="002154F4" w:rsidRPr="002154F4" w:rsidRDefault="002154F4" w:rsidP="002154F4">
      <w:pPr>
        <w:widowControl w:val="0"/>
        <w:tabs>
          <w:tab w:val="left" w:pos="1165"/>
          <w:tab w:val="right" w:pos="8931"/>
        </w:tabs>
        <w:spacing w:before="69" w:line="276" w:lineRule="auto"/>
        <w:ind w:left="709" w:right="42" w:hanging="709"/>
        <w:rPr>
          <w:rFonts w:eastAsia="Times New Roman"/>
        </w:rPr>
      </w:pPr>
      <w:r w:rsidRPr="002154F4">
        <w:rPr>
          <w:color w:val="222222"/>
          <w:shd w:val="clear" w:color="auto" w:fill="FFFFFF"/>
        </w:rPr>
        <w:t>Fatih, N., Camberlein, E., Island, M. L., Corlu, A., Abgueguen, E., Détivaud, L., ... &amp; Loréal, O. (2010). Natural and synthetic STAT3 inhibitors reduce hepcidin expression in differentiated mouse hepatocytes expressing the active phosphorylated STAT3 form. </w:t>
      </w:r>
      <w:r w:rsidRPr="002154F4">
        <w:rPr>
          <w:i/>
          <w:iCs/>
          <w:color w:val="222222"/>
          <w:shd w:val="clear" w:color="auto" w:fill="FFFFFF"/>
        </w:rPr>
        <w:t>Journal of molecular medicine</w:t>
      </w:r>
      <w:r w:rsidRPr="002154F4">
        <w:rPr>
          <w:color w:val="222222"/>
          <w:shd w:val="clear" w:color="auto" w:fill="FFFFFF"/>
        </w:rPr>
        <w:t>, </w:t>
      </w:r>
      <w:r w:rsidRPr="002154F4">
        <w:rPr>
          <w:i/>
          <w:iCs/>
          <w:color w:val="222222"/>
          <w:shd w:val="clear" w:color="auto" w:fill="FFFFFF"/>
        </w:rPr>
        <w:t>88</w:t>
      </w:r>
      <w:r w:rsidRPr="002154F4">
        <w:rPr>
          <w:color w:val="222222"/>
          <w:shd w:val="clear" w:color="auto" w:fill="FFFFFF"/>
        </w:rPr>
        <w:t>(5), 477-486.</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Fendler, W. P., Calais, J., Eiber, M., Flavell, R. R., Mishoe, A., Feng, F. Y., ... &amp; Emmett, L. (2019). Assessment of 68Ga-PSMA-11 PET accuracy in localizing recurrent prostate cancer: a prospective single-arm clinical trial. </w:t>
      </w:r>
      <w:r w:rsidRPr="002154F4">
        <w:rPr>
          <w:i/>
          <w:iCs/>
          <w:color w:val="222222"/>
          <w:shd w:val="clear" w:color="auto" w:fill="FFFFFF"/>
        </w:rPr>
        <w:t>JAMA oncology</w:t>
      </w:r>
      <w:r w:rsidRPr="002154F4">
        <w:rPr>
          <w:color w:val="222222"/>
          <w:shd w:val="clear" w:color="auto" w:fill="FFFFFF"/>
        </w:rPr>
        <w:t>, </w:t>
      </w:r>
      <w:r w:rsidRPr="002154F4">
        <w:rPr>
          <w:i/>
          <w:iCs/>
          <w:color w:val="222222"/>
          <w:shd w:val="clear" w:color="auto" w:fill="FFFFFF"/>
        </w:rPr>
        <w:t>5</w:t>
      </w:r>
      <w:r w:rsidRPr="002154F4">
        <w:rPr>
          <w:color w:val="222222"/>
          <w:shd w:val="clear" w:color="auto" w:fill="FFFFFF"/>
        </w:rPr>
        <w:t>(6), 856-863.</w:t>
      </w:r>
      <w:r w:rsidRPr="002154F4">
        <w:rPr>
          <w:color w:val="222222"/>
          <w:shd w:val="clear" w:color="auto" w:fill="FFFFFF"/>
          <w:rtl/>
        </w:rPr>
        <w:t>‏</w:t>
      </w:r>
    </w:p>
    <w:p w:rsidR="002154F4" w:rsidRPr="002154F4" w:rsidRDefault="002154F4" w:rsidP="002154F4">
      <w:pPr>
        <w:widowControl w:val="0"/>
        <w:tabs>
          <w:tab w:val="left" w:pos="1165"/>
          <w:tab w:val="right" w:pos="8931"/>
        </w:tabs>
        <w:spacing w:before="69" w:line="276" w:lineRule="auto"/>
        <w:ind w:left="709" w:right="42" w:hanging="709"/>
        <w:rPr>
          <w:rFonts w:eastAsia="Times New Roman"/>
        </w:rPr>
      </w:pPr>
      <w:r w:rsidRPr="002154F4">
        <w:rPr>
          <w:color w:val="222222"/>
          <w:shd w:val="clear" w:color="auto" w:fill="FFFFFF"/>
        </w:rPr>
        <w:t>Finberg, K. E., Heeney, M. M., Campagna, D. R., Aydınok, Y., Pearson, H. A., Hartman, K. R., ... &amp; Andrews, N. C. (2008). Mutations in TMPRSS6 cause iron-refractory iron deficiency anemia (IRIDA). </w:t>
      </w:r>
      <w:r w:rsidRPr="002154F4">
        <w:rPr>
          <w:i/>
          <w:iCs/>
          <w:color w:val="222222"/>
          <w:shd w:val="clear" w:color="auto" w:fill="FFFFFF"/>
        </w:rPr>
        <w:t>Nature genetics</w:t>
      </w:r>
      <w:r w:rsidRPr="002154F4">
        <w:rPr>
          <w:color w:val="222222"/>
          <w:shd w:val="clear" w:color="auto" w:fill="FFFFFF"/>
        </w:rPr>
        <w:t>, </w:t>
      </w:r>
      <w:r w:rsidRPr="002154F4">
        <w:rPr>
          <w:i/>
          <w:iCs/>
          <w:color w:val="222222"/>
          <w:shd w:val="clear" w:color="auto" w:fill="FFFFFF"/>
        </w:rPr>
        <w:t>40</w:t>
      </w:r>
      <w:r w:rsidRPr="002154F4">
        <w:rPr>
          <w:color w:val="222222"/>
          <w:shd w:val="clear" w:color="auto" w:fill="FFFFFF"/>
        </w:rPr>
        <w:t>(5), 569.</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Ganz, T. (2002). The role of hepcidin in iron sequestration during infections and in the pathogenesis of anemia of chronic disease. </w:t>
      </w:r>
      <w:r w:rsidRPr="002154F4">
        <w:rPr>
          <w:i/>
          <w:iCs/>
          <w:color w:val="222222"/>
          <w:shd w:val="clear" w:color="auto" w:fill="FFFFFF"/>
        </w:rPr>
        <w:t>Sat</w:t>
      </w:r>
      <w:r w:rsidRPr="002154F4">
        <w:rPr>
          <w:color w:val="222222"/>
          <w:shd w:val="clear" w:color="auto" w:fill="FFFFFF"/>
        </w:rPr>
        <w:t>, </w:t>
      </w:r>
      <w:r w:rsidRPr="002154F4">
        <w:rPr>
          <w:i/>
          <w:iCs/>
          <w:color w:val="222222"/>
          <w:shd w:val="clear" w:color="auto" w:fill="FFFFFF"/>
        </w:rPr>
        <w:t>30</w:t>
      </w:r>
      <w:r w:rsidRPr="002154F4">
        <w:rPr>
          <w:color w:val="222222"/>
          <w:shd w:val="clear" w:color="auto" w:fill="FFFFFF"/>
        </w:rPr>
        <w:t>, 20.</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Ganz, T. (2006). Hepcidin—a peptide hormone at the interface of innate immunity and ir.on metabolism. In </w:t>
      </w:r>
      <w:r w:rsidRPr="002154F4">
        <w:rPr>
          <w:i/>
          <w:iCs/>
          <w:color w:val="222222"/>
          <w:shd w:val="clear" w:color="auto" w:fill="FFFFFF"/>
        </w:rPr>
        <w:t>Antimicrobial Peptides and Human Disease</w:t>
      </w:r>
      <w:r w:rsidRPr="002154F4">
        <w:rPr>
          <w:color w:val="222222"/>
          <w:shd w:val="clear" w:color="auto" w:fill="FFFFFF"/>
        </w:rPr>
        <w:t> (pp. 183-198). Springer, Berlin, Heidelberg.</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Ganz, T., Olbina, G., Girelli, D., Nemeth, E., &amp; Westerman, M. (2008). Immunoassay for human serum hepcidin. </w:t>
      </w:r>
      <w:r w:rsidRPr="002154F4">
        <w:rPr>
          <w:i/>
          <w:iCs/>
          <w:color w:val="222222"/>
          <w:shd w:val="clear" w:color="auto" w:fill="FFFFFF"/>
        </w:rPr>
        <w:t>Blood, The Journal of the American Society of Hematology</w:t>
      </w:r>
      <w:r w:rsidRPr="002154F4">
        <w:rPr>
          <w:color w:val="222222"/>
          <w:shd w:val="clear" w:color="auto" w:fill="FFFFFF"/>
        </w:rPr>
        <w:t>, </w:t>
      </w:r>
      <w:r w:rsidRPr="002154F4">
        <w:rPr>
          <w:i/>
          <w:iCs/>
          <w:color w:val="222222"/>
          <w:shd w:val="clear" w:color="auto" w:fill="FFFFFF"/>
        </w:rPr>
        <w:t>112</w:t>
      </w:r>
      <w:r w:rsidRPr="002154F4">
        <w:rPr>
          <w:color w:val="222222"/>
          <w:shd w:val="clear" w:color="auto" w:fill="FFFFFF"/>
        </w:rPr>
        <w:t>(10), 4292-4297.</w:t>
      </w:r>
      <w:r w:rsidRPr="002154F4">
        <w:rPr>
          <w:color w:val="222222"/>
          <w:shd w:val="clear" w:color="auto" w:fill="FFFFFF"/>
          <w:rtl/>
        </w:rPr>
        <w:t>‏</w:t>
      </w:r>
    </w:p>
    <w:p w:rsidR="002154F4" w:rsidRPr="002154F4" w:rsidRDefault="002154F4" w:rsidP="002154F4">
      <w:pPr>
        <w:widowControl w:val="0"/>
        <w:tabs>
          <w:tab w:val="left" w:pos="1165"/>
          <w:tab w:val="right" w:pos="8931"/>
        </w:tabs>
        <w:spacing w:before="69" w:line="276" w:lineRule="auto"/>
        <w:ind w:left="709" w:right="42" w:hanging="709"/>
        <w:rPr>
          <w:rFonts w:eastAsia="Times New Roman"/>
        </w:rPr>
      </w:pPr>
      <w:r w:rsidRPr="002154F4">
        <w:rPr>
          <w:color w:val="222222"/>
          <w:shd w:val="clear" w:color="auto" w:fill="FFFFFF"/>
        </w:rPr>
        <w:t>Gardenghi, S., Ramos, P., Marongiu, M. F., Melchiori, L., Breda, L., Guy, E., ... &amp; Nemeth, E. (2010). Hepcidin as a therapeutic tool to limit iron overload and improve anemia in β-thalassemic mice. </w:t>
      </w:r>
      <w:r w:rsidRPr="002154F4">
        <w:rPr>
          <w:i/>
          <w:iCs/>
          <w:color w:val="222222"/>
          <w:shd w:val="clear" w:color="auto" w:fill="FFFFFF"/>
        </w:rPr>
        <w:t>The Journal of clinical investigation</w:t>
      </w:r>
      <w:r w:rsidRPr="002154F4">
        <w:rPr>
          <w:color w:val="222222"/>
          <w:shd w:val="clear" w:color="auto" w:fill="FFFFFF"/>
        </w:rPr>
        <w:t>, </w:t>
      </w:r>
      <w:r w:rsidRPr="002154F4">
        <w:rPr>
          <w:i/>
          <w:iCs/>
          <w:color w:val="222222"/>
          <w:shd w:val="clear" w:color="auto" w:fill="FFFFFF"/>
        </w:rPr>
        <w:t>120</w:t>
      </w:r>
      <w:r w:rsidRPr="002154F4">
        <w:rPr>
          <w:color w:val="222222"/>
          <w:shd w:val="clear" w:color="auto" w:fill="FFFFFF"/>
        </w:rPr>
        <w:t>(12), 4466-4477.</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Gasparrini, S., Cimadamore, A., Scarpelli, M., Massari, F., Doria, A., Mazzucchelli, R., ... &amp; Montironi, R. (2019). Contemporary grading of prostate cancer: 2017 update for pathologists and clinicians. </w:t>
      </w:r>
      <w:r w:rsidRPr="002154F4">
        <w:rPr>
          <w:i/>
          <w:iCs/>
          <w:color w:val="222222"/>
          <w:shd w:val="clear" w:color="auto" w:fill="FFFFFF"/>
        </w:rPr>
        <w:t>Asian journal of andrology</w:t>
      </w:r>
      <w:r w:rsidRPr="002154F4">
        <w:rPr>
          <w:color w:val="222222"/>
          <w:shd w:val="clear" w:color="auto" w:fill="FFFFFF"/>
        </w:rPr>
        <w:t>, </w:t>
      </w:r>
      <w:r w:rsidRPr="002154F4">
        <w:rPr>
          <w:i/>
          <w:iCs/>
          <w:color w:val="222222"/>
          <w:shd w:val="clear" w:color="auto" w:fill="FFFFFF"/>
        </w:rPr>
        <w:t>21</w:t>
      </w:r>
      <w:r w:rsidRPr="002154F4">
        <w:rPr>
          <w:color w:val="222222"/>
          <w:shd w:val="clear" w:color="auto" w:fill="FFFFFF"/>
        </w:rPr>
        <w:t>(1), 19.</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Gelmann, E. P., &amp; Henshall, S. M. (2009). Clinically relevant prognostic markers for prostate cancer: the search goes on. Annals of internal medicine, 150(9), 647-649.</w:t>
      </w:r>
      <w:r w:rsidRPr="002154F4">
        <w:rPr>
          <w:color w:val="222222"/>
          <w:shd w:val="clear" w:color="auto" w:fill="FFFFFF"/>
          <w:rtl/>
        </w:rPr>
        <w:t>‏</w:t>
      </w:r>
    </w:p>
    <w:p w:rsidR="002154F4" w:rsidRPr="002154F4" w:rsidRDefault="002154F4" w:rsidP="002154F4">
      <w:pPr>
        <w:spacing w:line="276" w:lineRule="auto"/>
        <w:ind w:left="709" w:hanging="709"/>
      </w:pPr>
      <w:r w:rsidRPr="002154F4">
        <w:rPr>
          <w:color w:val="222222"/>
          <w:shd w:val="clear" w:color="auto" w:fill="FFFFFF"/>
        </w:rPr>
        <w:t>Gleason, D. F. (1966). Classification of prostatic carcinomas. </w:t>
      </w:r>
      <w:r w:rsidRPr="002154F4">
        <w:rPr>
          <w:i/>
          <w:iCs/>
          <w:color w:val="222222"/>
          <w:shd w:val="clear" w:color="auto" w:fill="FFFFFF"/>
        </w:rPr>
        <w:t>Cancer Chemother. Rep.</w:t>
      </w:r>
      <w:r w:rsidRPr="002154F4">
        <w:rPr>
          <w:color w:val="222222"/>
          <w:shd w:val="clear" w:color="auto" w:fill="FFFFFF"/>
        </w:rPr>
        <w:t>, </w:t>
      </w:r>
      <w:r w:rsidRPr="002154F4">
        <w:rPr>
          <w:i/>
          <w:iCs/>
          <w:color w:val="222222"/>
          <w:shd w:val="clear" w:color="auto" w:fill="FFFFFF"/>
        </w:rPr>
        <w:t>50</w:t>
      </w:r>
      <w:r w:rsidRPr="002154F4">
        <w:rPr>
          <w:color w:val="222222"/>
          <w:shd w:val="clear" w:color="auto" w:fill="FFFFFF"/>
        </w:rPr>
        <w:t>, 125-128.</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Gleason, D. F. (1992). Histologic grading of prostate cancer: a perspective. </w:t>
      </w:r>
      <w:r w:rsidRPr="002154F4">
        <w:rPr>
          <w:i/>
          <w:iCs/>
          <w:color w:val="222222"/>
          <w:shd w:val="clear" w:color="auto" w:fill="FFFFFF"/>
        </w:rPr>
        <w:t>Human pathology</w:t>
      </w:r>
      <w:r w:rsidRPr="002154F4">
        <w:rPr>
          <w:color w:val="222222"/>
          <w:shd w:val="clear" w:color="auto" w:fill="FFFFFF"/>
        </w:rPr>
        <w:t>, </w:t>
      </w:r>
      <w:r w:rsidRPr="002154F4">
        <w:rPr>
          <w:i/>
          <w:iCs/>
          <w:color w:val="222222"/>
          <w:shd w:val="clear" w:color="auto" w:fill="FFFFFF"/>
        </w:rPr>
        <w:t>23</w:t>
      </w:r>
      <w:r w:rsidRPr="002154F4">
        <w:rPr>
          <w:color w:val="222222"/>
          <w:shd w:val="clear" w:color="auto" w:fill="FFFFFF"/>
        </w:rPr>
        <w:t>(3), 273-279.</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Gnana-Prakasam, J. P., Martin, P. M., Mysona, B. A., Roon, P., Smith, S. B., &amp; Ganapathy, V. (2008). Hepcidin expression in mouse retina and its regulation via lipopolysaccharide/Toll-like receptor-4 pathway independent of Hfe. </w:t>
      </w:r>
      <w:r w:rsidRPr="002154F4">
        <w:rPr>
          <w:i/>
          <w:iCs/>
          <w:color w:val="222222"/>
          <w:shd w:val="clear" w:color="auto" w:fill="FFFFFF"/>
        </w:rPr>
        <w:t>Biochemical Journal</w:t>
      </w:r>
      <w:r w:rsidRPr="002154F4">
        <w:rPr>
          <w:color w:val="222222"/>
          <w:shd w:val="clear" w:color="auto" w:fill="FFFFFF"/>
        </w:rPr>
        <w:t>, </w:t>
      </w:r>
      <w:r w:rsidRPr="002154F4">
        <w:rPr>
          <w:i/>
          <w:iCs/>
          <w:color w:val="222222"/>
          <w:shd w:val="clear" w:color="auto" w:fill="FFFFFF"/>
        </w:rPr>
        <w:t>411</w:t>
      </w:r>
      <w:r w:rsidRPr="002154F4">
        <w:rPr>
          <w:color w:val="222222"/>
          <w:shd w:val="clear" w:color="auto" w:fill="FFFFFF"/>
        </w:rPr>
        <w:t>(1), 79-88.</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Gordetsky, J., &amp; Epstein, J. (2016). Grading of prostatic adenocarcinoma: current state and prognostic implications. </w:t>
      </w:r>
      <w:r w:rsidRPr="002154F4">
        <w:rPr>
          <w:i/>
          <w:iCs/>
          <w:color w:val="222222"/>
          <w:shd w:val="clear" w:color="auto" w:fill="FFFFFF"/>
        </w:rPr>
        <w:t>Diagnostic pathology</w:t>
      </w:r>
      <w:r w:rsidRPr="002154F4">
        <w:rPr>
          <w:color w:val="222222"/>
          <w:shd w:val="clear" w:color="auto" w:fill="FFFFFF"/>
        </w:rPr>
        <w:t>, </w:t>
      </w:r>
      <w:r w:rsidRPr="002154F4">
        <w:rPr>
          <w:i/>
          <w:iCs/>
          <w:color w:val="222222"/>
          <w:shd w:val="clear" w:color="auto" w:fill="FFFFFF"/>
        </w:rPr>
        <w:t>11</w:t>
      </w:r>
      <w:r w:rsidRPr="002154F4">
        <w:rPr>
          <w:color w:val="222222"/>
          <w:shd w:val="clear" w:color="auto" w:fill="FFFFFF"/>
        </w:rPr>
        <w:t>(1), 25.</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Goswami, T., &amp; Andrews, N. C. (2006). Hereditary hemochromatosis protein, HFE, interaction with transferrin receptor 2 suggests a molecular mechanism for mammalian iron sensing. </w:t>
      </w:r>
      <w:r w:rsidRPr="002154F4">
        <w:rPr>
          <w:i/>
          <w:iCs/>
          <w:color w:val="222222"/>
          <w:shd w:val="clear" w:color="auto" w:fill="FFFFFF"/>
        </w:rPr>
        <w:t>Journal of Biological Chemistry</w:t>
      </w:r>
      <w:r w:rsidRPr="002154F4">
        <w:rPr>
          <w:color w:val="222222"/>
          <w:shd w:val="clear" w:color="auto" w:fill="FFFFFF"/>
        </w:rPr>
        <w:t>, </w:t>
      </w:r>
      <w:r w:rsidRPr="002154F4">
        <w:rPr>
          <w:i/>
          <w:iCs/>
          <w:color w:val="222222"/>
          <w:shd w:val="clear" w:color="auto" w:fill="FFFFFF"/>
        </w:rPr>
        <w:t>281</w:t>
      </w:r>
      <w:r w:rsidRPr="002154F4">
        <w:rPr>
          <w:color w:val="222222"/>
          <w:shd w:val="clear" w:color="auto" w:fill="FFFFFF"/>
        </w:rPr>
        <w:t>(39), 28494-28498.</w:t>
      </w:r>
      <w:r w:rsidRPr="002154F4">
        <w:rPr>
          <w:color w:val="222222"/>
          <w:shd w:val="clear" w:color="auto" w:fill="FFFFFF"/>
          <w:rtl/>
        </w:rPr>
        <w:t>‏</w:t>
      </w:r>
    </w:p>
    <w:p w:rsidR="002154F4" w:rsidRPr="002154F4" w:rsidRDefault="002154F4" w:rsidP="002154F4">
      <w:pPr>
        <w:spacing w:line="276" w:lineRule="auto"/>
        <w:ind w:left="1080" w:hanging="1080"/>
      </w:pPr>
      <w:r w:rsidRPr="002154F4">
        <w:t>Grönberg, H. (2003). Prostate cancer epidemiology. The Lancet, 361(9360), 859-864.</w:t>
      </w:r>
    </w:p>
    <w:p w:rsidR="002154F4" w:rsidRPr="002154F4" w:rsidRDefault="002154F4" w:rsidP="002154F4">
      <w:pPr>
        <w:spacing w:line="276" w:lineRule="auto"/>
        <w:ind w:left="709" w:hanging="709"/>
      </w:pPr>
      <w:r w:rsidRPr="002154F4">
        <w:rPr>
          <w:color w:val="222222"/>
          <w:shd w:val="clear" w:color="auto" w:fill="FFFFFF"/>
        </w:rPr>
        <w:t>Haase, V. H. (2010). Hypoxic regulation of erythropoiesis and iron metabolism. </w:t>
      </w:r>
      <w:r w:rsidRPr="002154F4">
        <w:rPr>
          <w:i/>
          <w:iCs/>
          <w:color w:val="222222"/>
          <w:shd w:val="clear" w:color="auto" w:fill="FFFFFF"/>
        </w:rPr>
        <w:t>American Journal of Physiology-Renal Physiology</w:t>
      </w:r>
      <w:r w:rsidRPr="002154F4">
        <w:rPr>
          <w:color w:val="222222"/>
          <w:shd w:val="clear" w:color="auto" w:fill="FFFFFF"/>
        </w:rPr>
        <w:t>, </w:t>
      </w:r>
      <w:r w:rsidRPr="002154F4">
        <w:rPr>
          <w:i/>
          <w:iCs/>
          <w:color w:val="222222"/>
          <w:shd w:val="clear" w:color="auto" w:fill="FFFFFF"/>
        </w:rPr>
        <w:t>299</w:t>
      </w:r>
      <w:r w:rsidRPr="002154F4">
        <w:rPr>
          <w:color w:val="222222"/>
          <w:shd w:val="clear" w:color="auto" w:fill="FFFFFF"/>
        </w:rPr>
        <w:t>(1), F1-F13.</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Hammerich, K. H., Ayala, G. E., &amp; Wheeler, T. M. (2009). Anatomy of the prostate gland and surgical pathology of prostate cancer. </w:t>
      </w:r>
      <w:r w:rsidRPr="002154F4">
        <w:rPr>
          <w:i/>
          <w:iCs/>
          <w:color w:val="222222"/>
          <w:shd w:val="clear" w:color="auto" w:fill="FFFFFF"/>
        </w:rPr>
        <w:t>Cambridge University, Cambridge</w:t>
      </w:r>
      <w:r w:rsidRPr="002154F4">
        <w:rPr>
          <w:color w:val="222222"/>
          <w:shd w:val="clear" w:color="auto" w:fill="FFFFFF"/>
        </w:rPr>
        <w:t>, 1-10.</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Hayes, V. M., Severi, G., Southey, M. C., Padilla, E. J., English, D. R., Hopper, J. L., ... &amp; Sutherland, R. L. (2006). Macrophage inhibitory cytokine-1 H6D polymorphism, prostate cancer risk, and survival. </w:t>
      </w:r>
      <w:r w:rsidRPr="002154F4">
        <w:rPr>
          <w:i/>
          <w:iCs/>
          <w:color w:val="222222"/>
          <w:shd w:val="clear" w:color="auto" w:fill="FFFFFF"/>
        </w:rPr>
        <w:t>Cancer Epidemiology and Prevention Biomarkers</w:t>
      </w:r>
      <w:r w:rsidRPr="002154F4">
        <w:rPr>
          <w:color w:val="222222"/>
          <w:shd w:val="clear" w:color="auto" w:fill="FFFFFF"/>
        </w:rPr>
        <w:t>, </w:t>
      </w:r>
      <w:r w:rsidRPr="002154F4">
        <w:rPr>
          <w:i/>
          <w:iCs/>
          <w:color w:val="222222"/>
          <w:shd w:val="clear" w:color="auto" w:fill="FFFFFF"/>
        </w:rPr>
        <w:t>15</w:t>
      </w:r>
      <w:r w:rsidRPr="002154F4">
        <w:rPr>
          <w:color w:val="222222"/>
          <w:shd w:val="clear" w:color="auto" w:fill="FFFFFF"/>
        </w:rPr>
        <w:t>(6), 1223-1225.</w:t>
      </w:r>
      <w:r w:rsidRPr="002154F4">
        <w:rPr>
          <w:color w:val="222222"/>
          <w:shd w:val="clear" w:color="auto" w:fill="FFFFFF"/>
          <w:rtl/>
        </w:rPr>
        <w:t>‏</w:t>
      </w:r>
    </w:p>
    <w:p w:rsidR="002154F4" w:rsidRPr="002154F4" w:rsidRDefault="002154F4" w:rsidP="002154F4">
      <w:pPr>
        <w:spacing w:line="276" w:lineRule="auto"/>
        <w:ind w:left="709" w:hanging="709"/>
      </w:pPr>
      <w:r w:rsidRPr="002154F4">
        <w:rPr>
          <w:color w:val="222222"/>
          <w:shd w:val="clear" w:color="auto" w:fill="FFFFFF"/>
        </w:rPr>
        <w:t>Huh, S. J., Chung, C. Y., Sharma, A., &amp; Robertson, G. P. (2010). Macrophage inhibitory cytokine-1 regulates melanoma vascular development. </w:t>
      </w:r>
      <w:r w:rsidRPr="002154F4">
        <w:rPr>
          <w:i/>
          <w:iCs/>
          <w:color w:val="222222"/>
          <w:shd w:val="clear" w:color="auto" w:fill="FFFFFF"/>
        </w:rPr>
        <w:t>The American journal of pathology</w:t>
      </w:r>
      <w:r w:rsidRPr="002154F4">
        <w:rPr>
          <w:color w:val="222222"/>
          <w:shd w:val="clear" w:color="auto" w:fill="FFFFFF"/>
        </w:rPr>
        <w:t>, </w:t>
      </w:r>
      <w:r w:rsidRPr="002154F4">
        <w:rPr>
          <w:i/>
          <w:iCs/>
          <w:color w:val="222222"/>
          <w:shd w:val="clear" w:color="auto" w:fill="FFFFFF"/>
        </w:rPr>
        <w:t>176</w:t>
      </w:r>
      <w:r w:rsidRPr="002154F4">
        <w:rPr>
          <w:color w:val="222222"/>
          <w:shd w:val="clear" w:color="auto" w:fill="FFFFFF"/>
        </w:rPr>
        <w:t>(6), 2948-2957.</w:t>
      </w:r>
    </w:p>
    <w:p w:rsidR="002154F4" w:rsidRPr="002154F4" w:rsidRDefault="002154F4" w:rsidP="002154F4">
      <w:pPr>
        <w:spacing w:line="276" w:lineRule="auto"/>
        <w:ind w:left="709" w:hanging="709"/>
      </w:pPr>
      <w:r w:rsidRPr="002154F4">
        <w:rPr>
          <w:color w:val="222222"/>
          <w:shd w:val="clear" w:color="auto" w:fill="FFFFFF"/>
        </w:rPr>
        <w:t>Ikeda, Y., Tajima, S., Izawa-Ishizawa, Y., Kihira, Y., Ishizawa, K., Tomita, S., ... &amp; Tamaki, T. (2012). Estrogen regulates hepcidin expression via GPR30-BMP6-dependent signaling in hepatocytes. </w:t>
      </w:r>
      <w:r w:rsidRPr="002154F4">
        <w:rPr>
          <w:i/>
          <w:iCs/>
          <w:color w:val="222222"/>
          <w:shd w:val="clear" w:color="auto" w:fill="FFFFFF"/>
        </w:rPr>
        <w:t>PloS one</w:t>
      </w:r>
      <w:r w:rsidRPr="002154F4">
        <w:rPr>
          <w:color w:val="222222"/>
          <w:shd w:val="clear" w:color="auto" w:fill="FFFFFF"/>
        </w:rPr>
        <w:t>, </w:t>
      </w:r>
      <w:r w:rsidRPr="002154F4">
        <w:rPr>
          <w:i/>
          <w:iCs/>
          <w:color w:val="222222"/>
          <w:shd w:val="clear" w:color="auto" w:fill="FFFFFF"/>
        </w:rPr>
        <w:t>7</w:t>
      </w:r>
      <w:r w:rsidRPr="002154F4">
        <w:rPr>
          <w:color w:val="222222"/>
          <w:shd w:val="clear" w:color="auto" w:fill="FFFFFF"/>
        </w:rPr>
        <w:t>(7), e40465.</w:t>
      </w:r>
      <w:r w:rsidRPr="002154F4">
        <w:rPr>
          <w:color w:val="222222"/>
          <w:shd w:val="clear" w:color="auto" w:fill="FFFFFF"/>
          <w:rtl/>
        </w:rPr>
        <w:t>‏</w:t>
      </w:r>
    </w:p>
    <w:p w:rsidR="002154F4" w:rsidRPr="002154F4" w:rsidRDefault="002154F4" w:rsidP="002154F4">
      <w:pPr>
        <w:spacing w:line="276" w:lineRule="auto"/>
        <w:ind w:left="1080" w:hanging="1080"/>
      </w:pPr>
      <w:r w:rsidRPr="002154F4">
        <w:t>Ilic, D., Djulbegovic, M., Jung, J. H., Hwang, E. C., Zhou, Q., Cleves, A., ... &amp; Dahm, P. (2018). Prostate cancer screening with prostate-specific antigen (PSA) test: a systematic review and meta-analysis. bmj, 362, k3519.</w:t>
      </w:r>
    </w:p>
    <w:p w:rsidR="002154F4" w:rsidRPr="002154F4" w:rsidRDefault="002154F4" w:rsidP="002154F4">
      <w:pPr>
        <w:spacing w:line="276" w:lineRule="auto"/>
        <w:ind w:left="709" w:hanging="709"/>
      </w:pPr>
      <w:r w:rsidRPr="002154F4">
        <w:rPr>
          <w:color w:val="222222"/>
          <w:shd w:val="clear" w:color="auto" w:fill="FFFFFF"/>
        </w:rPr>
        <w:t>Isoda, M., Hanawa, H., Watanabe, R., Yoshida, T., Toba, K., Yoshida, K., ... &amp; Tanaka, K. (2010). Expression of the peptide hormone hepcidin increases in cardiomyocytes under myocarditis and myocardial infarction. </w:t>
      </w:r>
      <w:r w:rsidRPr="002154F4">
        <w:rPr>
          <w:i/>
          <w:iCs/>
          <w:color w:val="222222"/>
          <w:shd w:val="clear" w:color="auto" w:fill="FFFFFF"/>
        </w:rPr>
        <w:t>The Journal of nutritional biochemistry</w:t>
      </w:r>
      <w:r w:rsidRPr="002154F4">
        <w:rPr>
          <w:color w:val="222222"/>
          <w:shd w:val="clear" w:color="auto" w:fill="FFFFFF"/>
        </w:rPr>
        <w:t>, </w:t>
      </w:r>
      <w:r w:rsidRPr="002154F4">
        <w:rPr>
          <w:i/>
          <w:iCs/>
          <w:color w:val="222222"/>
          <w:shd w:val="clear" w:color="auto" w:fill="FFFFFF"/>
        </w:rPr>
        <w:t>21</w:t>
      </w:r>
      <w:r w:rsidRPr="002154F4">
        <w:rPr>
          <w:color w:val="222222"/>
          <w:shd w:val="clear" w:color="auto" w:fill="FFFFFF"/>
        </w:rPr>
        <w:t>(8), 749-756.</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Jemal, A., Thomas, A., Murray, T., &amp; Thun, M. (2002). Cancer statistics, 2002. </w:t>
      </w:r>
      <w:r w:rsidRPr="002154F4">
        <w:rPr>
          <w:i/>
          <w:iCs/>
          <w:color w:val="222222"/>
          <w:shd w:val="clear" w:color="auto" w:fill="FFFFFF"/>
        </w:rPr>
        <w:t>Ca-A Cancer Journal for Clinicians</w:t>
      </w:r>
      <w:r w:rsidRPr="002154F4">
        <w:rPr>
          <w:color w:val="222222"/>
          <w:shd w:val="clear" w:color="auto" w:fill="FFFFFF"/>
        </w:rPr>
        <w:t>, </w:t>
      </w:r>
      <w:r w:rsidRPr="002154F4">
        <w:rPr>
          <w:i/>
          <w:iCs/>
          <w:color w:val="222222"/>
          <w:shd w:val="clear" w:color="auto" w:fill="FFFFFF"/>
        </w:rPr>
        <w:t>52</w:t>
      </w:r>
      <w:r w:rsidRPr="002154F4">
        <w:rPr>
          <w:color w:val="222222"/>
          <w:shd w:val="clear" w:color="auto" w:fill="FFFFFF"/>
        </w:rPr>
        <w:t>(1), 23-47.</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Johnen, H., Lin, S., Kuffner, T., Brown, D. A., Tsai, V. W. W., Bauskin, A. R., ... &amp; Hunter, M. (2007). Tumor-induced anorexia and weight loss are mediated by the TGF-β superfamily cytokine MIC-1. </w:t>
      </w:r>
      <w:r w:rsidRPr="002154F4">
        <w:rPr>
          <w:i/>
          <w:iCs/>
          <w:color w:val="222222"/>
          <w:shd w:val="clear" w:color="auto" w:fill="FFFFFF"/>
        </w:rPr>
        <w:t>Nature medicine</w:t>
      </w:r>
      <w:r w:rsidRPr="002154F4">
        <w:rPr>
          <w:color w:val="222222"/>
          <w:shd w:val="clear" w:color="auto" w:fill="FFFFFF"/>
        </w:rPr>
        <w:t>, </w:t>
      </w:r>
      <w:r w:rsidRPr="002154F4">
        <w:rPr>
          <w:i/>
          <w:iCs/>
          <w:color w:val="222222"/>
          <w:shd w:val="clear" w:color="auto" w:fill="FFFFFF"/>
        </w:rPr>
        <w:t>13</w:t>
      </w:r>
      <w:r w:rsidRPr="002154F4">
        <w:rPr>
          <w:color w:val="222222"/>
          <w:shd w:val="clear" w:color="auto" w:fill="FFFFFF"/>
        </w:rPr>
        <w:t>(11), 1333-1340.</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Karan, D., Chen, S. J., Johansson, S. L., Singh, A. P., Paralkar, V. M., Lin, M. F., &amp; Batra, S. K. (2003). Dysregulated expression of MIC-1/PDF in human prostate tumor cells. </w:t>
      </w:r>
      <w:r w:rsidRPr="002154F4">
        <w:rPr>
          <w:i/>
          <w:iCs/>
          <w:color w:val="222222"/>
          <w:shd w:val="clear" w:color="auto" w:fill="FFFFFF"/>
        </w:rPr>
        <w:t>Biochemical and biophysical research communications</w:t>
      </w:r>
      <w:r w:rsidRPr="002154F4">
        <w:rPr>
          <w:color w:val="222222"/>
          <w:shd w:val="clear" w:color="auto" w:fill="FFFFFF"/>
        </w:rPr>
        <w:t>, </w:t>
      </w:r>
      <w:r w:rsidRPr="002154F4">
        <w:rPr>
          <w:i/>
          <w:iCs/>
          <w:color w:val="222222"/>
          <w:shd w:val="clear" w:color="auto" w:fill="FFFFFF"/>
        </w:rPr>
        <w:t>305</w:t>
      </w:r>
      <w:r w:rsidRPr="002154F4">
        <w:rPr>
          <w:color w:val="222222"/>
          <w:shd w:val="clear" w:color="auto" w:fill="FFFFFF"/>
        </w:rPr>
        <w:t>(3), 598-604.</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lang w:bidi="ar-IQ"/>
        </w:rPr>
      </w:pPr>
      <w:r w:rsidRPr="002154F4">
        <w:rPr>
          <w:color w:val="222222"/>
          <w:shd w:val="clear" w:color="auto" w:fill="FFFFFF"/>
        </w:rPr>
        <w:t>Kash, D. P., Lal, M., Hashmi, A. H., &amp; Mubarak, M. (2014). Utility of digital rectal examination, serum prostate specific antigen, and transrectal ultrasound in the detection of prostate cancer: a developing country perspective. </w:t>
      </w:r>
      <w:r w:rsidRPr="002154F4">
        <w:rPr>
          <w:i/>
          <w:iCs/>
          <w:color w:val="222222"/>
          <w:shd w:val="clear" w:color="auto" w:fill="FFFFFF"/>
        </w:rPr>
        <w:t>Asian Pac J Cancer Prev</w:t>
      </w:r>
      <w:r w:rsidRPr="002154F4">
        <w:rPr>
          <w:color w:val="222222"/>
          <w:shd w:val="clear" w:color="auto" w:fill="FFFFFF"/>
        </w:rPr>
        <w:t>, </w:t>
      </w:r>
      <w:r w:rsidRPr="002154F4">
        <w:rPr>
          <w:i/>
          <w:iCs/>
          <w:color w:val="222222"/>
          <w:shd w:val="clear" w:color="auto" w:fill="FFFFFF"/>
        </w:rPr>
        <w:t>15</w:t>
      </w:r>
      <w:r w:rsidRPr="002154F4">
        <w:rPr>
          <w:color w:val="222222"/>
          <w:shd w:val="clear" w:color="auto" w:fill="FFFFFF"/>
        </w:rPr>
        <w:t>(7), 3087-91.</w:t>
      </w:r>
    </w:p>
    <w:p w:rsidR="002154F4" w:rsidRPr="002154F4" w:rsidRDefault="002154F4" w:rsidP="002154F4">
      <w:pPr>
        <w:spacing w:line="276" w:lineRule="auto"/>
        <w:ind w:left="709" w:hanging="709"/>
        <w:rPr>
          <w:color w:val="222222"/>
          <w:shd w:val="clear" w:color="auto" w:fill="FFFFFF"/>
          <w:lang w:bidi="ar-IQ"/>
        </w:rPr>
      </w:pPr>
      <w:r w:rsidRPr="002154F4">
        <w:rPr>
          <w:color w:val="222222"/>
          <w:shd w:val="clear" w:color="auto" w:fill="FFFFFF"/>
        </w:rPr>
        <w:t>Kautz, L., Jung, G., Valore, E. V., Rivella, S., Nemeth, E., &amp; Ganz, T. (2014). Identification of erythroferrone as an erythroid regulator of iron metabolism. </w:t>
      </w:r>
      <w:r w:rsidRPr="002154F4">
        <w:rPr>
          <w:i/>
          <w:iCs/>
          <w:color w:val="222222"/>
          <w:shd w:val="clear" w:color="auto" w:fill="FFFFFF"/>
        </w:rPr>
        <w:t>Nature genetics</w:t>
      </w:r>
      <w:r w:rsidRPr="002154F4">
        <w:rPr>
          <w:color w:val="222222"/>
          <w:shd w:val="clear" w:color="auto" w:fill="FFFFFF"/>
        </w:rPr>
        <w:t>, </w:t>
      </w:r>
      <w:r w:rsidRPr="002154F4">
        <w:rPr>
          <w:i/>
          <w:iCs/>
          <w:color w:val="222222"/>
          <w:shd w:val="clear" w:color="auto" w:fill="FFFFFF"/>
        </w:rPr>
        <w:t>46</w:t>
      </w:r>
      <w:r w:rsidRPr="002154F4">
        <w:rPr>
          <w:color w:val="222222"/>
          <w:shd w:val="clear" w:color="auto" w:fill="FFFFFF"/>
        </w:rPr>
        <w:t>(7), 678-684.</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lang w:bidi="ar-IQ"/>
        </w:rPr>
      </w:pPr>
      <w:r w:rsidRPr="002154F4">
        <w:rPr>
          <w:color w:val="222222"/>
          <w:shd w:val="clear" w:color="auto" w:fill="FFFFFF"/>
        </w:rPr>
        <w:t>Kempf, T., Eden, M., Strelau, J., Naguib, M., Willenbockel, C., Tongers, J., ... &amp; Niessen, H. W. (2006). The transforming growth factor-β superfamily member growth-differentiation factor-15 protects the heart from ischemia/reperfusion injury. </w:t>
      </w:r>
      <w:r w:rsidRPr="002154F4">
        <w:rPr>
          <w:i/>
          <w:iCs/>
          <w:color w:val="222222"/>
          <w:shd w:val="clear" w:color="auto" w:fill="FFFFFF"/>
        </w:rPr>
        <w:t>Circulation research</w:t>
      </w:r>
      <w:r w:rsidRPr="002154F4">
        <w:rPr>
          <w:color w:val="222222"/>
          <w:shd w:val="clear" w:color="auto" w:fill="FFFFFF"/>
        </w:rPr>
        <w:t>, </w:t>
      </w:r>
      <w:r w:rsidRPr="002154F4">
        <w:rPr>
          <w:i/>
          <w:iCs/>
          <w:color w:val="222222"/>
          <w:shd w:val="clear" w:color="auto" w:fill="FFFFFF"/>
        </w:rPr>
        <w:t>98</w:t>
      </w:r>
      <w:r w:rsidRPr="002154F4">
        <w:rPr>
          <w:color w:val="222222"/>
          <w:shd w:val="clear" w:color="auto" w:fill="FFFFFF"/>
        </w:rPr>
        <w:t>(3), 351-360.</w:t>
      </w:r>
      <w:r w:rsidRPr="002154F4">
        <w:rPr>
          <w:color w:val="222222"/>
          <w:shd w:val="clear" w:color="auto" w:fill="FFFFFF"/>
          <w:rtl/>
        </w:rPr>
        <w:t>‏</w:t>
      </w:r>
    </w:p>
    <w:p w:rsidR="002154F4" w:rsidRPr="002154F4" w:rsidRDefault="002154F4" w:rsidP="002154F4">
      <w:pPr>
        <w:spacing w:line="276" w:lineRule="auto"/>
        <w:ind w:left="709" w:hanging="709"/>
      </w:pPr>
      <w:r w:rsidRPr="002154F4">
        <w:rPr>
          <w:color w:val="222222"/>
          <w:shd w:val="clear" w:color="auto" w:fill="FFFFFF"/>
        </w:rPr>
        <w:t>Kim, J. S., Baek, S. J., Sali, T., &amp; Eling, T. E. (2005). The conventional nonsteroidal anti-inflammatory drug sulindac sulfide arrests ovarian cancer cell growth via the expression of NAG-1/MIC-1/GDF-15. </w:t>
      </w:r>
      <w:r w:rsidRPr="002154F4">
        <w:rPr>
          <w:i/>
          <w:iCs/>
          <w:color w:val="222222"/>
          <w:shd w:val="clear" w:color="auto" w:fill="FFFFFF"/>
        </w:rPr>
        <w:t>Molecular cancer therapeutics</w:t>
      </w:r>
      <w:r w:rsidRPr="002154F4">
        <w:rPr>
          <w:color w:val="222222"/>
          <w:shd w:val="clear" w:color="auto" w:fill="FFFFFF"/>
        </w:rPr>
        <w:t>, </w:t>
      </w:r>
      <w:r w:rsidRPr="002154F4">
        <w:rPr>
          <w:i/>
          <w:iCs/>
          <w:color w:val="222222"/>
          <w:shd w:val="clear" w:color="auto" w:fill="FFFFFF"/>
        </w:rPr>
        <w:t>4</w:t>
      </w:r>
      <w:r w:rsidRPr="002154F4">
        <w:rPr>
          <w:color w:val="222222"/>
          <w:shd w:val="clear" w:color="auto" w:fill="FFFFFF"/>
        </w:rPr>
        <w:t>(3), 487-493.</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Kolata, G. (2016). Patients of early prostate cancer avoid treatment.</w:t>
      </w:r>
      <w:r w:rsidRPr="002154F4">
        <w:rPr>
          <w:color w:val="222222"/>
          <w:shd w:val="clear" w:color="auto" w:fill="FFFFFF"/>
          <w:rtl/>
        </w:rPr>
        <w:t>‏</w:t>
      </w:r>
    </w:p>
    <w:p w:rsidR="002154F4" w:rsidRPr="002154F4" w:rsidRDefault="002154F4" w:rsidP="002154F4">
      <w:pPr>
        <w:spacing w:after="120" w:line="276" w:lineRule="auto"/>
        <w:ind w:left="709" w:hanging="709"/>
        <w:rPr>
          <w:spacing w:val="-2"/>
        </w:rPr>
      </w:pPr>
      <w:r w:rsidRPr="002154F4">
        <w:rPr>
          <w:spacing w:val="-1"/>
        </w:rPr>
        <w:t>Krause,</w:t>
      </w:r>
      <w:r w:rsidRPr="002154F4">
        <w:rPr>
          <w:spacing w:val="-2"/>
        </w:rPr>
        <w:t xml:space="preserve"> A., Neitz, </w:t>
      </w:r>
      <w:r w:rsidRPr="002154F4">
        <w:rPr>
          <w:spacing w:val="-1"/>
        </w:rPr>
        <w:t xml:space="preserve">S., Magert, H. J. ,Schulz, </w:t>
      </w:r>
      <w:r w:rsidRPr="002154F4">
        <w:rPr>
          <w:spacing w:val="-2"/>
        </w:rPr>
        <w:t xml:space="preserve">A., </w:t>
      </w:r>
      <w:r w:rsidRPr="002154F4">
        <w:rPr>
          <w:spacing w:val="-1"/>
        </w:rPr>
        <w:t xml:space="preserve">Forssmann, </w:t>
      </w:r>
      <w:r w:rsidRPr="002154F4">
        <w:t xml:space="preserve">W. G., </w:t>
      </w:r>
      <w:r w:rsidRPr="002154F4">
        <w:rPr>
          <w:spacing w:val="-1"/>
        </w:rPr>
        <w:t xml:space="preserve">Schulz-Knappe, P., </w:t>
      </w:r>
      <w:r w:rsidRPr="002154F4">
        <w:t xml:space="preserve">&amp; </w:t>
      </w:r>
      <w:r w:rsidRPr="002154F4">
        <w:rPr>
          <w:spacing w:val="-1"/>
        </w:rPr>
        <w:t xml:space="preserve">Adermann, K. 2000. LEAP-1, </w:t>
      </w:r>
      <w:r w:rsidRPr="002154F4">
        <w:t>a</w:t>
      </w:r>
      <w:r w:rsidRPr="002154F4">
        <w:rPr>
          <w:spacing w:val="-1"/>
        </w:rPr>
        <w:t xml:space="preserve">no ve lhighly disulfide-bonded human peptide, exhibitsantimicrobial </w:t>
      </w:r>
      <w:r w:rsidRPr="002154F4">
        <w:rPr>
          <w:spacing w:val="-2"/>
        </w:rPr>
        <w:t>activity.</w:t>
      </w:r>
      <w:r w:rsidRPr="002154F4">
        <w:rPr>
          <w:i/>
          <w:spacing w:val="-1"/>
        </w:rPr>
        <w:t>FEBSLett.</w:t>
      </w:r>
      <w:r w:rsidRPr="002154F4">
        <w:rPr>
          <w:spacing w:val="-1"/>
        </w:rPr>
        <w:t xml:space="preserve">, 480, (2-3) </w:t>
      </w:r>
      <w:r w:rsidRPr="002154F4">
        <w:rPr>
          <w:spacing w:val="-2"/>
        </w:rPr>
        <w:t>147-150.</w:t>
      </w:r>
    </w:p>
    <w:p w:rsidR="002154F4" w:rsidRPr="002154F4" w:rsidRDefault="002154F4" w:rsidP="002154F4">
      <w:pPr>
        <w:spacing w:after="120" w:line="276" w:lineRule="auto"/>
        <w:ind w:left="709" w:hanging="709"/>
        <w:rPr>
          <w:spacing w:val="-2"/>
        </w:rPr>
      </w:pPr>
      <w:r w:rsidRPr="002154F4">
        <w:rPr>
          <w:color w:val="222222"/>
          <w:shd w:val="clear" w:color="auto" w:fill="FFFFFF"/>
        </w:rPr>
        <w:t>Kulaksiz, H., Fein, E., Redecker, P., Stremmel, W., Adler, G., &amp; Cetin, Y. (2008). Pancreatic b-cells express hepcidin, an iron-uptake regulatory peptide. </w:t>
      </w:r>
      <w:r w:rsidRPr="002154F4">
        <w:rPr>
          <w:i/>
          <w:iCs/>
          <w:color w:val="222222"/>
          <w:shd w:val="clear" w:color="auto" w:fill="FFFFFF"/>
        </w:rPr>
        <w:t>Journal of Endocrinology</w:t>
      </w:r>
      <w:r w:rsidRPr="002154F4">
        <w:rPr>
          <w:color w:val="222222"/>
          <w:shd w:val="clear" w:color="auto" w:fill="FFFFFF"/>
        </w:rPr>
        <w:t>, </w:t>
      </w:r>
      <w:r w:rsidRPr="002154F4">
        <w:rPr>
          <w:i/>
          <w:iCs/>
          <w:color w:val="222222"/>
          <w:shd w:val="clear" w:color="auto" w:fill="FFFFFF"/>
        </w:rPr>
        <w:t>197</w:t>
      </w:r>
      <w:r w:rsidRPr="002154F4">
        <w:rPr>
          <w:color w:val="222222"/>
          <w:shd w:val="clear" w:color="auto" w:fill="FFFFFF"/>
        </w:rPr>
        <w:t>(2), 241-250.</w:t>
      </w:r>
      <w:r w:rsidRPr="002154F4">
        <w:rPr>
          <w:color w:val="222222"/>
          <w:shd w:val="clear" w:color="auto" w:fill="FFFFFF"/>
          <w:rtl/>
        </w:rPr>
        <w:t>‏</w:t>
      </w:r>
    </w:p>
    <w:p w:rsidR="002154F4" w:rsidRPr="002154F4" w:rsidRDefault="002154F4" w:rsidP="002154F4">
      <w:pPr>
        <w:spacing w:after="120" w:line="276" w:lineRule="auto"/>
        <w:ind w:left="709" w:hanging="709"/>
      </w:pPr>
      <w:r w:rsidRPr="002154F4">
        <w:rPr>
          <w:color w:val="222222"/>
          <w:shd w:val="clear" w:color="auto" w:fill="FFFFFF"/>
        </w:rPr>
        <w:t>Kweldam, C. F., Wildhagen, M. F., Steyerberg, E. W., Bangma, C. H., Van Der Kwast, T. H., &amp; Van Leenders, G. J. (2015). Cribriform growth is highly predictive for postoperative metastasis and disease-specific death in Gleason score 7 prostate cancer. </w:t>
      </w:r>
      <w:r w:rsidRPr="002154F4">
        <w:rPr>
          <w:i/>
          <w:iCs/>
          <w:color w:val="222222"/>
          <w:shd w:val="clear" w:color="auto" w:fill="FFFFFF"/>
        </w:rPr>
        <w:t>Modern pathology</w:t>
      </w:r>
      <w:r w:rsidRPr="002154F4">
        <w:rPr>
          <w:color w:val="222222"/>
          <w:shd w:val="clear" w:color="auto" w:fill="FFFFFF"/>
        </w:rPr>
        <w:t>, </w:t>
      </w:r>
      <w:r w:rsidRPr="002154F4">
        <w:rPr>
          <w:i/>
          <w:iCs/>
          <w:color w:val="222222"/>
          <w:shd w:val="clear" w:color="auto" w:fill="FFFFFF"/>
        </w:rPr>
        <w:t>28</w:t>
      </w:r>
      <w:r w:rsidRPr="002154F4">
        <w:rPr>
          <w:color w:val="222222"/>
          <w:shd w:val="clear" w:color="auto" w:fill="FFFFFF"/>
        </w:rPr>
        <w:t>(3), 457-464.</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Lee, P. L., Beutler, E., Rao, S. V., &amp; Barton, J. C. (2004). Genetic abnormalities and juvenile hemochromatosis: mutations of the HJV gene encoding hemojuvelin. </w:t>
      </w:r>
      <w:r w:rsidRPr="002154F4">
        <w:rPr>
          <w:i/>
          <w:iCs/>
          <w:color w:val="222222"/>
          <w:shd w:val="clear" w:color="auto" w:fill="FFFFFF"/>
        </w:rPr>
        <w:t>Blood</w:t>
      </w:r>
      <w:r w:rsidRPr="002154F4">
        <w:rPr>
          <w:color w:val="222222"/>
          <w:shd w:val="clear" w:color="auto" w:fill="FFFFFF"/>
        </w:rPr>
        <w:t>, </w:t>
      </w:r>
      <w:r w:rsidRPr="002154F4">
        <w:rPr>
          <w:i/>
          <w:iCs/>
          <w:color w:val="222222"/>
          <w:shd w:val="clear" w:color="auto" w:fill="FFFFFF"/>
        </w:rPr>
        <w:t>103</w:t>
      </w:r>
      <w:r w:rsidRPr="002154F4">
        <w:rPr>
          <w:color w:val="222222"/>
          <w:shd w:val="clear" w:color="auto" w:fill="FFFFFF"/>
        </w:rPr>
        <w:t>(12), 4669-4671.</w:t>
      </w:r>
      <w:r w:rsidRPr="002154F4">
        <w:rPr>
          <w:color w:val="222222"/>
          <w:shd w:val="clear" w:color="auto" w:fill="FFFFFF"/>
          <w:rtl/>
        </w:rPr>
        <w:t>‏</w:t>
      </w:r>
    </w:p>
    <w:p w:rsidR="002154F4" w:rsidRPr="002154F4" w:rsidRDefault="002154F4" w:rsidP="002154F4">
      <w:pPr>
        <w:spacing w:line="276" w:lineRule="auto"/>
        <w:ind w:left="709" w:hanging="709"/>
      </w:pPr>
      <w:r w:rsidRPr="002154F4">
        <w:t>Lehrer, S., Diamond, E. J., Mamkine, B., Droller, M. J., Stone, N. N., &amp; Stock, R. G. (2005). C‐reactive protein is significantly associated with prostate‐specific antigen and metastatic disease in prostate cancer. BJU international, 95(7), 961-962.</w:t>
      </w:r>
    </w:p>
    <w:p w:rsidR="002154F4" w:rsidRPr="002154F4" w:rsidRDefault="002154F4" w:rsidP="002154F4">
      <w:pPr>
        <w:spacing w:line="276" w:lineRule="auto"/>
        <w:ind w:left="709" w:hanging="709"/>
        <w:rPr>
          <w:color w:val="222222"/>
          <w:shd w:val="clear" w:color="auto" w:fill="FFFFFF"/>
          <w:lang w:bidi="ar-IQ"/>
        </w:rPr>
      </w:pPr>
      <w:r w:rsidRPr="002154F4">
        <w:rPr>
          <w:color w:val="222222"/>
          <w:shd w:val="clear" w:color="auto" w:fill="FFFFFF"/>
        </w:rPr>
        <w:t>Li, Y., Yao, D., &amp; Chen, W. (2005, July). Adaptive particle swarm optimizer for beam angle selection in radiotherapy planning. In </w:t>
      </w:r>
      <w:r w:rsidRPr="002154F4">
        <w:rPr>
          <w:i/>
          <w:iCs/>
          <w:color w:val="222222"/>
          <w:shd w:val="clear" w:color="auto" w:fill="FFFFFF"/>
        </w:rPr>
        <w:t>IEEE International Conference Mechatronics and Automation, 2005</w:t>
      </w:r>
      <w:r w:rsidRPr="002154F4">
        <w:rPr>
          <w:color w:val="222222"/>
          <w:shd w:val="clear" w:color="auto" w:fill="FFFFFF"/>
        </w:rPr>
        <w:t xml:space="preserve"> (Vol. 1, pp. 421-425). IEEE </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Maliken, B. D., Nelson, J. E., &amp; Kowdley, K. V. (2011). The hepcidin circuits act: balancing iron and inflammation. </w:t>
      </w:r>
      <w:r w:rsidRPr="002154F4">
        <w:rPr>
          <w:i/>
          <w:iCs/>
          <w:color w:val="222222"/>
          <w:shd w:val="clear" w:color="auto" w:fill="FFFFFF"/>
        </w:rPr>
        <w:t>Hepatology</w:t>
      </w:r>
      <w:r w:rsidRPr="002154F4">
        <w:rPr>
          <w:color w:val="222222"/>
          <w:shd w:val="clear" w:color="auto" w:fill="FFFFFF"/>
        </w:rPr>
        <w:t>, </w:t>
      </w:r>
      <w:r w:rsidRPr="002154F4">
        <w:rPr>
          <w:i/>
          <w:iCs/>
          <w:color w:val="222222"/>
          <w:shd w:val="clear" w:color="auto" w:fill="FFFFFF"/>
        </w:rPr>
        <w:t>53</w:t>
      </w:r>
      <w:r w:rsidRPr="002154F4">
        <w:rPr>
          <w:color w:val="222222"/>
          <w:shd w:val="clear" w:color="auto" w:fill="FFFFFF"/>
        </w:rPr>
        <w:t>(5), 1764-1766.</w:t>
      </w:r>
      <w:r w:rsidRPr="002154F4">
        <w:rPr>
          <w:color w:val="222222"/>
          <w:shd w:val="clear" w:color="auto" w:fill="FFFFFF"/>
          <w:rtl/>
        </w:rPr>
        <w:t>‏</w:t>
      </w:r>
    </w:p>
    <w:p w:rsidR="002154F4" w:rsidRPr="002154F4" w:rsidRDefault="002154F4" w:rsidP="002154F4">
      <w:pPr>
        <w:spacing w:line="276" w:lineRule="auto"/>
        <w:ind w:left="709" w:hanging="709"/>
      </w:pPr>
      <w:r w:rsidRPr="002154F4">
        <w:t>Mariani, S., Salvatori, L., Basciani, S., Arizzi, M., Franco, G., Petrangeli, E.,&amp; Gnessi, L. (2006). Expression and cellular localization of follicle-stimulating hormone receptor in normal human prostate, benign prostatic hyperplasia and prostate cancer. The Journal of urology, 175(6), 2072-2077.</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Massagué, J. (2008). TGFβ in cancer. </w:t>
      </w:r>
      <w:r w:rsidRPr="002154F4">
        <w:rPr>
          <w:i/>
          <w:iCs/>
          <w:color w:val="222222"/>
          <w:shd w:val="clear" w:color="auto" w:fill="FFFFFF"/>
        </w:rPr>
        <w:t>Cell</w:t>
      </w:r>
      <w:r w:rsidRPr="002154F4">
        <w:rPr>
          <w:color w:val="222222"/>
          <w:shd w:val="clear" w:color="auto" w:fill="FFFFFF"/>
        </w:rPr>
        <w:t>, </w:t>
      </w:r>
      <w:r w:rsidRPr="002154F4">
        <w:rPr>
          <w:i/>
          <w:iCs/>
          <w:color w:val="222222"/>
          <w:shd w:val="clear" w:color="auto" w:fill="FFFFFF"/>
        </w:rPr>
        <w:t>134</w:t>
      </w:r>
      <w:r w:rsidRPr="002154F4">
        <w:rPr>
          <w:color w:val="222222"/>
          <w:shd w:val="clear" w:color="auto" w:fill="FFFFFF"/>
        </w:rPr>
        <w:t>(2), 215-230.</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Mastrogiannaki, M., Matak, P., Keith, B., Simon, M. C., Vaulont, S., &amp; Peyssonnaux, C. (2009). HIF-2α, but not HIF-1α, promotes iron absorption in mice. </w:t>
      </w:r>
      <w:r w:rsidRPr="002154F4">
        <w:rPr>
          <w:i/>
          <w:iCs/>
          <w:color w:val="222222"/>
          <w:shd w:val="clear" w:color="auto" w:fill="FFFFFF"/>
        </w:rPr>
        <w:t>The Journal of clinical investigation</w:t>
      </w:r>
      <w:r w:rsidRPr="002154F4">
        <w:rPr>
          <w:color w:val="222222"/>
          <w:shd w:val="clear" w:color="auto" w:fill="FFFFFF"/>
        </w:rPr>
        <w:t>, </w:t>
      </w:r>
      <w:r w:rsidRPr="002154F4">
        <w:rPr>
          <w:i/>
          <w:iCs/>
          <w:color w:val="222222"/>
          <w:shd w:val="clear" w:color="auto" w:fill="FFFFFF"/>
        </w:rPr>
        <w:t>119</w:t>
      </w:r>
      <w:r w:rsidRPr="002154F4">
        <w:rPr>
          <w:color w:val="222222"/>
          <w:shd w:val="clear" w:color="auto" w:fill="FFFFFF"/>
        </w:rPr>
        <w:t>(5), 1159-1166.</w:t>
      </w:r>
      <w:r w:rsidRPr="002154F4">
        <w:rPr>
          <w:color w:val="222222"/>
          <w:shd w:val="clear" w:color="auto" w:fill="FFFFFF"/>
          <w:rtl/>
        </w:rPr>
        <w:t>‏ ‏</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Mayeur, C., Lohmeyer, L. K., Leyton, P., Kao, S. M., Pappas, A. E., Kolodziej, S. A., ... &amp; Peterson, R. T. (2014). The type I BMP receptor Alk3 is required for the induction of hepatic hepcidin gene expression by interleukin-6. </w:t>
      </w:r>
      <w:r w:rsidRPr="002154F4">
        <w:rPr>
          <w:i/>
          <w:iCs/>
          <w:color w:val="222222"/>
          <w:shd w:val="clear" w:color="auto" w:fill="FFFFFF"/>
        </w:rPr>
        <w:t>Blood, The Journal of the American Society of Hematology</w:t>
      </w:r>
      <w:r w:rsidRPr="002154F4">
        <w:rPr>
          <w:color w:val="222222"/>
          <w:shd w:val="clear" w:color="auto" w:fill="FFFFFF"/>
        </w:rPr>
        <w:t>, </w:t>
      </w:r>
      <w:r w:rsidRPr="002154F4">
        <w:rPr>
          <w:i/>
          <w:iCs/>
          <w:color w:val="222222"/>
          <w:shd w:val="clear" w:color="auto" w:fill="FFFFFF"/>
        </w:rPr>
        <w:t>123</w:t>
      </w:r>
      <w:r w:rsidRPr="002154F4">
        <w:rPr>
          <w:color w:val="222222"/>
          <w:shd w:val="clear" w:color="auto" w:fill="FFFFFF"/>
        </w:rPr>
        <w:t>(14), 2261-2268.</w:t>
      </w:r>
      <w:r w:rsidRPr="002154F4">
        <w:rPr>
          <w:color w:val="222222"/>
          <w:shd w:val="clear" w:color="auto" w:fill="FFFFFF"/>
          <w:rtl/>
        </w:rPr>
        <w:t>‏ ‏</w:t>
      </w:r>
    </w:p>
    <w:p w:rsidR="002154F4" w:rsidRPr="002154F4" w:rsidRDefault="002154F4" w:rsidP="002154F4">
      <w:pPr>
        <w:spacing w:line="276" w:lineRule="auto"/>
        <w:ind w:left="709" w:hanging="709"/>
        <w:rPr>
          <w:color w:val="222222"/>
          <w:shd w:val="clear" w:color="auto" w:fill="FFFFFF"/>
          <w:lang w:bidi="ar-IQ"/>
        </w:rPr>
      </w:pPr>
      <w:r w:rsidRPr="002154F4">
        <w:rPr>
          <w:color w:val="222222"/>
          <w:shd w:val="clear" w:color="auto" w:fill="FFFFFF"/>
        </w:rPr>
        <w:t>McNeal, J. E. (1981). The zonal anatomy of the prostate. </w:t>
      </w:r>
      <w:r w:rsidRPr="002154F4">
        <w:rPr>
          <w:i/>
          <w:iCs/>
          <w:color w:val="222222"/>
          <w:shd w:val="clear" w:color="auto" w:fill="FFFFFF"/>
        </w:rPr>
        <w:t>The prostate</w:t>
      </w:r>
      <w:r w:rsidRPr="002154F4">
        <w:rPr>
          <w:color w:val="222222"/>
          <w:shd w:val="clear" w:color="auto" w:fill="FFFFFF"/>
        </w:rPr>
        <w:t>, </w:t>
      </w:r>
      <w:r w:rsidRPr="002154F4">
        <w:rPr>
          <w:i/>
          <w:iCs/>
          <w:color w:val="222222"/>
          <w:shd w:val="clear" w:color="auto" w:fill="FFFFFF"/>
        </w:rPr>
        <w:t>2</w:t>
      </w:r>
      <w:r w:rsidRPr="002154F4">
        <w:rPr>
          <w:color w:val="222222"/>
          <w:shd w:val="clear" w:color="auto" w:fill="FFFFFF"/>
        </w:rPr>
        <w:t xml:space="preserve">(1), 35-49. </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McNeal, J. E., Redwine, E. A., Freiha, F. S., &amp; Stamey, T. A. (1988). Zonal distribution of prostatic adenocarcinoma: correlation with histologic pattern and direction of spread. </w:t>
      </w:r>
      <w:r w:rsidRPr="002154F4">
        <w:rPr>
          <w:i/>
          <w:iCs/>
          <w:color w:val="222222"/>
          <w:shd w:val="clear" w:color="auto" w:fill="FFFFFF"/>
        </w:rPr>
        <w:t>The American journal of surgical pathology</w:t>
      </w:r>
      <w:r w:rsidRPr="002154F4">
        <w:rPr>
          <w:color w:val="222222"/>
          <w:shd w:val="clear" w:color="auto" w:fill="FFFFFF"/>
        </w:rPr>
        <w:t>, </w:t>
      </w:r>
      <w:r w:rsidRPr="002154F4">
        <w:rPr>
          <w:i/>
          <w:iCs/>
          <w:color w:val="222222"/>
          <w:shd w:val="clear" w:color="auto" w:fill="FFFFFF"/>
        </w:rPr>
        <w:t>12</w:t>
      </w:r>
      <w:r w:rsidRPr="002154F4">
        <w:rPr>
          <w:color w:val="222222"/>
          <w:shd w:val="clear" w:color="auto" w:fill="FFFFFF"/>
        </w:rPr>
        <w:t xml:space="preserve">(12), 897-906.  </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Melino, S., Garlando, L., Patamia, M., Paci, M., &amp; Petruzzelli, R. (2005). A metal</w:t>
      </w:r>
      <w:r w:rsidRPr="002154F4">
        <w:rPr>
          <w:rFonts w:ascii="Cambria Math" w:hAnsi="Cambria Math"/>
          <w:color w:val="222222"/>
          <w:shd w:val="clear" w:color="auto" w:fill="FFFFFF"/>
        </w:rPr>
        <w:t>‐</w:t>
      </w:r>
      <w:r w:rsidRPr="002154F4">
        <w:rPr>
          <w:color w:val="222222"/>
          <w:shd w:val="clear" w:color="auto" w:fill="FFFFFF"/>
        </w:rPr>
        <w:t>binding site is present in the amino terminal region of the bioactive iron regulator hepcidin</w:t>
      </w:r>
      <w:r w:rsidRPr="002154F4">
        <w:rPr>
          <w:rFonts w:ascii="Cambria Math" w:hAnsi="Cambria Math"/>
          <w:color w:val="222222"/>
          <w:shd w:val="clear" w:color="auto" w:fill="FFFFFF"/>
        </w:rPr>
        <w:t>‐</w:t>
      </w:r>
      <w:r w:rsidRPr="002154F4">
        <w:rPr>
          <w:color w:val="222222"/>
          <w:shd w:val="clear" w:color="auto" w:fill="FFFFFF"/>
        </w:rPr>
        <w:t>25. </w:t>
      </w:r>
      <w:r w:rsidRPr="002154F4">
        <w:rPr>
          <w:i/>
          <w:iCs/>
          <w:color w:val="222222"/>
          <w:shd w:val="clear" w:color="auto" w:fill="FFFFFF"/>
        </w:rPr>
        <w:t>The journal of peptide research</w:t>
      </w:r>
      <w:r w:rsidRPr="002154F4">
        <w:rPr>
          <w:color w:val="222222"/>
          <w:shd w:val="clear" w:color="auto" w:fill="FFFFFF"/>
        </w:rPr>
        <w:t>, </w:t>
      </w:r>
      <w:r w:rsidRPr="002154F4">
        <w:rPr>
          <w:i/>
          <w:iCs/>
          <w:color w:val="222222"/>
          <w:shd w:val="clear" w:color="auto" w:fill="FFFFFF"/>
        </w:rPr>
        <w:t>66</w:t>
      </w:r>
      <w:r w:rsidRPr="002154F4">
        <w:rPr>
          <w:color w:val="222222"/>
          <w:shd w:val="clear" w:color="auto" w:fill="FFFFFF"/>
        </w:rPr>
        <w:t>, 65-71.</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Merle, U., Fein, E., Gehrke, S. G., Stremmel, W., &amp; Kulaksiz, H. (2007). The iron regulatory peptide hepcidin is expressed in the heart and regulated by hypoxia and inflammation. </w:t>
      </w:r>
      <w:r w:rsidRPr="002154F4">
        <w:rPr>
          <w:i/>
          <w:iCs/>
          <w:color w:val="222222"/>
          <w:shd w:val="clear" w:color="auto" w:fill="FFFFFF"/>
        </w:rPr>
        <w:t>Endocrinology</w:t>
      </w:r>
      <w:r w:rsidRPr="002154F4">
        <w:rPr>
          <w:color w:val="222222"/>
          <w:shd w:val="clear" w:color="auto" w:fill="FFFFFF"/>
        </w:rPr>
        <w:t>, </w:t>
      </w:r>
      <w:r w:rsidRPr="002154F4">
        <w:rPr>
          <w:i/>
          <w:iCs/>
          <w:color w:val="222222"/>
          <w:shd w:val="clear" w:color="auto" w:fill="FFFFFF"/>
        </w:rPr>
        <w:t>148</w:t>
      </w:r>
      <w:r w:rsidRPr="002154F4">
        <w:rPr>
          <w:color w:val="222222"/>
          <w:shd w:val="clear" w:color="auto" w:fill="FFFFFF"/>
        </w:rPr>
        <w:t>(6), 2663-2668.</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Miyazono, K., Kamiya, Y., &amp; Morikawa, M. (2010). Bone morphogenetic protein receptors and signal transduction. </w:t>
      </w:r>
      <w:r w:rsidRPr="002154F4">
        <w:rPr>
          <w:i/>
          <w:iCs/>
          <w:color w:val="222222"/>
          <w:shd w:val="clear" w:color="auto" w:fill="FFFFFF"/>
        </w:rPr>
        <w:t>The Journal of Biochemistry</w:t>
      </w:r>
      <w:r w:rsidRPr="002154F4">
        <w:rPr>
          <w:color w:val="222222"/>
          <w:shd w:val="clear" w:color="auto" w:fill="FFFFFF"/>
        </w:rPr>
        <w:t>, </w:t>
      </w:r>
      <w:r w:rsidRPr="002154F4">
        <w:rPr>
          <w:i/>
          <w:iCs/>
          <w:color w:val="222222"/>
          <w:shd w:val="clear" w:color="auto" w:fill="FFFFFF"/>
        </w:rPr>
        <w:t>147</w:t>
      </w:r>
      <w:r w:rsidRPr="002154F4">
        <w:rPr>
          <w:color w:val="222222"/>
          <w:shd w:val="clear" w:color="auto" w:fill="FFFFFF"/>
        </w:rPr>
        <w:t>(1), 35-51.</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Nemeth, E., &amp; Ganz, T. (2006). Regulation of iron metabolism by hepcidin. </w:t>
      </w:r>
      <w:r w:rsidRPr="002154F4">
        <w:rPr>
          <w:i/>
          <w:iCs/>
          <w:color w:val="222222"/>
          <w:shd w:val="clear" w:color="auto" w:fill="FFFFFF"/>
        </w:rPr>
        <w:t>Annu. Rev. Nutr.</w:t>
      </w:r>
      <w:r w:rsidRPr="002154F4">
        <w:rPr>
          <w:color w:val="222222"/>
          <w:shd w:val="clear" w:color="auto" w:fill="FFFFFF"/>
        </w:rPr>
        <w:t>, </w:t>
      </w:r>
      <w:r w:rsidRPr="002154F4">
        <w:rPr>
          <w:i/>
          <w:iCs/>
          <w:color w:val="222222"/>
          <w:shd w:val="clear" w:color="auto" w:fill="FFFFFF"/>
        </w:rPr>
        <w:t>26</w:t>
      </w:r>
      <w:r w:rsidRPr="002154F4">
        <w:rPr>
          <w:color w:val="222222"/>
          <w:shd w:val="clear" w:color="auto" w:fill="FFFFFF"/>
        </w:rPr>
        <w:t>, 323-342.</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Nemeth, E., Rivera, S., Gabayan, V., Keller, C., Taudorf, S., Pedersen, B. K., &amp; Ganz, T. (2004). IL-6 mediates hypoferremia of inflammation by inducing the synthesis of the iron regulatory hormone hepcidin. </w:t>
      </w:r>
      <w:r w:rsidRPr="002154F4">
        <w:rPr>
          <w:i/>
          <w:iCs/>
          <w:color w:val="222222"/>
          <w:shd w:val="clear" w:color="auto" w:fill="FFFFFF"/>
        </w:rPr>
        <w:t>The Journal of clinical investigation</w:t>
      </w:r>
      <w:r w:rsidRPr="002154F4">
        <w:rPr>
          <w:color w:val="222222"/>
          <w:shd w:val="clear" w:color="auto" w:fill="FFFFFF"/>
        </w:rPr>
        <w:t>, </w:t>
      </w:r>
      <w:r w:rsidRPr="002154F4">
        <w:rPr>
          <w:i/>
          <w:iCs/>
          <w:color w:val="222222"/>
          <w:shd w:val="clear" w:color="auto" w:fill="FFFFFF"/>
        </w:rPr>
        <w:t>113</w:t>
      </w:r>
      <w:r w:rsidRPr="002154F4">
        <w:rPr>
          <w:color w:val="222222"/>
          <w:shd w:val="clear" w:color="auto" w:fill="FFFFFF"/>
        </w:rPr>
        <w:t>(9), 1271-1276.</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Nguyen, N. B., Callaghan, K. D., Ghio, A. J., Haile, D. J., &amp; Yang, F. (2006). Hepcidin expression and iron transport in alveolar macrophages. </w:t>
      </w:r>
      <w:r w:rsidRPr="002154F4">
        <w:rPr>
          <w:i/>
          <w:iCs/>
          <w:color w:val="222222"/>
          <w:shd w:val="clear" w:color="auto" w:fill="FFFFFF"/>
        </w:rPr>
        <w:t>American Journal of Physiology-Lung Cellular and Molecular Physiology</w:t>
      </w:r>
      <w:r w:rsidRPr="002154F4">
        <w:rPr>
          <w:color w:val="222222"/>
          <w:shd w:val="clear" w:color="auto" w:fill="FFFFFF"/>
        </w:rPr>
        <w:t>, </w:t>
      </w:r>
      <w:r w:rsidRPr="002154F4">
        <w:rPr>
          <w:i/>
          <w:iCs/>
          <w:color w:val="222222"/>
          <w:shd w:val="clear" w:color="auto" w:fill="FFFFFF"/>
        </w:rPr>
        <w:t>291</w:t>
      </w:r>
      <w:r w:rsidRPr="002154F4">
        <w:rPr>
          <w:color w:val="222222"/>
          <w:shd w:val="clear" w:color="auto" w:fill="FFFFFF"/>
        </w:rPr>
        <w:t>(3), L417-L425.</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Nicolas, G., Chauvet, C., Viatte, L., Danan, J. L., Bigard, X., Devaux, I., ... &amp; Vaulont, S. (2002). The gene encoding the iron regulatory peptide hepcidin is regulated by anemia, hypoxia, and inflammation. </w:t>
      </w:r>
      <w:r w:rsidRPr="002154F4">
        <w:rPr>
          <w:i/>
          <w:iCs/>
          <w:color w:val="222222"/>
          <w:shd w:val="clear" w:color="auto" w:fill="FFFFFF"/>
        </w:rPr>
        <w:t>The Journal of clinical investigation</w:t>
      </w:r>
      <w:r w:rsidRPr="002154F4">
        <w:rPr>
          <w:color w:val="222222"/>
          <w:shd w:val="clear" w:color="auto" w:fill="FFFFFF"/>
        </w:rPr>
        <w:t>, </w:t>
      </w:r>
      <w:r w:rsidRPr="002154F4">
        <w:rPr>
          <w:i/>
          <w:iCs/>
          <w:color w:val="222222"/>
          <w:shd w:val="clear" w:color="auto" w:fill="FFFFFF"/>
        </w:rPr>
        <w:t>110</w:t>
      </w:r>
      <w:r w:rsidRPr="002154F4">
        <w:rPr>
          <w:color w:val="222222"/>
          <w:shd w:val="clear" w:color="auto" w:fill="FFFFFF"/>
        </w:rPr>
        <w:t>(7), 1037-1044.</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Nohe, A., Keating, E., Underhill, T. M., Knaus, P., &amp; Petersen, N. O. (2003). Effect of the distribution and clustering of the type IA BMP receptor (ALK3) with the type II BMP receptor on the activation of signalling pathways. </w:t>
      </w:r>
      <w:r w:rsidRPr="002154F4">
        <w:rPr>
          <w:i/>
          <w:iCs/>
          <w:color w:val="222222"/>
          <w:shd w:val="clear" w:color="auto" w:fill="FFFFFF"/>
        </w:rPr>
        <w:t>Journal of cell science</w:t>
      </w:r>
      <w:r w:rsidRPr="002154F4">
        <w:rPr>
          <w:color w:val="222222"/>
          <w:shd w:val="clear" w:color="auto" w:fill="FFFFFF"/>
        </w:rPr>
        <w:t>, </w:t>
      </w:r>
      <w:r w:rsidRPr="002154F4">
        <w:rPr>
          <w:i/>
          <w:iCs/>
          <w:color w:val="222222"/>
          <w:shd w:val="clear" w:color="auto" w:fill="FFFFFF"/>
        </w:rPr>
        <w:t>116</w:t>
      </w:r>
      <w:r w:rsidRPr="002154F4">
        <w:rPr>
          <w:color w:val="222222"/>
          <w:shd w:val="clear" w:color="auto" w:fill="FFFFFF"/>
        </w:rPr>
        <w:t>(16), 3277-3284.</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Noorali, S., Kurita, T., Woolcock, B., De Algara, T. R., Lo, M., Paralkar, V., ... &amp; Vielkind, J. (2007). Dynamics of expression of growth differentiation factor 15 in normal and PIN development in the mouse. </w:t>
      </w:r>
      <w:r w:rsidRPr="002154F4">
        <w:rPr>
          <w:i/>
          <w:iCs/>
          <w:color w:val="222222"/>
          <w:shd w:val="clear" w:color="auto" w:fill="FFFFFF"/>
        </w:rPr>
        <w:t>Differentiation</w:t>
      </w:r>
      <w:r w:rsidRPr="002154F4">
        <w:rPr>
          <w:color w:val="222222"/>
          <w:shd w:val="clear" w:color="auto" w:fill="FFFFFF"/>
        </w:rPr>
        <w:t>, </w:t>
      </w:r>
      <w:r w:rsidRPr="002154F4">
        <w:rPr>
          <w:i/>
          <w:iCs/>
          <w:color w:val="222222"/>
          <w:shd w:val="clear" w:color="auto" w:fill="FFFFFF"/>
        </w:rPr>
        <w:t>75</w:t>
      </w:r>
      <w:r w:rsidRPr="002154F4">
        <w:rPr>
          <w:color w:val="222222"/>
          <w:shd w:val="clear" w:color="auto" w:fill="FFFFFF"/>
        </w:rPr>
        <w:t>(4), 325-336.</w:t>
      </w:r>
      <w:r w:rsidRPr="002154F4">
        <w:rPr>
          <w:color w:val="222222"/>
          <w:shd w:val="clear" w:color="auto" w:fill="FFFFFF"/>
          <w:rtl/>
        </w:rPr>
        <w:t>‏</w:t>
      </w:r>
    </w:p>
    <w:p w:rsidR="002154F4" w:rsidRPr="002154F4" w:rsidRDefault="002154F4" w:rsidP="002154F4">
      <w:pPr>
        <w:spacing w:line="276" w:lineRule="auto"/>
        <w:ind w:left="709" w:hanging="709"/>
      </w:pPr>
      <w:r w:rsidRPr="002154F4">
        <w:rPr>
          <w:color w:val="222222"/>
          <w:shd w:val="clear" w:color="auto" w:fill="FFFFFF"/>
        </w:rPr>
        <w:t>Ostroukhova, M., Qi, Z., Oriss, T. B., Dixon-McCarthy, B., &amp; Ray, A. (2006). Treg-mediated immunosuppression involves activation of the Notch-HES1 axis by membrane-bound TGF-β. </w:t>
      </w:r>
      <w:r w:rsidRPr="002154F4">
        <w:rPr>
          <w:i/>
          <w:iCs/>
          <w:color w:val="222222"/>
          <w:shd w:val="clear" w:color="auto" w:fill="FFFFFF"/>
        </w:rPr>
        <w:t>The Journal of clinical investigation</w:t>
      </w:r>
      <w:r w:rsidRPr="002154F4">
        <w:rPr>
          <w:color w:val="222222"/>
          <w:shd w:val="clear" w:color="auto" w:fill="FFFFFF"/>
        </w:rPr>
        <w:t>, </w:t>
      </w:r>
      <w:r w:rsidRPr="002154F4">
        <w:rPr>
          <w:i/>
          <w:iCs/>
          <w:color w:val="222222"/>
          <w:shd w:val="clear" w:color="auto" w:fill="FFFFFF"/>
        </w:rPr>
        <w:t>116</w:t>
      </w:r>
      <w:r w:rsidRPr="002154F4">
        <w:rPr>
          <w:color w:val="222222"/>
          <w:shd w:val="clear" w:color="auto" w:fill="FFFFFF"/>
        </w:rPr>
        <w:t>(4), 996-1004.</w:t>
      </w:r>
      <w:r w:rsidRPr="002154F4">
        <w:rPr>
          <w:color w:val="222222"/>
          <w:shd w:val="clear" w:color="auto" w:fill="FFFFFF"/>
          <w:rtl/>
        </w:rPr>
        <w:t>‏</w:t>
      </w:r>
    </w:p>
    <w:p w:rsidR="002154F4" w:rsidRPr="002154F4" w:rsidRDefault="002154F4" w:rsidP="002154F4">
      <w:pPr>
        <w:spacing w:after="120" w:line="276" w:lineRule="auto"/>
        <w:ind w:left="709" w:right="122" w:hanging="709"/>
        <w:rPr>
          <w:spacing w:val="-1"/>
        </w:rPr>
      </w:pPr>
      <w:r w:rsidRPr="002154F4">
        <w:rPr>
          <w:spacing w:val="-1"/>
        </w:rPr>
        <w:t>Park,</w:t>
      </w:r>
      <w:r w:rsidRPr="002154F4">
        <w:rPr>
          <w:spacing w:val="-2"/>
        </w:rPr>
        <w:t>C.H.,</w:t>
      </w:r>
      <w:r w:rsidRPr="002154F4">
        <w:rPr>
          <w:spacing w:val="-1"/>
        </w:rPr>
        <w:t>Valore,</w:t>
      </w:r>
      <w:r w:rsidRPr="002154F4">
        <w:rPr>
          <w:spacing w:val="-2"/>
        </w:rPr>
        <w:t>E.V.,</w:t>
      </w:r>
      <w:r w:rsidRPr="002154F4">
        <w:rPr>
          <w:spacing w:val="-1"/>
        </w:rPr>
        <w:t>Waring,</w:t>
      </w:r>
      <w:r w:rsidRPr="002154F4">
        <w:rPr>
          <w:spacing w:val="-2"/>
        </w:rPr>
        <w:t>A.J.,</w:t>
      </w:r>
      <w:r w:rsidRPr="002154F4">
        <w:t>&amp;</w:t>
      </w:r>
      <w:r w:rsidRPr="002154F4">
        <w:rPr>
          <w:spacing w:val="-1"/>
        </w:rPr>
        <w:t>Ganz,</w:t>
      </w:r>
      <w:r w:rsidRPr="002154F4">
        <w:t>T.</w:t>
      </w:r>
      <w:r w:rsidRPr="002154F4">
        <w:rPr>
          <w:spacing w:val="-1"/>
        </w:rPr>
        <w:t>2001.Hepcidin,</w:t>
      </w:r>
      <w:r w:rsidRPr="002154F4">
        <w:t>a</w:t>
      </w:r>
      <w:r w:rsidRPr="002154F4">
        <w:rPr>
          <w:spacing w:val="-1"/>
        </w:rPr>
        <w:t>urinaryantimicrobialpeptidesynthesizedintheliver.</w:t>
      </w:r>
      <w:r w:rsidRPr="002154F4">
        <w:rPr>
          <w:i/>
          <w:spacing w:val="-1"/>
        </w:rPr>
        <w:t>J.Biol.Chem.</w:t>
      </w:r>
      <w:r w:rsidRPr="002154F4">
        <w:rPr>
          <w:spacing w:val="-1"/>
        </w:rPr>
        <w:t>, 276, (11) 7806-7810</w:t>
      </w:r>
      <w:r w:rsidRPr="002154F4">
        <w:t xml:space="preserve">. </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Parker, C. (2003). Active surveillance: an individualized approach to early prostate cancer. </w:t>
      </w:r>
      <w:r w:rsidRPr="002154F4">
        <w:rPr>
          <w:i/>
          <w:iCs/>
          <w:color w:val="222222"/>
          <w:shd w:val="clear" w:color="auto" w:fill="FFFFFF"/>
        </w:rPr>
        <w:t>BJU international</w:t>
      </w:r>
      <w:r w:rsidRPr="002154F4">
        <w:rPr>
          <w:color w:val="222222"/>
          <w:shd w:val="clear" w:color="auto" w:fill="FFFFFF"/>
        </w:rPr>
        <w:t>, </w:t>
      </w:r>
      <w:r w:rsidRPr="002154F4">
        <w:rPr>
          <w:i/>
          <w:iCs/>
          <w:color w:val="222222"/>
          <w:shd w:val="clear" w:color="auto" w:fill="FFFFFF"/>
        </w:rPr>
        <w:t>92</w:t>
      </w:r>
      <w:r w:rsidRPr="002154F4">
        <w:rPr>
          <w:color w:val="222222"/>
          <w:shd w:val="clear" w:color="auto" w:fill="FFFFFF"/>
        </w:rPr>
        <w:t>(1), 2-3.</w:t>
      </w:r>
    </w:p>
    <w:p w:rsidR="002154F4" w:rsidRPr="002154F4" w:rsidRDefault="002154F4" w:rsidP="002154F4">
      <w:pPr>
        <w:spacing w:line="276" w:lineRule="auto"/>
        <w:ind w:left="709" w:hanging="709"/>
      </w:pPr>
      <w:r w:rsidRPr="002154F4">
        <w:rPr>
          <w:color w:val="222222"/>
          <w:shd w:val="clear" w:color="auto" w:fill="FFFFFF"/>
        </w:rPr>
        <w:t>Paul, B. Y., Hong, C. C., Sachidanandan, C., Babitt, J. L., Deng, D. Y., Hoyng, S. A., ... &amp; Peterson, R. T. (2008). Dorsomorphin inhibits BMP signals required for embryogenesis and iron metabolism. </w:t>
      </w:r>
      <w:r w:rsidRPr="002154F4">
        <w:rPr>
          <w:i/>
          <w:iCs/>
          <w:color w:val="222222"/>
          <w:shd w:val="clear" w:color="auto" w:fill="FFFFFF"/>
        </w:rPr>
        <w:t>Nature chemical biology</w:t>
      </w:r>
      <w:r w:rsidRPr="002154F4">
        <w:rPr>
          <w:color w:val="222222"/>
          <w:shd w:val="clear" w:color="auto" w:fill="FFFFFF"/>
        </w:rPr>
        <w:t>, </w:t>
      </w:r>
      <w:r w:rsidRPr="002154F4">
        <w:rPr>
          <w:i/>
          <w:iCs/>
          <w:color w:val="222222"/>
          <w:shd w:val="clear" w:color="auto" w:fill="FFFFFF"/>
        </w:rPr>
        <w:t>4</w:t>
      </w:r>
      <w:r w:rsidRPr="002154F4">
        <w:rPr>
          <w:color w:val="222222"/>
          <w:shd w:val="clear" w:color="auto" w:fill="FFFFFF"/>
        </w:rPr>
        <w:t>(1), 33-41.</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Peslova, G., Petrak, J., Kuzelova, K., Hrdy, I., Halada, P., Kuchel, P. W., ... &amp; Huang, M. L. H. (2009). Hepcidin, the hormone of iron metabolism, is bound specifically to α-2-macroglobulin in blood. </w:t>
      </w:r>
      <w:r w:rsidRPr="002154F4">
        <w:rPr>
          <w:i/>
          <w:iCs/>
          <w:color w:val="222222"/>
          <w:shd w:val="clear" w:color="auto" w:fill="FFFFFF"/>
        </w:rPr>
        <w:t>Blood</w:t>
      </w:r>
      <w:r w:rsidRPr="002154F4">
        <w:rPr>
          <w:color w:val="222222"/>
          <w:shd w:val="clear" w:color="auto" w:fill="FFFFFF"/>
        </w:rPr>
        <w:t>, </w:t>
      </w:r>
      <w:r w:rsidRPr="002154F4">
        <w:rPr>
          <w:i/>
          <w:iCs/>
          <w:color w:val="222222"/>
          <w:shd w:val="clear" w:color="auto" w:fill="FFFFFF"/>
        </w:rPr>
        <w:t>113</w:t>
      </w:r>
      <w:r w:rsidRPr="002154F4">
        <w:rPr>
          <w:color w:val="222222"/>
          <w:shd w:val="clear" w:color="auto" w:fill="FFFFFF"/>
        </w:rPr>
        <w:t>(24), 6225-6236.</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tl/>
          <w:lang w:bidi="ar-IQ"/>
        </w:rPr>
      </w:pPr>
      <w:r w:rsidRPr="002154F4">
        <w:rPr>
          <w:color w:val="222222"/>
          <w:shd w:val="clear" w:color="auto" w:fill="FFFFFF"/>
        </w:rPr>
        <w:t>Peters, H. P., Laarakkers, C. M., Swinkels, D. W., &amp; Wetzels, J. F. (2010). Serum hepcidin-25 levels in patients with chronic kidney disease are independent of glomerular filtration rate. </w:t>
      </w:r>
      <w:r w:rsidRPr="002154F4">
        <w:rPr>
          <w:i/>
          <w:iCs/>
          <w:color w:val="222222"/>
          <w:shd w:val="clear" w:color="auto" w:fill="FFFFFF"/>
        </w:rPr>
        <w:t>Nephrology Dialysis Transplantation</w:t>
      </w:r>
      <w:r w:rsidRPr="002154F4">
        <w:rPr>
          <w:color w:val="222222"/>
          <w:shd w:val="clear" w:color="auto" w:fill="FFFFFF"/>
        </w:rPr>
        <w:t>, </w:t>
      </w:r>
      <w:r w:rsidRPr="002154F4">
        <w:rPr>
          <w:i/>
          <w:iCs/>
          <w:color w:val="222222"/>
          <w:shd w:val="clear" w:color="auto" w:fill="FFFFFF"/>
        </w:rPr>
        <w:t>25</w:t>
      </w:r>
      <w:r w:rsidRPr="002154F4">
        <w:rPr>
          <w:color w:val="222222"/>
          <w:shd w:val="clear" w:color="auto" w:fill="FFFFFF"/>
        </w:rPr>
        <w:t>(3), 848-853.</w:t>
      </w:r>
      <w:r w:rsidRPr="002154F4">
        <w:rPr>
          <w:color w:val="222222"/>
          <w:shd w:val="clear" w:color="auto" w:fill="FFFFFF"/>
          <w:rtl/>
        </w:rPr>
        <w:t xml:space="preserve"> ‏</w:t>
      </w:r>
    </w:p>
    <w:p w:rsidR="002154F4" w:rsidRPr="002154F4" w:rsidRDefault="002154F4" w:rsidP="002154F4">
      <w:pPr>
        <w:spacing w:line="276" w:lineRule="auto"/>
        <w:ind w:left="709" w:hanging="709"/>
        <w:rPr>
          <w:color w:val="222222"/>
          <w:shd w:val="clear" w:color="auto" w:fill="FFFFFF"/>
          <w:lang w:bidi="ar-IQ"/>
        </w:rPr>
      </w:pPr>
      <w:r w:rsidRPr="002154F4">
        <w:rPr>
          <w:color w:val="222222"/>
          <w:shd w:val="clear" w:color="auto" w:fill="FFFFFF"/>
        </w:rPr>
        <w:t>Peyssonnaux, C., Zinkernagel, A. S., Datta, V., Lauth, X., Johnson, R. S., &amp; Nizet, V. (2006). TLR4-dependent hepcidin expression by myeloid cells in response to bacterial pathogens. </w:t>
      </w:r>
      <w:r w:rsidRPr="002154F4">
        <w:rPr>
          <w:i/>
          <w:iCs/>
          <w:color w:val="222222"/>
          <w:shd w:val="clear" w:color="auto" w:fill="FFFFFF"/>
        </w:rPr>
        <w:t>Blood</w:t>
      </w:r>
      <w:r w:rsidRPr="002154F4">
        <w:rPr>
          <w:color w:val="222222"/>
          <w:shd w:val="clear" w:color="auto" w:fill="FFFFFF"/>
        </w:rPr>
        <w:t>, </w:t>
      </w:r>
      <w:r w:rsidRPr="002154F4">
        <w:rPr>
          <w:i/>
          <w:iCs/>
          <w:color w:val="222222"/>
          <w:shd w:val="clear" w:color="auto" w:fill="FFFFFF"/>
        </w:rPr>
        <w:t>107</w:t>
      </w:r>
      <w:r w:rsidRPr="002154F4">
        <w:rPr>
          <w:color w:val="222222"/>
          <w:shd w:val="clear" w:color="auto" w:fill="FFFFFF"/>
        </w:rPr>
        <w:t>(9), 3727-3732.</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Pietrangelo, A. (2011). Hepcidin in human iron disorders: therapeutic implications. </w:t>
      </w:r>
      <w:r w:rsidRPr="002154F4">
        <w:rPr>
          <w:i/>
          <w:iCs/>
          <w:color w:val="222222"/>
          <w:shd w:val="clear" w:color="auto" w:fill="FFFFFF"/>
        </w:rPr>
        <w:t>Journal of hepatology</w:t>
      </w:r>
      <w:r w:rsidRPr="002154F4">
        <w:rPr>
          <w:color w:val="222222"/>
          <w:shd w:val="clear" w:color="auto" w:fill="FFFFFF"/>
        </w:rPr>
        <w:t>, </w:t>
      </w:r>
      <w:r w:rsidRPr="002154F4">
        <w:rPr>
          <w:i/>
          <w:iCs/>
          <w:color w:val="222222"/>
          <w:shd w:val="clear" w:color="auto" w:fill="FFFFFF"/>
        </w:rPr>
        <w:t>54</w:t>
      </w:r>
      <w:r w:rsidRPr="002154F4">
        <w:rPr>
          <w:color w:val="222222"/>
          <w:shd w:val="clear" w:color="auto" w:fill="FFFFFF"/>
        </w:rPr>
        <w:t>(1), 173-181.</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lang w:bidi="ar-IQ"/>
        </w:rPr>
      </w:pPr>
      <w:r w:rsidRPr="002154F4">
        <w:rPr>
          <w:color w:val="222222"/>
          <w:shd w:val="clear" w:color="auto" w:fill="FFFFFF"/>
        </w:rPr>
        <w:t>Pigeon, C., Ilyin, G., Courselaud, B., Leroyer, P., Turlin, B., Brissot, P., &amp; Loréal, O. (2001). A new mouse liver-specific gene, encoding a protein homologous to human antimicrobial peptide hepcidin, is overexpressed during iron overload. </w:t>
      </w:r>
      <w:r w:rsidRPr="002154F4">
        <w:rPr>
          <w:i/>
          <w:iCs/>
          <w:color w:val="222222"/>
          <w:shd w:val="clear" w:color="auto" w:fill="FFFFFF"/>
        </w:rPr>
        <w:t>Journal of biological chemistry</w:t>
      </w:r>
      <w:r w:rsidRPr="002154F4">
        <w:rPr>
          <w:color w:val="222222"/>
          <w:shd w:val="clear" w:color="auto" w:fill="FFFFFF"/>
        </w:rPr>
        <w:t>, </w:t>
      </w:r>
      <w:r w:rsidRPr="002154F4">
        <w:rPr>
          <w:i/>
          <w:iCs/>
          <w:color w:val="222222"/>
          <w:shd w:val="clear" w:color="auto" w:fill="FFFFFF"/>
        </w:rPr>
        <w:t>276</w:t>
      </w:r>
      <w:r w:rsidRPr="002154F4">
        <w:rPr>
          <w:color w:val="222222"/>
          <w:shd w:val="clear" w:color="auto" w:fill="FFFFFF"/>
        </w:rPr>
        <w:t xml:space="preserve">(11), 7811-7819. </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Qi, H., Labrie, Y., Grenier, J., Fournier, A., Fillion, C., &amp; Labrie, C. (2001). Androgens induce expression of SPAK, a STE20/SPS1-related kinase, in LNCaP human prostate cancer cells. </w:t>
      </w:r>
      <w:r w:rsidRPr="002154F4">
        <w:rPr>
          <w:i/>
          <w:iCs/>
          <w:color w:val="222222"/>
          <w:shd w:val="clear" w:color="auto" w:fill="FFFFFF"/>
        </w:rPr>
        <w:t>Molecular and cellular endocrinology</w:t>
      </w:r>
      <w:r w:rsidRPr="002154F4">
        <w:rPr>
          <w:color w:val="222222"/>
          <w:shd w:val="clear" w:color="auto" w:fill="FFFFFF"/>
        </w:rPr>
        <w:t>, </w:t>
      </w:r>
      <w:r w:rsidRPr="002154F4">
        <w:rPr>
          <w:i/>
          <w:iCs/>
          <w:color w:val="222222"/>
          <w:shd w:val="clear" w:color="auto" w:fill="FFFFFF"/>
        </w:rPr>
        <w:t>182</w:t>
      </w:r>
      <w:r w:rsidRPr="002154F4">
        <w:rPr>
          <w:color w:val="222222"/>
          <w:shd w:val="clear" w:color="auto" w:fill="FFFFFF"/>
        </w:rPr>
        <w:t>(2), 181-192.</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Ramsay, A. J., Quesada, V., Sanchez, M., Garabaya, C., Sardà, M. P., Baiget, M., ... &amp; López-Otín, C. (2009). Matriptase-2 mutations in iron-refractory iron deficiency anemia patients provide new insights into protease activation mechanisms. </w:t>
      </w:r>
      <w:r w:rsidRPr="002154F4">
        <w:rPr>
          <w:i/>
          <w:iCs/>
          <w:color w:val="222222"/>
          <w:shd w:val="clear" w:color="auto" w:fill="FFFFFF"/>
        </w:rPr>
        <w:t>Human molecular genetics</w:t>
      </w:r>
      <w:r w:rsidRPr="002154F4">
        <w:rPr>
          <w:color w:val="222222"/>
          <w:shd w:val="clear" w:color="auto" w:fill="FFFFFF"/>
        </w:rPr>
        <w:t>, </w:t>
      </w:r>
      <w:r w:rsidRPr="002154F4">
        <w:rPr>
          <w:i/>
          <w:iCs/>
          <w:color w:val="222222"/>
          <w:shd w:val="clear" w:color="auto" w:fill="FFFFFF"/>
        </w:rPr>
        <w:t>18</w:t>
      </w:r>
      <w:r w:rsidRPr="002154F4">
        <w:rPr>
          <w:color w:val="222222"/>
          <w:shd w:val="clear" w:color="auto" w:fill="FFFFFF"/>
        </w:rPr>
        <w:t>(19), 3673-3683.</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Robboy, S. J. (2009). </w:t>
      </w:r>
      <w:r w:rsidRPr="002154F4">
        <w:rPr>
          <w:i/>
          <w:iCs/>
          <w:color w:val="222222"/>
          <w:shd w:val="clear" w:color="auto" w:fill="FFFFFF"/>
        </w:rPr>
        <w:t>Robboy's pathology of the female reproductive tract</w:t>
      </w:r>
      <w:r w:rsidRPr="002154F4">
        <w:rPr>
          <w:color w:val="222222"/>
          <w:shd w:val="clear" w:color="auto" w:fill="FFFFFF"/>
        </w:rPr>
        <w:t>. Elsevier Health Sciences.</w:t>
      </w:r>
    </w:p>
    <w:p w:rsidR="002154F4" w:rsidRPr="002154F4" w:rsidRDefault="002154F4" w:rsidP="002154F4">
      <w:pPr>
        <w:spacing w:line="276" w:lineRule="auto"/>
        <w:ind w:left="709" w:hanging="709"/>
      </w:pPr>
      <w:r w:rsidRPr="002154F4">
        <w:t>Rodriguez, C., Freedland, S. J., Deka, A., Jacobs, E. J., McCullough, M. L., Patel, A. V., ... &amp; Calle, E. E. (2007). Body mass index, weight change, and risk of prostate cancer in the Cancer Prevention Study II Nutrition Cohort. Cancer Epidemiology and Prevention Biomarkers, 16(1), 63-69.</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Roetto, A., Papanikolaou, G., Politou, M., Alberti, F., Girelli, D., Christakis, J., ... &amp; Camaschella, C. (2003). Mutant antimicrobial peptide hepcidin is associated with severe juvenile hemochromatosis. </w:t>
      </w:r>
      <w:r w:rsidRPr="002154F4">
        <w:rPr>
          <w:i/>
          <w:iCs/>
          <w:color w:val="222222"/>
          <w:shd w:val="clear" w:color="auto" w:fill="FFFFFF"/>
        </w:rPr>
        <w:t>Nature genetics</w:t>
      </w:r>
      <w:r w:rsidRPr="002154F4">
        <w:rPr>
          <w:color w:val="222222"/>
          <w:shd w:val="clear" w:color="auto" w:fill="FFFFFF"/>
        </w:rPr>
        <w:t>, </w:t>
      </w:r>
      <w:r w:rsidRPr="002154F4">
        <w:rPr>
          <w:i/>
          <w:iCs/>
          <w:color w:val="222222"/>
          <w:shd w:val="clear" w:color="auto" w:fill="FFFFFF"/>
        </w:rPr>
        <w:t>33</w:t>
      </w:r>
      <w:r w:rsidRPr="002154F4">
        <w:rPr>
          <w:color w:val="222222"/>
          <w:shd w:val="clear" w:color="auto" w:fill="FFFFFF"/>
        </w:rPr>
        <w:t>(1), 21-22.</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Roth, P., Junker, M., Tritschler, I., Mittelbronn, M., Dombrowski, Y., Breit, S. N., ... &amp; Wischhusen, J. (2010). GDF-15 contributes to proliferation and immune escape of malignant gliomas. </w:t>
      </w:r>
      <w:r w:rsidRPr="002154F4">
        <w:rPr>
          <w:i/>
          <w:iCs/>
          <w:color w:val="222222"/>
          <w:shd w:val="clear" w:color="auto" w:fill="FFFFFF"/>
        </w:rPr>
        <w:t>Clinical Cancer Research</w:t>
      </w:r>
      <w:r w:rsidRPr="002154F4">
        <w:rPr>
          <w:color w:val="222222"/>
          <w:shd w:val="clear" w:color="auto" w:fill="FFFFFF"/>
        </w:rPr>
        <w:t>, </w:t>
      </w:r>
      <w:r w:rsidRPr="002154F4">
        <w:rPr>
          <w:i/>
          <w:iCs/>
          <w:color w:val="222222"/>
          <w:shd w:val="clear" w:color="auto" w:fill="FFFFFF"/>
        </w:rPr>
        <w:t>16</w:t>
      </w:r>
      <w:r w:rsidRPr="002154F4">
        <w:rPr>
          <w:color w:val="222222"/>
          <w:shd w:val="clear" w:color="auto" w:fill="FFFFFF"/>
        </w:rPr>
        <w:t xml:space="preserve">(15), 3851-3859. </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Sadar, M. D., Hussain, M., &amp; Bruchovsky, N. (1999). Prostate cancer: molecular biology of early progression to androgen independence. </w:t>
      </w:r>
      <w:r w:rsidRPr="002154F4">
        <w:rPr>
          <w:i/>
          <w:iCs/>
          <w:color w:val="222222"/>
          <w:shd w:val="clear" w:color="auto" w:fill="FFFFFF"/>
        </w:rPr>
        <w:t>Endocrine-Related Cancer</w:t>
      </w:r>
      <w:r w:rsidRPr="002154F4">
        <w:rPr>
          <w:color w:val="222222"/>
          <w:shd w:val="clear" w:color="auto" w:fill="FFFFFF"/>
        </w:rPr>
        <w:t>, </w:t>
      </w:r>
      <w:r w:rsidRPr="002154F4">
        <w:rPr>
          <w:i/>
          <w:iCs/>
          <w:color w:val="222222"/>
          <w:shd w:val="clear" w:color="auto" w:fill="FFFFFF"/>
        </w:rPr>
        <w:t>6</w:t>
      </w:r>
      <w:r w:rsidRPr="002154F4">
        <w:rPr>
          <w:color w:val="222222"/>
          <w:shd w:val="clear" w:color="auto" w:fill="FFFFFF"/>
        </w:rPr>
        <w:t>(4), 487-502.</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Sakr, W. A., Grignon, D. J., Haas, G. P., Heilbrun, L. K., Pontes, J. E., &amp; Crissmana, J. D. (1996). Age and racial distribution of prostatic intraepithelial neoplasia. </w:t>
      </w:r>
      <w:r w:rsidRPr="002154F4">
        <w:rPr>
          <w:i/>
          <w:iCs/>
          <w:color w:val="222222"/>
          <w:shd w:val="clear" w:color="auto" w:fill="FFFFFF"/>
        </w:rPr>
        <w:t>European urology</w:t>
      </w:r>
      <w:r w:rsidRPr="002154F4">
        <w:rPr>
          <w:color w:val="222222"/>
          <w:shd w:val="clear" w:color="auto" w:fill="FFFFFF"/>
        </w:rPr>
        <w:t>, </w:t>
      </w:r>
      <w:r w:rsidRPr="002154F4">
        <w:rPr>
          <w:i/>
          <w:iCs/>
          <w:color w:val="222222"/>
          <w:shd w:val="clear" w:color="auto" w:fill="FFFFFF"/>
        </w:rPr>
        <w:t>30</w:t>
      </w:r>
      <w:r w:rsidRPr="002154F4">
        <w:rPr>
          <w:color w:val="222222"/>
          <w:shd w:val="clear" w:color="auto" w:fill="FFFFFF"/>
        </w:rPr>
        <w:t>, 138-144.</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Sanyal, C., Aprikian, A. G., Cury, F. L., Chevalier, S., &amp; Dragomir, A. (2016). Management of localized and advanced prostate cancer in Canada: A lifetime cost and quality</w:t>
      </w:r>
      <w:r w:rsidRPr="002154F4">
        <w:rPr>
          <w:rFonts w:ascii="Cambria Math" w:hAnsi="Cambria Math"/>
          <w:color w:val="222222"/>
          <w:shd w:val="clear" w:color="auto" w:fill="FFFFFF"/>
        </w:rPr>
        <w:t>‐</w:t>
      </w:r>
      <w:r w:rsidRPr="002154F4">
        <w:rPr>
          <w:color w:val="222222"/>
          <w:shd w:val="clear" w:color="auto" w:fill="FFFFFF"/>
        </w:rPr>
        <w:t>adjusted life</w:t>
      </w:r>
      <w:r w:rsidRPr="002154F4">
        <w:rPr>
          <w:rFonts w:ascii="Cambria Math" w:hAnsi="Cambria Math"/>
          <w:color w:val="222222"/>
          <w:shd w:val="clear" w:color="auto" w:fill="FFFFFF"/>
        </w:rPr>
        <w:t>‐</w:t>
      </w:r>
      <w:r w:rsidRPr="002154F4">
        <w:rPr>
          <w:color w:val="222222"/>
          <w:shd w:val="clear" w:color="auto" w:fill="FFFFFF"/>
        </w:rPr>
        <w:t>year analysis. </w:t>
      </w:r>
      <w:r w:rsidRPr="002154F4">
        <w:rPr>
          <w:i/>
          <w:iCs/>
          <w:color w:val="222222"/>
          <w:shd w:val="clear" w:color="auto" w:fill="FFFFFF"/>
        </w:rPr>
        <w:t>Cancer</w:t>
      </w:r>
      <w:r w:rsidRPr="002154F4">
        <w:rPr>
          <w:color w:val="222222"/>
          <w:shd w:val="clear" w:color="auto" w:fill="FFFFFF"/>
        </w:rPr>
        <w:t>, </w:t>
      </w:r>
      <w:r w:rsidRPr="002154F4">
        <w:rPr>
          <w:i/>
          <w:iCs/>
          <w:color w:val="222222"/>
          <w:shd w:val="clear" w:color="auto" w:fill="FFFFFF"/>
        </w:rPr>
        <w:t>122</w:t>
      </w:r>
      <w:r w:rsidRPr="002154F4">
        <w:rPr>
          <w:color w:val="222222"/>
          <w:shd w:val="clear" w:color="auto" w:fill="FFFFFF"/>
        </w:rPr>
        <w:t>(7), 1085-1096.</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Sasu, B. J., Cooke, K. S., Arvedson, T. L., Plewa, C., Ellison, A. R., Sheng, J., ... &amp; Molineux, G. (2010). Antihepcidin antibody treatment modulates iron metabolism and is effective in a mouse model of inflammation-induced anemia. </w:t>
      </w:r>
      <w:r w:rsidRPr="002154F4">
        <w:rPr>
          <w:i/>
          <w:iCs/>
          <w:color w:val="222222"/>
          <w:shd w:val="clear" w:color="auto" w:fill="FFFFFF"/>
        </w:rPr>
        <w:t>Blood</w:t>
      </w:r>
      <w:r w:rsidRPr="002154F4">
        <w:rPr>
          <w:color w:val="222222"/>
          <w:shd w:val="clear" w:color="auto" w:fill="FFFFFF"/>
        </w:rPr>
        <w:t>, </w:t>
      </w:r>
      <w:r w:rsidRPr="002154F4">
        <w:rPr>
          <w:i/>
          <w:iCs/>
          <w:color w:val="222222"/>
          <w:shd w:val="clear" w:color="auto" w:fill="FFFFFF"/>
        </w:rPr>
        <w:t>115</w:t>
      </w:r>
      <w:r w:rsidRPr="002154F4">
        <w:rPr>
          <w:color w:val="222222"/>
          <w:shd w:val="clear" w:color="auto" w:fill="FFFFFF"/>
        </w:rPr>
        <w:t>(17), 3616-3624.</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Schmeichel, K. L., &amp; Bissell, M. J. (2003). Modeling tissue-specific signaling and organ function in three dimensions. </w:t>
      </w:r>
      <w:r w:rsidRPr="002154F4">
        <w:rPr>
          <w:i/>
          <w:iCs/>
          <w:color w:val="222222"/>
          <w:shd w:val="clear" w:color="auto" w:fill="FFFFFF"/>
        </w:rPr>
        <w:t>Journal of cell science</w:t>
      </w:r>
      <w:r w:rsidRPr="002154F4">
        <w:rPr>
          <w:color w:val="222222"/>
          <w:shd w:val="clear" w:color="auto" w:fill="FFFFFF"/>
        </w:rPr>
        <w:t>, </w:t>
      </w:r>
      <w:r w:rsidRPr="002154F4">
        <w:rPr>
          <w:i/>
          <w:iCs/>
          <w:color w:val="222222"/>
          <w:shd w:val="clear" w:color="auto" w:fill="FFFFFF"/>
        </w:rPr>
        <w:t>116</w:t>
      </w:r>
      <w:r w:rsidRPr="002154F4">
        <w:rPr>
          <w:color w:val="222222"/>
          <w:shd w:val="clear" w:color="auto" w:fill="FFFFFF"/>
        </w:rPr>
        <w:t>(12), 2377-2388.</w:t>
      </w:r>
      <w:r w:rsidRPr="002154F4">
        <w:rPr>
          <w:color w:val="222222"/>
          <w:shd w:val="clear" w:color="auto" w:fill="FFFFFF"/>
          <w:rtl/>
        </w:rPr>
        <w:t>‏</w:t>
      </w:r>
    </w:p>
    <w:p w:rsidR="002154F4" w:rsidRPr="002154F4" w:rsidRDefault="002154F4" w:rsidP="002154F4">
      <w:pPr>
        <w:spacing w:line="276" w:lineRule="auto"/>
        <w:ind w:left="709" w:hanging="709"/>
      </w:pPr>
      <w:r w:rsidRPr="002154F4">
        <w:rPr>
          <w:color w:val="222222"/>
          <w:shd w:val="clear" w:color="auto" w:fill="FFFFFF"/>
        </w:rPr>
        <w:t>Senapati, S., Rachagani, S., Chaudhary, K., Johansson, S. L., Singh, R. K., &amp; Batra, S. K. (2010). Overexpression of macrophage inhibitory cytokine-1 induces metastasis of human prostate cancer cells through the FAK–RhoA signaling pathway. </w:t>
      </w:r>
      <w:r w:rsidRPr="002154F4">
        <w:rPr>
          <w:i/>
          <w:iCs/>
          <w:color w:val="222222"/>
          <w:shd w:val="clear" w:color="auto" w:fill="FFFFFF"/>
        </w:rPr>
        <w:t>Oncogene</w:t>
      </w:r>
      <w:r w:rsidRPr="002154F4">
        <w:rPr>
          <w:color w:val="222222"/>
          <w:shd w:val="clear" w:color="auto" w:fill="FFFFFF"/>
        </w:rPr>
        <w:t>, </w:t>
      </w:r>
      <w:r w:rsidRPr="002154F4">
        <w:rPr>
          <w:i/>
          <w:iCs/>
          <w:color w:val="222222"/>
          <w:shd w:val="clear" w:color="auto" w:fill="FFFFFF"/>
        </w:rPr>
        <w:t>29</w:t>
      </w:r>
      <w:r w:rsidRPr="002154F4">
        <w:rPr>
          <w:color w:val="222222"/>
          <w:shd w:val="clear" w:color="auto" w:fill="FFFFFF"/>
        </w:rPr>
        <w:t>(9), 1293-1302.</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Si, Y., Liu, X., Cheng, M., Wang, M., Gong, Q., Yang, Y., ... &amp; Yang, W. (2011). Growth differentiation factor 15 is induced by hepatitis C virus infection and regulates hepatocellular carcinoma-related genes. </w:t>
      </w:r>
      <w:r w:rsidRPr="002154F4">
        <w:rPr>
          <w:i/>
          <w:iCs/>
          <w:color w:val="222222"/>
          <w:shd w:val="clear" w:color="auto" w:fill="FFFFFF"/>
        </w:rPr>
        <w:t>PLoS One</w:t>
      </w:r>
      <w:r w:rsidRPr="002154F4">
        <w:rPr>
          <w:color w:val="222222"/>
          <w:shd w:val="clear" w:color="auto" w:fill="FFFFFF"/>
        </w:rPr>
        <w:t>, </w:t>
      </w:r>
      <w:r w:rsidRPr="002154F4">
        <w:rPr>
          <w:i/>
          <w:iCs/>
          <w:color w:val="222222"/>
          <w:shd w:val="clear" w:color="auto" w:fill="FFFFFF"/>
        </w:rPr>
        <w:t>6</w:t>
      </w:r>
      <w:r w:rsidRPr="002154F4">
        <w:rPr>
          <w:color w:val="222222"/>
          <w:shd w:val="clear" w:color="auto" w:fill="FFFFFF"/>
        </w:rPr>
        <w:t>(5), e19967.</w:t>
      </w:r>
      <w:r w:rsidRPr="002154F4">
        <w:rPr>
          <w:color w:val="222222"/>
          <w:shd w:val="clear" w:color="auto" w:fill="FFFFFF"/>
          <w:rtl/>
        </w:rPr>
        <w:t>‏</w:t>
      </w:r>
    </w:p>
    <w:p w:rsidR="002154F4" w:rsidRPr="002154F4" w:rsidRDefault="002154F4" w:rsidP="002154F4">
      <w:pPr>
        <w:spacing w:line="276" w:lineRule="auto"/>
        <w:ind w:left="709" w:hanging="709"/>
      </w:pPr>
      <w:r w:rsidRPr="002154F4">
        <w:rPr>
          <w:color w:val="222222"/>
          <w:shd w:val="clear" w:color="auto" w:fill="FFFFFF"/>
        </w:rPr>
        <w:t>Silvestri, L., Pagani, A., Nai, A., De Domenico, I., Kaplan, J., &amp; Camaschella, C. (2008). The serine protease matriptase-2 (TMPRSS6) inhibits hepcidin activation by cleaving membrane hemojuvelin. </w:t>
      </w:r>
      <w:r w:rsidRPr="002154F4">
        <w:rPr>
          <w:i/>
          <w:iCs/>
          <w:color w:val="222222"/>
          <w:shd w:val="clear" w:color="auto" w:fill="FFFFFF"/>
        </w:rPr>
        <w:t>Cell metabolism</w:t>
      </w:r>
      <w:r w:rsidRPr="002154F4">
        <w:rPr>
          <w:color w:val="222222"/>
          <w:shd w:val="clear" w:color="auto" w:fill="FFFFFF"/>
        </w:rPr>
        <w:t>, </w:t>
      </w:r>
      <w:r w:rsidRPr="002154F4">
        <w:rPr>
          <w:i/>
          <w:iCs/>
          <w:color w:val="222222"/>
          <w:shd w:val="clear" w:color="auto" w:fill="FFFFFF"/>
        </w:rPr>
        <w:t>8</w:t>
      </w:r>
      <w:r w:rsidRPr="002154F4">
        <w:rPr>
          <w:color w:val="222222"/>
          <w:shd w:val="clear" w:color="auto" w:fill="FFFFFF"/>
        </w:rPr>
        <w:t>(6), 502-511.</w:t>
      </w:r>
      <w:r w:rsidRPr="002154F4">
        <w:rPr>
          <w:color w:val="222222"/>
          <w:shd w:val="clear" w:color="auto" w:fill="FFFFFF"/>
          <w:rtl/>
        </w:rPr>
        <w:t>‏</w:t>
      </w:r>
    </w:p>
    <w:p w:rsidR="002154F4" w:rsidRPr="002154F4" w:rsidRDefault="002154F4" w:rsidP="002154F4">
      <w:pPr>
        <w:spacing w:line="276" w:lineRule="auto"/>
        <w:ind w:left="1080" w:hanging="1080"/>
      </w:pPr>
      <w:r w:rsidRPr="002154F4">
        <w:t>Smith, M. R., Egerdie, B., Toriz, N. H., Feldman, R., Tammela, T. L., Saad, F.,&amp; Leder, B. Z. (2009). Denosumab in men receiving androgen-deprivation therapy for prostate cancer. New England Journal of Medicine, 361(8), 745-755.</w:t>
      </w:r>
    </w:p>
    <w:p w:rsidR="002154F4" w:rsidRPr="002154F4" w:rsidRDefault="002154F4" w:rsidP="002154F4">
      <w:pPr>
        <w:spacing w:line="276" w:lineRule="auto"/>
        <w:ind w:left="709" w:hanging="709"/>
      </w:pPr>
      <w:r w:rsidRPr="002154F4">
        <w:rPr>
          <w:color w:val="222222"/>
          <w:shd w:val="clear" w:color="auto" w:fill="FFFFFF"/>
        </w:rPr>
        <w:t>Souček, K., Slabáková, E., Ovesná, P., Malenovská, A., Kozubík, A., &amp; Hampl, A. (2010). Growth/differentiation factor-15 is an abundant cytokine in human seminal plasma. </w:t>
      </w:r>
      <w:r w:rsidRPr="002154F4">
        <w:rPr>
          <w:i/>
          <w:iCs/>
          <w:color w:val="222222"/>
          <w:shd w:val="clear" w:color="auto" w:fill="FFFFFF"/>
        </w:rPr>
        <w:t>Human reproduction</w:t>
      </w:r>
      <w:r w:rsidRPr="002154F4">
        <w:rPr>
          <w:color w:val="222222"/>
          <w:shd w:val="clear" w:color="auto" w:fill="FFFFFF"/>
        </w:rPr>
        <w:t>, </w:t>
      </w:r>
      <w:r w:rsidRPr="002154F4">
        <w:rPr>
          <w:i/>
          <w:iCs/>
          <w:color w:val="222222"/>
          <w:shd w:val="clear" w:color="auto" w:fill="FFFFFF"/>
        </w:rPr>
        <w:t>25</w:t>
      </w:r>
      <w:r w:rsidRPr="002154F4">
        <w:rPr>
          <w:color w:val="222222"/>
          <w:shd w:val="clear" w:color="auto" w:fill="FFFFFF"/>
        </w:rPr>
        <w:t>(12), 2962-2971.</w:t>
      </w:r>
      <w:r w:rsidRPr="002154F4">
        <w:rPr>
          <w:color w:val="222222"/>
          <w:shd w:val="clear" w:color="auto" w:fill="FFFFFF"/>
          <w:rtl/>
        </w:rPr>
        <w:t>‏</w:t>
      </w:r>
    </w:p>
    <w:p w:rsidR="002154F4" w:rsidRPr="002154F4" w:rsidRDefault="002154F4" w:rsidP="002154F4">
      <w:pPr>
        <w:spacing w:line="276" w:lineRule="auto"/>
        <w:ind w:left="709" w:hanging="709"/>
      </w:pPr>
      <w:r w:rsidRPr="002154F4">
        <w:t>Stark, J. R., Li, H., Kraft, P., Kurth, T., Giovannucci, E. L., Stampfer, M. J.,&amp; Mucci, L. A. (2009). Circulating prediagnostic interleukin‐6 and C‐reactive protein and prostate cancer incidence and mortality. International journal of cancer, 124(11), 2683-2689.</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Steinberg, D. M., Sauvageot, J., Piantadosi, S., &amp; Epstein, J. I. (1997). Correlation of prostate needle biopsy and radical prostatectomy Gleason grade in academic and community settings. </w:t>
      </w:r>
      <w:r w:rsidRPr="002154F4">
        <w:rPr>
          <w:i/>
          <w:iCs/>
          <w:color w:val="222222"/>
          <w:shd w:val="clear" w:color="auto" w:fill="FFFFFF"/>
        </w:rPr>
        <w:t>The American journal of surgical pathology</w:t>
      </w:r>
      <w:r w:rsidRPr="002154F4">
        <w:rPr>
          <w:color w:val="222222"/>
          <w:shd w:val="clear" w:color="auto" w:fill="FFFFFF"/>
        </w:rPr>
        <w:t>, </w:t>
      </w:r>
      <w:r w:rsidRPr="002154F4">
        <w:rPr>
          <w:i/>
          <w:iCs/>
          <w:color w:val="222222"/>
          <w:shd w:val="clear" w:color="auto" w:fill="FFFFFF"/>
        </w:rPr>
        <w:t>21</w:t>
      </w:r>
      <w:r w:rsidRPr="002154F4">
        <w:rPr>
          <w:color w:val="222222"/>
          <w:shd w:val="clear" w:color="auto" w:fill="FFFFFF"/>
        </w:rPr>
        <w:t>(5), 566-576.</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Stephan, C., Ralla, B., &amp; Jung, K. (2014). Prostate-specific antigen and other serum and urine markers in prostate cancer. </w:t>
      </w:r>
      <w:r w:rsidRPr="002154F4">
        <w:rPr>
          <w:i/>
          <w:iCs/>
          <w:color w:val="222222"/>
          <w:shd w:val="clear" w:color="auto" w:fill="FFFFFF"/>
        </w:rPr>
        <w:t>Biochimica et Biophysica Acta (BBA)-Reviews on Cancer</w:t>
      </w:r>
      <w:r w:rsidRPr="002154F4">
        <w:rPr>
          <w:color w:val="222222"/>
          <w:shd w:val="clear" w:color="auto" w:fill="FFFFFF"/>
        </w:rPr>
        <w:t>, </w:t>
      </w:r>
      <w:r w:rsidRPr="002154F4">
        <w:rPr>
          <w:i/>
          <w:iCs/>
          <w:color w:val="222222"/>
          <w:shd w:val="clear" w:color="auto" w:fill="FFFFFF"/>
        </w:rPr>
        <w:t>1846</w:t>
      </w:r>
      <w:r w:rsidRPr="002154F4">
        <w:rPr>
          <w:color w:val="222222"/>
          <w:shd w:val="clear" w:color="auto" w:fill="FFFFFF"/>
        </w:rPr>
        <w:t>(1), 99-112.</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Stephan, C., Ralla, B., &amp; Jung, K. (2014). Prostate-specific antigen and other serum and urine markers in prostate cancer. </w:t>
      </w:r>
      <w:r w:rsidRPr="002154F4">
        <w:rPr>
          <w:i/>
          <w:iCs/>
          <w:color w:val="222222"/>
          <w:shd w:val="clear" w:color="auto" w:fill="FFFFFF"/>
        </w:rPr>
        <w:t>Biochimica et Biophysica Acta (BBA)-Reviews on Cancer</w:t>
      </w:r>
      <w:r w:rsidRPr="002154F4">
        <w:rPr>
          <w:color w:val="222222"/>
          <w:shd w:val="clear" w:color="auto" w:fill="FFFFFF"/>
        </w:rPr>
        <w:t>, </w:t>
      </w:r>
      <w:r w:rsidRPr="002154F4">
        <w:rPr>
          <w:i/>
          <w:iCs/>
          <w:color w:val="222222"/>
          <w:shd w:val="clear" w:color="auto" w:fill="FFFFFF"/>
        </w:rPr>
        <w:t>1846</w:t>
      </w:r>
      <w:r w:rsidRPr="002154F4">
        <w:rPr>
          <w:color w:val="222222"/>
          <w:shd w:val="clear" w:color="auto" w:fill="FFFFFF"/>
        </w:rPr>
        <w:t>(1), 99-112.</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Suzuki, H., Toba, K., Kato, K., Ozawa, T., Tomosugi, N., Higuchi, M., ... &amp; Fukuda, N. (2009). Serum hepcidin-20 is elevated during the acute phase of myocardial infarction. </w:t>
      </w:r>
      <w:r w:rsidRPr="002154F4">
        <w:rPr>
          <w:i/>
          <w:iCs/>
          <w:color w:val="222222"/>
          <w:shd w:val="clear" w:color="auto" w:fill="FFFFFF"/>
        </w:rPr>
        <w:t>The Tohoku journal of experimental medicine</w:t>
      </w:r>
      <w:r w:rsidRPr="002154F4">
        <w:rPr>
          <w:color w:val="222222"/>
          <w:shd w:val="clear" w:color="auto" w:fill="FFFFFF"/>
        </w:rPr>
        <w:t>, </w:t>
      </w:r>
      <w:r w:rsidRPr="002154F4">
        <w:rPr>
          <w:i/>
          <w:iCs/>
          <w:color w:val="222222"/>
          <w:shd w:val="clear" w:color="auto" w:fill="FFFFFF"/>
        </w:rPr>
        <w:t>218</w:t>
      </w:r>
      <w:r w:rsidRPr="002154F4">
        <w:rPr>
          <w:color w:val="222222"/>
          <w:shd w:val="clear" w:color="auto" w:fill="FFFFFF"/>
        </w:rPr>
        <w:t>(2), 93-98.</w:t>
      </w:r>
      <w:r w:rsidRPr="002154F4">
        <w:rPr>
          <w:color w:val="222222"/>
          <w:shd w:val="clear" w:color="auto" w:fill="FFFFFF"/>
          <w:rtl/>
        </w:rPr>
        <w:t>‏</w:t>
      </w:r>
    </w:p>
    <w:p w:rsidR="002154F4" w:rsidRPr="002154F4" w:rsidRDefault="002154F4" w:rsidP="002154F4">
      <w:pPr>
        <w:spacing w:line="276" w:lineRule="auto"/>
        <w:ind w:left="709" w:hanging="709"/>
      </w:pPr>
      <w:r w:rsidRPr="002154F4">
        <w:rPr>
          <w:color w:val="222222"/>
          <w:shd w:val="clear" w:color="auto" w:fill="FFFFFF"/>
        </w:rPr>
        <w:t>Swinkels, D. W., &amp; Wetzels, J. F. (2008). Hepcidin: a new tool in the management of anaemia in patients with chronic kidney disease?.</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Taniguchi, S., Taoka, R., Inui, M., Sugimoto, M., &amp; Kakehi, Y. (2009). Influence of inflammation and aging on macrophage inhibitory cytokine-1 gene expression in rat ventral prostate. </w:t>
      </w:r>
      <w:r w:rsidRPr="002154F4">
        <w:rPr>
          <w:i/>
          <w:iCs/>
          <w:color w:val="222222"/>
          <w:shd w:val="clear" w:color="auto" w:fill="FFFFFF"/>
        </w:rPr>
        <w:t>Urology</w:t>
      </w:r>
      <w:r w:rsidRPr="002154F4">
        <w:rPr>
          <w:color w:val="222222"/>
          <w:shd w:val="clear" w:color="auto" w:fill="FFFFFF"/>
        </w:rPr>
        <w:t>, </w:t>
      </w:r>
      <w:r w:rsidRPr="002154F4">
        <w:rPr>
          <w:i/>
          <w:iCs/>
          <w:color w:val="222222"/>
          <w:shd w:val="clear" w:color="auto" w:fill="FFFFFF"/>
        </w:rPr>
        <w:t>73</w:t>
      </w:r>
      <w:r w:rsidRPr="002154F4">
        <w:rPr>
          <w:color w:val="222222"/>
          <w:shd w:val="clear" w:color="auto" w:fill="FFFFFF"/>
        </w:rPr>
        <w:t>(2), 410-414.</w:t>
      </w:r>
    </w:p>
    <w:p w:rsidR="002154F4" w:rsidRPr="002154F4" w:rsidRDefault="002154F4" w:rsidP="002154F4">
      <w:pPr>
        <w:spacing w:line="276" w:lineRule="auto"/>
        <w:ind w:left="709" w:hanging="709"/>
      </w:pPr>
      <w:r w:rsidRPr="002154F4">
        <w:rPr>
          <w:color w:val="222222"/>
          <w:shd w:val="clear" w:color="auto" w:fill="FFFFFF"/>
        </w:rPr>
        <w:t>Tanno, T., Rabel, A., Alleyne, M., Lee, Y. T., Dahut, W. L., Gulley, J. L., &amp; Miller, J. L. (2011). Hepcidin, anaemia, and prostate cancer. BJU international, 107(4), 678.</w:t>
      </w:r>
      <w:r w:rsidRPr="002154F4">
        <w:rPr>
          <w:color w:val="222222"/>
          <w:shd w:val="clear" w:color="auto" w:fill="FFFFFF"/>
          <w:rtl/>
        </w:rPr>
        <w:t>‏</w:t>
      </w:r>
    </w:p>
    <w:p w:rsidR="002154F4" w:rsidRPr="002154F4" w:rsidRDefault="002154F4" w:rsidP="002154F4">
      <w:pPr>
        <w:spacing w:line="276" w:lineRule="auto"/>
        <w:ind w:left="1080" w:hanging="1080"/>
      </w:pPr>
      <w:r w:rsidRPr="002154F4">
        <w:t>Tesfay, L., Clausen, K. A., Kim, J. W., Hegde, P., Wang, X., Miller, L. D., ... &amp; Babitt, J. L. (2015). Hepcidin regulation in prostate and its disruption in prostate cancer. Cancer research, 75(11), 2254-2263.</w:t>
      </w:r>
    </w:p>
    <w:p w:rsidR="002154F4" w:rsidRPr="002154F4" w:rsidRDefault="002154F4" w:rsidP="002154F4">
      <w:pPr>
        <w:spacing w:line="276" w:lineRule="auto"/>
        <w:ind w:left="709" w:hanging="709"/>
      </w:pPr>
      <w:r w:rsidRPr="002154F4">
        <w:rPr>
          <w:color w:val="222222"/>
          <w:shd w:val="clear" w:color="auto" w:fill="FFFFFF"/>
        </w:rPr>
        <w:t>Tesfay, L., Clausen, K. A., Kim, J. W., Hegde, P., Wang, X., Miller, L. D., ... &amp; Babitt, J. L. (2015). Hepcidin regulation in prostate and its disruption in prostate cancer. </w:t>
      </w:r>
      <w:r w:rsidRPr="002154F4">
        <w:rPr>
          <w:i/>
          <w:iCs/>
          <w:color w:val="222222"/>
          <w:shd w:val="clear" w:color="auto" w:fill="FFFFFF"/>
        </w:rPr>
        <w:t>Cancer research</w:t>
      </w:r>
      <w:r w:rsidRPr="002154F4">
        <w:rPr>
          <w:color w:val="222222"/>
          <w:shd w:val="clear" w:color="auto" w:fill="FFFFFF"/>
        </w:rPr>
        <w:t>, </w:t>
      </w:r>
      <w:r w:rsidRPr="002154F4">
        <w:rPr>
          <w:i/>
          <w:iCs/>
          <w:color w:val="222222"/>
          <w:shd w:val="clear" w:color="auto" w:fill="FFFFFF"/>
        </w:rPr>
        <w:t>75</w:t>
      </w:r>
      <w:r w:rsidRPr="002154F4">
        <w:rPr>
          <w:color w:val="222222"/>
          <w:shd w:val="clear" w:color="auto" w:fill="FFFFFF"/>
        </w:rPr>
        <w:t>(11), 2254-2263.</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Theurl, I., Theurl, M., Seifert, M., Mair, S., Nairz, M., Rumpold, H., ... &amp; Weiss, G. (2008). Autocrine formation of hepcidin induces iron retention in human monocytes. </w:t>
      </w:r>
      <w:r w:rsidRPr="002154F4">
        <w:rPr>
          <w:i/>
          <w:iCs/>
          <w:color w:val="222222"/>
          <w:shd w:val="clear" w:color="auto" w:fill="FFFFFF"/>
        </w:rPr>
        <w:t>Blood</w:t>
      </w:r>
      <w:r w:rsidRPr="002154F4">
        <w:rPr>
          <w:color w:val="222222"/>
          <w:shd w:val="clear" w:color="auto" w:fill="FFFFFF"/>
        </w:rPr>
        <w:t>, </w:t>
      </w:r>
      <w:r w:rsidRPr="002154F4">
        <w:rPr>
          <w:i/>
          <w:iCs/>
          <w:color w:val="222222"/>
          <w:shd w:val="clear" w:color="auto" w:fill="FFFFFF"/>
        </w:rPr>
        <w:t>111</w:t>
      </w:r>
      <w:r w:rsidRPr="002154F4">
        <w:rPr>
          <w:color w:val="222222"/>
          <w:shd w:val="clear" w:color="auto" w:fill="FFFFFF"/>
        </w:rPr>
        <w:t>(4), 2392-2399.</w:t>
      </w:r>
      <w:r w:rsidRPr="002154F4">
        <w:rPr>
          <w:color w:val="222222"/>
          <w:shd w:val="clear" w:color="auto" w:fill="FFFFFF"/>
          <w:rtl/>
        </w:rPr>
        <w:t>‏ ‏</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Thomsen, F. B. (2014). Active surveillance strategy for patients with local-ised prostate cancer.</w:t>
      </w:r>
      <w:r w:rsidRPr="002154F4">
        <w:rPr>
          <w:color w:val="222222"/>
          <w:shd w:val="clear" w:color="auto" w:fill="FFFFFF"/>
          <w:rtl/>
        </w:rPr>
        <w:t>‏</w:t>
      </w:r>
    </w:p>
    <w:p w:rsidR="002154F4" w:rsidRPr="002154F4" w:rsidRDefault="002154F4" w:rsidP="002154F4">
      <w:pPr>
        <w:spacing w:line="276" w:lineRule="auto"/>
        <w:ind w:left="709" w:hanging="709"/>
      </w:pPr>
      <w:r w:rsidRPr="002154F4">
        <w:rPr>
          <w:color w:val="222222"/>
          <w:shd w:val="clear" w:color="auto" w:fill="FFFFFF"/>
        </w:rPr>
        <w:t>Thulborn, K. R., Gindin, T. S., Davis, D., &amp; Erb, P. (1999). Comprehensive MR imaging protocol for stroke management: tissue sodium concentration as a measure of tissue viability in nonhuman primate studies and in clinical studies. </w:t>
      </w:r>
      <w:r w:rsidRPr="002154F4">
        <w:rPr>
          <w:i/>
          <w:iCs/>
          <w:color w:val="222222"/>
          <w:shd w:val="clear" w:color="auto" w:fill="FFFFFF"/>
        </w:rPr>
        <w:t>Radiology</w:t>
      </w:r>
      <w:r w:rsidRPr="002154F4">
        <w:rPr>
          <w:color w:val="222222"/>
          <w:shd w:val="clear" w:color="auto" w:fill="FFFFFF"/>
        </w:rPr>
        <w:t>, </w:t>
      </w:r>
      <w:r w:rsidRPr="002154F4">
        <w:rPr>
          <w:i/>
          <w:iCs/>
          <w:color w:val="222222"/>
          <w:shd w:val="clear" w:color="auto" w:fill="FFFFFF"/>
        </w:rPr>
        <w:t>213</w:t>
      </w:r>
      <w:r w:rsidRPr="002154F4">
        <w:rPr>
          <w:color w:val="222222"/>
          <w:shd w:val="clear" w:color="auto" w:fill="FFFFFF"/>
        </w:rPr>
        <w:t>(1), 156-166.</w:t>
      </w:r>
      <w:r w:rsidRPr="002154F4">
        <w:rPr>
          <w:color w:val="222222"/>
          <w:shd w:val="clear" w:color="auto" w:fill="FFFFFF"/>
          <w:rtl/>
        </w:rPr>
        <w:t>‏</w:t>
      </w:r>
    </w:p>
    <w:p w:rsidR="002154F4" w:rsidRPr="002154F4" w:rsidRDefault="002154F4" w:rsidP="002154F4">
      <w:pPr>
        <w:spacing w:line="276" w:lineRule="auto"/>
        <w:ind w:left="709" w:hanging="709"/>
      </w:pPr>
      <w:r w:rsidRPr="002154F4">
        <w:rPr>
          <w:color w:val="222222"/>
          <w:shd w:val="clear" w:color="auto" w:fill="FFFFFF"/>
        </w:rPr>
        <w:t>Tong, S., Marjono, B., Brown, D. A., Mulvey, S., Breit, S. N., Manuelpillai, U., &amp; Wallace, E. M. (2004). Serum concentrations of macrophage inhibitory cytokine 1 (MIC 1) as a predictor of miscarriage. </w:t>
      </w:r>
      <w:r w:rsidRPr="002154F4">
        <w:rPr>
          <w:i/>
          <w:iCs/>
          <w:color w:val="222222"/>
          <w:shd w:val="clear" w:color="auto" w:fill="FFFFFF"/>
        </w:rPr>
        <w:t>The Lancet</w:t>
      </w:r>
      <w:r w:rsidRPr="002154F4">
        <w:rPr>
          <w:color w:val="222222"/>
          <w:shd w:val="clear" w:color="auto" w:fill="FFFFFF"/>
        </w:rPr>
        <w:t>, </w:t>
      </w:r>
      <w:r w:rsidRPr="002154F4">
        <w:rPr>
          <w:i/>
          <w:iCs/>
          <w:color w:val="222222"/>
          <w:shd w:val="clear" w:color="auto" w:fill="FFFFFF"/>
        </w:rPr>
        <w:t>363</w:t>
      </w:r>
      <w:r w:rsidRPr="002154F4">
        <w:rPr>
          <w:color w:val="222222"/>
          <w:shd w:val="clear" w:color="auto" w:fill="FFFFFF"/>
        </w:rPr>
        <w:t>(9403), 129-130.</w:t>
      </w:r>
      <w:r w:rsidRPr="002154F4">
        <w:rPr>
          <w:color w:val="222222"/>
          <w:shd w:val="clear" w:color="auto" w:fill="FFFFFF"/>
          <w:rtl/>
        </w:rPr>
        <w:t>‏</w:t>
      </w:r>
    </w:p>
    <w:p w:rsidR="002154F4" w:rsidRPr="002154F4" w:rsidRDefault="002154F4" w:rsidP="002154F4">
      <w:pPr>
        <w:spacing w:line="276" w:lineRule="auto"/>
        <w:ind w:left="709" w:hanging="709"/>
      </w:pPr>
      <w:r w:rsidRPr="002154F4">
        <w:rPr>
          <w:color w:val="222222"/>
          <w:shd w:val="clear" w:color="auto" w:fill="FFFFFF"/>
        </w:rPr>
        <w:t>Truksa, J., Peng, H., Lee, P., &amp; Beutler, E. (2006). Bone morphogenetic proteins 2, 4, and 9 stimulate murine hepcidin 1 expression independently of Hfe, transferrin receptor 2 (Tfr2), and IL-6. </w:t>
      </w:r>
      <w:r w:rsidRPr="002154F4">
        <w:rPr>
          <w:i/>
          <w:iCs/>
          <w:color w:val="222222"/>
          <w:shd w:val="clear" w:color="auto" w:fill="FFFFFF"/>
        </w:rPr>
        <w:t>Proceedings of the National Academy of Sciences</w:t>
      </w:r>
      <w:r w:rsidRPr="002154F4">
        <w:rPr>
          <w:color w:val="222222"/>
          <w:shd w:val="clear" w:color="auto" w:fill="FFFFFF"/>
        </w:rPr>
        <w:t>, </w:t>
      </w:r>
      <w:r w:rsidRPr="002154F4">
        <w:rPr>
          <w:i/>
          <w:iCs/>
          <w:color w:val="222222"/>
          <w:shd w:val="clear" w:color="auto" w:fill="FFFFFF"/>
        </w:rPr>
        <w:t>103</w:t>
      </w:r>
      <w:r w:rsidRPr="002154F4">
        <w:rPr>
          <w:color w:val="222222"/>
          <w:shd w:val="clear" w:color="auto" w:fill="FFFFFF"/>
        </w:rPr>
        <w:t>(27), 10289-10293.</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Uhlén, M., Fagerberg, L., Hallström, B. M., Lindskog, C., Oksvold, P., Mardinoglu, A., ... &amp; Olsson, I. (2015). Tissue-based map of the human proteome. </w:t>
      </w:r>
      <w:r w:rsidRPr="002154F4">
        <w:rPr>
          <w:i/>
          <w:iCs/>
          <w:color w:val="222222"/>
          <w:shd w:val="clear" w:color="auto" w:fill="FFFFFF"/>
        </w:rPr>
        <w:t>Science</w:t>
      </w:r>
      <w:r w:rsidRPr="002154F4">
        <w:rPr>
          <w:color w:val="222222"/>
          <w:shd w:val="clear" w:color="auto" w:fill="FFFFFF"/>
        </w:rPr>
        <w:t>, </w:t>
      </w:r>
      <w:r w:rsidRPr="002154F4">
        <w:rPr>
          <w:i/>
          <w:iCs/>
          <w:color w:val="222222"/>
          <w:shd w:val="clear" w:color="auto" w:fill="FFFFFF"/>
        </w:rPr>
        <w:t>347</w:t>
      </w:r>
      <w:r w:rsidRPr="002154F4">
        <w:rPr>
          <w:color w:val="222222"/>
          <w:shd w:val="clear" w:color="auto" w:fill="FFFFFF"/>
        </w:rPr>
        <w:t xml:space="preserve">(6220). </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Valore, E. V., &amp; Ganz, T. (2008). Posttranslational processing of hepcidin in human hepatocytes is mediated by the prohormone convertase furin. </w:t>
      </w:r>
      <w:r w:rsidRPr="002154F4">
        <w:rPr>
          <w:i/>
          <w:iCs/>
          <w:color w:val="222222"/>
          <w:shd w:val="clear" w:color="auto" w:fill="FFFFFF"/>
        </w:rPr>
        <w:t>Blood Cells, Molecules, and Diseases</w:t>
      </w:r>
      <w:r w:rsidRPr="002154F4">
        <w:rPr>
          <w:color w:val="222222"/>
          <w:shd w:val="clear" w:color="auto" w:fill="FFFFFF"/>
        </w:rPr>
        <w:t>, </w:t>
      </w:r>
      <w:r w:rsidRPr="002154F4">
        <w:rPr>
          <w:i/>
          <w:iCs/>
          <w:color w:val="222222"/>
          <w:shd w:val="clear" w:color="auto" w:fill="FFFFFF"/>
        </w:rPr>
        <w:t>40</w:t>
      </w:r>
      <w:r w:rsidRPr="002154F4">
        <w:rPr>
          <w:color w:val="222222"/>
          <w:shd w:val="clear" w:color="auto" w:fill="FFFFFF"/>
        </w:rPr>
        <w:t>(1), 132-138.</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Valore, E. V., &amp; Ganz, T. (2008). Posttranslational processing of hepcidin in human hepatocytes is mediated by the prohormone convertase furin. </w:t>
      </w:r>
      <w:r w:rsidRPr="002154F4">
        <w:rPr>
          <w:i/>
          <w:iCs/>
          <w:color w:val="222222"/>
          <w:shd w:val="clear" w:color="auto" w:fill="FFFFFF"/>
        </w:rPr>
        <w:t>Blood Cells, Molecules, and Diseases</w:t>
      </w:r>
      <w:r w:rsidRPr="002154F4">
        <w:rPr>
          <w:color w:val="222222"/>
          <w:shd w:val="clear" w:color="auto" w:fill="FFFFFF"/>
        </w:rPr>
        <w:t>, </w:t>
      </w:r>
      <w:r w:rsidRPr="002154F4">
        <w:rPr>
          <w:i/>
          <w:iCs/>
          <w:color w:val="222222"/>
          <w:shd w:val="clear" w:color="auto" w:fill="FFFFFF"/>
        </w:rPr>
        <w:t>40</w:t>
      </w:r>
      <w:r w:rsidRPr="002154F4">
        <w:rPr>
          <w:color w:val="222222"/>
          <w:shd w:val="clear" w:color="auto" w:fill="FFFFFF"/>
        </w:rPr>
        <w:t>(1), 132-138.</w:t>
      </w:r>
      <w:r w:rsidRPr="002154F4">
        <w:rPr>
          <w:color w:val="222222"/>
          <w:shd w:val="clear" w:color="auto" w:fill="FFFFFF"/>
          <w:rtl/>
        </w:rPr>
        <w:t>‏</w:t>
      </w:r>
    </w:p>
    <w:p w:rsidR="002154F4" w:rsidRPr="002154F4" w:rsidRDefault="002154F4" w:rsidP="002154F4">
      <w:pPr>
        <w:spacing w:line="276" w:lineRule="auto"/>
        <w:ind w:left="709" w:hanging="709"/>
      </w:pPr>
      <w:r w:rsidRPr="002154F4">
        <w:rPr>
          <w:color w:val="222222"/>
          <w:shd w:val="clear" w:color="auto" w:fill="FFFFFF"/>
        </w:rPr>
        <w:t>Vaňhara, P., Hampl, A., Kozubík, A., &amp; Souček, K. (2012). Growth/differentiation factor-15: prostate cancer suppressor or promoter?. </w:t>
      </w:r>
      <w:r w:rsidRPr="002154F4">
        <w:rPr>
          <w:i/>
          <w:iCs/>
          <w:color w:val="222222"/>
          <w:shd w:val="clear" w:color="auto" w:fill="FFFFFF"/>
        </w:rPr>
        <w:t>Prostate cancer and prostatic diseases</w:t>
      </w:r>
      <w:r w:rsidRPr="002154F4">
        <w:rPr>
          <w:color w:val="222222"/>
          <w:shd w:val="clear" w:color="auto" w:fill="FFFFFF"/>
        </w:rPr>
        <w:t>, </w:t>
      </w:r>
      <w:r w:rsidRPr="002154F4">
        <w:rPr>
          <w:i/>
          <w:iCs/>
          <w:color w:val="222222"/>
          <w:shd w:val="clear" w:color="auto" w:fill="FFFFFF"/>
        </w:rPr>
        <w:t>15</w:t>
      </w:r>
      <w:r w:rsidRPr="002154F4">
        <w:rPr>
          <w:color w:val="222222"/>
          <w:shd w:val="clear" w:color="auto" w:fill="FFFFFF"/>
        </w:rPr>
        <w:t>(4), 320-328.</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Viatte, L., Lesbordes-Brion, J. C., Lou, D. Q., Bennoun, M., Nicolas, G., Kahn, A., ... &amp; Vaulont, S. (2005). Deregulation of proteins involved in iron metabolism in hepcidin-deficient mice. </w:t>
      </w:r>
      <w:r w:rsidRPr="002154F4">
        <w:rPr>
          <w:i/>
          <w:iCs/>
          <w:color w:val="222222"/>
          <w:shd w:val="clear" w:color="auto" w:fill="FFFFFF"/>
        </w:rPr>
        <w:t>Blood</w:t>
      </w:r>
      <w:r w:rsidRPr="002154F4">
        <w:rPr>
          <w:color w:val="222222"/>
          <w:shd w:val="clear" w:color="auto" w:fill="FFFFFF"/>
        </w:rPr>
        <w:t>, </w:t>
      </w:r>
      <w:r w:rsidRPr="002154F4">
        <w:rPr>
          <w:i/>
          <w:iCs/>
          <w:color w:val="222222"/>
          <w:shd w:val="clear" w:color="auto" w:fill="FFFFFF"/>
        </w:rPr>
        <w:t>105</w:t>
      </w:r>
      <w:r w:rsidRPr="002154F4">
        <w:rPr>
          <w:color w:val="222222"/>
          <w:shd w:val="clear" w:color="auto" w:fill="FFFFFF"/>
        </w:rPr>
        <w:t>(12), 4861-4864.</w:t>
      </w:r>
      <w:r w:rsidRPr="002154F4">
        <w:rPr>
          <w:color w:val="222222"/>
          <w:shd w:val="clear" w:color="auto" w:fill="FFFFFF"/>
          <w:rtl/>
        </w:rPr>
        <w:t>‏</w:t>
      </w:r>
    </w:p>
    <w:p w:rsidR="002154F4" w:rsidRPr="002154F4" w:rsidRDefault="002154F4" w:rsidP="002154F4">
      <w:pPr>
        <w:spacing w:line="276" w:lineRule="auto"/>
        <w:ind w:left="709" w:hanging="709"/>
      </w:pPr>
      <w:r w:rsidRPr="002154F4">
        <w:rPr>
          <w:color w:val="222222"/>
          <w:shd w:val="clear" w:color="auto" w:fill="FFFFFF"/>
        </w:rPr>
        <w:t>Vila, G., Riedl, M., Anderwald, C., Resl, M., Handisurya, A., Clodi, M., ... &amp; Luger, A. (2011). The relationship between insulin resistance and the cardiovascular biomarker growth differentiation factor-15 in obese patients. </w:t>
      </w:r>
      <w:r w:rsidRPr="002154F4">
        <w:rPr>
          <w:i/>
          <w:iCs/>
          <w:color w:val="222222"/>
          <w:shd w:val="clear" w:color="auto" w:fill="FFFFFF"/>
        </w:rPr>
        <w:t>Clinical Chemistry</w:t>
      </w:r>
      <w:r w:rsidRPr="002154F4">
        <w:rPr>
          <w:color w:val="222222"/>
          <w:shd w:val="clear" w:color="auto" w:fill="FFFFFF"/>
        </w:rPr>
        <w:t>, </w:t>
      </w:r>
      <w:r w:rsidRPr="002154F4">
        <w:rPr>
          <w:i/>
          <w:iCs/>
          <w:color w:val="222222"/>
          <w:shd w:val="clear" w:color="auto" w:fill="FFFFFF"/>
        </w:rPr>
        <w:t>57</w:t>
      </w:r>
      <w:r w:rsidRPr="002154F4">
        <w:rPr>
          <w:color w:val="222222"/>
          <w:shd w:val="clear" w:color="auto" w:fill="FFFFFF"/>
        </w:rPr>
        <w:t>(2), 309-316.</w:t>
      </w:r>
      <w:r w:rsidRPr="002154F4">
        <w:rPr>
          <w:color w:val="222222"/>
          <w:shd w:val="clear" w:color="auto" w:fill="FFFFFF"/>
          <w:rtl/>
        </w:rPr>
        <w:t>‏ ‏</w:t>
      </w:r>
    </w:p>
    <w:p w:rsidR="002154F4" w:rsidRPr="002154F4" w:rsidRDefault="002154F4" w:rsidP="002154F4">
      <w:pPr>
        <w:spacing w:line="276" w:lineRule="auto"/>
        <w:ind w:left="709" w:hanging="709"/>
      </w:pPr>
      <w:r w:rsidRPr="002154F4">
        <w:rPr>
          <w:color w:val="222222"/>
          <w:shd w:val="clear" w:color="auto" w:fill="FFFFFF"/>
        </w:rPr>
        <w:t>Wakchoure, S., Swain, T. M., Hentunen, T. A., Bauskin, A. R., Brown, D. A., Breit, S. N., ... &amp; Selander, K. S. (2009). Expression of macrophage inhibitory cytokine</w:t>
      </w:r>
      <w:r w:rsidRPr="002154F4">
        <w:rPr>
          <w:rFonts w:ascii="Cambria Math" w:hAnsi="Cambria Math"/>
          <w:color w:val="222222"/>
          <w:shd w:val="clear" w:color="auto" w:fill="FFFFFF"/>
        </w:rPr>
        <w:t>‐</w:t>
      </w:r>
      <w:r w:rsidRPr="002154F4">
        <w:rPr>
          <w:color w:val="222222"/>
          <w:shd w:val="clear" w:color="auto" w:fill="FFFFFF"/>
        </w:rPr>
        <w:t>1 in prostate cancer bone metastases induces osteoclast activation and weight loss. </w:t>
      </w:r>
      <w:r w:rsidRPr="002154F4">
        <w:rPr>
          <w:i/>
          <w:iCs/>
          <w:color w:val="222222"/>
          <w:shd w:val="clear" w:color="auto" w:fill="FFFFFF"/>
        </w:rPr>
        <w:t>The Prostate</w:t>
      </w:r>
      <w:r w:rsidRPr="002154F4">
        <w:rPr>
          <w:color w:val="222222"/>
          <w:shd w:val="clear" w:color="auto" w:fill="FFFFFF"/>
        </w:rPr>
        <w:t>, </w:t>
      </w:r>
      <w:r w:rsidRPr="002154F4">
        <w:rPr>
          <w:i/>
          <w:iCs/>
          <w:color w:val="222222"/>
          <w:shd w:val="clear" w:color="auto" w:fill="FFFFFF"/>
        </w:rPr>
        <w:t>69</w:t>
      </w:r>
      <w:r w:rsidRPr="002154F4">
        <w:rPr>
          <w:color w:val="222222"/>
          <w:shd w:val="clear" w:color="auto" w:fill="FFFFFF"/>
        </w:rPr>
        <w:t>(6), 652-661.</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Wallace, E. M., Marjono, B., Brown, D. A., Crossley, J., Tong, S., Aitken, D., &amp; Breit, S. (2004). Maternal serum and amniotic fluid levels of macrophage inhibitory cytokine 1 in Down syndrome and chromosomally normal pregnancies. </w:t>
      </w:r>
      <w:r w:rsidRPr="002154F4">
        <w:rPr>
          <w:i/>
          <w:iCs/>
          <w:color w:val="222222"/>
          <w:shd w:val="clear" w:color="auto" w:fill="FFFFFF"/>
        </w:rPr>
        <w:t>Prenatal Diagnosis: Published in Affiliation With the International Society for Prenatal Diagnosis</w:t>
      </w:r>
      <w:r w:rsidRPr="002154F4">
        <w:rPr>
          <w:color w:val="222222"/>
          <w:shd w:val="clear" w:color="auto" w:fill="FFFFFF"/>
        </w:rPr>
        <w:t>, </w:t>
      </w:r>
      <w:r w:rsidRPr="002154F4">
        <w:rPr>
          <w:i/>
          <w:iCs/>
          <w:color w:val="222222"/>
          <w:shd w:val="clear" w:color="auto" w:fill="FFFFFF"/>
        </w:rPr>
        <w:t>24</w:t>
      </w:r>
      <w:r w:rsidRPr="002154F4">
        <w:rPr>
          <w:color w:val="222222"/>
          <w:shd w:val="clear" w:color="auto" w:fill="FFFFFF"/>
        </w:rPr>
        <w:t>(3), 224-226.</w:t>
      </w:r>
      <w:r w:rsidRPr="002154F4">
        <w:rPr>
          <w:color w:val="222222"/>
          <w:shd w:val="clear" w:color="auto" w:fill="FFFFFF"/>
          <w:rtl/>
        </w:rPr>
        <w:t>‏‏</w:t>
      </w:r>
    </w:p>
    <w:p w:rsidR="002154F4" w:rsidRPr="002154F4" w:rsidRDefault="002154F4" w:rsidP="002154F4">
      <w:pPr>
        <w:spacing w:line="276" w:lineRule="auto"/>
        <w:ind w:left="709" w:hanging="709"/>
      </w:pPr>
      <w:r w:rsidRPr="002154F4">
        <w:rPr>
          <w:color w:val="222222"/>
          <w:shd w:val="clear" w:color="auto" w:fill="FFFFFF"/>
        </w:rPr>
        <w:t>Wang, R. H., Li, C., Xu, X., Zheng, Y., Xiao, C., Zerfas, P., ... &amp; Deng, C. X. (2005). A role of SMAD4 in iron metabolism through the positive regulation of hepcidin expression. </w:t>
      </w:r>
      <w:r w:rsidRPr="002154F4">
        <w:rPr>
          <w:i/>
          <w:iCs/>
          <w:color w:val="222222"/>
          <w:shd w:val="clear" w:color="auto" w:fill="FFFFFF"/>
        </w:rPr>
        <w:t>Cell metabolism</w:t>
      </w:r>
      <w:r w:rsidRPr="002154F4">
        <w:rPr>
          <w:color w:val="222222"/>
          <w:shd w:val="clear" w:color="auto" w:fill="FFFFFF"/>
        </w:rPr>
        <w:t>, </w:t>
      </w:r>
      <w:r w:rsidRPr="002154F4">
        <w:rPr>
          <w:i/>
          <w:iCs/>
          <w:color w:val="222222"/>
          <w:shd w:val="clear" w:color="auto" w:fill="FFFFFF"/>
        </w:rPr>
        <w:t>2</w:t>
      </w:r>
      <w:r w:rsidRPr="002154F4">
        <w:rPr>
          <w:color w:val="222222"/>
          <w:shd w:val="clear" w:color="auto" w:fill="FFFFFF"/>
        </w:rPr>
        <w:t>(6), 399-409.</w:t>
      </w:r>
      <w:r w:rsidRPr="002154F4">
        <w:rPr>
          <w:color w:val="222222"/>
          <w:shd w:val="clear" w:color="auto" w:fill="FFFFFF"/>
          <w:rtl/>
        </w:rPr>
        <w:t>‏</w:t>
      </w:r>
    </w:p>
    <w:p w:rsidR="002154F4" w:rsidRPr="002154F4" w:rsidRDefault="002154F4" w:rsidP="002154F4">
      <w:pPr>
        <w:spacing w:line="276" w:lineRule="auto"/>
        <w:ind w:left="709" w:hanging="709"/>
      </w:pPr>
      <w:r w:rsidRPr="002154F4">
        <w:rPr>
          <w:color w:val="222222"/>
          <w:shd w:val="clear" w:color="auto" w:fill="FFFFFF"/>
        </w:rPr>
        <w:t>Wang, X., Chrysovergis, K., Bienstock, R. J., Shim, M., &amp; Eling, T. E. (2012). The H6D variant of NAG</w:t>
      </w:r>
      <w:r w:rsidRPr="002154F4">
        <w:rPr>
          <w:rFonts w:ascii="Cambria Math" w:hAnsi="Cambria Math"/>
          <w:color w:val="222222"/>
          <w:shd w:val="clear" w:color="auto" w:fill="FFFFFF"/>
        </w:rPr>
        <w:t>‐</w:t>
      </w:r>
      <w:r w:rsidRPr="002154F4">
        <w:rPr>
          <w:color w:val="222222"/>
          <w:shd w:val="clear" w:color="auto" w:fill="FFFFFF"/>
        </w:rPr>
        <w:t>1/GDF15 inhibits prostate xenograft growth in vivo. </w:t>
      </w:r>
      <w:r w:rsidRPr="002154F4">
        <w:rPr>
          <w:i/>
          <w:iCs/>
          <w:color w:val="222222"/>
          <w:shd w:val="clear" w:color="auto" w:fill="FFFFFF"/>
        </w:rPr>
        <w:t>The Prostate</w:t>
      </w:r>
      <w:r w:rsidRPr="002154F4">
        <w:rPr>
          <w:color w:val="222222"/>
          <w:shd w:val="clear" w:color="auto" w:fill="FFFFFF"/>
        </w:rPr>
        <w:t>, </w:t>
      </w:r>
      <w:r w:rsidRPr="002154F4">
        <w:rPr>
          <w:i/>
          <w:iCs/>
          <w:color w:val="222222"/>
          <w:shd w:val="clear" w:color="auto" w:fill="FFFFFF"/>
        </w:rPr>
        <w:t>72</w:t>
      </w:r>
      <w:r w:rsidRPr="002154F4">
        <w:rPr>
          <w:color w:val="222222"/>
          <w:shd w:val="clear" w:color="auto" w:fill="FFFFFF"/>
        </w:rPr>
        <w:t>(6), 677-689.</w:t>
      </w:r>
      <w:r w:rsidRPr="002154F4">
        <w:rPr>
          <w:color w:val="222222"/>
          <w:shd w:val="clear" w:color="auto" w:fill="FFFFFF"/>
          <w:rtl/>
        </w:rPr>
        <w:t>‏</w:t>
      </w:r>
      <w:r w:rsidRPr="002154F4">
        <w:rPr>
          <w:color w:val="222222"/>
          <w:shd w:val="clear" w:color="auto" w:fill="FFFFFF"/>
        </w:rPr>
        <w:t xml:space="preserve"> .</w:t>
      </w:r>
      <w:r w:rsidRPr="002154F4">
        <w:rPr>
          <w:color w:val="222222"/>
          <w:shd w:val="clear" w:color="auto" w:fill="FFFFFF"/>
          <w:rtl/>
        </w:rPr>
        <w:t>‏</w:t>
      </w:r>
    </w:p>
    <w:p w:rsidR="002154F4" w:rsidRPr="002154F4" w:rsidRDefault="002154F4" w:rsidP="002154F4">
      <w:pPr>
        <w:spacing w:line="276" w:lineRule="auto"/>
        <w:ind w:left="709" w:hanging="709"/>
      </w:pPr>
      <w:r w:rsidRPr="002154F4">
        <w:rPr>
          <w:color w:val="222222"/>
          <w:shd w:val="clear" w:color="auto" w:fill="FFFFFF"/>
        </w:rPr>
        <w:t>Ward, A. D., Crukley, C., McKenzie, C. A., Montreuil, J., Gibson, E., Romagnoli, C., ... &amp; Fenster, A. (2012). Prostate: registration of digital histopathologic images to in vivo MR images acquired by using endorectal receive coil. </w:t>
      </w:r>
      <w:r w:rsidRPr="002154F4">
        <w:rPr>
          <w:i/>
          <w:iCs/>
          <w:color w:val="222222"/>
          <w:shd w:val="clear" w:color="auto" w:fill="FFFFFF"/>
        </w:rPr>
        <w:t>Radiology</w:t>
      </w:r>
      <w:r w:rsidRPr="002154F4">
        <w:rPr>
          <w:color w:val="222222"/>
          <w:shd w:val="clear" w:color="auto" w:fill="FFFFFF"/>
        </w:rPr>
        <w:t>, </w:t>
      </w:r>
      <w:r w:rsidRPr="002154F4">
        <w:rPr>
          <w:i/>
          <w:iCs/>
          <w:color w:val="222222"/>
          <w:shd w:val="clear" w:color="auto" w:fill="FFFFFF"/>
        </w:rPr>
        <w:t>263</w:t>
      </w:r>
      <w:r w:rsidRPr="002154F4">
        <w:rPr>
          <w:color w:val="222222"/>
          <w:shd w:val="clear" w:color="auto" w:fill="FFFFFF"/>
        </w:rPr>
        <w:t>(3), 856-864.</w:t>
      </w:r>
      <w:r w:rsidRPr="002154F4">
        <w:rPr>
          <w:color w:val="222222"/>
          <w:shd w:val="clear" w:color="auto" w:fill="FFFFFF"/>
          <w:rtl/>
        </w:rPr>
        <w:t>‏</w:t>
      </w:r>
    </w:p>
    <w:p w:rsidR="002154F4" w:rsidRPr="002154F4" w:rsidRDefault="002154F4" w:rsidP="002154F4">
      <w:pPr>
        <w:spacing w:line="276" w:lineRule="auto"/>
        <w:ind w:left="709" w:hanging="709"/>
      </w:pPr>
      <w:r w:rsidRPr="002154F4">
        <w:rPr>
          <w:color w:val="222222"/>
          <w:shd w:val="clear" w:color="auto" w:fill="FFFFFF"/>
        </w:rPr>
        <w:t>Welsh, J. B., Sapinoso, L. M., Kern, S. G., Brown, D. A., Liu, T., Bauskin, A. R., ... &amp; Sutherland, R. L. (2003). Large-scale delineation of secreted protein biomarkers overexpressed in cancer tissue and serum. </w:t>
      </w:r>
      <w:r w:rsidRPr="002154F4">
        <w:rPr>
          <w:i/>
          <w:iCs/>
          <w:color w:val="222222"/>
          <w:shd w:val="clear" w:color="auto" w:fill="FFFFFF"/>
        </w:rPr>
        <w:t>Proceedings of the National Academy of Sciences</w:t>
      </w:r>
      <w:r w:rsidRPr="002154F4">
        <w:rPr>
          <w:color w:val="222222"/>
          <w:shd w:val="clear" w:color="auto" w:fill="FFFFFF"/>
        </w:rPr>
        <w:t>, </w:t>
      </w:r>
      <w:r w:rsidRPr="002154F4">
        <w:rPr>
          <w:i/>
          <w:iCs/>
          <w:color w:val="222222"/>
          <w:shd w:val="clear" w:color="auto" w:fill="FFFFFF"/>
        </w:rPr>
        <w:t>100</w:t>
      </w:r>
      <w:r w:rsidRPr="002154F4">
        <w:rPr>
          <w:color w:val="222222"/>
          <w:shd w:val="clear" w:color="auto" w:fill="FFFFFF"/>
        </w:rPr>
        <w:t>(6), 3410-3415.</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Wiklund, F. E., Bennet, A. M., Magnusson, P. K., Eriksson, U. K., Lindmark, F., Wu, L., ... &amp; Adami, H. O. (2010). Macrophage inhibitory cytokine</w:t>
      </w:r>
      <w:r w:rsidRPr="002154F4">
        <w:rPr>
          <w:rFonts w:ascii="Cambria Math" w:hAnsi="Cambria Math"/>
          <w:color w:val="222222"/>
          <w:shd w:val="clear" w:color="auto" w:fill="FFFFFF"/>
        </w:rPr>
        <w:t>‐</w:t>
      </w:r>
      <w:r w:rsidRPr="002154F4">
        <w:rPr>
          <w:color w:val="222222"/>
          <w:shd w:val="clear" w:color="auto" w:fill="FFFFFF"/>
        </w:rPr>
        <w:t>1 (MIC</w:t>
      </w:r>
      <w:r w:rsidRPr="002154F4">
        <w:rPr>
          <w:rFonts w:ascii="Cambria Math" w:hAnsi="Cambria Math"/>
          <w:color w:val="222222"/>
          <w:shd w:val="clear" w:color="auto" w:fill="FFFFFF"/>
        </w:rPr>
        <w:t>‐</w:t>
      </w:r>
      <w:r w:rsidRPr="002154F4">
        <w:rPr>
          <w:color w:val="222222"/>
          <w:shd w:val="clear" w:color="auto" w:fill="FFFFFF"/>
        </w:rPr>
        <w:t>1/GDF15): a new marker of all</w:t>
      </w:r>
      <w:r w:rsidRPr="002154F4">
        <w:rPr>
          <w:rFonts w:ascii="Cambria Math" w:hAnsi="Cambria Math"/>
          <w:color w:val="222222"/>
          <w:shd w:val="clear" w:color="auto" w:fill="FFFFFF"/>
        </w:rPr>
        <w:t>‐</w:t>
      </w:r>
      <w:r w:rsidRPr="002154F4">
        <w:rPr>
          <w:color w:val="222222"/>
          <w:shd w:val="clear" w:color="auto" w:fill="FFFFFF"/>
        </w:rPr>
        <w:t>cause mortality. </w:t>
      </w:r>
      <w:r w:rsidRPr="002154F4">
        <w:rPr>
          <w:i/>
          <w:iCs/>
          <w:color w:val="222222"/>
          <w:shd w:val="clear" w:color="auto" w:fill="FFFFFF"/>
        </w:rPr>
        <w:t>Aging cell</w:t>
      </w:r>
      <w:r w:rsidRPr="002154F4">
        <w:rPr>
          <w:color w:val="222222"/>
          <w:shd w:val="clear" w:color="auto" w:fill="FFFFFF"/>
        </w:rPr>
        <w:t>, </w:t>
      </w:r>
      <w:r w:rsidRPr="002154F4">
        <w:rPr>
          <w:i/>
          <w:iCs/>
          <w:color w:val="222222"/>
          <w:shd w:val="clear" w:color="auto" w:fill="FFFFFF"/>
        </w:rPr>
        <w:t>9</w:t>
      </w:r>
      <w:r w:rsidRPr="002154F4">
        <w:rPr>
          <w:color w:val="222222"/>
          <w:shd w:val="clear" w:color="auto" w:fill="FFFFFF"/>
        </w:rPr>
        <w:t>(6), 1057-1064.</w:t>
      </w:r>
      <w:r w:rsidRPr="002154F4">
        <w:rPr>
          <w:color w:val="222222"/>
          <w:shd w:val="clear" w:color="auto" w:fill="FFFFFF"/>
          <w:rtl/>
        </w:rPr>
        <w:t>‏</w:t>
      </w:r>
    </w:p>
    <w:p w:rsidR="002154F4" w:rsidRPr="002154F4" w:rsidRDefault="002154F4" w:rsidP="002154F4">
      <w:pPr>
        <w:spacing w:line="276" w:lineRule="auto"/>
        <w:ind w:left="709" w:hanging="709"/>
      </w:pPr>
      <w:r w:rsidRPr="002154F4">
        <w:t>Winand, F. J., Boegemann, M., Gallitz, I., Hertle, L., Semjonow, A., Eveslage, M., &amp; Steinbicker, A. U. (2014). GDF15 and Hepcidin as prognostic factors in patients with prostate Cancer. Journal of Molecular Biomarkers &amp; Diagnosis, 5(6), 1.</w:t>
      </w:r>
    </w:p>
    <w:p w:rsidR="002154F4" w:rsidRPr="002154F4" w:rsidRDefault="002154F4" w:rsidP="002154F4">
      <w:pPr>
        <w:spacing w:line="276" w:lineRule="auto"/>
        <w:ind w:left="709" w:hanging="709"/>
      </w:pPr>
      <w:r w:rsidRPr="002154F4">
        <w:rPr>
          <w:color w:val="222222"/>
          <w:shd w:val="clear" w:color="auto" w:fill="FFFFFF"/>
        </w:rPr>
        <w:t>Wollmann, W., Goodman, M. L., Bhat-Nakshatri, P., Kishimoto, H., Goulet Jr, R. J., Mehrotra, S., ... &amp; Nakshatri, H. (2005). The macrophage inhibitory cytokine integrates AKT/PKB and MAP kinase signaling pathways in breast cancer cells. </w:t>
      </w:r>
      <w:r w:rsidRPr="002154F4">
        <w:rPr>
          <w:i/>
          <w:iCs/>
          <w:color w:val="222222"/>
          <w:shd w:val="clear" w:color="auto" w:fill="FFFFFF"/>
        </w:rPr>
        <w:t>Carcinogenesis</w:t>
      </w:r>
      <w:r w:rsidRPr="002154F4">
        <w:rPr>
          <w:color w:val="222222"/>
          <w:shd w:val="clear" w:color="auto" w:fill="FFFFFF"/>
        </w:rPr>
        <w:t>, </w:t>
      </w:r>
      <w:r w:rsidRPr="002154F4">
        <w:rPr>
          <w:i/>
          <w:iCs/>
          <w:color w:val="222222"/>
          <w:shd w:val="clear" w:color="auto" w:fill="FFFFFF"/>
        </w:rPr>
        <w:t>26</w:t>
      </w:r>
      <w:r w:rsidRPr="002154F4">
        <w:rPr>
          <w:color w:val="222222"/>
          <w:shd w:val="clear" w:color="auto" w:fill="FFFFFF"/>
        </w:rPr>
        <w:t>(5), 900-907.</w:t>
      </w:r>
      <w:r w:rsidRPr="002154F4">
        <w:rPr>
          <w:color w:val="222222"/>
          <w:shd w:val="clear" w:color="auto" w:fill="FFFFFF"/>
          <w:rtl/>
        </w:rPr>
        <w:t>‏</w:t>
      </w:r>
    </w:p>
    <w:p w:rsidR="002154F4" w:rsidRPr="002154F4" w:rsidRDefault="002154F4" w:rsidP="002154F4">
      <w:pPr>
        <w:spacing w:line="276" w:lineRule="auto"/>
        <w:ind w:left="709" w:hanging="709"/>
      </w:pPr>
      <w:r w:rsidRPr="002154F4">
        <w:rPr>
          <w:color w:val="222222"/>
          <w:shd w:val="clear" w:color="auto" w:fill="FFFFFF"/>
        </w:rPr>
        <w:t>Wong, J., Li, P. X., &amp; Klamut, H. J. (2002). A novel p53 transcriptional repressor element (p53TRE) and the asymmetrical contribution of two p53 binding sites modulate the response of the placental transforming growth factor-β promoter to p53. </w:t>
      </w:r>
      <w:r w:rsidRPr="002154F4">
        <w:rPr>
          <w:i/>
          <w:iCs/>
          <w:color w:val="222222"/>
          <w:shd w:val="clear" w:color="auto" w:fill="FFFFFF"/>
        </w:rPr>
        <w:t>Journal of Biological Chemistry</w:t>
      </w:r>
      <w:r w:rsidRPr="002154F4">
        <w:rPr>
          <w:color w:val="222222"/>
          <w:shd w:val="clear" w:color="auto" w:fill="FFFFFF"/>
        </w:rPr>
        <w:t>, </w:t>
      </w:r>
      <w:r w:rsidRPr="002154F4">
        <w:rPr>
          <w:i/>
          <w:iCs/>
          <w:color w:val="222222"/>
          <w:shd w:val="clear" w:color="auto" w:fill="FFFFFF"/>
        </w:rPr>
        <w:t>277</w:t>
      </w:r>
      <w:r w:rsidRPr="002154F4">
        <w:rPr>
          <w:color w:val="222222"/>
          <w:shd w:val="clear" w:color="auto" w:fill="FFFFFF"/>
        </w:rPr>
        <w:t>(29), 26699-26707.</w:t>
      </w:r>
      <w:r w:rsidRPr="002154F4">
        <w:rPr>
          <w:color w:val="222222"/>
          <w:shd w:val="clear" w:color="auto" w:fill="FFFFFF"/>
          <w:rtl/>
        </w:rPr>
        <w:t>‏</w:t>
      </w:r>
    </w:p>
    <w:p w:rsidR="002154F4" w:rsidRPr="002154F4" w:rsidRDefault="002154F4" w:rsidP="002154F4">
      <w:pPr>
        <w:spacing w:line="276" w:lineRule="auto"/>
        <w:ind w:left="709" w:hanging="709"/>
      </w:pPr>
      <w:r w:rsidRPr="002154F4">
        <w:t>Wright, M. E., Chang, S. C., Schatzkin, A., Albanes, D., Kipnis, V., Mouw, T.,&amp; Leitzmann, M. F. (2007). Prospective study of adiposity and weight change in relation to prostate cancer incidence and mortality. Cancer: Interdisciplinary International Journal of the American Cancer Society, 109(4), 675-684.</w:t>
      </w:r>
    </w:p>
    <w:p w:rsidR="002154F4" w:rsidRPr="002154F4" w:rsidRDefault="002154F4" w:rsidP="002154F4">
      <w:pPr>
        <w:spacing w:line="276" w:lineRule="auto"/>
        <w:ind w:left="709" w:hanging="709"/>
      </w:pPr>
      <w:r w:rsidRPr="002154F4">
        <w:rPr>
          <w:color w:val="222222"/>
          <w:shd w:val="clear" w:color="auto" w:fill="FFFFFF"/>
        </w:rPr>
        <w:t>Wu, S., Zhang, K., Lv, C., Wang, H., Cheng, B., Jin, Y., ... &amp; Fang, X. (2012). Nuclear factor-κB mediated lipopolysaccharide-induced mRNA expression of hepcidin in human peripheral blood leukocytes. </w:t>
      </w:r>
      <w:r w:rsidRPr="002154F4">
        <w:rPr>
          <w:i/>
          <w:iCs/>
          <w:color w:val="222222"/>
          <w:shd w:val="clear" w:color="auto" w:fill="FFFFFF"/>
        </w:rPr>
        <w:t>Innate immunity</w:t>
      </w:r>
      <w:r w:rsidRPr="002154F4">
        <w:rPr>
          <w:color w:val="222222"/>
          <w:shd w:val="clear" w:color="auto" w:fill="FFFFFF"/>
        </w:rPr>
        <w:t>, </w:t>
      </w:r>
      <w:r w:rsidRPr="002154F4">
        <w:rPr>
          <w:i/>
          <w:iCs/>
          <w:color w:val="222222"/>
          <w:shd w:val="clear" w:color="auto" w:fill="FFFFFF"/>
        </w:rPr>
        <w:t>18</w:t>
      </w:r>
      <w:r w:rsidRPr="002154F4">
        <w:rPr>
          <w:color w:val="222222"/>
          <w:shd w:val="clear" w:color="auto" w:fill="FFFFFF"/>
        </w:rPr>
        <w:t>(2), 318-324.</w:t>
      </w:r>
      <w:r w:rsidRPr="002154F4">
        <w:rPr>
          <w:color w:val="222222"/>
          <w:shd w:val="clear" w:color="auto" w:fill="FFFFFF"/>
          <w:rtl/>
        </w:rPr>
        <w:t>‏</w:t>
      </w:r>
    </w:p>
    <w:p w:rsidR="002154F4" w:rsidRPr="002154F4" w:rsidRDefault="002154F4" w:rsidP="002154F4">
      <w:pPr>
        <w:spacing w:line="276" w:lineRule="auto"/>
        <w:ind w:left="709" w:hanging="709"/>
      </w:pPr>
      <w:r w:rsidRPr="002154F4">
        <w:rPr>
          <w:color w:val="222222"/>
          <w:shd w:val="clear" w:color="auto" w:fill="FFFFFF"/>
        </w:rPr>
        <w:t>Xia, Y., Babitt, J. L., Sidis, Y., Chung, R. T., &amp; Lin, H. Y. (2008). Hemojuvelin regulates hepcidin expression via a selective subset of BMP ligands and receptors independently of neogenin. </w:t>
      </w:r>
      <w:r w:rsidRPr="002154F4">
        <w:rPr>
          <w:i/>
          <w:iCs/>
          <w:color w:val="222222"/>
          <w:shd w:val="clear" w:color="auto" w:fill="FFFFFF"/>
        </w:rPr>
        <w:t>Blood</w:t>
      </w:r>
      <w:r w:rsidRPr="002154F4">
        <w:rPr>
          <w:color w:val="222222"/>
          <w:shd w:val="clear" w:color="auto" w:fill="FFFFFF"/>
        </w:rPr>
        <w:t>, </w:t>
      </w:r>
      <w:r w:rsidRPr="002154F4">
        <w:rPr>
          <w:i/>
          <w:iCs/>
          <w:color w:val="222222"/>
          <w:shd w:val="clear" w:color="auto" w:fill="FFFFFF"/>
        </w:rPr>
        <w:t>111</w:t>
      </w:r>
      <w:r w:rsidRPr="002154F4">
        <w:rPr>
          <w:color w:val="222222"/>
          <w:shd w:val="clear" w:color="auto" w:fill="FFFFFF"/>
        </w:rPr>
        <w:t>(10), 5195-5204.</w:t>
      </w:r>
      <w:r w:rsidRPr="002154F4">
        <w:rPr>
          <w:color w:val="222222"/>
          <w:shd w:val="clear" w:color="auto" w:fill="FFFFFF"/>
          <w:rtl/>
        </w:rPr>
        <w:t>‏</w:t>
      </w:r>
    </w:p>
    <w:p w:rsidR="002154F4" w:rsidRPr="002154F4" w:rsidRDefault="002154F4" w:rsidP="002154F4">
      <w:pPr>
        <w:spacing w:line="276" w:lineRule="auto"/>
        <w:ind w:left="709" w:hanging="709"/>
        <w:rPr>
          <w:color w:val="222222"/>
          <w:shd w:val="clear" w:color="auto" w:fill="FFFFFF"/>
        </w:rPr>
      </w:pPr>
      <w:r w:rsidRPr="002154F4">
        <w:rPr>
          <w:color w:val="222222"/>
          <w:shd w:val="clear" w:color="auto" w:fill="FFFFFF"/>
        </w:rPr>
        <w:t>Yao, S. L., &amp; Lu-Yao, G. (2002). Understanding and appreciating overdiagnosis in the PSA era.</w:t>
      </w:r>
      <w:r w:rsidRPr="002154F4">
        <w:rPr>
          <w:color w:val="222222"/>
          <w:shd w:val="clear" w:color="auto" w:fill="FFFFFF"/>
          <w:rtl/>
        </w:rPr>
        <w:t>‏</w:t>
      </w:r>
    </w:p>
    <w:p w:rsidR="002154F4" w:rsidRPr="002154F4" w:rsidRDefault="002154F4" w:rsidP="002154F4">
      <w:pPr>
        <w:spacing w:line="276" w:lineRule="auto"/>
        <w:ind w:left="709" w:hanging="709"/>
      </w:pPr>
      <w:r w:rsidRPr="002154F4">
        <w:rPr>
          <w:color w:val="222222"/>
          <w:shd w:val="clear" w:color="auto" w:fill="FFFFFF"/>
        </w:rPr>
        <w:t>Zhang, A. S., Anderson, S. A., Wang, J., Yang, F., DeMaster, K., Ahmed, R., ... &amp; Enns, C. A. (2011). Suppression of hepatic hepcidin expression in response to acute iron deprivation is associated with an increase of matriptase-2 protein. </w:t>
      </w:r>
      <w:r w:rsidRPr="002154F4">
        <w:rPr>
          <w:i/>
          <w:iCs/>
          <w:color w:val="222222"/>
          <w:shd w:val="clear" w:color="auto" w:fill="FFFFFF"/>
        </w:rPr>
        <w:t>Blood</w:t>
      </w:r>
      <w:r w:rsidRPr="002154F4">
        <w:rPr>
          <w:color w:val="222222"/>
          <w:shd w:val="clear" w:color="auto" w:fill="FFFFFF"/>
        </w:rPr>
        <w:t>, </w:t>
      </w:r>
      <w:r w:rsidRPr="002154F4">
        <w:rPr>
          <w:i/>
          <w:iCs/>
          <w:color w:val="222222"/>
          <w:shd w:val="clear" w:color="auto" w:fill="FFFFFF"/>
        </w:rPr>
        <w:t>117</w:t>
      </w:r>
      <w:r w:rsidRPr="002154F4">
        <w:rPr>
          <w:color w:val="222222"/>
          <w:shd w:val="clear" w:color="auto" w:fill="FFFFFF"/>
        </w:rPr>
        <w:t>(5), 1687-1699.</w:t>
      </w:r>
      <w:r w:rsidRPr="002154F4">
        <w:rPr>
          <w:color w:val="222222"/>
          <w:shd w:val="clear" w:color="auto" w:fill="FFFFFF"/>
          <w:rtl/>
        </w:rPr>
        <w:t>‏ ‏</w:t>
      </w:r>
    </w:p>
    <w:p w:rsidR="002154F4" w:rsidRPr="002154F4" w:rsidRDefault="002154F4" w:rsidP="002154F4">
      <w:pPr>
        <w:spacing w:line="276" w:lineRule="auto"/>
        <w:ind w:left="709" w:hanging="709"/>
      </w:pPr>
      <w:r w:rsidRPr="002154F4">
        <w:rPr>
          <w:color w:val="222222"/>
          <w:shd w:val="clear" w:color="auto" w:fill="FFFFFF"/>
        </w:rPr>
        <w:t>Zhao, L., Lee, B. Y., Brown, D. A., Molloy, M. P., Marx, G. M., Pavlakis, N., ... &amp; Sutherland, R. L. (2009). Identification of candidate biomarkers of therapeutic response to docetaxel by proteomic profiling. </w:t>
      </w:r>
      <w:r w:rsidRPr="002154F4">
        <w:rPr>
          <w:i/>
          <w:iCs/>
          <w:color w:val="222222"/>
          <w:shd w:val="clear" w:color="auto" w:fill="FFFFFF"/>
        </w:rPr>
        <w:t>Cancer research</w:t>
      </w:r>
      <w:r w:rsidRPr="002154F4">
        <w:rPr>
          <w:color w:val="222222"/>
          <w:shd w:val="clear" w:color="auto" w:fill="FFFFFF"/>
        </w:rPr>
        <w:t>, </w:t>
      </w:r>
      <w:r w:rsidRPr="002154F4">
        <w:rPr>
          <w:i/>
          <w:iCs/>
          <w:color w:val="222222"/>
          <w:shd w:val="clear" w:color="auto" w:fill="FFFFFF"/>
        </w:rPr>
        <w:t>69</w:t>
      </w:r>
      <w:r w:rsidRPr="002154F4">
        <w:rPr>
          <w:color w:val="222222"/>
          <w:shd w:val="clear" w:color="auto" w:fill="FFFFFF"/>
        </w:rPr>
        <w:t>(19), 7696-7703.</w:t>
      </w:r>
      <w:r w:rsidRPr="002154F4">
        <w:rPr>
          <w:color w:val="222222"/>
          <w:shd w:val="clear" w:color="auto" w:fill="FFFFFF"/>
          <w:rtl/>
        </w:rPr>
        <w:t>‏</w:t>
      </w:r>
    </w:p>
    <w:p w:rsidR="002154F4" w:rsidRPr="002154F4" w:rsidRDefault="002154F4" w:rsidP="002154F4">
      <w:pPr>
        <w:spacing w:line="276" w:lineRule="auto"/>
        <w:ind w:left="709" w:hanging="709"/>
      </w:pPr>
      <w:r w:rsidRPr="002154F4">
        <w:rPr>
          <w:color w:val="222222"/>
          <w:shd w:val="clear" w:color="auto" w:fill="FFFFFF"/>
        </w:rPr>
        <w:t>Zimmers, T. A., Gutierrez, J. C., &amp; Koniaris, L. G. (2010). Loss of GDF-15 abolishes Sulindac chemoprevention in the Apc Min/+ mouse model of</w:t>
      </w:r>
    </w:p>
    <w:p w:rsidR="002154F4" w:rsidRPr="002154F4" w:rsidRDefault="002154F4" w:rsidP="002154F4">
      <w:pPr>
        <w:spacing w:line="276" w:lineRule="auto"/>
        <w:ind w:left="709" w:hanging="709"/>
        <w:rPr>
          <w:lang w:val="tr-TR" w:bidi="ar-IQ"/>
        </w:rPr>
      </w:pPr>
      <w:r w:rsidRPr="002154F4">
        <w:rPr>
          <w:color w:val="222222"/>
          <w:shd w:val="clear" w:color="auto" w:fill="FFFFFF"/>
        </w:rPr>
        <w:t>Zimmers, T. A., Gutierrez, J. C., &amp; Koniaris, L. G. (2010). Loss of GDF-15 abolishes Sulindac chemoprevention in the Apc Min/+ mouse model of intestinal cancer. </w:t>
      </w:r>
      <w:r w:rsidRPr="002154F4">
        <w:rPr>
          <w:i/>
          <w:iCs/>
          <w:color w:val="222222"/>
          <w:shd w:val="clear" w:color="auto" w:fill="FFFFFF"/>
        </w:rPr>
        <w:t>Journal of cancer research and clinical oncology</w:t>
      </w:r>
      <w:r w:rsidRPr="002154F4">
        <w:rPr>
          <w:color w:val="222222"/>
          <w:shd w:val="clear" w:color="auto" w:fill="FFFFFF"/>
        </w:rPr>
        <w:t>, </w:t>
      </w:r>
      <w:r w:rsidRPr="002154F4">
        <w:rPr>
          <w:i/>
          <w:iCs/>
          <w:color w:val="222222"/>
          <w:shd w:val="clear" w:color="auto" w:fill="FFFFFF"/>
        </w:rPr>
        <w:t>136</w:t>
      </w:r>
      <w:r w:rsidRPr="002154F4">
        <w:rPr>
          <w:color w:val="222222"/>
          <w:shd w:val="clear" w:color="auto" w:fill="FFFFFF"/>
        </w:rPr>
        <w:t>(4), 571-576.</w:t>
      </w:r>
      <w:r w:rsidRPr="002154F4">
        <w:rPr>
          <w:color w:val="222222"/>
          <w:shd w:val="clear" w:color="auto" w:fill="FFFFFF"/>
          <w:rtl/>
        </w:rPr>
        <w:t>‏</w:t>
      </w:r>
    </w:p>
    <w:p w:rsidR="00D879FF" w:rsidRPr="00824D58" w:rsidRDefault="00D879FF" w:rsidP="00D879FF">
      <w:pPr>
        <w:autoSpaceDE w:val="0"/>
        <w:autoSpaceDN w:val="0"/>
        <w:adjustRightInd w:val="0"/>
        <w:spacing w:after="0"/>
        <w:rPr>
          <w:rFonts w:cs="Times New Roman"/>
        </w:rPr>
      </w:pPr>
    </w:p>
    <w:p w:rsidR="00D879FF" w:rsidRPr="00824D58" w:rsidRDefault="00D879FF" w:rsidP="00D879FF">
      <w:pPr>
        <w:autoSpaceDE w:val="0"/>
        <w:autoSpaceDN w:val="0"/>
        <w:adjustRightInd w:val="0"/>
        <w:spacing w:after="0"/>
        <w:rPr>
          <w:rFonts w:cs="Times New Roman"/>
        </w:rPr>
      </w:pPr>
    </w:p>
    <w:p w:rsidR="00D879FF" w:rsidRPr="00824D58" w:rsidRDefault="00D879FF" w:rsidP="00D879FF">
      <w:pPr>
        <w:autoSpaceDE w:val="0"/>
        <w:autoSpaceDN w:val="0"/>
        <w:adjustRightInd w:val="0"/>
        <w:spacing w:after="0"/>
        <w:rPr>
          <w:rFonts w:cs="Times New Roman"/>
        </w:rPr>
      </w:pPr>
    </w:p>
    <w:p w:rsidR="00D879FF" w:rsidRDefault="00D879FF" w:rsidP="00D879FF">
      <w:pPr>
        <w:autoSpaceDE w:val="0"/>
        <w:autoSpaceDN w:val="0"/>
        <w:adjustRightInd w:val="0"/>
        <w:spacing w:after="0"/>
        <w:rPr>
          <w:rFonts w:cs="Times New Roman"/>
          <w:rtl/>
        </w:rPr>
      </w:pPr>
    </w:p>
    <w:p w:rsidR="00437ED0" w:rsidRDefault="00437ED0" w:rsidP="00D879FF">
      <w:pPr>
        <w:autoSpaceDE w:val="0"/>
        <w:autoSpaceDN w:val="0"/>
        <w:adjustRightInd w:val="0"/>
        <w:spacing w:after="0"/>
        <w:rPr>
          <w:rFonts w:cs="Times New Roman"/>
          <w:rtl/>
        </w:rPr>
      </w:pPr>
    </w:p>
    <w:p w:rsidR="00437ED0" w:rsidRDefault="00437ED0" w:rsidP="00D879FF">
      <w:pPr>
        <w:autoSpaceDE w:val="0"/>
        <w:autoSpaceDN w:val="0"/>
        <w:adjustRightInd w:val="0"/>
        <w:spacing w:after="0"/>
        <w:rPr>
          <w:rFonts w:cs="Times New Roman"/>
          <w:rtl/>
        </w:rPr>
      </w:pPr>
    </w:p>
    <w:p w:rsidR="00437ED0" w:rsidRDefault="00437ED0" w:rsidP="00D879FF">
      <w:pPr>
        <w:autoSpaceDE w:val="0"/>
        <w:autoSpaceDN w:val="0"/>
        <w:adjustRightInd w:val="0"/>
        <w:spacing w:after="0"/>
        <w:rPr>
          <w:rFonts w:cs="Times New Roman"/>
          <w:rtl/>
        </w:rPr>
      </w:pPr>
    </w:p>
    <w:p w:rsidR="00437ED0" w:rsidRPr="00824D58" w:rsidRDefault="00437ED0" w:rsidP="00D879FF">
      <w:pPr>
        <w:autoSpaceDE w:val="0"/>
        <w:autoSpaceDN w:val="0"/>
        <w:adjustRightInd w:val="0"/>
        <w:spacing w:after="0"/>
        <w:rPr>
          <w:rFonts w:cs="Times New Roman"/>
        </w:rPr>
      </w:pPr>
    </w:p>
    <w:sectPr w:rsidR="00437ED0" w:rsidRPr="00824D58" w:rsidSect="00835DE7">
      <w:footerReference w:type="default" r:id="rId40"/>
      <w:pgSz w:w="11906" w:h="16838"/>
      <w:pgMar w:top="1701" w:right="1134" w:bottom="1134" w:left="2268" w:header="709" w:footer="709"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6EA" w:rsidRDefault="00AD16EA" w:rsidP="00164847">
      <w:r>
        <w:separator/>
      </w:r>
    </w:p>
  </w:endnote>
  <w:endnote w:type="continuationSeparator" w:id="0">
    <w:p w:rsidR="00AD16EA" w:rsidRDefault="00AD16EA" w:rsidP="00164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Simplified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6F6" w:rsidRDefault="000A66F6" w:rsidP="00881B7F">
    <w:pPr>
      <w:pStyle w:val="Footer"/>
      <w:jc w:val="center"/>
    </w:pPr>
  </w:p>
  <w:p w:rsidR="000A66F6" w:rsidRPr="00320A21" w:rsidRDefault="000A66F6" w:rsidP="00164847">
    <w:pPr>
      <w:pStyle w:val="Footer"/>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8987042"/>
      <w:docPartObj>
        <w:docPartGallery w:val="Page Numbers (Bottom of Page)"/>
        <w:docPartUnique/>
      </w:docPartObj>
    </w:sdtPr>
    <w:sdtContent>
      <w:p w:rsidR="000A66F6" w:rsidRDefault="000A66F6" w:rsidP="00AC6E43">
        <w:pPr>
          <w:pStyle w:val="Footer"/>
          <w:jc w:val="center"/>
        </w:pPr>
        <w:r>
          <w:rPr>
            <w:rFonts w:cstheme="minorBidi"/>
          </w:rPr>
          <w:fldChar w:fldCharType="begin"/>
        </w:r>
        <w:r>
          <w:instrText xml:space="preserve"> PAGE   \* MERGEFORMAT </w:instrText>
        </w:r>
        <w:r>
          <w:rPr>
            <w:rFonts w:cstheme="minorBidi"/>
          </w:rPr>
          <w:fldChar w:fldCharType="separate"/>
        </w:r>
        <w:r w:rsidR="003974BD" w:rsidRPr="003974BD">
          <w:rPr>
            <w:rFonts w:cs="Times New Roman"/>
            <w:noProof/>
            <w:lang w:val="ar-SA"/>
          </w:rPr>
          <w:t>vii</w:t>
        </w:r>
        <w:r>
          <w:rPr>
            <w:rFonts w:cs="Calibri"/>
            <w:noProof/>
            <w:lang w:val="ar-SA"/>
          </w:rPr>
          <w:fldChar w:fldCharType="end"/>
        </w:r>
      </w:p>
    </w:sdtContent>
  </w:sdt>
  <w:p w:rsidR="000A66F6" w:rsidRPr="00320A21" w:rsidRDefault="000A66F6" w:rsidP="00164847">
    <w:pPr>
      <w:pStyle w:val="Footer"/>
      <w:rPr>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6F6" w:rsidRDefault="000A66F6" w:rsidP="009A3A76">
    <w:pPr>
      <w:pStyle w:val="Footer"/>
      <w:jc w:val="center"/>
    </w:pPr>
  </w:p>
  <w:p w:rsidR="000A66F6" w:rsidRDefault="000A66F6" w:rsidP="009A3A76">
    <w:pPr>
      <w:pStyle w:val="Footer"/>
      <w:jc w:val="center"/>
    </w:pPr>
  </w:p>
  <w:p w:rsidR="000A66F6" w:rsidRDefault="000A66F6" w:rsidP="009A3A76">
    <w:pPr>
      <w:pStyle w:val="Footer"/>
      <w:jc w:val="center"/>
    </w:pPr>
  </w:p>
  <w:p w:rsidR="000A66F6" w:rsidRDefault="000A66F6" w:rsidP="009A3A76">
    <w:pPr>
      <w:pStyle w:val="Footer"/>
      <w:jc w:val="center"/>
    </w:pPr>
    <w:r>
      <w:fldChar w:fldCharType="begin"/>
    </w:r>
    <w:r>
      <w:instrText xml:space="preserve"> PAGE   \* MERGEFORMAT </w:instrText>
    </w:r>
    <w:r>
      <w:fldChar w:fldCharType="separate"/>
    </w:r>
    <w:r w:rsidR="003974BD">
      <w:rPr>
        <w:noProof/>
      </w:rPr>
      <w:t>74</w:t>
    </w:r>
    <w:r>
      <w:rPr>
        <w:noProof/>
      </w:rPr>
      <w:fldChar w:fldCharType="end"/>
    </w:r>
  </w:p>
  <w:p w:rsidR="000A66F6" w:rsidRPr="00320A21" w:rsidRDefault="000A66F6" w:rsidP="00164847">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6EA" w:rsidRDefault="00AD16EA" w:rsidP="00164847">
      <w:r>
        <w:separator/>
      </w:r>
    </w:p>
  </w:footnote>
  <w:footnote w:type="continuationSeparator" w:id="0">
    <w:p w:rsidR="00AD16EA" w:rsidRDefault="00AD16EA" w:rsidP="001648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A0F7F"/>
    <w:multiLevelType w:val="hybridMultilevel"/>
    <w:tmpl w:val="46848246"/>
    <w:lvl w:ilvl="0" w:tplc="1F960D3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C5317B"/>
    <w:multiLevelType w:val="multilevel"/>
    <w:tmpl w:val="90103A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667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46B7969"/>
    <w:multiLevelType w:val="multilevel"/>
    <w:tmpl w:val="3B8495AA"/>
    <w:lvl w:ilvl="0">
      <w:start w:val="3"/>
      <w:numFmt w:val="decimal"/>
      <w:lvlText w:val="%1."/>
      <w:lvlJc w:val="left"/>
      <w:pPr>
        <w:ind w:left="1080" w:hanging="360"/>
      </w:pPr>
      <w:rPr>
        <w:rFonts w:asciiTheme="majorBidi" w:hAnsiTheme="majorBidi" w:cstheme="majorBidi" w:hint="default"/>
        <w:b/>
        <w:sz w:val="24"/>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3">
    <w:nsid w:val="1CF34C28"/>
    <w:multiLevelType w:val="hybridMultilevel"/>
    <w:tmpl w:val="B380B99C"/>
    <w:lvl w:ilvl="0" w:tplc="C58032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210856D3"/>
    <w:multiLevelType w:val="hybridMultilevel"/>
    <w:tmpl w:val="3B42AC3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24BC04B4"/>
    <w:multiLevelType w:val="hybridMultilevel"/>
    <w:tmpl w:val="291090C0"/>
    <w:lvl w:ilvl="0" w:tplc="84D69A6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6E0699"/>
    <w:multiLevelType w:val="multilevel"/>
    <w:tmpl w:val="93606B4A"/>
    <w:lvl w:ilvl="0">
      <w:start w:val="3"/>
      <w:numFmt w:val="decimal"/>
      <w:lvlText w:val="%1."/>
      <w:lvlJc w:val="left"/>
      <w:pPr>
        <w:ind w:left="360" w:hanging="360"/>
      </w:pPr>
      <w:rPr>
        <w:rFonts w:hint="default"/>
        <w:b/>
        <w:bCs/>
      </w:rPr>
    </w:lvl>
    <w:lvl w:ilvl="1">
      <w:start w:val="1"/>
      <w:numFmt w:val="decimal"/>
      <w:lvlText w:val="%1.%2."/>
      <w:lvlJc w:val="left"/>
      <w:pPr>
        <w:ind w:left="786" w:hanging="360"/>
      </w:pPr>
      <w:rPr>
        <w:rFonts w:hint="default"/>
        <w:b/>
        <w:bCs/>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b/>
        <w:bCs/>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7">
    <w:nsid w:val="453549D7"/>
    <w:multiLevelType w:val="multilevel"/>
    <w:tmpl w:val="03F65AF4"/>
    <w:lvl w:ilvl="0">
      <w:start w:val="4"/>
      <w:numFmt w:val="decimal"/>
      <w:lvlText w:val="%1."/>
      <w:lvlJc w:val="left"/>
      <w:pPr>
        <w:ind w:left="360" w:hanging="360"/>
      </w:pPr>
      <w:rPr>
        <w:rFonts w:ascii="Times New Roman" w:hAnsi="Times New Roman" w:hint="default"/>
        <w:sz w:val="24"/>
      </w:rPr>
    </w:lvl>
    <w:lvl w:ilvl="1">
      <w:start w:val="1"/>
      <w:numFmt w:val="decimal"/>
      <w:lvlText w:val="%1.%2."/>
      <w:lvlJc w:val="left"/>
      <w:pPr>
        <w:ind w:left="1080" w:hanging="720"/>
      </w:pPr>
      <w:rPr>
        <w:rFonts w:ascii="Times New Roman" w:hAnsi="Times New Roman" w:hint="default"/>
        <w:b/>
        <w:bCs/>
        <w:sz w:val="24"/>
      </w:rPr>
    </w:lvl>
    <w:lvl w:ilvl="2">
      <w:start w:val="1"/>
      <w:numFmt w:val="decimal"/>
      <w:lvlText w:val="%1.%2.%3."/>
      <w:lvlJc w:val="left"/>
      <w:pPr>
        <w:ind w:left="1440" w:hanging="720"/>
      </w:pPr>
      <w:rPr>
        <w:rFonts w:ascii="Times New Roman" w:hAnsi="Times New Roman" w:hint="default"/>
        <w:sz w:val="24"/>
      </w:rPr>
    </w:lvl>
    <w:lvl w:ilvl="3">
      <w:start w:val="1"/>
      <w:numFmt w:val="decimal"/>
      <w:lvlText w:val="%1.%2.%3.%4."/>
      <w:lvlJc w:val="left"/>
      <w:pPr>
        <w:ind w:left="2160" w:hanging="1080"/>
      </w:pPr>
      <w:rPr>
        <w:rFonts w:ascii="Times New Roman" w:hAnsi="Times New Roman" w:hint="default"/>
        <w:sz w:val="24"/>
      </w:rPr>
    </w:lvl>
    <w:lvl w:ilvl="4">
      <w:start w:val="1"/>
      <w:numFmt w:val="decimal"/>
      <w:lvlText w:val="%1.%2.%3.%4.%5."/>
      <w:lvlJc w:val="left"/>
      <w:pPr>
        <w:ind w:left="2520" w:hanging="1080"/>
      </w:pPr>
      <w:rPr>
        <w:rFonts w:ascii="Times New Roman" w:hAnsi="Times New Roman" w:hint="default"/>
        <w:sz w:val="24"/>
      </w:rPr>
    </w:lvl>
    <w:lvl w:ilvl="5">
      <w:start w:val="1"/>
      <w:numFmt w:val="decimal"/>
      <w:lvlText w:val="%1.%2.%3.%4.%5.%6."/>
      <w:lvlJc w:val="left"/>
      <w:pPr>
        <w:ind w:left="3240" w:hanging="1440"/>
      </w:pPr>
      <w:rPr>
        <w:rFonts w:ascii="Times New Roman" w:hAnsi="Times New Roman" w:hint="default"/>
        <w:sz w:val="24"/>
      </w:rPr>
    </w:lvl>
    <w:lvl w:ilvl="6">
      <w:start w:val="1"/>
      <w:numFmt w:val="decimal"/>
      <w:lvlText w:val="%1.%2.%3.%4.%5.%6.%7."/>
      <w:lvlJc w:val="left"/>
      <w:pPr>
        <w:ind w:left="3960" w:hanging="1800"/>
      </w:pPr>
      <w:rPr>
        <w:rFonts w:ascii="Times New Roman" w:hAnsi="Times New Roman" w:hint="default"/>
        <w:sz w:val="24"/>
      </w:rPr>
    </w:lvl>
    <w:lvl w:ilvl="7">
      <w:start w:val="1"/>
      <w:numFmt w:val="decimal"/>
      <w:lvlText w:val="%1.%2.%3.%4.%5.%6.%7.%8."/>
      <w:lvlJc w:val="left"/>
      <w:pPr>
        <w:ind w:left="4320" w:hanging="1800"/>
      </w:pPr>
      <w:rPr>
        <w:rFonts w:ascii="Times New Roman" w:hAnsi="Times New Roman" w:hint="default"/>
        <w:sz w:val="24"/>
      </w:rPr>
    </w:lvl>
    <w:lvl w:ilvl="8">
      <w:start w:val="1"/>
      <w:numFmt w:val="decimal"/>
      <w:lvlText w:val="%1.%2.%3.%4.%5.%6.%7.%8.%9."/>
      <w:lvlJc w:val="left"/>
      <w:pPr>
        <w:ind w:left="5040" w:hanging="2160"/>
      </w:pPr>
      <w:rPr>
        <w:rFonts w:ascii="Times New Roman" w:hAnsi="Times New Roman" w:hint="default"/>
        <w:sz w:val="24"/>
      </w:rPr>
    </w:lvl>
  </w:abstractNum>
  <w:abstractNum w:abstractNumId="8">
    <w:nsid w:val="561B1E83"/>
    <w:multiLevelType w:val="hybridMultilevel"/>
    <w:tmpl w:val="2968CB30"/>
    <w:lvl w:ilvl="0" w:tplc="B7CC9102">
      <w:start w:val="1"/>
      <w:numFmt w:val="upperLetter"/>
      <w:lvlText w:val="%1."/>
      <w:lvlJc w:val="left"/>
      <w:pPr>
        <w:ind w:left="644" w:hanging="360"/>
      </w:pPr>
      <w:rPr>
        <w:rFonts w:hint="default"/>
      </w:rPr>
    </w:lvl>
    <w:lvl w:ilvl="1" w:tplc="6CA46822" w:tentative="1">
      <w:start w:val="1"/>
      <w:numFmt w:val="lowerLetter"/>
      <w:lvlText w:val="%2."/>
      <w:lvlJc w:val="left"/>
      <w:pPr>
        <w:ind w:left="1364" w:hanging="360"/>
      </w:pPr>
    </w:lvl>
    <w:lvl w:ilvl="2" w:tplc="7FF8F5F8" w:tentative="1">
      <w:start w:val="1"/>
      <w:numFmt w:val="lowerRoman"/>
      <w:lvlText w:val="%3."/>
      <w:lvlJc w:val="right"/>
      <w:pPr>
        <w:ind w:left="2084" w:hanging="180"/>
      </w:pPr>
    </w:lvl>
    <w:lvl w:ilvl="3" w:tplc="DCF2C482" w:tentative="1">
      <w:start w:val="1"/>
      <w:numFmt w:val="decimal"/>
      <w:lvlText w:val="%4."/>
      <w:lvlJc w:val="left"/>
      <w:pPr>
        <w:ind w:left="2804" w:hanging="360"/>
      </w:pPr>
    </w:lvl>
    <w:lvl w:ilvl="4" w:tplc="4CA84248" w:tentative="1">
      <w:start w:val="1"/>
      <w:numFmt w:val="lowerLetter"/>
      <w:lvlText w:val="%5."/>
      <w:lvlJc w:val="left"/>
      <w:pPr>
        <w:ind w:left="3524" w:hanging="360"/>
      </w:pPr>
    </w:lvl>
    <w:lvl w:ilvl="5" w:tplc="4DBEC91C" w:tentative="1">
      <w:start w:val="1"/>
      <w:numFmt w:val="lowerRoman"/>
      <w:lvlText w:val="%6."/>
      <w:lvlJc w:val="right"/>
      <w:pPr>
        <w:ind w:left="4244" w:hanging="180"/>
      </w:pPr>
    </w:lvl>
    <w:lvl w:ilvl="6" w:tplc="EAB0E5DA" w:tentative="1">
      <w:start w:val="1"/>
      <w:numFmt w:val="decimal"/>
      <w:lvlText w:val="%7."/>
      <w:lvlJc w:val="left"/>
      <w:pPr>
        <w:ind w:left="4964" w:hanging="360"/>
      </w:pPr>
    </w:lvl>
    <w:lvl w:ilvl="7" w:tplc="5BE86312" w:tentative="1">
      <w:start w:val="1"/>
      <w:numFmt w:val="lowerLetter"/>
      <w:lvlText w:val="%8."/>
      <w:lvlJc w:val="left"/>
      <w:pPr>
        <w:ind w:left="5684" w:hanging="360"/>
      </w:pPr>
    </w:lvl>
    <w:lvl w:ilvl="8" w:tplc="40E4C732" w:tentative="1">
      <w:start w:val="1"/>
      <w:numFmt w:val="lowerRoman"/>
      <w:lvlText w:val="%9."/>
      <w:lvlJc w:val="right"/>
      <w:pPr>
        <w:ind w:left="6404" w:hanging="180"/>
      </w:pPr>
    </w:lvl>
  </w:abstractNum>
  <w:abstractNum w:abstractNumId="9">
    <w:nsid w:val="599C07DA"/>
    <w:multiLevelType w:val="hybridMultilevel"/>
    <w:tmpl w:val="94EC8756"/>
    <w:lvl w:ilvl="0" w:tplc="0409000D">
      <w:start w:val="1"/>
      <w:numFmt w:val="decimal"/>
      <w:lvlText w:val="%1."/>
      <w:lvlJc w:val="left"/>
      <w:pPr>
        <w:ind w:left="644" w:hanging="360"/>
      </w:pPr>
      <w:rPr>
        <w:rFonts w:hint="default"/>
      </w:rPr>
    </w:lvl>
    <w:lvl w:ilvl="1" w:tplc="04090003" w:tentative="1">
      <w:start w:val="1"/>
      <w:numFmt w:val="lowerLetter"/>
      <w:lvlText w:val="%2."/>
      <w:lvlJc w:val="left"/>
      <w:pPr>
        <w:ind w:left="1364" w:hanging="360"/>
      </w:pPr>
    </w:lvl>
    <w:lvl w:ilvl="2" w:tplc="04090005" w:tentative="1">
      <w:start w:val="1"/>
      <w:numFmt w:val="lowerRoman"/>
      <w:lvlText w:val="%3."/>
      <w:lvlJc w:val="right"/>
      <w:pPr>
        <w:ind w:left="2084" w:hanging="180"/>
      </w:p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10">
    <w:nsid w:val="5F0515FE"/>
    <w:multiLevelType w:val="hybridMultilevel"/>
    <w:tmpl w:val="F0268E54"/>
    <w:lvl w:ilvl="0" w:tplc="04090009">
      <w:start w:val="1"/>
      <w:numFmt w:val="lowerLetter"/>
      <w:lvlText w:val="%1."/>
      <w:lvlJc w:val="left"/>
      <w:pPr>
        <w:ind w:left="720" w:hanging="360"/>
      </w:pPr>
    </w:lvl>
    <w:lvl w:ilvl="1" w:tplc="CC521472"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
    <w:nsid w:val="67E87B0A"/>
    <w:multiLevelType w:val="multilevel"/>
    <w:tmpl w:val="ECB0C866"/>
    <w:lvl w:ilvl="0">
      <w:start w:val="3"/>
      <w:numFmt w:val="decimal"/>
      <w:lvlText w:val="%1."/>
      <w:lvlJc w:val="left"/>
      <w:pPr>
        <w:ind w:left="360" w:hanging="360"/>
      </w:pPr>
      <w:rPr>
        <w:rFonts w:asciiTheme="majorBidi" w:hAnsiTheme="majorBidi" w:cstheme="majorBidi" w:hint="default"/>
        <w:b/>
        <w:sz w:val="24"/>
      </w:rPr>
    </w:lvl>
    <w:lvl w:ilvl="1">
      <w:start w:val="2"/>
      <w:numFmt w:val="decimal"/>
      <w:lvlText w:val="%1.%2."/>
      <w:lvlJc w:val="left"/>
      <w:pPr>
        <w:ind w:left="360" w:hanging="360"/>
      </w:pPr>
      <w:rPr>
        <w:rFonts w:asciiTheme="majorBidi" w:hAnsiTheme="majorBidi" w:cstheme="majorBidi" w:hint="default"/>
        <w:b/>
        <w:sz w:val="24"/>
      </w:rPr>
    </w:lvl>
    <w:lvl w:ilvl="2">
      <w:start w:val="1"/>
      <w:numFmt w:val="decimal"/>
      <w:lvlText w:val="%1.%2.%3."/>
      <w:lvlJc w:val="left"/>
      <w:pPr>
        <w:ind w:left="720" w:hanging="720"/>
      </w:pPr>
      <w:rPr>
        <w:rFonts w:asciiTheme="majorBidi" w:hAnsiTheme="majorBidi" w:cstheme="majorBidi" w:hint="default"/>
        <w:b/>
        <w:sz w:val="24"/>
      </w:rPr>
    </w:lvl>
    <w:lvl w:ilvl="3">
      <w:start w:val="1"/>
      <w:numFmt w:val="decimal"/>
      <w:lvlText w:val="%1.%2.%3.%4."/>
      <w:lvlJc w:val="left"/>
      <w:pPr>
        <w:ind w:left="720" w:hanging="720"/>
      </w:pPr>
      <w:rPr>
        <w:rFonts w:asciiTheme="majorBidi" w:hAnsiTheme="majorBidi" w:cstheme="majorBidi" w:hint="default"/>
        <w:b/>
        <w:sz w:val="24"/>
      </w:rPr>
    </w:lvl>
    <w:lvl w:ilvl="4">
      <w:start w:val="1"/>
      <w:numFmt w:val="decimal"/>
      <w:lvlText w:val="%1.%2.%3.%4.%5."/>
      <w:lvlJc w:val="left"/>
      <w:pPr>
        <w:ind w:left="1080" w:hanging="1080"/>
      </w:pPr>
      <w:rPr>
        <w:rFonts w:asciiTheme="majorBidi" w:hAnsiTheme="majorBidi" w:cstheme="majorBidi" w:hint="default"/>
        <w:b/>
        <w:sz w:val="24"/>
      </w:rPr>
    </w:lvl>
    <w:lvl w:ilvl="5">
      <w:start w:val="1"/>
      <w:numFmt w:val="decimal"/>
      <w:lvlText w:val="%1.%2.%3.%4.%5.%6."/>
      <w:lvlJc w:val="left"/>
      <w:pPr>
        <w:ind w:left="1080" w:hanging="1080"/>
      </w:pPr>
      <w:rPr>
        <w:rFonts w:asciiTheme="majorBidi" w:hAnsiTheme="majorBidi" w:cstheme="majorBidi" w:hint="default"/>
        <w:b/>
        <w:sz w:val="24"/>
      </w:rPr>
    </w:lvl>
    <w:lvl w:ilvl="6">
      <w:start w:val="1"/>
      <w:numFmt w:val="decimal"/>
      <w:lvlText w:val="%1.%2.%3.%4.%5.%6.%7."/>
      <w:lvlJc w:val="left"/>
      <w:pPr>
        <w:ind w:left="1440" w:hanging="1440"/>
      </w:pPr>
      <w:rPr>
        <w:rFonts w:asciiTheme="majorBidi" w:hAnsiTheme="majorBidi" w:cstheme="majorBidi" w:hint="default"/>
        <w:b/>
        <w:sz w:val="24"/>
      </w:rPr>
    </w:lvl>
    <w:lvl w:ilvl="7">
      <w:start w:val="1"/>
      <w:numFmt w:val="decimal"/>
      <w:lvlText w:val="%1.%2.%3.%4.%5.%6.%7.%8."/>
      <w:lvlJc w:val="left"/>
      <w:pPr>
        <w:ind w:left="1440" w:hanging="1440"/>
      </w:pPr>
      <w:rPr>
        <w:rFonts w:asciiTheme="majorBidi" w:hAnsiTheme="majorBidi" w:cstheme="majorBidi" w:hint="default"/>
        <w:b/>
        <w:sz w:val="24"/>
      </w:rPr>
    </w:lvl>
    <w:lvl w:ilvl="8">
      <w:start w:val="1"/>
      <w:numFmt w:val="decimal"/>
      <w:lvlText w:val="%1.%2.%3.%4.%5.%6.%7.%8.%9."/>
      <w:lvlJc w:val="left"/>
      <w:pPr>
        <w:ind w:left="1800" w:hanging="1800"/>
      </w:pPr>
      <w:rPr>
        <w:rFonts w:asciiTheme="majorBidi" w:hAnsiTheme="majorBidi" w:cstheme="majorBidi" w:hint="default"/>
        <w:b/>
        <w:sz w:val="24"/>
      </w:rPr>
    </w:lvl>
  </w:abstractNum>
  <w:abstractNum w:abstractNumId="12">
    <w:nsid w:val="6CCA5D65"/>
    <w:multiLevelType w:val="hybridMultilevel"/>
    <w:tmpl w:val="4B009396"/>
    <w:lvl w:ilvl="0" w:tplc="44AAA978">
      <w:start w:val="1"/>
      <w:numFmt w:val="upperLetter"/>
      <w:lvlText w:val="%1-"/>
      <w:lvlJc w:val="left"/>
      <w:pPr>
        <w:ind w:left="720" w:hanging="360"/>
      </w:pPr>
      <w:rPr>
        <w:rFonts w:hint="default"/>
        <w:color w:val="222222"/>
      </w:rPr>
    </w:lvl>
    <w:lvl w:ilvl="1" w:tplc="FAE01F08" w:tentative="1">
      <w:start w:val="1"/>
      <w:numFmt w:val="lowerLetter"/>
      <w:lvlText w:val="%2."/>
      <w:lvlJc w:val="left"/>
      <w:pPr>
        <w:ind w:left="1440" w:hanging="360"/>
      </w:pPr>
    </w:lvl>
    <w:lvl w:ilvl="2" w:tplc="E908626C" w:tentative="1">
      <w:start w:val="1"/>
      <w:numFmt w:val="lowerRoman"/>
      <w:lvlText w:val="%3."/>
      <w:lvlJc w:val="right"/>
      <w:pPr>
        <w:ind w:left="2160" w:hanging="180"/>
      </w:pPr>
    </w:lvl>
    <w:lvl w:ilvl="3" w:tplc="5C801E4A" w:tentative="1">
      <w:start w:val="1"/>
      <w:numFmt w:val="decimal"/>
      <w:lvlText w:val="%4."/>
      <w:lvlJc w:val="left"/>
      <w:pPr>
        <w:ind w:left="2880" w:hanging="360"/>
      </w:pPr>
    </w:lvl>
    <w:lvl w:ilvl="4" w:tplc="4F726240" w:tentative="1">
      <w:start w:val="1"/>
      <w:numFmt w:val="lowerLetter"/>
      <w:lvlText w:val="%5."/>
      <w:lvlJc w:val="left"/>
      <w:pPr>
        <w:ind w:left="3600" w:hanging="360"/>
      </w:pPr>
    </w:lvl>
    <w:lvl w:ilvl="5" w:tplc="CC7A1984" w:tentative="1">
      <w:start w:val="1"/>
      <w:numFmt w:val="lowerRoman"/>
      <w:lvlText w:val="%6."/>
      <w:lvlJc w:val="right"/>
      <w:pPr>
        <w:ind w:left="4320" w:hanging="180"/>
      </w:pPr>
    </w:lvl>
    <w:lvl w:ilvl="6" w:tplc="5D80596E" w:tentative="1">
      <w:start w:val="1"/>
      <w:numFmt w:val="decimal"/>
      <w:lvlText w:val="%7."/>
      <w:lvlJc w:val="left"/>
      <w:pPr>
        <w:ind w:left="5040" w:hanging="360"/>
      </w:pPr>
    </w:lvl>
    <w:lvl w:ilvl="7" w:tplc="499C748A" w:tentative="1">
      <w:start w:val="1"/>
      <w:numFmt w:val="lowerLetter"/>
      <w:lvlText w:val="%8."/>
      <w:lvlJc w:val="left"/>
      <w:pPr>
        <w:ind w:left="5760" w:hanging="360"/>
      </w:pPr>
    </w:lvl>
    <w:lvl w:ilvl="8" w:tplc="35567DF8" w:tentative="1">
      <w:start w:val="1"/>
      <w:numFmt w:val="lowerRoman"/>
      <w:lvlText w:val="%9."/>
      <w:lvlJc w:val="right"/>
      <w:pPr>
        <w:ind w:left="6480" w:hanging="180"/>
      </w:pPr>
    </w:lvl>
  </w:abstractNum>
  <w:num w:numId="1">
    <w:abstractNumId w:val="12"/>
  </w:num>
  <w:num w:numId="2">
    <w:abstractNumId w:val="1"/>
  </w:num>
  <w:num w:numId="3">
    <w:abstractNumId w:val="9"/>
  </w:num>
  <w:num w:numId="4">
    <w:abstractNumId w:val="4"/>
  </w:num>
  <w:num w:numId="5">
    <w:abstractNumId w:val="2"/>
  </w:num>
  <w:num w:numId="6">
    <w:abstractNumId w:val="11"/>
  </w:num>
  <w:num w:numId="7">
    <w:abstractNumId w:val="3"/>
  </w:num>
  <w:num w:numId="8">
    <w:abstractNumId w:val="8"/>
  </w:num>
  <w:num w:numId="9">
    <w:abstractNumId w:val="10"/>
  </w:num>
  <w:num w:numId="10">
    <w:abstractNumId w:val="6"/>
  </w:num>
  <w:num w:numId="11">
    <w:abstractNumId w:val="7"/>
  </w:num>
  <w:num w:numId="12">
    <w:abstractNumId w:val="0"/>
  </w:num>
  <w:num w:numId="13">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2B0"/>
    <w:rsid w:val="00000407"/>
    <w:rsid w:val="0000105D"/>
    <w:rsid w:val="000010FD"/>
    <w:rsid w:val="00001ACF"/>
    <w:rsid w:val="0000329B"/>
    <w:rsid w:val="0000355E"/>
    <w:rsid w:val="00003997"/>
    <w:rsid w:val="00003E13"/>
    <w:rsid w:val="00005976"/>
    <w:rsid w:val="00005F6F"/>
    <w:rsid w:val="000061A8"/>
    <w:rsid w:val="00007243"/>
    <w:rsid w:val="0000753B"/>
    <w:rsid w:val="000079AA"/>
    <w:rsid w:val="00010943"/>
    <w:rsid w:val="00011B64"/>
    <w:rsid w:val="000120EF"/>
    <w:rsid w:val="00013294"/>
    <w:rsid w:val="00013F41"/>
    <w:rsid w:val="00015AE2"/>
    <w:rsid w:val="0001612E"/>
    <w:rsid w:val="0001627C"/>
    <w:rsid w:val="000174BA"/>
    <w:rsid w:val="00020CC0"/>
    <w:rsid w:val="00021432"/>
    <w:rsid w:val="00021631"/>
    <w:rsid w:val="000217B6"/>
    <w:rsid w:val="00021DCF"/>
    <w:rsid w:val="000232B7"/>
    <w:rsid w:val="0002492E"/>
    <w:rsid w:val="00025159"/>
    <w:rsid w:val="000251F9"/>
    <w:rsid w:val="00025A32"/>
    <w:rsid w:val="000301F0"/>
    <w:rsid w:val="00032404"/>
    <w:rsid w:val="0003258B"/>
    <w:rsid w:val="00034185"/>
    <w:rsid w:val="00034690"/>
    <w:rsid w:val="00035A2C"/>
    <w:rsid w:val="00037B25"/>
    <w:rsid w:val="00040A0B"/>
    <w:rsid w:val="000414EE"/>
    <w:rsid w:val="00042475"/>
    <w:rsid w:val="00043C68"/>
    <w:rsid w:val="00043EB0"/>
    <w:rsid w:val="00044837"/>
    <w:rsid w:val="000450A6"/>
    <w:rsid w:val="000521D3"/>
    <w:rsid w:val="0005437F"/>
    <w:rsid w:val="000543C8"/>
    <w:rsid w:val="00054E80"/>
    <w:rsid w:val="00054FA8"/>
    <w:rsid w:val="00057683"/>
    <w:rsid w:val="00057CFC"/>
    <w:rsid w:val="00057EE2"/>
    <w:rsid w:val="00060488"/>
    <w:rsid w:val="00060F61"/>
    <w:rsid w:val="00063142"/>
    <w:rsid w:val="00064CB6"/>
    <w:rsid w:val="00065CF9"/>
    <w:rsid w:val="00071D1F"/>
    <w:rsid w:val="0007302B"/>
    <w:rsid w:val="00073B9B"/>
    <w:rsid w:val="00074E83"/>
    <w:rsid w:val="000805C2"/>
    <w:rsid w:val="00081BCF"/>
    <w:rsid w:val="00081D60"/>
    <w:rsid w:val="00082255"/>
    <w:rsid w:val="00084388"/>
    <w:rsid w:val="00091A99"/>
    <w:rsid w:val="00091D76"/>
    <w:rsid w:val="00091EF2"/>
    <w:rsid w:val="000930E4"/>
    <w:rsid w:val="0009356B"/>
    <w:rsid w:val="00093DAF"/>
    <w:rsid w:val="00096C99"/>
    <w:rsid w:val="000A0CC7"/>
    <w:rsid w:val="000A0D30"/>
    <w:rsid w:val="000A1375"/>
    <w:rsid w:val="000A2878"/>
    <w:rsid w:val="000A391F"/>
    <w:rsid w:val="000A42AA"/>
    <w:rsid w:val="000A42B9"/>
    <w:rsid w:val="000A46A1"/>
    <w:rsid w:val="000A4837"/>
    <w:rsid w:val="000A4E31"/>
    <w:rsid w:val="000A509D"/>
    <w:rsid w:val="000A5A99"/>
    <w:rsid w:val="000A66F6"/>
    <w:rsid w:val="000A6721"/>
    <w:rsid w:val="000A7262"/>
    <w:rsid w:val="000A7710"/>
    <w:rsid w:val="000B0454"/>
    <w:rsid w:val="000B2062"/>
    <w:rsid w:val="000B20D5"/>
    <w:rsid w:val="000B2244"/>
    <w:rsid w:val="000B25C3"/>
    <w:rsid w:val="000B41DF"/>
    <w:rsid w:val="000B46F4"/>
    <w:rsid w:val="000B4FE0"/>
    <w:rsid w:val="000B5804"/>
    <w:rsid w:val="000B6128"/>
    <w:rsid w:val="000B6F8A"/>
    <w:rsid w:val="000B79D0"/>
    <w:rsid w:val="000C1FAC"/>
    <w:rsid w:val="000C51E3"/>
    <w:rsid w:val="000C59F0"/>
    <w:rsid w:val="000C6F36"/>
    <w:rsid w:val="000C7010"/>
    <w:rsid w:val="000D1912"/>
    <w:rsid w:val="000D19D7"/>
    <w:rsid w:val="000D2382"/>
    <w:rsid w:val="000D350F"/>
    <w:rsid w:val="000D4CBE"/>
    <w:rsid w:val="000D5F0A"/>
    <w:rsid w:val="000D6263"/>
    <w:rsid w:val="000D7236"/>
    <w:rsid w:val="000D7428"/>
    <w:rsid w:val="000E175B"/>
    <w:rsid w:val="000E18E4"/>
    <w:rsid w:val="000E1DA3"/>
    <w:rsid w:val="000E2E61"/>
    <w:rsid w:val="000E3C46"/>
    <w:rsid w:val="000E4AAC"/>
    <w:rsid w:val="000E5197"/>
    <w:rsid w:val="000E57FE"/>
    <w:rsid w:val="000E652F"/>
    <w:rsid w:val="000E7E05"/>
    <w:rsid w:val="000F2FB3"/>
    <w:rsid w:val="000F374D"/>
    <w:rsid w:val="000F3C26"/>
    <w:rsid w:val="000F3E25"/>
    <w:rsid w:val="000F5987"/>
    <w:rsid w:val="000F6C0A"/>
    <w:rsid w:val="000F6EBD"/>
    <w:rsid w:val="0010090D"/>
    <w:rsid w:val="00101279"/>
    <w:rsid w:val="001038BC"/>
    <w:rsid w:val="00104797"/>
    <w:rsid w:val="00106178"/>
    <w:rsid w:val="00110BA8"/>
    <w:rsid w:val="001117D9"/>
    <w:rsid w:val="001126F7"/>
    <w:rsid w:val="00112B8B"/>
    <w:rsid w:val="00115A9D"/>
    <w:rsid w:val="00115B6C"/>
    <w:rsid w:val="00117185"/>
    <w:rsid w:val="001172B6"/>
    <w:rsid w:val="00117360"/>
    <w:rsid w:val="001179EB"/>
    <w:rsid w:val="00117C4A"/>
    <w:rsid w:val="0012096F"/>
    <w:rsid w:val="001228A6"/>
    <w:rsid w:val="00124256"/>
    <w:rsid w:val="00124500"/>
    <w:rsid w:val="00126E4A"/>
    <w:rsid w:val="001316EC"/>
    <w:rsid w:val="00132B26"/>
    <w:rsid w:val="00132B83"/>
    <w:rsid w:val="0013466D"/>
    <w:rsid w:val="00135042"/>
    <w:rsid w:val="001358F2"/>
    <w:rsid w:val="001361A9"/>
    <w:rsid w:val="0013700F"/>
    <w:rsid w:val="00137351"/>
    <w:rsid w:val="00137E2A"/>
    <w:rsid w:val="00137ECD"/>
    <w:rsid w:val="00137FB2"/>
    <w:rsid w:val="001402BD"/>
    <w:rsid w:val="00140323"/>
    <w:rsid w:val="001405D2"/>
    <w:rsid w:val="0014263B"/>
    <w:rsid w:val="0014611F"/>
    <w:rsid w:val="00147045"/>
    <w:rsid w:val="00150489"/>
    <w:rsid w:val="00150B29"/>
    <w:rsid w:val="0015101C"/>
    <w:rsid w:val="00151081"/>
    <w:rsid w:val="001511E9"/>
    <w:rsid w:val="00151652"/>
    <w:rsid w:val="001529F4"/>
    <w:rsid w:val="00154536"/>
    <w:rsid w:val="00154950"/>
    <w:rsid w:val="00154D6D"/>
    <w:rsid w:val="00154EC2"/>
    <w:rsid w:val="00156805"/>
    <w:rsid w:val="00156B7A"/>
    <w:rsid w:val="00157777"/>
    <w:rsid w:val="00160548"/>
    <w:rsid w:val="00163D0D"/>
    <w:rsid w:val="00164847"/>
    <w:rsid w:val="00164E4B"/>
    <w:rsid w:val="00165389"/>
    <w:rsid w:val="001657D7"/>
    <w:rsid w:val="00165A77"/>
    <w:rsid w:val="00165F0F"/>
    <w:rsid w:val="00166B93"/>
    <w:rsid w:val="0017158D"/>
    <w:rsid w:val="00171A8C"/>
    <w:rsid w:val="0017275E"/>
    <w:rsid w:val="00173154"/>
    <w:rsid w:val="001739CF"/>
    <w:rsid w:val="001742D7"/>
    <w:rsid w:val="00175285"/>
    <w:rsid w:val="001754C5"/>
    <w:rsid w:val="0017555F"/>
    <w:rsid w:val="001757A5"/>
    <w:rsid w:val="001762F8"/>
    <w:rsid w:val="00176F54"/>
    <w:rsid w:val="00176FF5"/>
    <w:rsid w:val="0017714E"/>
    <w:rsid w:val="00177B66"/>
    <w:rsid w:val="00180186"/>
    <w:rsid w:val="001818CC"/>
    <w:rsid w:val="00181AF9"/>
    <w:rsid w:val="00181C52"/>
    <w:rsid w:val="00183E1A"/>
    <w:rsid w:val="001843CE"/>
    <w:rsid w:val="001847F0"/>
    <w:rsid w:val="0018540D"/>
    <w:rsid w:val="00185A2A"/>
    <w:rsid w:val="00186165"/>
    <w:rsid w:val="001861C6"/>
    <w:rsid w:val="00186D8E"/>
    <w:rsid w:val="0018763C"/>
    <w:rsid w:val="0018764D"/>
    <w:rsid w:val="00187A31"/>
    <w:rsid w:val="001903DE"/>
    <w:rsid w:val="00191314"/>
    <w:rsid w:val="00191C5A"/>
    <w:rsid w:val="00192351"/>
    <w:rsid w:val="00194705"/>
    <w:rsid w:val="00195B9D"/>
    <w:rsid w:val="00196F00"/>
    <w:rsid w:val="001A0CA5"/>
    <w:rsid w:val="001A1473"/>
    <w:rsid w:val="001A22E9"/>
    <w:rsid w:val="001A22FB"/>
    <w:rsid w:val="001A2FBB"/>
    <w:rsid w:val="001A35DE"/>
    <w:rsid w:val="001A37C7"/>
    <w:rsid w:val="001A40A0"/>
    <w:rsid w:val="001A51DF"/>
    <w:rsid w:val="001A53FF"/>
    <w:rsid w:val="001A56E0"/>
    <w:rsid w:val="001A617F"/>
    <w:rsid w:val="001A7009"/>
    <w:rsid w:val="001A7A1A"/>
    <w:rsid w:val="001B1124"/>
    <w:rsid w:val="001B6DCE"/>
    <w:rsid w:val="001B71DC"/>
    <w:rsid w:val="001B7579"/>
    <w:rsid w:val="001B7A1C"/>
    <w:rsid w:val="001B7D0F"/>
    <w:rsid w:val="001C0468"/>
    <w:rsid w:val="001C17E9"/>
    <w:rsid w:val="001C272E"/>
    <w:rsid w:val="001C3B56"/>
    <w:rsid w:val="001C49F4"/>
    <w:rsid w:val="001C4A2F"/>
    <w:rsid w:val="001C4F1B"/>
    <w:rsid w:val="001C5CCD"/>
    <w:rsid w:val="001C62FE"/>
    <w:rsid w:val="001C75CB"/>
    <w:rsid w:val="001C7C14"/>
    <w:rsid w:val="001D2197"/>
    <w:rsid w:val="001D226F"/>
    <w:rsid w:val="001D31A5"/>
    <w:rsid w:val="001D32E9"/>
    <w:rsid w:val="001D3CB0"/>
    <w:rsid w:val="001D436F"/>
    <w:rsid w:val="001D47CA"/>
    <w:rsid w:val="001D4952"/>
    <w:rsid w:val="001D49EB"/>
    <w:rsid w:val="001D4FAE"/>
    <w:rsid w:val="001D5F09"/>
    <w:rsid w:val="001D67D1"/>
    <w:rsid w:val="001D68F6"/>
    <w:rsid w:val="001D6DE6"/>
    <w:rsid w:val="001D73A7"/>
    <w:rsid w:val="001E00A5"/>
    <w:rsid w:val="001E1B65"/>
    <w:rsid w:val="001E6A0B"/>
    <w:rsid w:val="001E72AD"/>
    <w:rsid w:val="001E7522"/>
    <w:rsid w:val="001E79B1"/>
    <w:rsid w:val="001F337B"/>
    <w:rsid w:val="001F4096"/>
    <w:rsid w:val="001F4CE8"/>
    <w:rsid w:val="001F554F"/>
    <w:rsid w:val="001F6820"/>
    <w:rsid w:val="001F6CE7"/>
    <w:rsid w:val="001F7FBF"/>
    <w:rsid w:val="00202BA5"/>
    <w:rsid w:val="0020342A"/>
    <w:rsid w:val="0020349B"/>
    <w:rsid w:val="00204246"/>
    <w:rsid w:val="00204941"/>
    <w:rsid w:val="00204DB7"/>
    <w:rsid w:val="0020570F"/>
    <w:rsid w:val="0020671A"/>
    <w:rsid w:val="002071B9"/>
    <w:rsid w:val="0021046A"/>
    <w:rsid w:val="00210ACA"/>
    <w:rsid w:val="0021211B"/>
    <w:rsid w:val="002154F4"/>
    <w:rsid w:val="00215984"/>
    <w:rsid w:val="002172C9"/>
    <w:rsid w:val="00217E42"/>
    <w:rsid w:val="00220AF5"/>
    <w:rsid w:val="00220F2C"/>
    <w:rsid w:val="00223113"/>
    <w:rsid w:val="0022602B"/>
    <w:rsid w:val="00226579"/>
    <w:rsid w:val="002278F6"/>
    <w:rsid w:val="00227DF6"/>
    <w:rsid w:val="00230DB6"/>
    <w:rsid w:val="00230F05"/>
    <w:rsid w:val="0023139D"/>
    <w:rsid w:val="00233300"/>
    <w:rsid w:val="00233FEE"/>
    <w:rsid w:val="00235A9B"/>
    <w:rsid w:val="00236DA3"/>
    <w:rsid w:val="00236F4E"/>
    <w:rsid w:val="002377C3"/>
    <w:rsid w:val="002411F0"/>
    <w:rsid w:val="00241584"/>
    <w:rsid w:val="0024210B"/>
    <w:rsid w:val="0024401B"/>
    <w:rsid w:val="00244C13"/>
    <w:rsid w:val="002464CE"/>
    <w:rsid w:val="002470BB"/>
    <w:rsid w:val="002473D3"/>
    <w:rsid w:val="0024742F"/>
    <w:rsid w:val="00250236"/>
    <w:rsid w:val="002519C8"/>
    <w:rsid w:val="00251AE5"/>
    <w:rsid w:val="00253AA9"/>
    <w:rsid w:val="00254E11"/>
    <w:rsid w:val="002575C2"/>
    <w:rsid w:val="002609E0"/>
    <w:rsid w:val="002618DA"/>
    <w:rsid w:val="00262A73"/>
    <w:rsid w:val="00263D30"/>
    <w:rsid w:val="002642E4"/>
    <w:rsid w:val="00264A7C"/>
    <w:rsid w:val="002667E9"/>
    <w:rsid w:val="00270F02"/>
    <w:rsid w:val="00270F5A"/>
    <w:rsid w:val="002713EE"/>
    <w:rsid w:val="00271882"/>
    <w:rsid w:val="00272B04"/>
    <w:rsid w:val="00272D24"/>
    <w:rsid w:val="0027609F"/>
    <w:rsid w:val="002777FB"/>
    <w:rsid w:val="0028028A"/>
    <w:rsid w:val="00282A11"/>
    <w:rsid w:val="00282A25"/>
    <w:rsid w:val="002832E0"/>
    <w:rsid w:val="00283524"/>
    <w:rsid w:val="00284002"/>
    <w:rsid w:val="00284284"/>
    <w:rsid w:val="002846E6"/>
    <w:rsid w:val="00284798"/>
    <w:rsid w:val="00284D7E"/>
    <w:rsid w:val="00285259"/>
    <w:rsid w:val="00285289"/>
    <w:rsid w:val="002853DC"/>
    <w:rsid w:val="002857FB"/>
    <w:rsid w:val="0028717C"/>
    <w:rsid w:val="0029004C"/>
    <w:rsid w:val="002903A1"/>
    <w:rsid w:val="00291531"/>
    <w:rsid w:val="00291A5B"/>
    <w:rsid w:val="00292C29"/>
    <w:rsid w:val="00292F8D"/>
    <w:rsid w:val="00293483"/>
    <w:rsid w:val="0029624D"/>
    <w:rsid w:val="002A0EEB"/>
    <w:rsid w:val="002A2FBF"/>
    <w:rsid w:val="002A4FB9"/>
    <w:rsid w:val="002A565B"/>
    <w:rsid w:val="002A7814"/>
    <w:rsid w:val="002B0DE0"/>
    <w:rsid w:val="002B1672"/>
    <w:rsid w:val="002B1D10"/>
    <w:rsid w:val="002B266A"/>
    <w:rsid w:val="002B2AF5"/>
    <w:rsid w:val="002B2BCE"/>
    <w:rsid w:val="002B2E10"/>
    <w:rsid w:val="002B3511"/>
    <w:rsid w:val="002B3EB5"/>
    <w:rsid w:val="002B4628"/>
    <w:rsid w:val="002B4968"/>
    <w:rsid w:val="002B515F"/>
    <w:rsid w:val="002B6B5C"/>
    <w:rsid w:val="002C18AB"/>
    <w:rsid w:val="002C194A"/>
    <w:rsid w:val="002C703F"/>
    <w:rsid w:val="002C71A5"/>
    <w:rsid w:val="002D231F"/>
    <w:rsid w:val="002D2CFD"/>
    <w:rsid w:val="002D4DBF"/>
    <w:rsid w:val="002D5C21"/>
    <w:rsid w:val="002D7124"/>
    <w:rsid w:val="002E0C8A"/>
    <w:rsid w:val="002E1150"/>
    <w:rsid w:val="002E2111"/>
    <w:rsid w:val="002E25B0"/>
    <w:rsid w:val="002E2DFA"/>
    <w:rsid w:val="002E37DF"/>
    <w:rsid w:val="002E3C31"/>
    <w:rsid w:val="002E3E6B"/>
    <w:rsid w:val="002E5AC4"/>
    <w:rsid w:val="002E74C6"/>
    <w:rsid w:val="002F028A"/>
    <w:rsid w:val="002F135C"/>
    <w:rsid w:val="002F3A81"/>
    <w:rsid w:val="002F3CE7"/>
    <w:rsid w:val="002F49B7"/>
    <w:rsid w:val="002F5C7A"/>
    <w:rsid w:val="002F69A2"/>
    <w:rsid w:val="002F75C0"/>
    <w:rsid w:val="002F7DDE"/>
    <w:rsid w:val="00300E04"/>
    <w:rsid w:val="003015ED"/>
    <w:rsid w:val="003024D3"/>
    <w:rsid w:val="00302E45"/>
    <w:rsid w:val="003040F0"/>
    <w:rsid w:val="00307680"/>
    <w:rsid w:val="003107FA"/>
    <w:rsid w:val="00310913"/>
    <w:rsid w:val="00311B1C"/>
    <w:rsid w:val="003122BE"/>
    <w:rsid w:val="00312335"/>
    <w:rsid w:val="003133AB"/>
    <w:rsid w:val="0031381D"/>
    <w:rsid w:val="00314E5D"/>
    <w:rsid w:val="0031558E"/>
    <w:rsid w:val="00316D0D"/>
    <w:rsid w:val="00317149"/>
    <w:rsid w:val="00320A21"/>
    <w:rsid w:val="00321FAA"/>
    <w:rsid w:val="00323305"/>
    <w:rsid w:val="00324DC1"/>
    <w:rsid w:val="00325167"/>
    <w:rsid w:val="003254C0"/>
    <w:rsid w:val="003256F8"/>
    <w:rsid w:val="003268C3"/>
    <w:rsid w:val="00331335"/>
    <w:rsid w:val="00331DC2"/>
    <w:rsid w:val="00332004"/>
    <w:rsid w:val="00332782"/>
    <w:rsid w:val="003327F1"/>
    <w:rsid w:val="0033396F"/>
    <w:rsid w:val="0033413A"/>
    <w:rsid w:val="00334EC7"/>
    <w:rsid w:val="0033560B"/>
    <w:rsid w:val="00335AE7"/>
    <w:rsid w:val="003372C4"/>
    <w:rsid w:val="00337C8D"/>
    <w:rsid w:val="00337D57"/>
    <w:rsid w:val="0034065A"/>
    <w:rsid w:val="00341D9B"/>
    <w:rsid w:val="003420D6"/>
    <w:rsid w:val="00342366"/>
    <w:rsid w:val="00342399"/>
    <w:rsid w:val="00343B57"/>
    <w:rsid w:val="0034580B"/>
    <w:rsid w:val="003500AF"/>
    <w:rsid w:val="00352800"/>
    <w:rsid w:val="00354085"/>
    <w:rsid w:val="003540EF"/>
    <w:rsid w:val="003548A8"/>
    <w:rsid w:val="0035541C"/>
    <w:rsid w:val="00356876"/>
    <w:rsid w:val="00356D69"/>
    <w:rsid w:val="003642C1"/>
    <w:rsid w:val="0036513B"/>
    <w:rsid w:val="00366711"/>
    <w:rsid w:val="00367458"/>
    <w:rsid w:val="00367703"/>
    <w:rsid w:val="00367C13"/>
    <w:rsid w:val="00367D51"/>
    <w:rsid w:val="00367EB7"/>
    <w:rsid w:val="00370319"/>
    <w:rsid w:val="00370F62"/>
    <w:rsid w:val="00371A55"/>
    <w:rsid w:val="003721D4"/>
    <w:rsid w:val="00372437"/>
    <w:rsid w:val="00372F61"/>
    <w:rsid w:val="003735D4"/>
    <w:rsid w:val="00373E2C"/>
    <w:rsid w:val="003747CA"/>
    <w:rsid w:val="003750E0"/>
    <w:rsid w:val="003806FF"/>
    <w:rsid w:val="00382C8E"/>
    <w:rsid w:val="00383701"/>
    <w:rsid w:val="0038408C"/>
    <w:rsid w:val="0038684B"/>
    <w:rsid w:val="0039025B"/>
    <w:rsid w:val="00390628"/>
    <w:rsid w:val="00390EBC"/>
    <w:rsid w:val="0039200D"/>
    <w:rsid w:val="003922B0"/>
    <w:rsid w:val="00392359"/>
    <w:rsid w:val="0039415D"/>
    <w:rsid w:val="003941BF"/>
    <w:rsid w:val="00395A24"/>
    <w:rsid w:val="00395C6B"/>
    <w:rsid w:val="00395C9F"/>
    <w:rsid w:val="00397473"/>
    <w:rsid w:val="003974BD"/>
    <w:rsid w:val="00397EC2"/>
    <w:rsid w:val="003A16CB"/>
    <w:rsid w:val="003A3556"/>
    <w:rsid w:val="003A4D56"/>
    <w:rsid w:val="003A55B7"/>
    <w:rsid w:val="003A5A5F"/>
    <w:rsid w:val="003A611F"/>
    <w:rsid w:val="003B1B77"/>
    <w:rsid w:val="003B2716"/>
    <w:rsid w:val="003B2B6B"/>
    <w:rsid w:val="003B2C4D"/>
    <w:rsid w:val="003B2F19"/>
    <w:rsid w:val="003B479E"/>
    <w:rsid w:val="003B49EB"/>
    <w:rsid w:val="003B4D05"/>
    <w:rsid w:val="003B6408"/>
    <w:rsid w:val="003B7000"/>
    <w:rsid w:val="003B75F5"/>
    <w:rsid w:val="003B77AA"/>
    <w:rsid w:val="003C0A60"/>
    <w:rsid w:val="003C0F2E"/>
    <w:rsid w:val="003C33C0"/>
    <w:rsid w:val="003C3818"/>
    <w:rsid w:val="003C3930"/>
    <w:rsid w:val="003C46A1"/>
    <w:rsid w:val="003C7594"/>
    <w:rsid w:val="003D0FEA"/>
    <w:rsid w:val="003D16C1"/>
    <w:rsid w:val="003D6C28"/>
    <w:rsid w:val="003D7597"/>
    <w:rsid w:val="003E0413"/>
    <w:rsid w:val="003E08FA"/>
    <w:rsid w:val="003E0BA9"/>
    <w:rsid w:val="003E1EA1"/>
    <w:rsid w:val="003E1FA2"/>
    <w:rsid w:val="003E2F18"/>
    <w:rsid w:val="003E361C"/>
    <w:rsid w:val="003E438F"/>
    <w:rsid w:val="003E4818"/>
    <w:rsid w:val="003E5786"/>
    <w:rsid w:val="003E595B"/>
    <w:rsid w:val="003E6A6D"/>
    <w:rsid w:val="003E708F"/>
    <w:rsid w:val="003E7323"/>
    <w:rsid w:val="003F0119"/>
    <w:rsid w:val="003F2A02"/>
    <w:rsid w:val="003F3DC2"/>
    <w:rsid w:val="003F4141"/>
    <w:rsid w:val="003F4D90"/>
    <w:rsid w:val="003F4DD2"/>
    <w:rsid w:val="003F56AA"/>
    <w:rsid w:val="003F5F19"/>
    <w:rsid w:val="003F7AC0"/>
    <w:rsid w:val="003F7CB5"/>
    <w:rsid w:val="004000FE"/>
    <w:rsid w:val="00401741"/>
    <w:rsid w:val="0040218A"/>
    <w:rsid w:val="00402DAE"/>
    <w:rsid w:val="00402E07"/>
    <w:rsid w:val="004043CF"/>
    <w:rsid w:val="004046B3"/>
    <w:rsid w:val="00404F5C"/>
    <w:rsid w:val="004055DA"/>
    <w:rsid w:val="004073A2"/>
    <w:rsid w:val="00407449"/>
    <w:rsid w:val="00407A2E"/>
    <w:rsid w:val="004106E8"/>
    <w:rsid w:val="0041159E"/>
    <w:rsid w:val="00411A14"/>
    <w:rsid w:val="00412048"/>
    <w:rsid w:val="00413779"/>
    <w:rsid w:val="00413C50"/>
    <w:rsid w:val="00415F51"/>
    <w:rsid w:val="00417D1D"/>
    <w:rsid w:val="004204CC"/>
    <w:rsid w:val="00420993"/>
    <w:rsid w:val="00420C70"/>
    <w:rsid w:val="00421283"/>
    <w:rsid w:val="00421A3F"/>
    <w:rsid w:val="00422145"/>
    <w:rsid w:val="00423F76"/>
    <w:rsid w:val="0042432D"/>
    <w:rsid w:val="00424E34"/>
    <w:rsid w:val="00425BF0"/>
    <w:rsid w:val="00427053"/>
    <w:rsid w:val="0042713A"/>
    <w:rsid w:val="004273C1"/>
    <w:rsid w:val="00427813"/>
    <w:rsid w:val="00430947"/>
    <w:rsid w:val="00430E5D"/>
    <w:rsid w:val="0043157C"/>
    <w:rsid w:val="00433612"/>
    <w:rsid w:val="004338A9"/>
    <w:rsid w:val="00433C7C"/>
    <w:rsid w:val="004344DC"/>
    <w:rsid w:val="00436C54"/>
    <w:rsid w:val="00436FE4"/>
    <w:rsid w:val="00437A42"/>
    <w:rsid w:val="00437ED0"/>
    <w:rsid w:val="004416E0"/>
    <w:rsid w:val="004422C6"/>
    <w:rsid w:val="00442859"/>
    <w:rsid w:val="004431BC"/>
    <w:rsid w:val="00443656"/>
    <w:rsid w:val="0044440A"/>
    <w:rsid w:val="00445669"/>
    <w:rsid w:val="00445A4E"/>
    <w:rsid w:val="00450577"/>
    <w:rsid w:val="004509E6"/>
    <w:rsid w:val="00450DF2"/>
    <w:rsid w:val="0045117F"/>
    <w:rsid w:val="00452179"/>
    <w:rsid w:val="004539E1"/>
    <w:rsid w:val="004554C7"/>
    <w:rsid w:val="004554E0"/>
    <w:rsid w:val="004562BF"/>
    <w:rsid w:val="00456D91"/>
    <w:rsid w:val="00457BA8"/>
    <w:rsid w:val="00460250"/>
    <w:rsid w:val="00460EF0"/>
    <w:rsid w:val="004610FC"/>
    <w:rsid w:val="0046161F"/>
    <w:rsid w:val="00462932"/>
    <w:rsid w:val="00464227"/>
    <w:rsid w:val="0046661C"/>
    <w:rsid w:val="0047155B"/>
    <w:rsid w:val="00471789"/>
    <w:rsid w:val="00471BB8"/>
    <w:rsid w:val="004722D8"/>
    <w:rsid w:val="004723C9"/>
    <w:rsid w:val="00472B7E"/>
    <w:rsid w:val="00473650"/>
    <w:rsid w:val="00473833"/>
    <w:rsid w:val="004741B0"/>
    <w:rsid w:val="0047675A"/>
    <w:rsid w:val="00476CD1"/>
    <w:rsid w:val="00476F42"/>
    <w:rsid w:val="00476F73"/>
    <w:rsid w:val="00477493"/>
    <w:rsid w:val="00481EE1"/>
    <w:rsid w:val="00482507"/>
    <w:rsid w:val="00482D3D"/>
    <w:rsid w:val="00484853"/>
    <w:rsid w:val="00484BF6"/>
    <w:rsid w:val="00486909"/>
    <w:rsid w:val="0049035A"/>
    <w:rsid w:val="00490B61"/>
    <w:rsid w:val="00492028"/>
    <w:rsid w:val="00493F3E"/>
    <w:rsid w:val="004944C9"/>
    <w:rsid w:val="00497056"/>
    <w:rsid w:val="00497918"/>
    <w:rsid w:val="004A07F3"/>
    <w:rsid w:val="004B01C4"/>
    <w:rsid w:val="004B1210"/>
    <w:rsid w:val="004B1C70"/>
    <w:rsid w:val="004B387C"/>
    <w:rsid w:val="004B39FA"/>
    <w:rsid w:val="004B4FA7"/>
    <w:rsid w:val="004B5C9E"/>
    <w:rsid w:val="004B5FBD"/>
    <w:rsid w:val="004B7037"/>
    <w:rsid w:val="004C19A3"/>
    <w:rsid w:val="004C20E7"/>
    <w:rsid w:val="004C384C"/>
    <w:rsid w:val="004C3C0E"/>
    <w:rsid w:val="004C5FC0"/>
    <w:rsid w:val="004C70C9"/>
    <w:rsid w:val="004D0950"/>
    <w:rsid w:val="004D12E6"/>
    <w:rsid w:val="004D18DE"/>
    <w:rsid w:val="004D221E"/>
    <w:rsid w:val="004D25F7"/>
    <w:rsid w:val="004D3428"/>
    <w:rsid w:val="004D367F"/>
    <w:rsid w:val="004D4C37"/>
    <w:rsid w:val="004D4C64"/>
    <w:rsid w:val="004D5363"/>
    <w:rsid w:val="004D6A8F"/>
    <w:rsid w:val="004E3BF2"/>
    <w:rsid w:val="004E5C81"/>
    <w:rsid w:val="004F0657"/>
    <w:rsid w:val="004F0C4F"/>
    <w:rsid w:val="004F2A4A"/>
    <w:rsid w:val="004F2D9C"/>
    <w:rsid w:val="004F338D"/>
    <w:rsid w:val="004F505C"/>
    <w:rsid w:val="004F6624"/>
    <w:rsid w:val="004F7243"/>
    <w:rsid w:val="004F79EA"/>
    <w:rsid w:val="005024BD"/>
    <w:rsid w:val="005032D8"/>
    <w:rsid w:val="00503C6B"/>
    <w:rsid w:val="00504080"/>
    <w:rsid w:val="00505A06"/>
    <w:rsid w:val="00505D6A"/>
    <w:rsid w:val="00507D6A"/>
    <w:rsid w:val="00510375"/>
    <w:rsid w:val="0051037C"/>
    <w:rsid w:val="00511253"/>
    <w:rsid w:val="00511427"/>
    <w:rsid w:val="0051189B"/>
    <w:rsid w:val="00511B49"/>
    <w:rsid w:val="00512422"/>
    <w:rsid w:val="0051584C"/>
    <w:rsid w:val="00515CD3"/>
    <w:rsid w:val="00520622"/>
    <w:rsid w:val="00521693"/>
    <w:rsid w:val="00521C1A"/>
    <w:rsid w:val="0052227D"/>
    <w:rsid w:val="00522349"/>
    <w:rsid w:val="005226C1"/>
    <w:rsid w:val="00522783"/>
    <w:rsid w:val="00522C80"/>
    <w:rsid w:val="00523B5C"/>
    <w:rsid w:val="00523B85"/>
    <w:rsid w:val="0052453C"/>
    <w:rsid w:val="0052514D"/>
    <w:rsid w:val="00525E6D"/>
    <w:rsid w:val="00525EA5"/>
    <w:rsid w:val="005262D9"/>
    <w:rsid w:val="00526C3F"/>
    <w:rsid w:val="00527912"/>
    <w:rsid w:val="00530112"/>
    <w:rsid w:val="005302A2"/>
    <w:rsid w:val="00530F19"/>
    <w:rsid w:val="00531241"/>
    <w:rsid w:val="00531CBA"/>
    <w:rsid w:val="005345E3"/>
    <w:rsid w:val="00536650"/>
    <w:rsid w:val="00537660"/>
    <w:rsid w:val="005378A2"/>
    <w:rsid w:val="005378D0"/>
    <w:rsid w:val="00537D19"/>
    <w:rsid w:val="005416C8"/>
    <w:rsid w:val="00541878"/>
    <w:rsid w:val="00541D1C"/>
    <w:rsid w:val="005420B7"/>
    <w:rsid w:val="0054267F"/>
    <w:rsid w:val="005429F9"/>
    <w:rsid w:val="00543EF6"/>
    <w:rsid w:val="00544AF2"/>
    <w:rsid w:val="005450E4"/>
    <w:rsid w:val="005450F9"/>
    <w:rsid w:val="00545AF1"/>
    <w:rsid w:val="005475AD"/>
    <w:rsid w:val="0055007B"/>
    <w:rsid w:val="00551B65"/>
    <w:rsid w:val="00552007"/>
    <w:rsid w:val="0055264D"/>
    <w:rsid w:val="005535E2"/>
    <w:rsid w:val="00554B1F"/>
    <w:rsid w:val="005550F4"/>
    <w:rsid w:val="00556748"/>
    <w:rsid w:val="005568FC"/>
    <w:rsid w:val="005609AE"/>
    <w:rsid w:val="005619EC"/>
    <w:rsid w:val="005621B6"/>
    <w:rsid w:val="0056302B"/>
    <w:rsid w:val="005654DE"/>
    <w:rsid w:val="00566B90"/>
    <w:rsid w:val="00570272"/>
    <w:rsid w:val="0057034E"/>
    <w:rsid w:val="00570670"/>
    <w:rsid w:val="00570740"/>
    <w:rsid w:val="00572A55"/>
    <w:rsid w:val="00573355"/>
    <w:rsid w:val="0058017F"/>
    <w:rsid w:val="00580E7F"/>
    <w:rsid w:val="005819E7"/>
    <w:rsid w:val="00582A19"/>
    <w:rsid w:val="00584BCE"/>
    <w:rsid w:val="00584E91"/>
    <w:rsid w:val="00585370"/>
    <w:rsid w:val="00590522"/>
    <w:rsid w:val="00591B54"/>
    <w:rsid w:val="00591F40"/>
    <w:rsid w:val="00597C6A"/>
    <w:rsid w:val="005A0542"/>
    <w:rsid w:val="005A0722"/>
    <w:rsid w:val="005A1700"/>
    <w:rsid w:val="005A2EE3"/>
    <w:rsid w:val="005A3653"/>
    <w:rsid w:val="005A42B4"/>
    <w:rsid w:val="005A5D99"/>
    <w:rsid w:val="005A6A4C"/>
    <w:rsid w:val="005A6DB8"/>
    <w:rsid w:val="005A78DD"/>
    <w:rsid w:val="005A7A66"/>
    <w:rsid w:val="005A7B8D"/>
    <w:rsid w:val="005B0830"/>
    <w:rsid w:val="005B1B0A"/>
    <w:rsid w:val="005B217E"/>
    <w:rsid w:val="005B22FA"/>
    <w:rsid w:val="005B36CD"/>
    <w:rsid w:val="005B3F54"/>
    <w:rsid w:val="005B5895"/>
    <w:rsid w:val="005B705E"/>
    <w:rsid w:val="005C1A52"/>
    <w:rsid w:val="005C2948"/>
    <w:rsid w:val="005C3420"/>
    <w:rsid w:val="005C3D4D"/>
    <w:rsid w:val="005C3D6E"/>
    <w:rsid w:val="005C4746"/>
    <w:rsid w:val="005C62FD"/>
    <w:rsid w:val="005C7C9C"/>
    <w:rsid w:val="005D01C5"/>
    <w:rsid w:val="005D030A"/>
    <w:rsid w:val="005D19B6"/>
    <w:rsid w:val="005D1AA8"/>
    <w:rsid w:val="005D1EA5"/>
    <w:rsid w:val="005D32AE"/>
    <w:rsid w:val="005D57EF"/>
    <w:rsid w:val="005D5A8F"/>
    <w:rsid w:val="005D66C4"/>
    <w:rsid w:val="005E0528"/>
    <w:rsid w:val="005E0FD4"/>
    <w:rsid w:val="005E1201"/>
    <w:rsid w:val="005E4BE9"/>
    <w:rsid w:val="005E5A9B"/>
    <w:rsid w:val="005F1693"/>
    <w:rsid w:val="005F2B8C"/>
    <w:rsid w:val="005F3D45"/>
    <w:rsid w:val="005F3ED4"/>
    <w:rsid w:val="005F59E4"/>
    <w:rsid w:val="005F6F62"/>
    <w:rsid w:val="005F6FC5"/>
    <w:rsid w:val="005F7271"/>
    <w:rsid w:val="005F75D5"/>
    <w:rsid w:val="006010C9"/>
    <w:rsid w:val="00601130"/>
    <w:rsid w:val="006018A9"/>
    <w:rsid w:val="00602E7C"/>
    <w:rsid w:val="00603927"/>
    <w:rsid w:val="00603F0C"/>
    <w:rsid w:val="0060453D"/>
    <w:rsid w:val="00604715"/>
    <w:rsid w:val="00605E06"/>
    <w:rsid w:val="00606F8B"/>
    <w:rsid w:val="0061030E"/>
    <w:rsid w:val="006112F7"/>
    <w:rsid w:val="006122D2"/>
    <w:rsid w:val="00612A1C"/>
    <w:rsid w:val="00612E88"/>
    <w:rsid w:val="006135C0"/>
    <w:rsid w:val="00615346"/>
    <w:rsid w:val="00615B04"/>
    <w:rsid w:val="00616417"/>
    <w:rsid w:val="00616EF4"/>
    <w:rsid w:val="0061770A"/>
    <w:rsid w:val="00617C7D"/>
    <w:rsid w:val="00617E4F"/>
    <w:rsid w:val="006217FA"/>
    <w:rsid w:val="00622A89"/>
    <w:rsid w:val="00622EDD"/>
    <w:rsid w:val="006234B9"/>
    <w:rsid w:val="00623BD4"/>
    <w:rsid w:val="006252DD"/>
    <w:rsid w:val="00625D69"/>
    <w:rsid w:val="00630D58"/>
    <w:rsid w:val="00633C6D"/>
    <w:rsid w:val="00634442"/>
    <w:rsid w:val="00634DCA"/>
    <w:rsid w:val="006350E7"/>
    <w:rsid w:val="00640B1E"/>
    <w:rsid w:val="006411C3"/>
    <w:rsid w:val="00641B45"/>
    <w:rsid w:val="006431D0"/>
    <w:rsid w:val="00643510"/>
    <w:rsid w:val="00644A1E"/>
    <w:rsid w:val="006452AD"/>
    <w:rsid w:val="006471ED"/>
    <w:rsid w:val="00647DD0"/>
    <w:rsid w:val="006510F2"/>
    <w:rsid w:val="00653B97"/>
    <w:rsid w:val="00654B8C"/>
    <w:rsid w:val="00654DD9"/>
    <w:rsid w:val="00654FB7"/>
    <w:rsid w:val="006557E5"/>
    <w:rsid w:val="00655812"/>
    <w:rsid w:val="00656528"/>
    <w:rsid w:val="00657098"/>
    <w:rsid w:val="00660E96"/>
    <w:rsid w:val="00661799"/>
    <w:rsid w:val="00661802"/>
    <w:rsid w:val="00661D08"/>
    <w:rsid w:val="006622A0"/>
    <w:rsid w:val="00662571"/>
    <w:rsid w:val="00664426"/>
    <w:rsid w:val="006646BB"/>
    <w:rsid w:val="006646C9"/>
    <w:rsid w:val="00666FDC"/>
    <w:rsid w:val="006706D0"/>
    <w:rsid w:val="00670F58"/>
    <w:rsid w:val="00671E1D"/>
    <w:rsid w:val="00672595"/>
    <w:rsid w:val="006767C9"/>
    <w:rsid w:val="0067759F"/>
    <w:rsid w:val="00677C84"/>
    <w:rsid w:val="00680508"/>
    <w:rsid w:val="00680A3E"/>
    <w:rsid w:val="0068318E"/>
    <w:rsid w:val="0068321D"/>
    <w:rsid w:val="00683C42"/>
    <w:rsid w:val="006841A0"/>
    <w:rsid w:val="006843E4"/>
    <w:rsid w:val="006845D4"/>
    <w:rsid w:val="0068780C"/>
    <w:rsid w:val="00693216"/>
    <w:rsid w:val="006941D4"/>
    <w:rsid w:val="00694BE9"/>
    <w:rsid w:val="006950CA"/>
    <w:rsid w:val="00695EFC"/>
    <w:rsid w:val="006962F4"/>
    <w:rsid w:val="006975B1"/>
    <w:rsid w:val="00697C16"/>
    <w:rsid w:val="006A0C4A"/>
    <w:rsid w:val="006A15DA"/>
    <w:rsid w:val="006A2B82"/>
    <w:rsid w:val="006A2DD9"/>
    <w:rsid w:val="006A34B6"/>
    <w:rsid w:val="006A4054"/>
    <w:rsid w:val="006A44FB"/>
    <w:rsid w:val="006A4961"/>
    <w:rsid w:val="006A560C"/>
    <w:rsid w:val="006A5E6B"/>
    <w:rsid w:val="006A7579"/>
    <w:rsid w:val="006B06B5"/>
    <w:rsid w:val="006B1407"/>
    <w:rsid w:val="006B2161"/>
    <w:rsid w:val="006B41D5"/>
    <w:rsid w:val="006B4920"/>
    <w:rsid w:val="006B5258"/>
    <w:rsid w:val="006B5509"/>
    <w:rsid w:val="006C02B3"/>
    <w:rsid w:val="006C0F52"/>
    <w:rsid w:val="006C110F"/>
    <w:rsid w:val="006C1505"/>
    <w:rsid w:val="006C1C5F"/>
    <w:rsid w:val="006C23A1"/>
    <w:rsid w:val="006C3C0F"/>
    <w:rsid w:val="006C62C6"/>
    <w:rsid w:val="006C685A"/>
    <w:rsid w:val="006C73F5"/>
    <w:rsid w:val="006C748D"/>
    <w:rsid w:val="006C7FED"/>
    <w:rsid w:val="006D0BAC"/>
    <w:rsid w:val="006D0C40"/>
    <w:rsid w:val="006D3E85"/>
    <w:rsid w:val="006D44D7"/>
    <w:rsid w:val="006D67A4"/>
    <w:rsid w:val="006D6CBE"/>
    <w:rsid w:val="006D700B"/>
    <w:rsid w:val="006D71C3"/>
    <w:rsid w:val="006D7498"/>
    <w:rsid w:val="006D7C6F"/>
    <w:rsid w:val="006E101F"/>
    <w:rsid w:val="006E147F"/>
    <w:rsid w:val="006E218E"/>
    <w:rsid w:val="006E2439"/>
    <w:rsid w:val="006E32BB"/>
    <w:rsid w:val="006E3791"/>
    <w:rsid w:val="006E37F3"/>
    <w:rsid w:val="006E391D"/>
    <w:rsid w:val="006E5A29"/>
    <w:rsid w:val="006E663E"/>
    <w:rsid w:val="006E7214"/>
    <w:rsid w:val="006E7460"/>
    <w:rsid w:val="006F06A9"/>
    <w:rsid w:val="006F07AE"/>
    <w:rsid w:val="006F132B"/>
    <w:rsid w:val="006F209E"/>
    <w:rsid w:val="006F289C"/>
    <w:rsid w:val="006F28A9"/>
    <w:rsid w:val="006F2BBD"/>
    <w:rsid w:val="006F34A4"/>
    <w:rsid w:val="006F54B5"/>
    <w:rsid w:val="006F656D"/>
    <w:rsid w:val="006F6A6E"/>
    <w:rsid w:val="007001C2"/>
    <w:rsid w:val="0070053C"/>
    <w:rsid w:val="00700663"/>
    <w:rsid w:val="0070104D"/>
    <w:rsid w:val="007044B7"/>
    <w:rsid w:val="007054B4"/>
    <w:rsid w:val="00705A0B"/>
    <w:rsid w:val="00705D9B"/>
    <w:rsid w:val="00705F78"/>
    <w:rsid w:val="00707015"/>
    <w:rsid w:val="0071049B"/>
    <w:rsid w:val="00712357"/>
    <w:rsid w:val="007124FF"/>
    <w:rsid w:val="007126F0"/>
    <w:rsid w:val="00713085"/>
    <w:rsid w:val="00713623"/>
    <w:rsid w:val="00713CAE"/>
    <w:rsid w:val="007149BE"/>
    <w:rsid w:val="00714AA5"/>
    <w:rsid w:val="007150EE"/>
    <w:rsid w:val="0071790B"/>
    <w:rsid w:val="00717B90"/>
    <w:rsid w:val="00720245"/>
    <w:rsid w:val="00720804"/>
    <w:rsid w:val="00721C70"/>
    <w:rsid w:val="00722FC5"/>
    <w:rsid w:val="007230BC"/>
    <w:rsid w:val="007232CC"/>
    <w:rsid w:val="007245C3"/>
    <w:rsid w:val="007251B6"/>
    <w:rsid w:val="00725207"/>
    <w:rsid w:val="007258AE"/>
    <w:rsid w:val="00725F8F"/>
    <w:rsid w:val="007274A9"/>
    <w:rsid w:val="0072751D"/>
    <w:rsid w:val="00727561"/>
    <w:rsid w:val="007306F4"/>
    <w:rsid w:val="00730F88"/>
    <w:rsid w:val="0073139C"/>
    <w:rsid w:val="0073173C"/>
    <w:rsid w:val="00731F0B"/>
    <w:rsid w:val="00734279"/>
    <w:rsid w:val="0073511F"/>
    <w:rsid w:val="00735473"/>
    <w:rsid w:val="0073579A"/>
    <w:rsid w:val="00736461"/>
    <w:rsid w:val="00736961"/>
    <w:rsid w:val="007371F8"/>
    <w:rsid w:val="00740240"/>
    <w:rsid w:val="007405DC"/>
    <w:rsid w:val="00740B6C"/>
    <w:rsid w:val="00741276"/>
    <w:rsid w:val="00741798"/>
    <w:rsid w:val="00742A01"/>
    <w:rsid w:val="00743133"/>
    <w:rsid w:val="007442DB"/>
    <w:rsid w:val="0074499D"/>
    <w:rsid w:val="00744BAB"/>
    <w:rsid w:val="00744C9F"/>
    <w:rsid w:val="00744E6E"/>
    <w:rsid w:val="007475DB"/>
    <w:rsid w:val="007476FE"/>
    <w:rsid w:val="00747F60"/>
    <w:rsid w:val="007503C3"/>
    <w:rsid w:val="00750652"/>
    <w:rsid w:val="00750B66"/>
    <w:rsid w:val="0075111A"/>
    <w:rsid w:val="007512F1"/>
    <w:rsid w:val="007522B6"/>
    <w:rsid w:val="00752AF1"/>
    <w:rsid w:val="00753129"/>
    <w:rsid w:val="00754AF3"/>
    <w:rsid w:val="007557E7"/>
    <w:rsid w:val="00756250"/>
    <w:rsid w:val="00756F6F"/>
    <w:rsid w:val="00757650"/>
    <w:rsid w:val="00757A70"/>
    <w:rsid w:val="00757DB6"/>
    <w:rsid w:val="0076058B"/>
    <w:rsid w:val="00760FBE"/>
    <w:rsid w:val="00761378"/>
    <w:rsid w:val="00761879"/>
    <w:rsid w:val="007618EB"/>
    <w:rsid w:val="0076194E"/>
    <w:rsid w:val="00761D25"/>
    <w:rsid w:val="00764C0E"/>
    <w:rsid w:val="00767001"/>
    <w:rsid w:val="00767C62"/>
    <w:rsid w:val="007704A4"/>
    <w:rsid w:val="00770E5F"/>
    <w:rsid w:val="00771B06"/>
    <w:rsid w:val="00772787"/>
    <w:rsid w:val="00772A7F"/>
    <w:rsid w:val="00772FE7"/>
    <w:rsid w:val="00772FEC"/>
    <w:rsid w:val="00772FF0"/>
    <w:rsid w:val="00773302"/>
    <w:rsid w:val="00773A8D"/>
    <w:rsid w:val="00774B19"/>
    <w:rsid w:val="007750C6"/>
    <w:rsid w:val="007773EC"/>
    <w:rsid w:val="00777801"/>
    <w:rsid w:val="007819F6"/>
    <w:rsid w:val="00782522"/>
    <w:rsid w:val="00784BD3"/>
    <w:rsid w:val="00784BE0"/>
    <w:rsid w:val="0078594E"/>
    <w:rsid w:val="00785CC7"/>
    <w:rsid w:val="00786143"/>
    <w:rsid w:val="007868F9"/>
    <w:rsid w:val="00786A34"/>
    <w:rsid w:val="007908D6"/>
    <w:rsid w:val="00790D26"/>
    <w:rsid w:val="00790F65"/>
    <w:rsid w:val="0079208B"/>
    <w:rsid w:val="00792894"/>
    <w:rsid w:val="00793212"/>
    <w:rsid w:val="007940BA"/>
    <w:rsid w:val="00794456"/>
    <w:rsid w:val="00796E1E"/>
    <w:rsid w:val="00797092"/>
    <w:rsid w:val="007A1AD1"/>
    <w:rsid w:val="007A2A21"/>
    <w:rsid w:val="007A3883"/>
    <w:rsid w:val="007A3A9E"/>
    <w:rsid w:val="007A460C"/>
    <w:rsid w:val="007A54E8"/>
    <w:rsid w:val="007A5693"/>
    <w:rsid w:val="007A5B36"/>
    <w:rsid w:val="007A721D"/>
    <w:rsid w:val="007A7B1F"/>
    <w:rsid w:val="007B155B"/>
    <w:rsid w:val="007B1846"/>
    <w:rsid w:val="007B1DB3"/>
    <w:rsid w:val="007B216E"/>
    <w:rsid w:val="007B277C"/>
    <w:rsid w:val="007B3144"/>
    <w:rsid w:val="007B3F32"/>
    <w:rsid w:val="007B489A"/>
    <w:rsid w:val="007B5111"/>
    <w:rsid w:val="007B57A5"/>
    <w:rsid w:val="007B6171"/>
    <w:rsid w:val="007B72BE"/>
    <w:rsid w:val="007B7380"/>
    <w:rsid w:val="007B7FBE"/>
    <w:rsid w:val="007C0090"/>
    <w:rsid w:val="007C5100"/>
    <w:rsid w:val="007C52CC"/>
    <w:rsid w:val="007C644D"/>
    <w:rsid w:val="007C6740"/>
    <w:rsid w:val="007C70CC"/>
    <w:rsid w:val="007C7469"/>
    <w:rsid w:val="007C75D2"/>
    <w:rsid w:val="007D0031"/>
    <w:rsid w:val="007D1CE5"/>
    <w:rsid w:val="007D2354"/>
    <w:rsid w:val="007D28D5"/>
    <w:rsid w:val="007D2A5B"/>
    <w:rsid w:val="007D304F"/>
    <w:rsid w:val="007D4C3C"/>
    <w:rsid w:val="007D4F5C"/>
    <w:rsid w:val="007D54C6"/>
    <w:rsid w:val="007D5BA8"/>
    <w:rsid w:val="007D6429"/>
    <w:rsid w:val="007D7DC4"/>
    <w:rsid w:val="007E094B"/>
    <w:rsid w:val="007E1DC6"/>
    <w:rsid w:val="007E2592"/>
    <w:rsid w:val="007E296A"/>
    <w:rsid w:val="007E2FF8"/>
    <w:rsid w:val="007E4103"/>
    <w:rsid w:val="007E4176"/>
    <w:rsid w:val="007E4527"/>
    <w:rsid w:val="007E4DF6"/>
    <w:rsid w:val="007E5110"/>
    <w:rsid w:val="007E6615"/>
    <w:rsid w:val="007E66FB"/>
    <w:rsid w:val="007E7CB9"/>
    <w:rsid w:val="007F0365"/>
    <w:rsid w:val="007F0805"/>
    <w:rsid w:val="007F21AC"/>
    <w:rsid w:val="007F253E"/>
    <w:rsid w:val="007F3A94"/>
    <w:rsid w:val="007F3B30"/>
    <w:rsid w:val="007F4E02"/>
    <w:rsid w:val="007F6BB7"/>
    <w:rsid w:val="007F7653"/>
    <w:rsid w:val="007F79E9"/>
    <w:rsid w:val="00800388"/>
    <w:rsid w:val="00800C18"/>
    <w:rsid w:val="00800E73"/>
    <w:rsid w:val="0080224C"/>
    <w:rsid w:val="00802687"/>
    <w:rsid w:val="00802F58"/>
    <w:rsid w:val="008030CA"/>
    <w:rsid w:val="00803704"/>
    <w:rsid w:val="00803C10"/>
    <w:rsid w:val="00803CF8"/>
    <w:rsid w:val="008044A3"/>
    <w:rsid w:val="008047C4"/>
    <w:rsid w:val="00806105"/>
    <w:rsid w:val="00810B0F"/>
    <w:rsid w:val="0081116F"/>
    <w:rsid w:val="008118EA"/>
    <w:rsid w:val="00812323"/>
    <w:rsid w:val="008125B4"/>
    <w:rsid w:val="0081725D"/>
    <w:rsid w:val="00820307"/>
    <w:rsid w:val="00822C3A"/>
    <w:rsid w:val="0082342E"/>
    <w:rsid w:val="00824211"/>
    <w:rsid w:val="008242C5"/>
    <w:rsid w:val="00824D58"/>
    <w:rsid w:val="008262BF"/>
    <w:rsid w:val="00827E3A"/>
    <w:rsid w:val="00831233"/>
    <w:rsid w:val="00831C85"/>
    <w:rsid w:val="008329CA"/>
    <w:rsid w:val="00833670"/>
    <w:rsid w:val="00834D96"/>
    <w:rsid w:val="00834EAF"/>
    <w:rsid w:val="00835241"/>
    <w:rsid w:val="00835619"/>
    <w:rsid w:val="00835819"/>
    <w:rsid w:val="00835A91"/>
    <w:rsid w:val="00835DE7"/>
    <w:rsid w:val="00836424"/>
    <w:rsid w:val="00837960"/>
    <w:rsid w:val="00837A5A"/>
    <w:rsid w:val="00840FBF"/>
    <w:rsid w:val="008419F5"/>
    <w:rsid w:val="00841C82"/>
    <w:rsid w:val="00842573"/>
    <w:rsid w:val="0084294B"/>
    <w:rsid w:val="00843000"/>
    <w:rsid w:val="00844B80"/>
    <w:rsid w:val="0084588E"/>
    <w:rsid w:val="00845CE6"/>
    <w:rsid w:val="00845E63"/>
    <w:rsid w:val="00847493"/>
    <w:rsid w:val="008507BA"/>
    <w:rsid w:val="00850949"/>
    <w:rsid w:val="00850A96"/>
    <w:rsid w:val="00851948"/>
    <w:rsid w:val="0085217A"/>
    <w:rsid w:val="00852782"/>
    <w:rsid w:val="0085443E"/>
    <w:rsid w:val="00854763"/>
    <w:rsid w:val="0085530B"/>
    <w:rsid w:val="0085567A"/>
    <w:rsid w:val="00855C73"/>
    <w:rsid w:val="00856778"/>
    <w:rsid w:val="008579A6"/>
    <w:rsid w:val="00857E37"/>
    <w:rsid w:val="00861F16"/>
    <w:rsid w:val="008631BF"/>
    <w:rsid w:val="008635A8"/>
    <w:rsid w:val="008636D9"/>
    <w:rsid w:val="0086390F"/>
    <w:rsid w:val="00864B9D"/>
    <w:rsid w:val="008662A1"/>
    <w:rsid w:val="00866739"/>
    <w:rsid w:val="008677A7"/>
    <w:rsid w:val="00867DBD"/>
    <w:rsid w:val="00870939"/>
    <w:rsid w:val="00873A3B"/>
    <w:rsid w:val="008742B0"/>
    <w:rsid w:val="00874417"/>
    <w:rsid w:val="008770A4"/>
    <w:rsid w:val="008810AB"/>
    <w:rsid w:val="00881232"/>
    <w:rsid w:val="00881B7F"/>
    <w:rsid w:val="00882276"/>
    <w:rsid w:val="0088314C"/>
    <w:rsid w:val="008833A5"/>
    <w:rsid w:val="00883540"/>
    <w:rsid w:val="00883835"/>
    <w:rsid w:val="00883F11"/>
    <w:rsid w:val="00884781"/>
    <w:rsid w:val="008854CB"/>
    <w:rsid w:val="008857BF"/>
    <w:rsid w:val="00885E83"/>
    <w:rsid w:val="0088641A"/>
    <w:rsid w:val="00887835"/>
    <w:rsid w:val="00887FF0"/>
    <w:rsid w:val="008907CD"/>
    <w:rsid w:val="00890EDA"/>
    <w:rsid w:val="00890F87"/>
    <w:rsid w:val="0089200E"/>
    <w:rsid w:val="00893350"/>
    <w:rsid w:val="00893498"/>
    <w:rsid w:val="00893669"/>
    <w:rsid w:val="00894020"/>
    <w:rsid w:val="0089585B"/>
    <w:rsid w:val="00895965"/>
    <w:rsid w:val="00896337"/>
    <w:rsid w:val="00896B6E"/>
    <w:rsid w:val="008A0043"/>
    <w:rsid w:val="008A3305"/>
    <w:rsid w:val="008A44FD"/>
    <w:rsid w:val="008A5191"/>
    <w:rsid w:val="008A556C"/>
    <w:rsid w:val="008A5D26"/>
    <w:rsid w:val="008B2203"/>
    <w:rsid w:val="008B247E"/>
    <w:rsid w:val="008B2AE0"/>
    <w:rsid w:val="008B2D77"/>
    <w:rsid w:val="008B3CBC"/>
    <w:rsid w:val="008B3FF3"/>
    <w:rsid w:val="008B445C"/>
    <w:rsid w:val="008B4E45"/>
    <w:rsid w:val="008B536D"/>
    <w:rsid w:val="008B647C"/>
    <w:rsid w:val="008B6AEA"/>
    <w:rsid w:val="008B7BD9"/>
    <w:rsid w:val="008C029B"/>
    <w:rsid w:val="008C03FC"/>
    <w:rsid w:val="008C0488"/>
    <w:rsid w:val="008C0BB4"/>
    <w:rsid w:val="008C0D78"/>
    <w:rsid w:val="008C2B29"/>
    <w:rsid w:val="008C2E48"/>
    <w:rsid w:val="008C35F2"/>
    <w:rsid w:val="008C3AEE"/>
    <w:rsid w:val="008C5AEE"/>
    <w:rsid w:val="008D02D1"/>
    <w:rsid w:val="008D1ABA"/>
    <w:rsid w:val="008D3374"/>
    <w:rsid w:val="008D3F32"/>
    <w:rsid w:val="008D4AFB"/>
    <w:rsid w:val="008D73F9"/>
    <w:rsid w:val="008E0FBA"/>
    <w:rsid w:val="008E19EB"/>
    <w:rsid w:val="008E35F6"/>
    <w:rsid w:val="008E3C87"/>
    <w:rsid w:val="008E4470"/>
    <w:rsid w:val="008E496A"/>
    <w:rsid w:val="008E4C22"/>
    <w:rsid w:val="008E59BC"/>
    <w:rsid w:val="008E5B83"/>
    <w:rsid w:val="008E5F1C"/>
    <w:rsid w:val="008E711A"/>
    <w:rsid w:val="008F097C"/>
    <w:rsid w:val="008F1049"/>
    <w:rsid w:val="008F429C"/>
    <w:rsid w:val="008F5896"/>
    <w:rsid w:val="008F612A"/>
    <w:rsid w:val="008F737B"/>
    <w:rsid w:val="008F7A7A"/>
    <w:rsid w:val="0090108D"/>
    <w:rsid w:val="00901355"/>
    <w:rsid w:val="00901ABD"/>
    <w:rsid w:val="00903603"/>
    <w:rsid w:val="00903956"/>
    <w:rsid w:val="00903A16"/>
    <w:rsid w:val="00906A5D"/>
    <w:rsid w:val="00906B12"/>
    <w:rsid w:val="00906C9A"/>
    <w:rsid w:val="00910885"/>
    <w:rsid w:val="00910E15"/>
    <w:rsid w:val="00911AD1"/>
    <w:rsid w:val="00913082"/>
    <w:rsid w:val="009170C6"/>
    <w:rsid w:val="0091780D"/>
    <w:rsid w:val="00921D15"/>
    <w:rsid w:val="00922F9E"/>
    <w:rsid w:val="00922FC8"/>
    <w:rsid w:val="00923464"/>
    <w:rsid w:val="00925BB7"/>
    <w:rsid w:val="009261E7"/>
    <w:rsid w:val="00926297"/>
    <w:rsid w:val="00926601"/>
    <w:rsid w:val="009277EB"/>
    <w:rsid w:val="009302BA"/>
    <w:rsid w:val="00932012"/>
    <w:rsid w:val="009331B9"/>
    <w:rsid w:val="0093373C"/>
    <w:rsid w:val="00933CBC"/>
    <w:rsid w:val="00933D24"/>
    <w:rsid w:val="00933E75"/>
    <w:rsid w:val="00934E71"/>
    <w:rsid w:val="00937484"/>
    <w:rsid w:val="009376D6"/>
    <w:rsid w:val="00940B93"/>
    <w:rsid w:val="00940C73"/>
    <w:rsid w:val="00941CC2"/>
    <w:rsid w:val="00942EB6"/>
    <w:rsid w:val="009437A6"/>
    <w:rsid w:val="009439E6"/>
    <w:rsid w:val="00944A2F"/>
    <w:rsid w:val="00944CDD"/>
    <w:rsid w:val="00945AC6"/>
    <w:rsid w:val="009501FA"/>
    <w:rsid w:val="0095093D"/>
    <w:rsid w:val="009537C7"/>
    <w:rsid w:val="00953EA6"/>
    <w:rsid w:val="00953EC2"/>
    <w:rsid w:val="0095452A"/>
    <w:rsid w:val="009573F9"/>
    <w:rsid w:val="00965600"/>
    <w:rsid w:val="00965C32"/>
    <w:rsid w:val="00965FB4"/>
    <w:rsid w:val="0096771E"/>
    <w:rsid w:val="00970099"/>
    <w:rsid w:val="00970826"/>
    <w:rsid w:val="00970DCC"/>
    <w:rsid w:val="0097156E"/>
    <w:rsid w:val="00971816"/>
    <w:rsid w:val="00973503"/>
    <w:rsid w:val="00973B98"/>
    <w:rsid w:val="00973DA5"/>
    <w:rsid w:val="009754CA"/>
    <w:rsid w:val="00976987"/>
    <w:rsid w:val="00977227"/>
    <w:rsid w:val="00977858"/>
    <w:rsid w:val="00977A0D"/>
    <w:rsid w:val="00982820"/>
    <w:rsid w:val="00982B23"/>
    <w:rsid w:val="00983161"/>
    <w:rsid w:val="00984158"/>
    <w:rsid w:val="0098428E"/>
    <w:rsid w:val="0098514F"/>
    <w:rsid w:val="009873DD"/>
    <w:rsid w:val="00991857"/>
    <w:rsid w:val="00994684"/>
    <w:rsid w:val="00994906"/>
    <w:rsid w:val="00994A45"/>
    <w:rsid w:val="00995028"/>
    <w:rsid w:val="009957DB"/>
    <w:rsid w:val="0099620E"/>
    <w:rsid w:val="0099714B"/>
    <w:rsid w:val="00997303"/>
    <w:rsid w:val="00997980"/>
    <w:rsid w:val="009A1CF8"/>
    <w:rsid w:val="009A1EB5"/>
    <w:rsid w:val="009A2450"/>
    <w:rsid w:val="009A2C8F"/>
    <w:rsid w:val="009A3A76"/>
    <w:rsid w:val="009A4262"/>
    <w:rsid w:val="009A520D"/>
    <w:rsid w:val="009A57B8"/>
    <w:rsid w:val="009A5B1C"/>
    <w:rsid w:val="009A62BF"/>
    <w:rsid w:val="009A658A"/>
    <w:rsid w:val="009A6F85"/>
    <w:rsid w:val="009B0C40"/>
    <w:rsid w:val="009B0FED"/>
    <w:rsid w:val="009B3030"/>
    <w:rsid w:val="009B4652"/>
    <w:rsid w:val="009B46B5"/>
    <w:rsid w:val="009B4E6F"/>
    <w:rsid w:val="009B5292"/>
    <w:rsid w:val="009B55D5"/>
    <w:rsid w:val="009B5CB8"/>
    <w:rsid w:val="009B5FE5"/>
    <w:rsid w:val="009B6235"/>
    <w:rsid w:val="009B76CA"/>
    <w:rsid w:val="009B7CB2"/>
    <w:rsid w:val="009C1717"/>
    <w:rsid w:val="009C2A1C"/>
    <w:rsid w:val="009C3ACE"/>
    <w:rsid w:val="009C3F36"/>
    <w:rsid w:val="009C3F54"/>
    <w:rsid w:val="009C4401"/>
    <w:rsid w:val="009C4758"/>
    <w:rsid w:val="009C4E99"/>
    <w:rsid w:val="009C5919"/>
    <w:rsid w:val="009C7780"/>
    <w:rsid w:val="009C7846"/>
    <w:rsid w:val="009D05CD"/>
    <w:rsid w:val="009D165B"/>
    <w:rsid w:val="009D1760"/>
    <w:rsid w:val="009D204D"/>
    <w:rsid w:val="009D28FA"/>
    <w:rsid w:val="009D33DD"/>
    <w:rsid w:val="009D41AD"/>
    <w:rsid w:val="009D5533"/>
    <w:rsid w:val="009D6AE9"/>
    <w:rsid w:val="009E0351"/>
    <w:rsid w:val="009E0EFA"/>
    <w:rsid w:val="009E291E"/>
    <w:rsid w:val="009E348A"/>
    <w:rsid w:val="009E3730"/>
    <w:rsid w:val="009E49E2"/>
    <w:rsid w:val="009E4D7A"/>
    <w:rsid w:val="009E4E29"/>
    <w:rsid w:val="009E5165"/>
    <w:rsid w:val="009E5644"/>
    <w:rsid w:val="009E5C68"/>
    <w:rsid w:val="009E6362"/>
    <w:rsid w:val="009F1162"/>
    <w:rsid w:val="009F180D"/>
    <w:rsid w:val="009F28B6"/>
    <w:rsid w:val="009F2C15"/>
    <w:rsid w:val="009F3FB3"/>
    <w:rsid w:val="009F42F4"/>
    <w:rsid w:val="009F4717"/>
    <w:rsid w:val="009F54D9"/>
    <w:rsid w:val="009F6934"/>
    <w:rsid w:val="009F6D0A"/>
    <w:rsid w:val="00A00498"/>
    <w:rsid w:val="00A01681"/>
    <w:rsid w:val="00A03EB3"/>
    <w:rsid w:val="00A04032"/>
    <w:rsid w:val="00A04C8E"/>
    <w:rsid w:val="00A0582D"/>
    <w:rsid w:val="00A0640F"/>
    <w:rsid w:val="00A07A9E"/>
    <w:rsid w:val="00A10A0E"/>
    <w:rsid w:val="00A11461"/>
    <w:rsid w:val="00A12659"/>
    <w:rsid w:val="00A1337F"/>
    <w:rsid w:val="00A133C2"/>
    <w:rsid w:val="00A13788"/>
    <w:rsid w:val="00A13CB5"/>
    <w:rsid w:val="00A142E3"/>
    <w:rsid w:val="00A15611"/>
    <w:rsid w:val="00A175B1"/>
    <w:rsid w:val="00A212B5"/>
    <w:rsid w:val="00A249E8"/>
    <w:rsid w:val="00A25228"/>
    <w:rsid w:val="00A26C5B"/>
    <w:rsid w:val="00A275A5"/>
    <w:rsid w:val="00A33D18"/>
    <w:rsid w:val="00A33DF0"/>
    <w:rsid w:val="00A35136"/>
    <w:rsid w:val="00A357CA"/>
    <w:rsid w:val="00A371CA"/>
    <w:rsid w:val="00A37546"/>
    <w:rsid w:val="00A425B2"/>
    <w:rsid w:val="00A431BF"/>
    <w:rsid w:val="00A4328F"/>
    <w:rsid w:val="00A43EB6"/>
    <w:rsid w:val="00A458AE"/>
    <w:rsid w:val="00A45CA3"/>
    <w:rsid w:val="00A50453"/>
    <w:rsid w:val="00A51814"/>
    <w:rsid w:val="00A53C64"/>
    <w:rsid w:val="00A5424E"/>
    <w:rsid w:val="00A5567B"/>
    <w:rsid w:val="00A563A2"/>
    <w:rsid w:val="00A565C6"/>
    <w:rsid w:val="00A56EBC"/>
    <w:rsid w:val="00A56F10"/>
    <w:rsid w:val="00A60217"/>
    <w:rsid w:val="00A60CBA"/>
    <w:rsid w:val="00A615A9"/>
    <w:rsid w:val="00A617CF"/>
    <w:rsid w:val="00A63C9D"/>
    <w:rsid w:val="00A63FEC"/>
    <w:rsid w:val="00A64D56"/>
    <w:rsid w:val="00A6559F"/>
    <w:rsid w:val="00A65D24"/>
    <w:rsid w:val="00A66702"/>
    <w:rsid w:val="00A66A75"/>
    <w:rsid w:val="00A677D6"/>
    <w:rsid w:val="00A700D9"/>
    <w:rsid w:val="00A709E6"/>
    <w:rsid w:val="00A70FA4"/>
    <w:rsid w:val="00A721F9"/>
    <w:rsid w:val="00A73762"/>
    <w:rsid w:val="00A74C71"/>
    <w:rsid w:val="00A75B74"/>
    <w:rsid w:val="00A76156"/>
    <w:rsid w:val="00A763F2"/>
    <w:rsid w:val="00A77378"/>
    <w:rsid w:val="00A77884"/>
    <w:rsid w:val="00A77CF9"/>
    <w:rsid w:val="00A81CD5"/>
    <w:rsid w:val="00A81D4E"/>
    <w:rsid w:val="00A828F9"/>
    <w:rsid w:val="00A84185"/>
    <w:rsid w:val="00A841CD"/>
    <w:rsid w:val="00A84396"/>
    <w:rsid w:val="00A84AD9"/>
    <w:rsid w:val="00A85842"/>
    <w:rsid w:val="00A8726F"/>
    <w:rsid w:val="00A901FF"/>
    <w:rsid w:val="00A91A69"/>
    <w:rsid w:val="00A91B6F"/>
    <w:rsid w:val="00A91D4A"/>
    <w:rsid w:val="00A9375C"/>
    <w:rsid w:val="00A95C88"/>
    <w:rsid w:val="00A961F6"/>
    <w:rsid w:val="00A968B9"/>
    <w:rsid w:val="00A97C36"/>
    <w:rsid w:val="00AA0F54"/>
    <w:rsid w:val="00AA10B9"/>
    <w:rsid w:val="00AA3D83"/>
    <w:rsid w:val="00AA4A12"/>
    <w:rsid w:val="00AA5310"/>
    <w:rsid w:val="00AA55B1"/>
    <w:rsid w:val="00AA59D0"/>
    <w:rsid w:val="00AA5E3F"/>
    <w:rsid w:val="00AA6F52"/>
    <w:rsid w:val="00AA74EE"/>
    <w:rsid w:val="00AA753F"/>
    <w:rsid w:val="00AA7E62"/>
    <w:rsid w:val="00AB057A"/>
    <w:rsid w:val="00AB0B01"/>
    <w:rsid w:val="00AB1BDB"/>
    <w:rsid w:val="00AB3FFB"/>
    <w:rsid w:val="00AB42B2"/>
    <w:rsid w:val="00AB47F3"/>
    <w:rsid w:val="00AB6D7C"/>
    <w:rsid w:val="00AB75BA"/>
    <w:rsid w:val="00AB7B64"/>
    <w:rsid w:val="00AC007B"/>
    <w:rsid w:val="00AC091C"/>
    <w:rsid w:val="00AC10E4"/>
    <w:rsid w:val="00AC2272"/>
    <w:rsid w:val="00AC30C6"/>
    <w:rsid w:val="00AC5853"/>
    <w:rsid w:val="00AC6E43"/>
    <w:rsid w:val="00AD0DB5"/>
    <w:rsid w:val="00AD16EA"/>
    <w:rsid w:val="00AD1842"/>
    <w:rsid w:val="00AD2DD6"/>
    <w:rsid w:val="00AD4537"/>
    <w:rsid w:val="00AD4864"/>
    <w:rsid w:val="00AD4DA4"/>
    <w:rsid w:val="00AD5D07"/>
    <w:rsid w:val="00AD5EA9"/>
    <w:rsid w:val="00AD5EE6"/>
    <w:rsid w:val="00AD6169"/>
    <w:rsid w:val="00AD739E"/>
    <w:rsid w:val="00AD7A57"/>
    <w:rsid w:val="00AE13AC"/>
    <w:rsid w:val="00AE1492"/>
    <w:rsid w:val="00AE18D5"/>
    <w:rsid w:val="00AE306B"/>
    <w:rsid w:val="00AE35C4"/>
    <w:rsid w:val="00AE3BDB"/>
    <w:rsid w:val="00AE58F1"/>
    <w:rsid w:val="00AE62D5"/>
    <w:rsid w:val="00AE6F20"/>
    <w:rsid w:val="00AF0C97"/>
    <w:rsid w:val="00AF1777"/>
    <w:rsid w:val="00AF25A3"/>
    <w:rsid w:val="00AF32BB"/>
    <w:rsid w:val="00AF4698"/>
    <w:rsid w:val="00AF48D5"/>
    <w:rsid w:val="00AF794A"/>
    <w:rsid w:val="00B01250"/>
    <w:rsid w:val="00B01CAA"/>
    <w:rsid w:val="00B01FF3"/>
    <w:rsid w:val="00B0201A"/>
    <w:rsid w:val="00B05C54"/>
    <w:rsid w:val="00B05FC5"/>
    <w:rsid w:val="00B05FE9"/>
    <w:rsid w:val="00B060A3"/>
    <w:rsid w:val="00B07648"/>
    <w:rsid w:val="00B07683"/>
    <w:rsid w:val="00B07C83"/>
    <w:rsid w:val="00B1033F"/>
    <w:rsid w:val="00B10581"/>
    <w:rsid w:val="00B10D90"/>
    <w:rsid w:val="00B1140A"/>
    <w:rsid w:val="00B11AC3"/>
    <w:rsid w:val="00B11E31"/>
    <w:rsid w:val="00B1220B"/>
    <w:rsid w:val="00B127ED"/>
    <w:rsid w:val="00B130D6"/>
    <w:rsid w:val="00B1346F"/>
    <w:rsid w:val="00B137A1"/>
    <w:rsid w:val="00B159D8"/>
    <w:rsid w:val="00B1694C"/>
    <w:rsid w:val="00B16CAB"/>
    <w:rsid w:val="00B172BF"/>
    <w:rsid w:val="00B20200"/>
    <w:rsid w:val="00B228CA"/>
    <w:rsid w:val="00B22CDB"/>
    <w:rsid w:val="00B2313A"/>
    <w:rsid w:val="00B2491B"/>
    <w:rsid w:val="00B24DEE"/>
    <w:rsid w:val="00B253D9"/>
    <w:rsid w:val="00B30931"/>
    <w:rsid w:val="00B30B20"/>
    <w:rsid w:val="00B30B7D"/>
    <w:rsid w:val="00B314DD"/>
    <w:rsid w:val="00B3155F"/>
    <w:rsid w:val="00B31A4B"/>
    <w:rsid w:val="00B337A0"/>
    <w:rsid w:val="00B3507C"/>
    <w:rsid w:val="00B3786D"/>
    <w:rsid w:val="00B4086A"/>
    <w:rsid w:val="00B41C3D"/>
    <w:rsid w:val="00B42967"/>
    <w:rsid w:val="00B42C1A"/>
    <w:rsid w:val="00B44796"/>
    <w:rsid w:val="00B447C2"/>
    <w:rsid w:val="00B45451"/>
    <w:rsid w:val="00B4684B"/>
    <w:rsid w:val="00B46B85"/>
    <w:rsid w:val="00B4792A"/>
    <w:rsid w:val="00B47A18"/>
    <w:rsid w:val="00B47ACE"/>
    <w:rsid w:val="00B507C2"/>
    <w:rsid w:val="00B51934"/>
    <w:rsid w:val="00B526CC"/>
    <w:rsid w:val="00B52B21"/>
    <w:rsid w:val="00B530AB"/>
    <w:rsid w:val="00B533A8"/>
    <w:rsid w:val="00B534B5"/>
    <w:rsid w:val="00B5354F"/>
    <w:rsid w:val="00B54D12"/>
    <w:rsid w:val="00B54F56"/>
    <w:rsid w:val="00B55EDF"/>
    <w:rsid w:val="00B56C9F"/>
    <w:rsid w:val="00B56EE8"/>
    <w:rsid w:val="00B60228"/>
    <w:rsid w:val="00B611CD"/>
    <w:rsid w:val="00B6172B"/>
    <w:rsid w:val="00B61F31"/>
    <w:rsid w:val="00B62A17"/>
    <w:rsid w:val="00B62D8C"/>
    <w:rsid w:val="00B63422"/>
    <w:rsid w:val="00B63844"/>
    <w:rsid w:val="00B649BE"/>
    <w:rsid w:val="00B64AF3"/>
    <w:rsid w:val="00B6589B"/>
    <w:rsid w:val="00B661D6"/>
    <w:rsid w:val="00B66736"/>
    <w:rsid w:val="00B674EC"/>
    <w:rsid w:val="00B7194A"/>
    <w:rsid w:val="00B7358E"/>
    <w:rsid w:val="00B7428A"/>
    <w:rsid w:val="00B755BD"/>
    <w:rsid w:val="00B776F4"/>
    <w:rsid w:val="00B801DA"/>
    <w:rsid w:val="00B804AD"/>
    <w:rsid w:val="00B80AD8"/>
    <w:rsid w:val="00B81B77"/>
    <w:rsid w:val="00B83330"/>
    <w:rsid w:val="00B8574F"/>
    <w:rsid w:val="00B86952"/>
    <w:rsid w:val="00B86A6A"/>
    <w:rsid w:val="00B86BD2"/>
    <w:rsid w:val="00B870B4"/>
    <w:rsid w:val="00B87AD9"/>
    <w:rsid w:val="00B87B46"/>
    <w:rsid w:val="00B9040D"/>
    <w:rsid w:val="00B911D3"/>
    <w:rsid w:val="00B91B08"/>
    <w:rsid w:val="00B91B34"/>
    <w:rsid w:val="00B920FF"/>
    <w:rsid w:val="00B92DAE"/>
    <w:rsid w:val="00B939D4"/>
    <w:rsid w:val="00B93DFC"/>
    <w:rsid w:val="00B94677"/>
    <w:rsid w:val="00B948E2"/>
    <w:rsid w:val="00B94BA9"/>
    <w:rsid w:val="00B94CF1"/>
    <w:rsid w:val="00B9529C"/>
    <w:rsid w:val="00B96511"/>
    <w:rsid w:val="00B973F9"/>
    <w:rsid w:val="00B977BA"/>
    <w:rsid w:val="00B97E47"/>
    <w:rsid w:val="00BA2F85"/>
    <w:rsid w:val="00BA318B"/>
    <w:rsid w:val="00BA3820"/>
    <w:rsid w:val="00BA3A32"/>
    <w:rsid w:val="00BA46B7"/>
    <w:rsid w:val="00BA5E9A"/>
    <w:rsid w:val="00BA60EC"/>
    <w:rsid w:val="00BA62B0"/>
    <w:rsid w:val="00BA656F"/>
    <w:rsid w:val="00BA7CC1"/>
    <w:rsid w:val="00BA7F01"/>
    <w:rsid w:val="00BB00FE"/>
    <w:rsid w:val="00BB0455"/>
    <w:rsid w:val="00BB0C4B"/>
    <w:rsid w:val="00BB1483"/>
    <w:rsid w:val="00BB2A96"/>
    <w:rsid w:val="00BB336E"/>
    <w:rsid w:val="00BB3510"/>
    <w:rsid w:val="00BB4FA1"/>
    <w:rsid w:val="00BB746D"/>
    <w:rsid w:val="00BC0100"/>
    <w:rsid w:val="00BC1A7D"/>
    <w:rsid w:val="00BC1ADC"/>
    <w:rsid w:val="00BC1FF3"/>
    <w:rsid w:val="00BC3EAF"/>
    <w:rsid w:val="00BC62BE"/>
    <w:rsid w:val="00BD2393"/>
    <w:rsid w:val="00BD2F20"/>
    <w:rsid w:val="00BD2F70"/>
    <w:rsid w:val="00BD3536"/>
    <w:rsid w:val="00BD3EE1"/>
    <w:rsid w:val="00BD4312"/>
    <w:rsid w:val="00BD52F1"/>
    <w:rsid w:val="00BD5DFF"/>
    <w:rsid w:val="00BD6383"/>
    <w:rsid w:val="00BD7808"/>
    <w:rsid w:val="00BE0302"/>
    <w:rsid w:val="00BE0F8F"/>
    <w:rsid w:val="00BE18CF"/>
    <w:rsid w:val="00BE19C7"/>
    <w:rsid w:val="00BE2939"/>
    <w:rsid w:val="00BE2EFD"/>
    <w:rsid w:val="00BE3EE7"/>
    <w:rsid w:val="00BE4268"/>
    <w:rsid w:val="00BE4831"/>
    <w:rsid w:val="00BE5A2E"/>
    <w:rsid w:val="00BE682A"/>
    <w:rsid w:val="00BE69DB"/>
    <w:rsid w:val="00BE6D2D"/>
    <w:rsid w:val="00BF11C3"/>
    <w:rsid w:val="00BF1772"/>
    <w:rsid w:val="00BF2F03"/>
    <w:rsid w:val="00BF38E8"/>
    <w:rsid w:val="00BF3DFE"/>
    <w:rsid w:val="00BF4018"/>
    <w:rsid w:val="00BF513C"/>
    <w:rsid w:val="00BF5582"/>
    <w:rsid w:val="00C010A8"/>
    <w:rsid w:val="00C022DC"/>
    <w:rsid w:val="00C047DF"/>
    <w:rsid w:val="00C04E08"/>
    <w:rsid w:val="00C0607F"/>
    <w:rsid w:val="00C066D0"/>
    <w:rsid w:val="00C07A33"/>
    <w:rsid w:val="00C10AEC"/>
    <w:rsid w:val="00C127EA"/>
    <w:rsid w:val="00C12D30"/>
    <w:rsid w:val="00C12F22"/>
    <w:rsid w:val="00C14149"/>
    <w:rsid w:val="00C1631F"/>
    <w:rsid w:val="00C170EF"/>
    <w:rsid w:val="00C17BDC"/>
    <w:rsid w:val="00C2265A"/>
    <w:rsid w:val="00C22807"/>
    <w:rsid w:val="00C23B72"/>
    <w:rsid w:val="00C23E5F"/>
    <w:rsid w:val="00C25298"/>
    <w:rsid w:val="00C26C45"/>
    <w:rsid w:val="00C30225"/>
    <w:rsid w:val="00C320E4"/>
    <w:rsid w:val="00C32339"/>
    <w:rsid w:val="00C32BD1"/>
    <w:rsid w:val="00C33995"/>
    <w:rsid w:val="00C35570"/>
    <w:rsid w:val="00C375A8"/>
    <w:rsid w:val="00C402F2"/>
    <w:rsid w:val="00C40AEF"/>
    <w:rsid w:val="00C41ECE"/>
    <w:rsid w:val="00C43235"/>
    <w:rsid w:val="00C43A10"/>
    <w:rsid w:val="00C451FD"/>
    <w:rsid w:val="00C46BED"/>
    <w:rsid w:val="00C47A8C"/>
    <w:rsid w:val="00C52846"/>
    <w:rsid w:val="00C53295"/>
    <w:rsid w:val="00C56280"/>
    <w:rsid w:val="00C616B7"/>
    <w:rsid w:val="00C619E1"/>
    <w:rsid w:val="00C62634"/>
    <w:rsid w:val="00C6290D"/>
    <w:rsid w:val="00C632B7"/>
    <w:rsid w:val="00C6537B"/>
    <w:rsid w:val="00C65C5E"/>
    <w:rsid w:val="00C6699E"/>
    <w:rsid w:val="00C677AA"/>
    <w:rsid w:val="00C678D3"/>
    <w:rsid w:val="00C67B0B"/>
    <w:rsid w:val="00C67D3B"/>
    <w:rsid w:val="00C715E0"/>
    <w:rsid w:val="00C720D8"/>
    <w:rsid w:val="00C72EBC"/>
    <w:rsid w:val="00C730EF"/>
    <w:rsid w:val="00C73C1C"/>
    <w:rsid w:val="00C73EA7"/>
    <w:rsid w:val="00C749AE"/>
    <w:rsid w:val="00C75945"/>
    <w:rsid w:val="00C80432"/>
    <w:rsid w:val="00C81053"/>
    <w:rsid w:val="00C8105E"/>
    <w:rsid w:val="00C8152A"/>
    <w:rsid w:val="00C8210D"/>
    <w:rsid w:val="00C82205"/>
    <w:rsid w:val="00C83825"/>
    <w:rsid w:val="00C84A66"/>
    <w:rsid w:val="00C84AC6"/>
    <w:rsid w:val="00C850F9"/>
    <w:rsid w:val="00C8720A"/>
    <w:rsid w:val="00C92B1D"/>
    <w:rsid w:val="00C92D7F"/>
    <w:rsid w:val="00C94985"/>
    <w:rsid w:val="00C950FF"/>
    <w:rsid w:val="00C957EA"/>
    <w:rsid w:val="00C95DC6"/>
    <w:rsid w:val="00C96FC3"/>
    <w:rsid w:val="00CA0C09"/>
    <w:rsid w:val="00CA265D"/>
    <w:rsid w:val="00CA4AD7"/>
    <w:rsid w:val="00CA4E3C"/>
    <w:rsid w:val="00CB06B0"/>
    <w:rsid w:val="00CB0728"/>
    <w:rsid w:val="00CB0D10"/>
    <w:rsid w:val="00CB11D3"/>
    <w:rsid w:val="00CB130C"/>
    <w:rsid w:val="00CB1589"/>
    <w:rsid w:val="00CB4065"/>
    <w:rsid w:val="00CB5EA9"/>
    <w:rsid w:val="00CB5FB5"/>
    <w:rsid w:val="00CB7A48"/>
    <w:rsid w:val="00CB7EA8"/>
    <w:rsid w:val="00CB7EC5"/>
    <w:rsid w:val="00CC194B"/>
    <w:rsid w:val="00CC3801"/>
    <w:rsid w:val="00CC5112"/>
    <w:rsid w:val="00CC6FAF"/>
    <w:rsid w:val="00CD04A8"/>
    <w:rsid w:val="00CD0F53"/>
    <w:rsid w:val="00CD2646"/>
    <w:rsid w:val="00CD5C70"/>
    <w:rsid w:val="00CD6DF1"/>
    <w:rsid w:val="00CD7936"/>
    <w:rsid w:val="00CD7C7C"/>
    <w:rsid w:val="00CD7CEB"/>
    <w:rsid w:val="00CE04C8"/>
    <w:rsid w:val="00CE0BE1"/>
    <w:rsid w:val="00CE16EA"/>
    <w:rsid w:val="00CE190B"/>
    <w:rsid w:val="00CE254D"/>
    <w:rsid w:val="00CE3141"/>
    <w:rsid w:val="00CE59EB"/>
    <w:rsid w:val="00CE5FA2"/>
    <w:rsid w:val="00CF06E3"/>
    <w:rsid w:val="00CF2888"/>
    <w:rsid w:val="00CF3FFC"/>
    <w:rsid w:val="00CF4CBF"/>
    <w:rsid w:val="00CF54D4"/>
    <w:rsid w:val="00CF5A31"/>
    <w:rsid w:val="00CF7A57"/>
    <w:rsid w:val="00CF7EE7"/>
    <w:rsid w:val="00D00B05"/>
    <w:rsid w:val="00D016F2"/>
    <w:rsid w:val="00D01D9F"/>
    <w:rsid w:val="00D027BF"/>
    <w:rsid w:val="00D03959"/>
    <w:rsid w:val="00D03A8A"/>
    <w:rsid w:val="00D0499A"/>
    <w:rsid w:val="00D06DD8"/>
    <w:rsid w:val="00D0713C"/>
    <w:rsid w:val="00D07EF9"/>
    <w:rsid w:val="00D10465"/>
    <w:rsid w:val="00D10614"/>
    <w:rsid w:val="00D11F90"/>
    <w:rsid w:val="00D120BB"/>
    <w:rsid w:val="00D12731"/>
    <w:rsid w:val="00D13D27"/>
    <w:rsid w:val="00D144B6"/>
    <w:rsid w:val="00D1457F"/>
    <w:rsid w:val="00D15148"/>
    <w:rsid w:val="00D16425"/>
    <w:rsid w:val="00D16B26"/>
    <w:rsid w:val="00D17A2F"/>
    <w:rsid w:val="00D20539"/>
    <w:rsid w:val="00D2193B"/>
    <w:rsid w:val="00D224EE"/>
    <w:rsid w:val="00D24E21"/>
    <w:rsid w:val="00D2529C"/>
    <w:rsid w:val="00D262BE"/>
    <w:rsid w:val="00D2785D"/>
    <w:rsid w:val="00D30DC6"/>
    <w:rsid w:val="00D32DA1"/>
    <w:rsid w:val="00D3461E"/>
    <w:rsid w:val="00D3783E"/>
    <w:rsid w:val="00D40867"/>
    <w:rsid w:val="00D4289A"/>
    <w:rsid w:val="00D42CEF"/>
    <w:rsid w:val="00D44709"/>
    <w:rsid w:val="00D502BE"/>
    <w:rsid w:val="00D50D88"/>
    <w:rsid w:val="00D513B8"/>
    <w:rsid w:val="00D51DE7"/>
    <w:rsid w:val="00D523EE"/>
    <w:rsid w:val="00D54C3C"/>
    <w:rsid w:val="00D56261"/>
    <w:rsid w:val="00D56277"/>
    <w:rsid w:val="00D568BC"/>
    <w:rsid w:val="00D5719F"/>
    <w:rsid w:val="00D57739"/>
    <w:rsid w:val="00D60D57"/>
    <w:rsid w:val="00D60D60"/>
    <w:rsid w:val="00D60EB6"/>
    <w:rsid w:val="00D614A4"/>
    <w:rsid w:val="00D6162D"/>
    <w:rsid w:val="00D619E3"/>
    <w:rsid w:val="00D61DE7"/>
    <w:rsid w:val="00D61FDF"/>
    <w:rsid w:val="00D62129"/>
    <w:rsid w:val="00D62D4A"/>
    <w:rsid w:val="00D63D19"/>
    <w:rsid w:val="00D63EC6"/>
    <w:rsid w:val="00D64283"/>
    <w:rsid w:val="00D6479D"/>
    <w:rsid w:val="00D66650"/>
    <w:rsid w:val="00D71055"/>
    <w:rsid w:val="00D71F30"/>
    <w:rsid w:val="00D73095"/>
    <w:rsid w:val="00D73B94"/>
    <w:rsid w:val="00D74284"/>
    <w:rsid w:val="00D74D48"/>
    <w:rsid w:val="00D770FB"/>
    <w:rsid w:val="00D775DC"/>
    <w:rsid w:val="00D77771"/>
    <w:rsid w:val="00D800BF"/>
    <w:rsid w:val="00D80789"/>
    <w:rsid w:val="00D80F1D"/>
    <w:rsid w:val="00D81F65"/>
    <w:rsid w:val="00D826E0"/>
    <w:rsid w:val="00D82BE3"/>
    <w:rsid w:val="00D82DB8"/>
    <w:rsid w:val="00D8350D"/>
    <w:rsid w:val="00D83BE1"/>
    <w:rsid w:val="00D84765"/>
    <w:rsid w:val="00D856BD"/>
    <w:rsid w:val="00D879FF"/>
    <w:rsid w:val="00D87F29"/>
    <w:rsid w:val="00D9142D"/>
    <w:rsid w:val="00D914DE"/>
    <w:rsid w:val="00D91955"/>
    <w:rsid w:val="00D9255A"/>
    <w:rsid w:val="00D92943"/>
    <w:rsid w:val="00D9314C"/>
    <w:rsid w:val="00D939BB"/>
    <w:rsid w:val="00D945BC"/>
    <w:rsid w:val="00D946EB"/>
    <w:rsid w:val="00D952BA"/>
    <w:rsid w:val="00D95828"/>
    <w:rsid w:val="00D967CE"/>
    <w:rsid w:val="00D97BAC"/>
    <w:rsid w:val="00D97C28"/>
    <w:rsid w:val="00D97FAE"/>
    <w:rsid w:val="00DA083A"/>
    <w:rsid w:val="00DA2075"/>
    <w:rsid w:val="00DA30A6"/>
    <w:rsid w:val="00DA421D"/>
    <w:rsid w:val="00DA4DB5"/>
    <w:rsid w:val="00DA50BE"/>
    <w:rsid w:val="00DA5241"/>
    <w:rsid w:val="00DA5C24"/>
    <w:rsid w:val="00DA62FE"/>
    <w:rsid w:val="00DA7CCD"/>
    <w:rsid w:val="00DB090A"/>
    <w:rsid w:val="00DB118D"/>
    <w:rsid w:val="00DB1313"/>
    <w:rsid w:val="00DB150F"/>
    <w:rsid w:val="00DB1A13"/>
    <w:rsid w:val="00DB1A61"/>
    <w:rsid w:val="00DB24C4"/>
    <w:rsid w:val="00DB280A"/>
    <w:rsid w:val="00DB38A9"/>
    <w:rsid w:val="00DB490D"/>
    <w:rsid w:val="00DB4E51"/>
    <w:rsid w:val="00DB51D3"/>
    <w:rsid w:val="00DB5267"/>
    <w:rsid w:val="00DB5703"/>
    <w:rsid w:val="00DB5DE8"/>
    <w:rsid w:val="00DB6BA1"/>
    <w:rsid w:val="00DB7237"/>
    <w:rsid w:val="00DB7BF4"/>
    <w:rsid w:val="00DB7CE4"/>
    <w:rsid w:val="00DC2157"/>
    <w:rsid w:val="00DC22AE"/>
    <w:rsid w:val="00DC4C9C"/>
    <w:rsid w:val="00DC606A"/>
    <w:rsid w:val="00DC6787"/>
    <w:rsid w:val="00DC784A"/>
    <w:rsid w:val="00DD124D"/>
    <w:rsid w:val="00DD35EE"/>
    <w:rsid w:val="00DD5921"/>
    <w:rsid w:val="00DD5C91"/>
    <w:rsid w:val="00DD7095"/>
    <w:rsid w:val="00DE0686"/>
    <w:rsid w:val="00DE09E2"/>
    <w:rsid w:val="00DE0FE7"/>
    <w:rsid w:val="00DE2690"/>
    <w:rsid w:val="00DE2741"/>
    <w:rsid w:val="00DE39E3"/>
    <w:rsid w:val="00DE3AC1"/>
    <w:rsid w:val="00DE508A"/>
    <w:rsid w:val="00DE6CD2"/>
    <w:rsid w:val="00DF0A6B"/>
    <w:rsid w:val="00DF143E"/>
    <w:rsid w:val="00DF4ADB"/>
    <w:rsid w:val="00DF5914"/>
    <w:rsid w:val="00DF623B"/>
    <w:rsid w:val="00DF749A"/>
    <w:rsid w:val="00DF77E1"/>
    <w:rsid w:val="00DF7965"/>
    <w:rsid w:val="00DF7BB5"/>
    <w:rsid w:val="00E00022"/>
    <w:rsid w:val="00E005DF"/>
    <w:rsid w:val="00E019F3"/>
    <w:rsid w:val="00E01DFB"/>
    <w:rsid w:val="00E01E06"/>
    <w:rsid w:val="00E0511D"/>
    <w:rsid w:val="00E07752"/>
    <w:rsid w:val="00E10299"/>
    <w:rsid w:val="00E11D20"/>
    <w:rsid w:val="00E13149"/>
    <w:rsid w:val="00E14CEA"/>
    <w:rsid w:val="00E16AF1"/>
    <w:rsid w:val="00E16B19"/>
    <w:rsid w:val="00E16BB3"/>
    <w:rsid w:val="00E17D8F"/>
    <w:rsid w:val="00E211B7"/>
    <w:rsid w:val="00E21A15"/>
    <w:rsid w:val="00E21BCC"/>
    <w:rsid w:val="00E22DA2"/>
    <w:rsid w:val="00E2376D"/>
    <w:rsid w:val="00E24181"/>
    <w:rsid w:val="00E24EF1"/>
    <w:rsid w:val="00E26C30"/>
    <w:rsid w:val="00E26F50"/>
    <w:rsid w:val="00E27213"/>
    <w:rsid w:val="00E27242"/>
    <w:rsid w:val="00E27414"/>
    <w:rsid w:val="00E30609"/>
    <w:rsid w:val="00E30672"/>
    <w:rsid w:val="00E31955"/>
    <w:rsid w:val="00E3254A"/>
    <w:rsid w:val="00E33868"/>
    <w:rsid w:val="00E33B10"/>
    <w:rsid w:val="00E34B11"/>
    <w:rsid w:val="00E35018"/>
    <w:rsid w:val="00E35483"/>
    <w:rsid w:val="00E359C3"/>
    <w:rsid w:val="00E359E4"/>
    <w:rsid w:val="00E37B81"/>
    <w:rsid w:val="00E37EB2"/>
    <w:rsid w:val="00E40A27"/>
    <w:rsid w:val="00E41DA8"/>
    <w:rsid w:val="00E4386B"/>
    <w:rsid w:val="00E459BD"/>
    <w:rsid w:val="00E47529"/>
    <w:rsid w:val="00E4761B"/>
    <w:rsid w:val="00E51D51"/>
    <w:rsid w:val="00E524A0"/>
    <w:rsid w:val="00E52A03"/>
    <w:rsid w:val="00E52C36"/>
    <w:rsid w:val="00E540B3"/>
    <w:rsid w:val="00E549F3"/>
    <w:rsid w:val="00E54AF6"/>
    <w:rsid w:val="00E54FA9"/>
    <w:rsid w:val="00E5592E"/>
    <w:rsid w:val="00E55931"/>
    <w:rsid w:val="00E55999"/>
    <w:rsid w:val="00E56786"/>
    <w:rsid w:val="00E573A8"/>
    <w:rsid w:val="00E60254"/>
    <w:rsid w:val="00E6034E"/>
    <w:rsid w:val="00E603CC"/>
    <w:rsid w:val="00E609E4"/>
    <w:rsid w:val="00E61104"/>
    <w:rsid w:val="00E613CE"/>
    <w:rsid w:val="00E6159A"/>
    <w:rsid w:val="00E62847"/>
    <w:rsid w:val="00E62DED"/>
    <w:rsid w:val="00E6449D"/>
    <w:rsid w:val="00E70F13"/>
    <w:rsid w:val="00E7144E"/>
    <w:rsid w:val="00E730AD"/>
    <w:rsid w:val="00E735B8"/>
    <w:rsid w:val="00E73AF6"/>
    <w:rsid w:val="00E7588E"/>
    <w:rsid w:val="00E8002B"/>
    <w:rsid w:val="00E80820"/>
    <w:rsid w:val="00E80A6C"/>
    <w:rsid w:val="00E81802"/>
    <w:rsid w:val="00E83367"/>
    <w:rsid w:val="00E841D6"/>
    <w:rsid w:val="00E84DB3"/>
    <w:rsid w:val="00E85841"/>
    <w:rsid w:val="00E86DB1"/>
    <w:rsid w:val="00E87F0E"/>
    <w:rsid w:val="00E91D0A"/>
    <w:rsid w:val="00E921BC"/>
    <w:rsid w:val="00E922E5"/>
    <w:rsid w:val="00E92AFB"/>
    <w:rsid w:val="00E92BF5"/>
    <w:rsid w:val="00E92FCF"/>
    <w:rsid w:val="00E95A81"/>
    <w:rsid w:val="00E96595"/>
    <w:rsid w:val="00E978A8"/>
    <w:rsid w:val="00E97DBD"/>
    <w:rsid w:val="00EA21E2"/>
    <w:rsid w:val="00EA2F47"/>
    <w:rsid w:val="00EA5350"/>
    <w:rsid w:val="00EA65E4"/>
    <w:rsid w:val="00EA79B2"/>
    <w:rsid w:val="00EB2E07"/>
    <w:rsid w:val="00EB3441"/>
    <w:rsid w:val="00EB4C87"/>
    <w:rsid w:val="00EB4D59"/>
    <w:rsid w:val="00EB5C41"/>
    <w:rsid w:val="00EB5C83"/>
    <w:rsid w:val="00EB6D20"/>
    <w:rsid w:val="00EC033D"/>
    <w:rsid w:val="00EC06B7"/>
    <w:rsid w:val="00EC1A6F"/>
    <w:rsid w:val="00EC1E66"/>
    <w:rsid w:val="00EC2591"/>
    <w:rsid w:val="00EC48B3"/>
    <w:rsid w:val="00EC4C55"/>
    <w:rsid w:val="00EC50C9"/>
    <w:rsid w:val="00EC54EF"/>
    <w:rsid w:val="00EC5609"/>
    <w:rsid w:val="00EC58CB"/>
    <w:rsid w:val="00EC61B9"/>
    <w:rsid w:val="00EC686D"/>
    <w:rsid w:val="00EC6B66"/>
    <w:rsid w:val="00EC747F"/>
    <w:rsid w:val="00EC7658"/>
    <w:rsid w:val="00EC7A97"/>
    <w:rsid w:val="00ED1FD5"/>
    <w:rsid w:val="00ED4337"/>
    <w:rsid w:val="00ED4F54"/>
    <w:rsid w:val="00ED5F2C"/>
    <w:rsid w:val="00ED63D1"/>
    <w:rsid w:val="00ED6FD3"/>
    <w:rsid w:val="00ED76C0"/>
    <w:rsid w:val="00EE20C1"/>
    <w:rsid w:val="00EE2290"/>
    <w:rsid w:val="00EE45F5"/>
    <w:rsid w:val="00EE511D"/>
    <w:rsid w:val="00EE56C3"/>
    <w:rsid w:val="00EE5D01"/>
    <w:rsid w:val="00EE6A43"/>
    <w:rsid w:val="00EE7595"/>
    <w:rsid w:val="00EF41B4"/>
    <w:rsid w:val="00EF424A"/>
    <w:rsid w:val="00EF49B5"/>
    <w:rsid w:val="00EF4EF5"/>
    <w:rsid w:val="00EF5F3E"/>
    <w:rsid w:val="00EF63E2"/>
    <w:rsid w:val="00EF76AB"/>
    <w:rsid w:val="00F00A4C"/>
    <w:rsid w:val="00F00B8B"/>
    <w:rsid w:val="00F0285A"/>
    <w:rsid w:val="00F02C8C"/>
    <w:rsid w:val="00F02DAE"/>
    <w:rsid w:val="00F052B0"/>
    <w:rsid w:val="00F05FAE"/>
    <w:rsid w:val="00F06431"/>
    <w:rsid w:val="00F065B9"/>
    <w:rsid w:val="00F06C6D"/>
    <w:rsid w:val="00F06ECA"/>
    <w:rsid w:val="00F106E5"/>
    <w:rsid w:val="00F116E4"/>
    <w:rsid w:val="00F11A0D"/>
    <w:rsid w:val="00F12A68"/>
    <w:rsid w:val="00F146F5"/>
    <w:rsid w:val="00F1552C"/>
    <w:rsid w:val="00F177BA"/>
    <w:rsid w:val="00F17A74"/>
    <w:rsid w:val="00F200FA"/>
    <w:rsid w:val="00F2027F"/>
    <w:rsid w:val="00F20656"/>
    <w:rsid w:val="00F20661"/>
    <w:rsid w:val="00F225DE"/>
    <w:rsid w:val="00F24AB6"/>
    <w:rsid w:val="00F24C30"/>
    <w:rsid w:val="00F258E1"/>
    <w:rsid w:val="00F267B3"/>
    <w:rsid w:val="00F26E02"/>
    <w:rsid w:val="00F27997"/>
    <w:rsid w:val="00F30B07"/>
    <w:rsid w:val="00F31235"/>
    <w:rsid w:val="00F32B17"/>
    <w:rsid w:val="00F32FFA"/>
    <w:rsid w:val="00F33504"/>
    <w:rsid w:val="00F33B48"/>
    <w:rsid w:val="00F33C5F"/>
    <w:rsid w:val="00F359B6"/>
    <w:rsid w:val="00F36125"/>
    <w:rsid w:val="00F363E9"/>
    <w:rsid w:val="00F36721"/>
    <w:rsid w:val="00F37E77"/>
    <w:rsid w:val="00F43156"/>
    <w:rsid w:val="00F4379B"/>
    <w:rsid w:val="00F43E07"/>
    <w:rsid w:val="00F44AC7"/>
    <w:rsid w:val="00F458C4"/>
    <w:rsid w:val="00F504BC"/>
    <w:rsid w:val="00F515D7"/>
    <w:rsid w:val="00F51C8B"/>
    <w:rsid w:val="00F538E7"/>
    <w:rsid w:val="00F53CB5"/>
    <w:rsid w:val="00F54F7F"/>
    <w:rsid w:val="00F57567"/>
    <w:rsid w:val="00F60343"/>
    <w:rsid w:val="00F611A7"/>
    <w:rsid w:val="00F62271"/>
    <w:rsid w:val="00F627AC"/>
    <w:rsid w:val="00F640BF"/>
    <w:rsid w:val="00F6525F"/>
    <w:rsid w:val="00F653B1"/>
    <w:rsid w:val="00F6718A"/>
    <w:rsid w:val="00F676A4"/>
    <w:rsid w:val="00F72553"/>
    <w:rsid w:val="00F72D28"/>
    <w:rsid w:val="00F7310F"/>
    <w:rsid w:val="00F742C4"/>
    <w:rsid w:val="00F74AE4"/>
    <w:rsid w:val="00F75BFB"/>
    <w:rsid w:val="00F76E4D"/>
    <w:rsid w:val="00F77269"/>
    <w:rsid w:val="00F77640"/>
    <w:rsid w:val="00F778A5"/>
    <w:rsid w:val="00F77A2A"/>
    <w:rsid w:val="00F77F38"/>
    <w:rsid w:val="00F80C45"/>
    <w:rsid w:val="00F81883"/>
    <w:rsid w:val="00F82595"/>
    <w:rsid w:val="00F82856"/>
    <w:rsid w:val="00F82A63"/>
    <w:rsid w:val="00F84381"/>
    <w:rsid w:val="00F85E55"/>
    <w:rsid w:val="00F87BAA"/>
    <w:rsid w:val="00F87D66"/>
    <w:rsid w:val="00F87F58"/>
    <w:rsid w:val="00F93FB1"/>
    <w:rsid w:val="00F94006"/>
    <w:rsid w:val="00F946A0"/>
    <w:rsid w:val="00F955B6"/>
    <w:rsid w:val="00F95808"/>
    <w:rsid w:val="00F95B21"/>
    <w:rsid w:val="00F95F93"/>
    <w:rsid w:val="00F963E3"/>
    <w:rsid w:val="00F97894"/>
    <w:rsid w:val="00F97EA0"/>
    <w:rsid w:val="00FA038F"/>
    <w:rsid w:val="00FA0618"/>
    <w:rsid w:val="00FA0C57"/>
    <w:rsid w:val="00FA0CB5"/>
    <w:rsid w:val="00FA1A2D"/>
    <w:rsid w:val="00FA1A76"/>
    <w:rsid w:val="00FA2D2B"/>
    <w:rsid w:val="00FA3809"/>
    <w:rsid w:val="00FA3EB9"/>
    <w:rsid w:val="00FA3F7A"/>
    <w:rsid w:val="00FA415E"/>
    <w:rsid w:val="00FA4AB8"/>
    <w:rsid w:val="00FA4F82"/>
    <w:rsid w:val="00FA5620"/>
    <w:rsid w:val="00FA58E8"/>
    <w:rsid w:val="00FA5C42"/>
    <w:rsid w:val="00FA5EAF"/>
    <w:rsid w:val="00FA5F6E"/>
    <w:rsid w:val="00FA6EC3"/>
    <w:rsid w:val="00FA71F8"/>
    <w:rsid w:val="00FA73A6"/>
    <w:rsid w:val="00FA7616"/>
    <w:rsid w:val="00FA7F43"/>
    <w:rsid w:val="00FB1D63"/>
    <w:rsid w:val="00FB2376"/>
    <w:rsid w:val="00FB3889"/>
    <w:rsid w:val="00FB43FB"/>
    <w:rsid w:val="00FB461E"/>
    <w:rsid w:val="00FB60A3"/>
    <w:rsid w:val="00FB62B4"/>
    <w:rsid w:val="00FB7A96"/>
    <w:rsid w:val="00FC05A1"/>
    <w:rsid w:val="00FC1642"/>
    <w:rsid w:val="00FC178E"/>
    <w:rsid w:val="00FC23F4"/>
    <w:rsid w:val="00FC5CC1"/>
    <w:rsid w:val="00FC5FEA"/>
    <w:rsid w:val="00FC7354"/>
    <w:rsid w:val="00FC7753"/>
    <w:rsid w:val="00FC79CD"/>
    <w:rsid w:val="00FC7B3F"/>
    <w:rsid w:val="00FD076E"/>
    <w:rsid w:val="00FD099D"/>
    <w:rsid w:val="00FD0AC0"/>
    <w:rsid w:val="00FD0F2C"/>
    <w:rsid w:val="00FD1002"/>
    <w:rsid w:val="00FD12D8"/>
    <w:rsid w:val="00FD2CE7"/>
    <w:rsid w:val="00FD5107"/>
    <w:rsid w:val="00FD6851"/>
    <w:rsid w:val="00FE1041"/>
    <w:rsid w:val="00FE1248"/>
    <w:rsid w:val="00FE29A8"/>
    <w:rsid w:val="00FE4524"/>
    <w:rsid w:val="00FE5D3C"/>
    <w:rsid w:val="00FE67CC"/>
    <w:rsid w:val="00FE6CC8"/>
    <w:rsid w:val="00FF02A1"/>
    <w:rsid w:val="00FF0A09"/>
    <w:rsid w:val="00FF1D16"/>
    <w:rsid w:val="00FF406B"/>
    <w:rsid w:val="00FF45FF"/>
    <w:rsid w:val="00FF4C61"/>
    <w:rsid w:val="00FF5F6C"/>
    <w:rsid w:val="00FF6483"/>
    <w:rsid w:val="00FF6803"/>
    <w:rsid w:val="00FF7156"/>
    <w:rsid w:val="00FF7D8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5BD"/>
    <w:pPr>
      <w:spacing w:line="360" w:lineRule="auto"/>
      <w:jc w:val="both"/>
    </w:pPr>
    <w:rPr>
      <w:rFonts w:asciiTheme="majorBidi" w:eastAsiaTheme="minorEastAsia" w:hAnsiTheme="majorBidi" w:cstheme="majorBidi"/>
      <w:sz w:val="24"/>
      <w:szCs w:val="24"/>
    </w:rPr>
  </w:style>
  <w:style w:type="paragraph" w:styleId="Heading1">
    <w:name w:val="heading 1"/>
    <w:basedOn w:val="Normal"/>
    <w:link w:val="Heading1Char"/>
    <w:uiPriority w:val="9"/>
    <w:qFormat/>
    <w:rsid w:val="00657098"/>
    <w:pPr>
      <w:spacing w:before="100" w:beforeAutospacing="1" w:after="100" w:afterAutospacing="1"/>
      <w:outlineLvl w:val="0"/>
    </w:pPr>
    <w:rPr>
      <w:rFonts w:ascii="Times New Roman" w:eastAsia="Times New Roman" w:hAnsi="Times New Roman" w:cs="Times New Roman"/>
      <w:b/>
      <w:bCs/>
      <w:kern w:val="36"/>
    </w:rPr>
  </w:style>
  <w:style w:type="paragraph" w:styleId="Heading2">
    <w:name w:val="heading 2"/>
    <w:basedOn w:val="Normal"/>
    <w:next w:val="Normal"/>
    <w:link w:val="Heading2Char"/>
    <w:uiPriority w:val="9"/>
    <w:unhideWhenUsed/>
    <w:qFormat/>
    <w:rsid w:val="00657098"/>
    <w:pPr>
      <w:keepNext/>
      <w:keepLines/>
      <w:spacing w:before="200" w:after="0"/>
      <w:outlineLvl w:val="1"/>
    </w:pPr>
    <w:rPr>
      <w:rFonts w:eastAsiaTheme="majorEastAsia"/>
      <w:b/>
      <w:bCs/>
    </w:rPr>
  </w:style>
  <w:style w:type="paragraph" w:styleId="Heading3">
    <w:name w:val="heading 3"/>
    <w:basedOn w:val="Normal"/>
    <w:next w:val="Normal"/>
    <w:link w:val="Heading3Char"/>
    <w:uiPriority w:val="9"/>
    <w:unhideWhenUsed/>
    <w:qFormat/>
    <w:rsid w:val="00657098"/>
    <w:pPr>
      <w:keepNext/>
      <w:keepLines/>
      <w:spacing w:before="200" w:after="240"/>
      <w:outlineLvl w:val="2"/>
    </w:pPr>
    <w:rPr>
      <w:rFonts w:eastAsiaTheme="majorEastAsia"/>
      <w:b/>
      <w:bCs/>
    </w:rPr>
  </w:style>
  <w:style w:type="paragraph" w:styleId="Heading4">
    <w:name w:val="heading 4"/>
    <w:basedOn w:val="Normal"/>
    <w:next w:val="Normal"/>
    <w:link w:val="Heading4Char"/>
    <w:uiPriority w:val="9"/>
    <w:unhideWhenUsed/>
    <w:qFormat/>
    <w:rsid w:val="005E0FD4"/>
    <w:pPr>
      <w:keepNext/>
      <w:keepLines/>
      <w:spacing w:before="200" w:after="0"/>
      <w:outlineLvl w:val="3"/>
    </w:pPr>
    <w:rPr>
      <w:rFonts w:eastAsiaTheme="majorEastAsia"/>
      <w:b/>
      <w:bCs/>
    </w:rPr>
  </w:style>
  <w:style w:type="paragraph" w:styleId="Heading5">
    <w:name w:val="heading 5"/>
    <w:basedOn w:val="Normal"/>
    <w:next w:val="Normal"/>
    <w:link w:val="Heading5Char"/>
    <w:uiPriority w:val="9"/>
    <w:unhideWhenUsed/>
    <w:qFormat/>
    <w:rsid w:val="004562BF"/>
    <w:pPr>
      <w:keepNext/>
      <w:keepLines/>
      <w:spacing w:before="200" w:after="0"/>
      <w:outlineLvl w:val="4"/>
    </w:pPr>
    <w:rPr>
      <w:rFonts w:asciiTheme="majorHAnsi" w:eastAsiaTheme="majorEastAsia" w:hAnsiTheme="majorHAns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7098"/>
    <w:rPr>
      <w:rFonts w:ascii="Times New Roman" w:eastAsia="Times New Roman" w:hAnsi="Times New Roman" w:cs="Times New Roman"/>
      <w:b/>
      <w:bCs/>
      <w:kern w:val="36"/>
      <w:sz w:val="24"/>
      <w:szCs w:val="24"/>
    </w:rPr>
  </w:style>
  <w:style w:type="character" w:customStyle="1" w:styleId="Heading2Char">
    <w:name w:val="Heading 2 Char"/>
    <w:basedOn w:val="DefaultParagraphFont"/>
    <w:link w:val="Heading2"/>
    <w:uiPriority w:val="9"/>
    <w:rsid w:val="00657098"/>
    <w:rPr>
      <w:rFonts w:asciiTheme="majorBidi" w:eastAsiaTheme="majorEastAsia" w:hAnsiTheme="majorBidi" w:cstheme="majorBidi"/>
      <w:b/>
      <w:bCs/>
      <w:sz w:val="24"/>
      <w:szCs w:val="24"/>
    </w:rPr>
  </w:style>
  <w:style w:type="character" w:customStyle="1" w:styleId="Heading3Char">
    <w:name w:val="Heading 3 Char"/>
    <w:basedOn w:val="DefaultParagraphFont"/>
    <w:link w:val="Heading3"/>
    <w:uiPriority w:val="9"/>
    <w:rsid w:val="00657098"/>
    <w:rPr>
      <w:rFonts w:asciiTheme="majorBidi" w:eastAsiaTheme="majorEastAsia" w:hAnsiTheme="majorBidi" w:cstheme="majorBidi"/>
      <w:b/>
      <w:bCs/>
      <w:sz w:val="24"/>
      <w:szCs w:val="24"/>
    </w:rPr>
  </w:style>
  <w:style w:type="character" w:customStyle="1" w:styleId="Heading4Char">
    <w:name w:val="Heading 4 Char"/>
    <w:basedOn w:val="DefaultParagraphFont"/>
    <w:link w:val="Heading4"/>
    <w:uiPriority w:val="9"/>
    <w:rsid w:val="005E0FD4"/>
    <w:rPr>
      <w:rFonts w:asciiTheme="majorBidi" w:eastAsiaTheme="majorEastAsia" w:hAnsiTheme="majorBidi" w:cstheme="majorBidi"/>
      <w:b/>
      <w:bCs/>
      <w:sz w:val="24"/>
      <w:szCs w:val="24"/>
    </w:rPr>
  </w:style>
  <w:style w:type="character" w:customStyle="1" w:styleId="Heading5Char">
    <w:name w:val="Heading 5 Char"/>
    <w:basedOn w:val="DefaultParagraphFont"/>
    <w:link w:val="Heading5"/>
    <w:uiPriority w:val="9"/>
    <w:rsid w:val="004562BF"/>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B24DEE"/>
    <w:pPr>
      <w:tabs>
        <w:tab w:val="center" w:pos="4153"/>
        <w:tab w:val="right" w:pos="8306"/>
      </w:tabs>
      <w:spacing w:after="0" w:line="240" w:lineRule="auto"/>
    </w:pPr>
    <w:rPr>
      <w:rFonts w:eastAsiaTheme="minorHAnsi"/>
    </w:rPr>
  </w:style>
  <w:style w:type="character" w:customStyle="1" w:styleId="HeaderChar">
    <w:name w:val="Header Char"/>
    <w:basedOn w:val="DefaultParagraphFont"/>
    <w:link w:val="Header"/>
    <w:uiPriority w:val="99"/>
    <w:rsid w:val="00B24DEE"/>
  </w:style>
  <w:style w:type="paragraph" w:styleId="Footer">
    <w:name w:val="footer"/>
    <w:basedOn w:val="Normal"/>
    <w:link w:val="FooterChar"/>
    <w:uiPriority w:val="99"/>
    <w:unhideWhenUsed/>
    <w:rsid w:val="00B24DEE"/>
    <w:pPr>
      <w:tabs>
        <w:tab w:val="center" w:pos="4153"/>
        <w:tab w:val="right" w:pos="8306"/>
      </w:tabs>
      <w:spacing w:after="0" w:line="240" w:lineRule="auto"/>
    </w:pPr>
    <w:rPr>
      <w:rFonts w:eastAsiaTheme="minorHAnsi"/>
    </w:rPr>
  </w:style>
  <w:style w:type="character" w:customStyle="1" w:styleId="FooterChar">
    <w:name w:val="Footer Char"/>
    <w:basedOn w:val="DefaultParagraphFont"/>
    <w:link w:val="Footer"/>
    <w:uiPriority w:val="99"/>
    <w:rsid w:val="00B24DEE"/>
  </w:style>
  <w:style w:type="character" w:customStyle="1" w:styleId="mw-headline">
    <w:name w:val="mw-headline"/>
    <w:basedOn w:val="DefaultParagraphFont"/>
    <w:rsid w:val="00B24DEE"/>
  </w:style>
  <w:style w:type="character" w:customStyle="1" w:styleId="mw-editsection">
    <w:name w:val="mw-editsection"/>
    <w:basedOn w:val="DefaultParagraphFont"/>
    <w:rsid w:val="00B24DEE"/>
  </w:style>
  <w:style w:type="character" w:customStyle="1" w:styleId="mw-editsection-bracket">
    <w:name w:val="mw-editsection-bracket"/>
    <w:basedOn w:val="DefaultParagraphFont"/>
    <w:rsid w:val="00B24DEE"/>
  </w:style>
  <w:style w:type="character" w:styleId="Hyperlink">
    <w:name w:val="Hyperlink"/>
    <w:basedOn w:val="DefaultParagraphFont"/>
    <w:uiPriority w:val="99"/>
    <w:unhideWhenUsed/>
    <w:rsid w:val="00B24DEE"/>
    <w:rPr>
      <w:color w:val="0000FF"/>
      <w:u w:val="single"/>
    </w:rPr>
  </w:style>
  <w:style w:type="paragraph" w:styleId="NormalWeb">
    <w:name w:val="Normal (Web)"/>
    <w:basedOn w:val="Normal"/>
    <w:uiPriority w:val="99"/>
    <w:unhideWhenUsed/>
    <w:rsid w:val="00B24DEE"/>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B24DEE"/>
  </w:style>
  <w:style w:type="character" w:customStyle="1" w:styleId="unicode">
    <w:name w:val="unicode"/>
    <w:basedOn w:val="DefaultParagraphFont"/>
    <w:rsid w:val="00B24DEE"/>
  </w:style>
  <w:style w:type="paragraph" w:styleId="BalloonText">
    <w:name w:val="Balloon Text"/>
    <w:basedOn w:val="Normal"/>
    <w:link w:val="BalloonTextChar"/>
    <w:uiPriority w:val="99"/>
    <w:semiHidden/>
    <w:unhideWhenUsed/>
    <w:rsid w:val="00B24DEE"/>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B24DEE"/>
    <w:rPr>
      <w:rFonts w:ascii="Tahoma" w:hAnsi="Tahoma" w:cs="Tahoma"/>
      <w:sz w:val="16"/>
      <w:szCs w:val="16"/>
    </w:rPr>
  </w:style>
  <w:style w:type="paragraph" w:styleId="ListParagraph">
    <w:name w:val="List Paragraph"/>
    <w:basedOn w:val="Normal"/>
    <w:uiPriority w:val="34"/>
    <w:qFormat/>
    <w:rsid w:val="00591F40"/>
    <w:pPr>
      <w:ind w:left="720"/>
      <w:contextualSpacing/>
    </w:pPr>
  </w:style>
  <w:style w:type="character" w:customStyle="1" w:styleId="superscript">
    <w:name w:val="superscript"/>
    <w:basedOn w:val="DefaultParagraphFont"/>
    <w:rsid w:val="00264A7C"/>
  </w:style>
  <w:style w:type="table" w:styleId="TableGrid">
    <w:name w:val="Table Grid"/>
    <w:basedOn w:val="TableNormal"/>
    <w:uiPriority w:val="59"/>
    <w:rsid w:val="004F2A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B5FE5"/>
    <w:rPr>
      <w:color w:val="808080"/>
    </w:rPr>
  </w:style>
  <w:style w:type="character" w:styleId="Strong">
    <w:name w:val="Strong"/>
    <w:basedOn w:val="DefaultParagraphFont"/>
    <w:uiPriority w:val="22"/>
    <w:qFormat/>
    <w:rsid w:val="00E92BF5"/>
    <w:rPr>
      <w:b/>
      <w:bCs/>
    </w:rPr>
  </w:style>
  <w:style w:type="paragraph" w:styleId="DocumentMap">
    <w:name w:val="Document Map"/>
    <w:basedOn w:val="Normal"/>
    <w:link w:val="DocumentMapChar"/>
    <w:uiPriority w:val="99"/>
    <w:semiHidden/>
    <w:unhideWhenUsed/>
    <w:rsid w:val="00B159D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159D8"/>
    <w:rPr>
      <w:rFonts w:ascii="Tahoma" w:eastAsiaTheme="minorEastAsia" w:hAnsi="Tahoma" w:cs="Tahoma"/>
      <w:sz w:val="16"/>
      <w:szCs w:val="16"/>
    </w:rPr>
  </w:style>
  <w:style w:type="paragraph" w:customStyle="1" w:styleId="nsayfalarmetinstili">
    <w:name w:val="ön sayfalar metin stili"/>
    <w:basedOn w:val="Normal"/>
    <w:rsid w:val="00DF77E1"/>
    <w:pPr>
      <w:spacing w:before="120" w:after="120" w:line="240" w:lineRule="auto"/>
    </w:pPr>
    <w:rPr>
      <w:rFonts w:ascii="Calibri" w:eastAsia="Times New Roman" w:hAnsi="Calibri" w:cs="Times New Roman"/>
      <w:szCs w:val="20"/>
      <w:lang w:val="tr-TR" w:eastAsia="tr-TR"/>
    </w:rPr>
  </w:style>
  <w:style w:type="character" w:customStyle="1" w:styleId="Vurgu1">
    <w:name w:val="Vurgu1"/>
    <w:basedOn w:val="DefaultParagraphFont"/>
    <w:rsid w:val="00521C1A"/>
  </w:style>
  <w:style w:type="paragraph" w:customStyle="1" w:styleId="indent">
    <w:name w:val="indent"/>
    <w:basedOn w:val="Normal"/>
    <w:rsid w:val="00B42C1A"/>
    <w:pPr>
      <w:spacing w:before="100" w:beforeAutospacing="1" w:after="100" w:afterAutospacing="1" w:line="240" w:lineRule="auto"/>
    </w:pPr>
    <w:rPr>
      <w:rFonts w:ascii="Times New Roman" w:eastAsia="Times New Roman" w:hAnsi="Times New Roman" w:cs="Times New Roman"/>
    </w:rPr>
  </w:style>
  <w:style w:type="character" w:customStyle="1" w:styleId="nowrap">
    <w:name w:val="nowrap"/>
    <w:basedOn w:val="DefaultParagraphFont"/>
    <w:rsid w:val="00525EA5"/>
  </w:style>
  <w:style w:type="paragraph" w:customStyle="1" w:styleId="Default">
    <w:name w:val="Default"/>
    <w:rsid w:val="00282A1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ipa">
    <w:name w:val="ipa"/>
    <w:basedOn w:val="DefaultParagraphFont"/>
    <w:rsid w:val="00834EAF"/>
  </w:style>
  <w:style w:type="character" w:styleId="Emphasis">
    <w:name w:val="Emphasis"/>
    <w:basedOn w:val="DefaultParagraphFont"/>
    <w:uiPriority w:val="20"/>
    <w:qFormat/>
    <w:rsid w:val="004D18DE"/>
    <w:rPr>
      <w:i/>
      <w:iCs/>
    </w:rPr>
  </w:style>
  <w:style w:type="table" w:customStyle="1" w:styleId="1">
    <w:name w:val="قائمة فاتحة1"/>
    <w:basedOn w:val="TableNormal"/>
    <w:uiPriority w:val="61"/>
    <w:rsid w:val="00A66A7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Bodytext2">
    <w:name w:val="Body text (2)_"/>
    <w:basedOn w:val="DefaultParagraphFont"/>
    <w:link w:val="Bodytext20"/>
    <w:uiPriority w:val="99"/>
    <w:rsid w:val="003024D3"/>
    <w:rPr>
      <w:rFonts w:ascii="Constantia" w:hAnsi="Constantia" w:cs="Constantia"/>
      <w:shd w:val="clear" w:color="auto" w:fill="FFFFFF"/>
    </w:rPr>
  </w:style>
  <w:style w:type="paragraph" w:customStyle="1" w:styleId="Bodytext20">
    <w:name w:val="Body text (2)"/>
    <w:basedOn w:val="Normal"/>
    <w:link w:val="Bodytext2"/>
    <w:uiPriority w:val="99"/>
    <w:rsid w:val="003024D3"/>
    <w:pPr>
      <w:shd w:val="clear" w:color="auto" w:fill="FFFFFF"/>
      <w:spacing w:after="0" w:line="284" w:lineRule="exact"/>
    </w:pPr>
    <w:rPr>
      <w:rFonts w:ascii="Constantia" w:eastAsiaTheme="minorHAnsi" w:hAnsi="Constantia" w:cs="Constantia"/>
    </w:rPr>
  </w:style>
  <w:style w:type="table" w:customStyle="1" w:styleId="10">
    <w:name w:val="تظليل فاتح1"/>
    <w:basedOn w:val="TableNormal"/>
    <w:uiPriority w:val="60"/>
    <w:rsid w:val="00A677D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phrase-checked">
    <w:name w:val="phrase-checked"/>
    <w:basedOn w:val="DefaultParagraphFont"/>
    <w:rsid w:val="009E4E29"/>
  </w:style>
  <w:style w:type="paragraph" w:styleId="Caption">
    <w:name w:val="caption"/>
    <w:basedOn w:val="Normal"/>
    <w:next w:val="Normal"/>
    <w:uiPriority w:val="35"/>
    <w:unhideWhenUsed/>
    <w:qFormat/>
    <w:rsid w:val="00370319"/>
    <w:pPr>
      <w:spacing w:line="240" w:lineRule="auto"/>
      <w:ind w:left="1134" w:hanging="1134"/>
    </w:pPr>
  </w:style>
  <w:style w:type="paragraph" w:styleId="TOCHeading">
    <w:name w:val="TOC Heading"/>
    <w:basedOn w:val="Heading1"/>
    <w:next w:val="Normal"/>
    <w:uiPriority w:val="39"/>
    <w:unhideWhenUsed/>
    <w:qFormat/>
    <w:rsid w:val="00906B12"/>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tr-TR" w:eastAsia="tr-TR"/>
    </w:rPr>
  </w:style>
  <w:style w:type="paragraph" w:styleId="TOC1">
    <w:name w:val="toc 1"/>
    <w:basedOn w:val="Normal"/>
    <w:next w:val="Normal"/>
    <w:autoRedefine/>
    <w:uiPriority w:val="39"/>
    <w:unhideWhenUsed/>
    <w:rsid w:val="00FB7A96"/>
    <w:pPr>
      <w:tabs>
        <w:tab w:val="left" w:pos="284"/>
        <w:tab w:val="left" w:pos="567"/>
        <w:tab w:val="right" w:leader="dot" w:pos="8210"/>
      </w:tabs>
      <w:spacing w:after="0" w:line="240" w:lineRule="auto"/>
    </w:pPr>
  </w:style>
  <w:style w:type="paragraph" w:styleId="TOC2">
    <w:name w:val="toc 2"/>
    <w:basedOn w:val="Normal"/>
    <w:next w:val="Normal"/>
    <w:autoRedefine/>
    <w:uiPriority w:val="39"/>
    <w:unhideWhenUsed/>
    <w:rsid w:val="003974BD"/>
    <w:pPr>
      <w:tabs>
        <w:tab w:val="left" w:pos="567"/>
        <w:tab w:val="left" w:pos="2329"/>
        <w:tab w:val="right" w:leader="dot" w:pos="8210"/>
      </w:tabs>
      <w:spacing w:after="0" w:line="240" w:lineRule="auto"/>
    </w:pPr>
  </w:style>
  <w:style w:type="paragraph" w:styleId="TOC3">
    <w:name w:val="toc 3"/>
    <w:basedOn w:val="Normal"/>
    <w:next w:val="Normal"/>
    <w:autoRedefine/>
    <w:uiPriority w:val="39"/>
    <w:unhideWhenUsed/>
    <w:rsid w:val="00FA415E"/>
    <w:pPr>
      <w:tabs>
        <w:tab w:val="left" w:pos="993"/>
        <w:tab w:val="left" w:pos="2915"/>
        <w:tab w:val="right" w:leader="dot" w:pos="8210"/>
      </w:tabs>
      <w:spacing w:after="0" w:line="240" w:lineRule="auto"/>
      <w:ind w:left="440"/>
      <w:jc w:val="left"/>
    </w:pPr>
    <w:rPr>
      <w:rFonts w:ascii="Times New Roman" w:hAnsi="Times New Roman" w:cs="Times New Roman"/>
      <w:noProof/>
    </w:rPr>
  </w:style>
  <w:style w:type="table" w:customStyle="1" w:styleId="AkGlgeleme1">
    <w:name w:val="Açık Gölgeleme1"/>
    <w:basedOn w:val="TableNormal"/>
    <w:uiPriority w:val="60"/>
    <w:rsid w:val="00335AE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aslik1">
    <w:name w:val="Baslik 1"/>
    <w:basedOn w:val="Normal"/>
    <w:next w:val="Normal"/>
    <w:rsid w:val="008F737B"/>
    <w:pPr>
      <w:keepNext/>
      <w:widowControl w:val="0"/>
      <w:tabs>
        <w:tab w:val="left" w:pos="0"/>
        <w:tab w:val="left" w:pos="2931"/>
      </w:tabs>
      <w:spacing w:after="0" w:line="240" w:lineRule="auto"/>
      <w:outlineLvl w:val="0"/>
    </w:pPr>
    <w:rPr>
      <w:rFonts w:ascii="Times New Roman" w:eastAsia="Times New Roman" w:hAnsi="Times New Roman" w:cs="Times New Roman"/>
      <w:b/>
      <w:snapToGrid w:val="0"/>
      <w:szCs w:val="20"/>
      <w:lang w:eastAsia="tr-TR"/>
    </w:rPr>
  </w:style>
  <w:style w:type="paragraph" w:styleId="BodyTextIndent">
    <w:name w:val="Body Text Indent"/>
    <w:basedOn w:val="Normal"/>
    <w:link w:val="BodyTextIndentChar"/>
    <w:rsid w:val="008F737B"/>
    <w:pPr>
      <w:spacing w:after="120" w:line="240" w:lineRule="auto"/>
      <w:ind w:left="283"/>
    </w:pPr>
    <w:rPr>
      <w:rFonts w:ascii="Times New Roman" w:eastAsia="Times New Roman" w:hAnsi="Times New Roman" w:cs="Times New Roman"/>
      <w:lang w:val="tr-TR" w:eastAsia="tr-TR"/>
    </w:rPr>
  </w:style>
  <w:style w:type="character" w:customStyle="1" w:styleId="BodyTextIndentChar">
    <w:name w:val="Body Text Indent Char"/>
    <w:basedOn w:val="DefaultParagraphFont"/>
    <w:link w:val="BodyTextIndent"/>
    <w:rsid w:val="008F737B"/>
    <w:rPr>
      <w:rFonts w:ascii="Times New Roman" w:eastAsia="Times New Roman" w:hAnsi="Times New Roman" w:cs="Times New Roman"/>
      <w:sz w:val="24"/>
      <w:szCs w:val="24"/>
      <w:lang w:val="tr-TR" w:eastAsia="tr-TR"/>
    </w:rPr>
  </w:style>
  <w:style w:type="character" w:customStyle="1" w:styleId="Picturecaption2Exact">
    <w:name w:val="Picture caption (2) Exact"/>
    <w:basedOn w:val="DefaultParagraphFont"/>
    <w:link w:val="Picturecaption2"/>
    <w:rsid w:val="00B07C83"/>
    <w:rPr>
      <w:rFonts w:ascii="Arial" w:eastAsia="Arial" w:hAnsi="Arial" w:cs="Arial"/>
      <w:sz w:val="18"/>
      <w:szCs w:val="18"/>
      <w:shd w:val="clear" w:color="auto" w:fill="FFFFFF"/>
    </w:rPr>
  </w:style>
  <w:style w:type="paragraph" w:customStyle="1" w:styleId="Picturecaption2">
    <w:name w:val="Picture caption (2)"/>
    <w:basedOn w:val="Normal"/>
    <w:link w:val="Picturecaption2Exact"/>
    <w:rsid w:val="00B07C83"/>
    <w:pPr>
      <w:widowControl w:val="0"/>
      <w:shd w:val="clear" w:color="auto" w:fill="FFFFFF"/>
      <w:spacing w:after="0" w:line="200" w:lineRule="exact"/>
    </w:pPr>
    <w:rPr>
      <w:rFonts w:ascii="Arial" w:eastAsia="Arial" w:hAnsi="Arial" w:cs="Arial"/>
      <w:sz w:val="18"/>
      <w:szCs w:val="18"/>
    </w:rPr>
  </w:style>
  <w:style w:type="character" w:customStyle="1" w:styleId="PicturecaptionExact">
    <w:name w:val="Picture caption Exact"/>
    <w:basedOn w:val="DefaultParagraphFont"/>
    <w:link w:val="Picturecaption"/>
    <w:rsid w:val="00B07C83"/>
    <w:rPr>
      <w:rFonts w:ascii="Arial" w:eastAsia="Arial" w:hAnsi="Arial" w:cs="Arial"/>
      <w:sz w:val="14"/>
      <w:szCs w:val="14"/>
      <w:shd w:val="clear" w:color="auto" w:fill="FFFFFF"/>
    </w:rPr>
  </w:style>
  <w:style w:type="paragraph" w:customStyle="1" w:styleId="Picturecaption">
    <w:name w:val="Picture caption"/>
    <w:basedOn w:val="Normal"/>
    <w:link w:val="PicturecaptionExact"/>
    <w:rsid w:val="00B07C83"/>
    <w:pPr>
      <w:widowControl w:val="0"/>
      <w:shd w:val="clear" w:color="auto" w:fill="FFFFFF"/>
      <w:spacing w:after="0" w:line="156" w:lineRule="exact"/>
    </w:pPr>
    <w:rPr>
      <w:rFonts w:ascii="Arial" w:eastAsia="Arial" w:hAnsi="Arial" w:cs="Arial"/>
      <w:sz w:val="14"/>
      <w:szCs w:val="14"/>
    </w:rPr>
  </w:style>
  <w:style w:type="character" w:customStyle="1" w:styleId="Heading10">
    <w:name w:val="Heading #1_"/>
    <w:basedOn w:val="DefaultParagraphFont"/>
    <w:link w:val="Heading11"/>
    <w:rsid w:val="00B07C83"/>
    <w:rPr>
      <w:rFonts w:ascii="Arial" w:eastAsia="Arial" w:hAnsi="Arial" w:cs="Arial"/>
      <w:b/>
      <w:bCs/>
      <w:sz w:val="26"/>
      <w:szCs w:val="26"/>
      <w:shd w:val="clear" w:color="auto" w:fill="FFFFFF"/>
    </w:rPr>
  </w:style>
  <w:style w:type="paragraph" w:customStyle="1" w:styleId="Heading11">
    <w:name w:val="Heading #1"/>
    <w:basedOn w:val="Normal"/>
    <w:link w:val="Heading10"/>
    <w:rsid w:val="00B07C83"/>
    <w:pPr>
      <w:widowControl w:val="0"/>
      <w:shd w:val="clear" w:color="auto" w:fill="FFFFFF"/>
      <w:spacing w:after="0" w:line="290" w:lineRule="exact"/>
      <w:outlineLvl w:val="0"/>
    </w:pPr>
    <w:rPr>
      <w:rFonts w:ascii="Arial" w:eastAsia="Arial" w:hAnsi="Arial" w:cs="Arial"/>
      <w:b/>
      <w:bCs/>
      <w:sz w:val="26"/>
      <w:szCs w:val="26"/>
    </w:rPr>
  </w:style>
  <w:style w:type="character" w:customStyle="1" w:styleId="articletypelabel">
    <w:name w:val="articletypelabel"/>
    <w:basedOn w:val="DefaultParagraphFont"/>
    <w:rsid w:val="001D3CB0"/>
  </w:style>
  <w:style w:type="character" w:customStyle="1" w:styleId="hit">
    <w:name w:val="hit"/>
    <w:basedOn w:val="DefaultParagraphFont"/>
    <w:rsid w:val="001D3CB0"/>
  </w:style>
  <w:style w:type="character" w:styleId="FollowedHyperlink">
    <w:name w:val="FollowedHyperlink"/>
    <w:basedOn w:val="DefaultParagraphFont"/>
    <w:uiPriority w:val="99"/>
    <w:semiHidden/>
    <w:unhideWhenUsed/>
    <w:rsid w:val="00A03EB3"/>
    <w:rPr>
      <w:color w:val="800080" w:themeColor="followedHyperlink"/>
      <w:u w:val="single"/>
    </w:rPr>
  </w:style>
  <w:style w:type="paragraph" w:styleId="BodyText">
    <w:name w:val="Body Text"/>
    <w:basedOn w:val="Normal"/>
    <w:link w:val="BodyTextChar"/>
    <w:uiPriority w:val="1"/>
    <w:unhideWhenUsed/>
    <w:qFormat/>
    <w:rsid w:val="00FA58E8"/>
    <w:pPr>
      <w:spacing w:after="120"/>
    </w:pPr>
  </w:style>
  <w:style w:type="character" w:customStyle="1" w:styleId="BodyTextChar">
    <w:name w:val="Body Text Char"/>
    <w:basedOn w:val="DefaultParagraphFont"/>
    <w:link w:val="BodyText"/>
    <w:uiPriority w:val="1"/>
    <w:rsid w:val="00FA58E8"/>
    <w:rPr>
      <w:rFonts w:eastAsiaTheme="minorEastAsia"/>
    </w:rPr>
  </w:style>
  <w:style w:type="character" w:customStyle="1" w:styleId="gt-baf-back">
    <w:name w:val="gt-baf-back"/>
    <w:basedOn w:val="DefaultParagraphFont"/>
    <w:rsid w:val="00953EC2"/>
  </w:style>
  <w:style w:type="paragraph" w:styleId="NoSpacing">
    <w:name w:val="No Spacing"/>
    <w:uiPriority w:val="1"/>
    <w:qFormat/>
    <w:rsid w:val="000079AA"/>
    <w:pPr>
      <w:spacing w:after="0" w:line="240" w:lineRule="auto"/>
    </w:pPr>
    <w:rPr>
      <w:rFonts w:ascii="Times New Roman" w:hAnsi="Times New Roman"/>
      <w:sz w:val="24"/>
      <w:lang w:val="tr-TR"/>
    </w:rPr>
  </w:style>
  <w:style w:type="character" w:customStyle="1" w:styleId="label">
    <w:name w:val="label"/>
    <w:basedOn w:val="DefaultParagraphFont"/>
    <w:rsid w:val="000079AA"/>
  </w:style>
  <w:style w:type="character" w:customStyle="1" w:styleId="captionlabel">
    <w:name w:val="captionlabel"/>
    <w:basedOn w:val="DefaultParagraphFont"/>
    <w:rsid w:val="000079AA"/>
  </w:style>
  <w:style w:type="paragraph" w:styleId="Subtitle">
    <w:name w:val="Subtitle"/>
    <w:basedOn w:val="Normal"/>
    <w:next w:val="Normal"/>
    <w:link w:val="SubtitleChar"/>
    <w:uiPriority w:val="11"/>
    <w:qFormat/>
    <w:rsid w:val="000079AA"/>
    <w:pPr>
      <w:numPr>
        <w:ilvl w:val="1"/>
      </w:numPr>
      <w:bidi/>
      <w:spacing w:line="276" w:lineRule="auto"/>
      <w:jc w:val="left"/>
    </w:pPr>
    <w:rPr>
      <w:rFonts w:asciiTheme="majorHAnsi" w:eastAsiaTheme="majorEastAsia" w:hAnsiTheme="majorHAnsi"/>
      <w:i/>
      <w:iCs/>
      <w:color w:val="4F81BD" w:themeColor="accent1"/>
      <w:spacing w:val="15"/>
    </w:rPr>
  </w:style>
  <w:style w:type="character" w:customStyle="1" w:styleId="SubtitleChar">
    <w:name w:val="Subtitle Char"/>
    <w:basedOn w:val="DefaultParagraphFont"/>
    <w:link w:val="Subtitle"/>
    <w:uiPriority w:val="11"/>
    <w:rsid w:val="000079AA"/>
    <w:rPr>
      <w:rFonts w:asciiTheme="majorHAnsi" w:eastAsiaTheme="majorEastAsia" w:hAnsiTheme="majorHAnsi" w:cstheme="majorBidi"/>
      <w:i/>
      <w:iCs/>
      <w:color w:val="4F81BD" w:themeColor="accent1"/>
      <w:spacing w:val="15"/>
      <w:sz w:val="24"/>
      <w:szCs w:val="24"/>
    </w:rPr>
  </w:style>
  <w:style w:type="paragraph" w:styleId="TableofFigures">
    <w:name w:val="table of figures"/>
    <w:basedOn w:val="Normal"/>
    <w:next w:val="Normal"/>
    <w:uiPriority w:val="99"/>
    <w:unhideWhenUsed/>
    <w:rsid w:val="00F06431"/>
    <w:pPr>
      <w:spacing w:after="0"/>
    </w:pPr>
  </w:style>
  <w:style w:type="paragraph" w:styleId="Title">
    <w:name w:val="Title"/>
    <w:basedOn w:val="Normal"/>
    <w:next w:val="Normal"/>
    <w:link w:val="TitleChar"/>
    <w:uiPriority w:val="10"/>
    <w:qFormat/>
    <w:rsid w:val="00230F05"/>
    <w:pPr>
      <w:pBdr>
        <w:bottom w:val="single" w:sz="8" w:space="4" w:color="4F81BD" w:themeColor="accent1"/>
      </w:pBdr>
      <w:spacing w:after="300" w:line="240" w:lineRule="auto"/>
      <w:contextualSpacing/>
      <w:jc w:val="left"/>
    </w:pPr>
    <w:rPr>
      <w:rFonts w:asciiTheme="majorHAnsi" w:eastAsiaTheme="majorEastAsia" w:hAnsiTheme="majorHAnsi"/>
      <w:color w:val="17365D" w:themeColor="text2" w:themeShade="BF"/>
      <w:spacing w:val="5"/>
      <w:kern w:val="28"/>
      <w:sz w:val="52"/>
      <w:szCs w:val="52"/>
    </w:rPr>
  </w:style>
  <w:style w:type="character" w:customStyle="1" w:styleId="TitleChar">
    <w:name w:val="Title Char"/>
    <w:basedOn w:val="DefaultParagraphFont"/>
    <w:link w:val="Title"/>
    <w:uiPriority w:val="10"/>
    <w:rsid w:val="00230F05"/>
    <w:rPr>
      <w:rFonts w:asciiTheme="majorHAnsi" w:eastAsiaTheme="majorEastAsia" w:hAnsiTheme="majorHAnsi" w:cstheme="majorBidi"/>
      <w:color w:val="17365D" w:themeColor="text2" w:themeShade="BF"/>
      <w:spacing w:val="5"/>
      <w:kern w:val="28"/>
      <w:sz w:val="52"/>
      <w:szCs w:val="52"/>
    </w:rPr>
  </w:style>
  <w:style w:type="paragraph" w:customStyle="1" w:styleId="Balk31">
    <w:name w:val="Başlık 31"/>
    <w:basedOn w:val="Normal"/>
    <w:uiPriority w:val="1"/>
    <w:qFormat/>
    <w:rsid w:val="00230F05"/>
    <w:pPr>
      <w:widowControl w:val="0"/>
      <w:spacing w:after="0" w:line="240" w:lineRule="auto"/>
      <w:ind w:left="444"/>
      <w:jc w:val="left"/>
      <w:outlineLvl w:val="3"/>
    </w:pPr>
    <w:rPr>
      <w:rFonts w:ascii="Times New Roman" w:eastAsia="Times New Roman" w:hAnsi="Times New Roman" w:cstheme="minorBidi"/>
      <w:b/>
      <w:bCs/>
    </w:rPr>
  </w:style>
  <w:style w:type="paragraph" w:customStyle="1" w:styleId="T11">
    <w:name w:val="İÇT 11"/>
    <w:basedOn w:val="Normal"/>
    <w:uiPriority w:val="1"/>
    <w:qFormat/>
    <w:rsid w:val="00230F05"/>
    <w:pPr>
      <w:widowControl w:val="0"/>
      <w:spacing w:before="237" w:after="0" w:line="240" w:lineRule="auto"/>
      <w:ind w:left="444"/>
      <w:jc w:val="left"/>
    </w:pPr>
    <w:rPr>
      <w:rFonts w:ascii="Times New Roman" w:eastAsia="Times New Roman" w:hAnsi="Times New Roman" w:cstheme="minorBidi"/>
    </w:rPr>
  </w:style>
  <w:style w:type="paragraph" w:customStyle="1" w:styleId="T21">
    <w:name w:val="İÇT 21"/>
    <w:basedOn w:val="Normal"/>
    <w:uiPriority w:val="1"/>
    <w:qFormat/>
    <w:rsid w:val="00230F05"/>
    <w:pPr>
      <w:widowControl w:val="0"/>
      <w:spacing w:before="237" w:after="0" w:line="240" w:lineRule="auto"/>
      <w:ind w:left="1164" w:hanging="432"/>
      <w:jc w:val="left"/>
    </w:pPr>
    <w:rPr>
      <w:rFonts w:ascii="Times New Roman" w:eastAsia="Times New Roman" w:hAnsi="Times New Roman" w:cstheme="minorBidi"/>
    </w:rPr>
  </w:style>
  <w:style w:type="paragraph" w:customStyle="1" w:styleId="T31">
    <w:name w:val="İÇT 31"/>
    <w:basedOn w:val="Normal"/>
    <w:uiPriority w:val="1"/>
    <w:qFormat/>
    <w:rsid w:val="00230F05"/>
    <w:pPr>
      <w:widowControl w:val="0"/>
      <w:spacing w:before="242" w:after="0" w:line="240" w:lineRule="auto"/>
      <w:ind w:left="732"/>
      <w:jc w:val="left"/>
    </w:pPr>
    <w:rPr>
      <w:rFonts w:ascii="Times New Roman" w:eastAsia="Times New Roman" w:hAnsi="Times New Roman" w:cstheme="minorBidi"/>
      <w:b/>
      <w:bCs/>
      <w:i/>
      <w:sz w:val="22"/>
      <w:szCs w:val="22"/>
    </w:rPr>
  </w:style>
  <w:style w:type="paragraph" w:customStyle="1" w:styleId="T41">
    <w:name w:val="İÇT 41"/>
    <w:basedOn w:val="Normal"/>
    <w:uiPriority w:val="1"/>
    <w:qFormat/>
    <w:rsid w:val="00230F05"/>
    <w:pPr>
      <w:widowControl w:val="0"/>
      <w:spacing w:before="237" w:after="0" w:line="240" w:lineRule="auto"/>
      <w:ind w:left="1884" w:hanging="720"/>
      <w:jc w:val="left"/>
    </w:pPr>
    <w:rPr>
      <w:rFonts w:ascii="Times New Roman" w:eastAsia="Times New Roman" w:hAnsi="Times New Roman" w:cstheme="minorBidi"/>
    </w:rPr>
  </w:style>
  <w:style w:type="paragraph" w:customStyle="1" w:styleId="T51">
    <w:name w:val="İÇT 51"/>
    <w:basedOn w:val="Normal"/>
    <w:uiPriority w:val="1"/>
    <w:qFormat/>
    <w:rsid w:val="00230F05"/>
    <w:pPr>
      <w:widowControl w:val="0"/>
      <w:spacing w:before="242" w:after="0" w:line="240" w:lineRule="auto"/>
      <w:ind w:left="1884" w:hanging="720"/>
      <w:jc w:val="left"/>
    </w:pPr>
    <w:rPr>
      <w:rFonts w:ascii="Times New Roman" w:eastAsia="Times New Roman" w:hAnsi="Times New Roman" w:cstheme="minorBidi"/>
      <w:b/>
      <w:bCs/>
      <w:i/>
      <w:sz w:val="22"/>
      <w:szCs w:val="22"/>
    </w:rPr>
  </w:style>
  <w:style w:type="paragraph" w:customStyle="1" w:styleId="T61">
    <w:name w:val="İÇT 61"/>
    <w:basedOn w:val="Normal"/>
    <w:uiPriority w:val="1"/>
    <w:qFormat/>
    <w:rsid w:val="00230F05"/>
    <w:pPr>
      <w:widowControl w:val="0"/>
      <w:spacing w:before="409" w:after="0" w:line="240" w:lineRule="auto"/>
      <w:ind w:left="3687"/>
      <w:jc w:val="left"/>
    </w:pPr>
    <w:rPr>
      <w:rFonts w:ascii="Times New Roman" w:eastAsia="Times New Roman" w:hAnsi="Times New Roman" w:cstheme="minorBidi"/>
      <w:sz w:val="19"/>
      <w:szCs w:val="19"/>
    </w:rPr>
  </w:style>
  <w:style w:type="paragraph" w:customStyle="1" w:styleId="Balk11">
    <w:name w:val="Başlık 11"/>
    <w:basedOn w:val="Normal"/>
    <w:uiPriority w:val="1"/>
    <w:qFormat/>
    <w:rsid w:val="00230F05"/>
    <w:pPr>
      <w:widowControl w:val="0"/>
      <w:spacing w:before="66" w:after="0" w:line="240" w:lineRule="auto"/>
      <w:ind w:left="444"/>
      <w:jc w:val="left"/>
      <w:outlineLvl w:val="1"/>
    </w:pPr>
    <w:rPr>
      <w:rFonts w:ascii="Arial" w:eastAsia="Arial" w:hAnsi="Arial" w:cstheme="minorBidi"/>
      <w:sz w:val="31"/>
      <w:szCs w:val="31"/>
    </w:rPr>
  </w:style>
  <w:style w:type="paragraph" w:customStyle="1" w:styleId="Balk21">
    <w:name w:val="Başlık 21"/>
    <w:basedOn w:val="Normal"/>
    <w:uiPriority w:val="1"/>
    <w:qFormat/>
    <w:rsid w:val="00230F05"/>
    <w:pPr>
      <w:widowControl w:val="0"/>
      <w:spacing w:after="0" w:line="240" w:lineRule="auto"/>
      <w:ind w:left="1448" w:hanging="1004"/>
      <w:jc w:val="left"/>
      <w:outlineLvl w:val="2"/>
    </w:pPr>
    <w:rPr>
      <w:rFonts w:ascii="Arial" w:eastAsia="Arial" w:hAnsi="Arial" w:cstheme="minorBidi"/>
      <w:sz w:val="28"/>
      <w:szCs w:val="28"/>
    </w:rPr>
  </w:style>
  <w:style w:type="paragraph" w:customStyle="1" w:styleId="TableParagraph">
    <w:name w:val="Table Paragraph"/>
    <w:basedOn w:val="Normal"/>
    <w:uiPriority w:val="1"/>
    <w:qFormat/>
    <w:rsid w:val="00230F05"/>
    <w:pPr>
      <w:widowControl w:val="0"/>
      <w:spacing w:after="0" w:line="240" w:lineRule="auto"/>
      <w:jc w:val="left"/>
    </w:pPr>
    <w:rPr>
      <w:rFonts w:asciiTheme="minorHAnsi" w:eastAsiaTheme="minorHAnsi" w:hAnsiTheme="minorHAnsi" w:cstheme="minorBidi"/>
      <w:sz w:val="22"/>
      <w:szCs w:val="22"/>
    </w:rPr>
  </w:style>
  <w:style w:type="paragraph" w:customStyle="1" w:styleId="Balk41">
    <w:name w:val="Başlık 41"/>
    <w:basedOn w:val="Normal"/>
    <w:uiPriority w:val="1"/>
    <w:qFormat/>
    <w:rsid w:val="00230F05"/>
    <w:pPr>
      <w:widowControl w:val="0"/>
      <w:spacing w:after="0" w:line="240" w:lineRule="auto"/>
      <w:ind w:left="1233"/>
      <w:jc w:val="left"/>
      <w:outlineLvl w:val="4"/>
    </w:pPr>
    <w:rPr>
      <w:rFonts w:ascii="Arial" w:eastAsia="Arial" w:hAnsi="Arial" w:cstheme="minorBidi"/>
      <w:b/>
      <w:bCs/>
      <w:sz w:val="36"/>
      <w:szCs w:val="36"/>
    </w:rPr>
  </w:style>
  <w:style w:type="paragraph" w:customStyle="1" w:styleId="Balk51">
    <w:name w:val="Başlık 51"/>
    <w:basedOn w:val="Normal"/>
    <w:uiPriority w:val="1"/>
    <w:qFormat/>
    <w:rsid w:val="00230F05"/>
    <w:pPr>
      <w:widowControl w:val="0"/>
      <w:spacing w:before="38" w:after="0" w:line="240" w:lineRule="auto"/>
      <w:ind w:left="820"/>
      <w:jc w:val="left"/>
      <w:outlineLvl w:val="5"/>
    </w:pPr>
    <w:rPr>
      <w:rFonts w:ascii="Arial" w:eastAsia="Arial" w:hAnsi="Arial" w:cstheme="minorBidi"/>
      <w:b/>
      <w:bCs/>
      <w:sz w:val="28"/>
      <w:szCs w:val="28"/>
    </w:rPr>
  </w:style>
  <w:style w:type="paragraph" w:customStyle="1" w:styleId="Balk61">
    <w:name w:val="Başlık 61"/>
    <w:basedOn w:val="Normal"/>
    <w:uiPriority w:val="1"/>
    <w:qFormat/>
    <w:rsid w:val="00230F05"/>
    <w:pPr>
      <w:widowControl w:val="0"/>
      <w:spacing w:after="0" w:line="240" w:lineRule="auto"/>
      <w:jc w:val="left"/>
      <w:outlineLvl w:val="6"/>
    </w:pPr>
    <w:rPr>
      <w:rFonts w:ascii="Arial" w:eastAsia="Arial" w:hAnsi="Arial" w:cstheme="minorBidi"/>
      <w:sz w:val="27"/>
      <w:szCs w:val="27"/>
    </w:rPr>
  </w:style>
  <w:style w:type="paragraph" w:customStyle="1" w:styleId="Balk71">
    <w:name w:val="Başlık 71"/>
    <w:basedOn w:val="Normal"/>
    <w:uiPriority w:val="1"/>
    <w:qFormat/>
    <w:rsid w:val="00230F05"/>
    <w:pPr>
      <w:widowControl w:val="0"/>
      <w:spacing w:after="0" w:line="240" w:lineRule="auto"/>
      <w:jc w:val="left"/>
      <w:outlineLvl w:val="7"/>
    </w:pPr>
    <w:rPr>
      <w:rFonts w:ascii="Arial" w:eastAsia="Arial" w:hAnsi="Arial" w:cstheme="minorBidi"/>
      <w:b/>
      <w:bCs/>
      <w:sz w:val="26"/>
      <w:szCs w:val="26"/>
    </w:rPr>
  </w:style>
  <w:style w:type="paragraph" w:customStyle="1" w:styleId="Balk81">
    <w:name w:val="Başlık 81"/>
    <w:basedOn w:val="Normal"/>
    <w:uiPriority w:val="1"/>
    <w:qFormat/>
    <w:rsid w:val="00230F05"/>
    <w:pPr>
      <w:widowControl w:val="0"/>
      <w:spacing w:after="0" w:line="240" w:lineRule="auto"/>
      <w:jc w:val="left"/>
      <w:outlineLvl w:val="8"/>
    </w:pPr>
    <w:rPr>
      <w:rFonts w:ascii="Arial" w:eastAsia="Arial" w:hAnsi="Arial" w:cstheme="minorBidi"/>
      <w:sz w:val="26"/>
      <w:szCs w:val="26"/>
    </w:rPr>
  </w:style>
  <w:style w:type="paragraph" w:customStyle="1" w:styleId="Balk91">
    <w:name w:val="Başlık 91"/>
    <w:basedOn w:val="Normal"/>
    <w:uiPriority w:val="1"/>
    <w:qFormat/>
    <w:rsid w:val="00230F05"/>
    <w:pPr>
      <w:widowControl w:val="0"/>
      <w:spacing w:before="69" w:after="0" w:line="240" w:lineRule="auto"/>
      <w:ind w:left="1431"/>
      <w:jc w:val="left"/>
    </w:pPr>
    <w:rPr>
      <w:rFonts w:ascii="Arial" w:eastAsia="Arial" w:hAnsi="Arial" w:cstheme="minorBidi"/>
      <w:sz w:val="25"/>
      <w:szCs w:val="25"/>
    </w:rPr>
  </w:style>
  <w:style w:type="character" w:customStyle="1" w:styleId="qur1">
    <w:name w:val="qur1"/>
    <w:basedOn w:val="DefaultParagraphFont"/>
    <w:rsid w:val="00230F05"/>
    <w:rPr>
      <w:rFonts w:cs="Simplified Arabic" w:hint="cs"/>
      <w:b/>
      <w:bCs/>
      <w:color w:val="339900"/>
      <w:sz w:val="24"/>
      <w:szCs w:val="24"/>
    </w:rPr>
  </w:style>
  <w:style w:type="paragraph" w:customStyle="1" w:styleId="Heading41">
    <w:name w:val="Heading 41"/>
    <w:basedOn w:val="Normal"/>
    <w:uiPriority w:val="1"/>
    <w:qFormat/>
    <w:rsid w:val="00D879FF"/>
    <w:pPr>
      <w:widowControl w:val="0"/>
      <w:spacing w:after="0" w:line="240" w:lineRule="auto"/>
      <w:ind w:left="1233"/>
      <w:jc w:val="left"/>
      <w:outlineLvl w:val="4"/>
    </w:pPr>
    <w:rPr>
      <w:rFonts w:ascii="Arial" w:eastAsia="Arial" w:hAnsi="Arial" w:cstheme="minorBidi"/>
      <w:b/>
      <w:bCs/>
      <w:sz w:val="36"/>
      <w:szCs w:val="36"/>
    </w:rPr>
  </w:style>
  <w:style w:type="table" w:customStyle="1" w:styleId="GridTable6Colorful1">
    <w:name w:val="Grid Table 6 Colorful1"/>
    <w:basedOn w:val="TableNormal"/>
    <w:uiPriority w:val="51"/>
    <w:rsid w:val="00D879FF"/>
    <w:pPr>
      <w:spacing w:after="0" w:line="240" w:lineRule="auto"/>
    </w:pPr>
    <w:rPr>
      <w:color w:val="000000" w:themeColor="text1"/>
      <w:lang w:val="tr-T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5BD"/>
    <w:pPr>
      <w:spacing w:line="360" w:lineRule="auto"/>
      <w:jc w:val="both"/>
    </w:pPr>
    <w:rPr>
      <w:rFonts w:asciiTheme="majorBidi" w:eastAsiaTheme="minorEastAsia" w:hAnsiTheme="majorBidi" w:cstheme="majorBidi"/>
      <w:sz w:val="24"/>
      <w:szCs w:val="24"/>
    </w:rPr>
  </w:style>
  <w:style w:type="paragraph" w:styleId="Heading1">
    <w:name w:val="heading 1"/>
    <w:basedOn w:val="Normal"/>
    <w:link w:val="Heading1Char"/>
    <w:uiPriority w:val="9"/>
    <w:qFormat/>
    <w:rsid w:val="00657098"/>
    <w:pPr>
      <w:spacing w:before="100" w:beforeAutospacing="1" w:after="100" w:afterAutospacing="1"/>
      <w:outlineLvl w:val="0"/>
    </w:pPr>
    <w:rPr>
      <w:rFonts w:ascii="Times New Roman" w:eastAsia="Times New Roman" w:hAnsi="Times New Roman" w:cs="Times New Roman"/>
      <w:b/>
      <w:bCs/>
      <w:kern w:val="36"/>
    </w:rPr>
  </w:style>
  <w:style w:type="paragraph" w:styleId="Heading2">
    <w:name w:val="heading 2"/>
    <w:basedOn w:val="Normal"/>
    <w:next w:val="Normal"/>
    <w:link w:val="Heading2Char"/>
    <w:uiPriority w:val="9"/>
    <w:unhideWhenUsed/>
    <w:qFormat/>
    <w:rsid w:val="00657098"/>
    <w:pPr>
      <w:keepNext/>
      <w:keepLines/>
      <w:spacing w:before="200" w:after="0"/>
      <w:outlineLvl w:val="1"/>
    </w:pPr>
    <w:rPr>
      <w:rFonts w:eastAsiaTheme="majorEastAsia"/>
      <w:b/>
      <w:bCs/>
    </w:rPr>
  </w:style>
  <w:style w:type="paragraph" w:styleId="Heading3">
    <w:name w:val="heading 3"/>
    <w:basedOn w:val="Normal"/>
    <w:next w:val="Normal"/>
    <w:link w:val="Heading3Char"/>
    <w:uiPriority w:val="9"/>
    <w:unhideWhenUsed/>
    <w:qFormat/>
    <w:rsid w:val="00657098"/>
    <w:pPr>
      <w:keepNext/>
      <w:keepLines/>
      <w:spacing w:before="200" w:after="240"/>
      <w:outlineLvl w:val="2"/>
    </w:pPr>
    <w:rPr>
      <w:rFonts w:eastAsiaTheme="majorEastAsia"/>
      <w:b/>
      <w:bCs/>
    </w:rPr>
  </w:style>
  <w:style w:type="paragraph" w:styleId="Heading4">
    <w:name w:val="heading 4"/>
    <w:basedOn w:val="Normal"/>
    <w:next w:val="Normal"/>
    <w:link w:val="Heading4Char"/>
    <w:uiPriority w:val="9"/>
    <w:unhideWhenUsed/>
    <w:qFormat/>
    <w:rsid w:val="005E0FD4"/>
    <w:pPr>
      <w:keepNext/>
      <w:keepLines/>
      <w:spacing w:before="200" w:after="0"/>
      <w:outlineLvl w:val="3"/>
    </w:pPr>
    <w:rPr>
      <w:rFonts w:eastAsiaTheme="majorEastAsia"/>
      <w:b/>
      <w:bCs/>
    </w:rPr>
  </w:style>
  <w:style w:type="paragraph" w:styleId="Heading5">
    <w:name w:val="heading 5"/>
    <w:basedOn w:val="Normal"/>
    <w:next w:val="Normal"/>
    <w:link w:val="Heading5Char"/>
    <w:uiPriority w:val="9"/>
    <w:unhideWhenUsed/>
    <w:qFormat/>
    <w:rsid w:val="004562BF"/>
    <w:pPr>
      <w:keepNext/>
      <w:keepLines/>
      <w:spacing w:before="200" w:after="0"/>
      <w:outlineLvl w:val="4"/>
    </w:pPr>
    <w:rPr>
      <w:rFonts w:asciiTheme="majorHAnsi" w:eastAsiaTheme="majorEastAsia" w:hAnsiTheme="majorHAns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7098"/>
    <w:rPr>
      <w:rFonts w:ascii="Times New Roman" w:eastAsia="Times New Roman" w:hAnsi="Times New Roman" w:cs="Times New Roman"/>
      <w:b/>
      <w:bCs/>
      <w:kern w:val="36"/>
      <w:sz w:val="24"/>
      <w:szCs w:val="24"/>
    </w:rPr>
  </w:style>
  <w:style w:type="character" w:customStyle="1" w:styleId="Heading2Char">
    <w:name w:val="Heading 2 Char"/>
    <w:basedOn w:val="DefaultParagraphFont"/>
    <w:link w:val="Heading2"/>
    <w:uiPriority w:val="9"/>
    <w:rsid w:val="00657098"/>
    <w:rPr>
      <w:rFonts w:asciiTheme="majorBidi" w:eastAsiaTheme="majorEastAsia" w:hAnsiTheme="majorBidi" w:cstheme="majorBidi"/>
      <w:b/>
      <w:bCs/>
      <w:sz w:val="24"/>
      <w:szCs w:val="24"/>
    </w:rPr>
  </w:style>
  <w:style w:type="character" w:customStyle="1" w:styleId="Heading3Char">
    <w:name w:val="Heading 3 Char"/>
    <w:basedOn w:val="DefaultParagraphFont"/>
    <w:link w:val="Heading3"/>
    <w:uiPriority w:val="9"/>
    <w:rsid w:val="00657098"/>
    <w:rPr>
      <w:rFonts w:asciiTheme="majorBidi" w:eastAsiaTheme="majorEastAsia" w:hAnsiTheme="majorBidi" w:cstheme="majorBidi"/>
      <w:b/>
      <w:bCs/>
      <w:sz w:val="24"/>
      <w:szCs w:val="24"/>
    </w:rPr>
  </w:style>
  <w:style w:type="character" w:customStyle="1" w:styleId="Heading4Char">
    <w:name w:val="Heading 4 Char"/>
    <w:basedOn w:val="DefaultParagraphFont"/>
    <w:link w:val="Heading4"/>
    <w:uiPriority w:val="9"/>
    <w:rsid w:val="005E0FD4"/>
    <w:rPr>
      <w:rFonts w:asciiTheme="majorBidi" w:eastAsiaTheme="majorEastAsia" w:hAnsiTheme="majorBidi" w:cstheme="majorBidi"/>
      <w:b/>
      <w:bCs/>
      <w:sz w:val="24"/>
      <w:szCs w:val="24"/>
    </w:rPr>
  </w:style>
  <w:style w:type="character" w:customStyle="1" w:styleId="Heading5Char">
    <w:name w:val="Heading 5 Char"/>
    <w:basedOn w:val="DefaultParagraphFont"/>
    <w:link w:val="Heading5"/>
    <w:uiPriority w:val="9"/>
    <w:rsid w:val="004562BF"/>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B24DEE"/>
    <w:pPr>
      <w:tabs>
        <w:tab w:val="center" w:pos="4153"/>
        <w:tab w:val="right" w:pos="8306"/>
      </w:tabs>
      <w:spacing w:after="0" w:line="240" w:lineRule="auto"/>
    </w:pPr>
    <w:rPr>
      <w:rFonts w:eastAsiaTheme="minorHAnsi"/>
    </w:rPr>
  </w:style>
  <w:style w:type="character" w:customStyle="1" w:styleId="HeaderChar">
    <w:name w:val="Header Char"/>
    <w:basedOn w:val="DefaultParagraphFont"/>
    <w:link w:val="Header"/>
    <w:uiPriority w:val="99"/>
    <w:rsid w:val="00B24DEE"/>
  </w:style>
  <w:style w:type="paragraph" w:styleId="Footer">
    <w:name w:val="footer"/>
    <w:basedOn w:val="Normal"/>
    <w:link w:val="FooterChar"/>
    <w:uiPriority w:val="99"/>
    <w:unhideWhenUsed/>
    <w:rsid w:val="00B24DEE"/>
    <w:pPr>
      <w:tabs>
        <w:tab w:val="center" w:pos="4153"/>
        <w:tab w:val="right" w:pos="8306"/>
      </w:tabs>
      <w:spacing w:after="0" w:line="240" w:lineRule="auto"/>
    </w:pPr>
    <w:rPr>
      <w:rFonts w:eastAsiaTheme="minorHAnsi"/>
    </w:rPr>
  </w:style>
  <w:style w:type="character" w:customStyle="1" w:styleId="FooterChar">
    <w:name w:val="Footer Char"/>
    <w:basedOn w:val="DefaultParagraphFont"/>
    <w:link w:val="Footer"/>
    <w:uiPriority w:val="99"/>
    <w:rsid w:val="00B24DEE"/>
  </w:style>
  <w:style w:type="character" w:customStyle="1" w:styleId="mw-headline">
    <w:name w:val="mw-headline"/>
    <w:basedOn w:val="DefaultParagraphFont"/>
    <w:rsid w:val="00B24DEE"/>
  </w:style>
  <w:style w:type="character" w:customStyle="1" w:styleId="mw-editsection">
    <w:name w:val="mw-editsection"/>
    <w:basedOn w:val="DefaultParagraphFont"/>
    <w:rsid w:val="00B24DEE"/>
  </w:style>
  <w:style w:type="character" w:customStyle="1" w:styleId="mw-editsection-bracket">
    <w:name w:val="mw-editsection-bracket"/>
    <w:basedOn w:val="DefaultParagraphFont"/>
    <w:rsid w:val="00B24DEE"/>
  </w:style>
  <w:style w:type="character" w:styleId="Hyperlink">
    <w:name w:val="Hyperlink"/>
    <w:basedOn w:val="DefaultParagraphFont"/>
    <w:uiPriority w:val="99"/>
    <w:unhideWhenUsed/>
    <w:rsid w:val="00B24DEE"/>
    <w:rPr>
      <w:color w:val="0000FF"/>
      <w:u w:val="single"/>
    </w:rPr>
  </w:style>
  <w:style w:type="paragraph" w:styleId="NormalWeb">
    <w:name w:val="Normal (Web)"/>
    <w:basedOn w:val="Normal"/>
    <w:uiPriority w:val="99"/>
    <w:unhideWhenUsed/>
    <w:rsid w:val="00B24DEE"/>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B24DEE"/>
  </w:style>
  <w:style w:type="character" w:customStyle="1" w:styleId="unicode">
    <w:name w:val="unicode"/>
    <w:basedOn w:val="DefaultParagraphFont"/>
    <w:rsid w:val="00B24DEE"/>
  </w:style>
  <w:style w:type="paragraph" w:styleId="BalloonText">
    <w:name w:val="Balloon Text"/>
    <w:basedOn w:val="Normal"/>
    <w:link w:val="BalloonTextChar"/>
    <w:uiPriority w:val="99"/>
    <w:semiHidden/>
    <w:unhideWhenUsed/>
    <w:rsid w:val="00B24DEE"/>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B24DEE"/>
    <w:rPr>
      <w:rFonts w:ascii="Tahoma" w:hAnsi="Tahoma" w:cs="Tahoma"/>
      <w:sz w:val="16"/>
      <w:szCs w:val="16"/>
    </w:rPr>
  </w:style>
  <w:style w:type="paragraph" w:styleId="ListParagraph">
    <w:name w:val="List Paragraph"/>
    <w:basedOn w:val="Normal"/>
    <w:uiPriority w:val="34"/>
    <w:qFormat/>
    <w:rsid w:val="00591F40"/>
    <w:pPr>
      <w:ind w:left="720"/>
      <w:contextualSpacing/>
    </w:pPr>
  </w:style>
  <w:style w:type="character" w:customStyle="1" w:styleId="superscript">
    <w:name w:val="superscript"/>
    <w:basedOn w:val="DefaultParagraphFont"/>
    <w:rsid w:val="00264A7C"/>
  </w:style>
  <w:style w:type="table" w:styleId="TableGrid">
    <w:name w:val="Table Grid"/>
    <w:basedOn w:val="TableNormal"/>
    <w:uiPriority w:val="59"/>
    <w:rsid w:val="004F2A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B5FE5"/>
    <w:rPr>
      <w:color w:val="808080"/>
    </w:rPr>
  </w:style>
  <w:style w:type="character" w:styleId="Strong">
    <w:name w:val="Strong"/>
    <w:basedOn w:val="DefaultParagraphFont"/>
    <w:uiPriority w:val="22"/>
    <w:qFormat/>
    <w:rsid w:val="00E92BF5"/>
    <w:rPr>
      <w:b/>
      <w:bCs/>
    </w:rPr>
  </w:style>
  <w:style w:type="paragraph" w:styleId="DocumentMap">
    <w:name w:val="Document Map"/>
    <w:basedOn w:val="Normal"/>
    <w:link w:val="DocumentMapChar"/>
    <w:uiPriority w:val="99"/>
    <w:semiHidden/>
    <w:unhideWhenUsed/>
    <w:rsid w:val="00B159D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159D8"/>
    <w:rPr>
      <w:rFonts w:ascii="Tahoma" w:eastAsiaTheme="minorEastAsia" w:hAnsi="Tahoma" w:cs="Tahoma"/>
      <w:sz w:val="16"/>
      <w:szCs w:val="16"/>
    </w:rPr>
  </w:style>
  <w:style w:type="paragraph" w:customStyle="1" w:styleId="nsayfalarmetinstili">
    <w:name w:val="ön sayfalar metin stili"/>
    <w:basedOn w:val="Normal"/>
    <w:rsid w:val="00DF77E1"/>
    <w:pPr>
      <w:spacing w:before="120" w:after="120" w:line="240" w:lineRule="auto"/>
    </w:pPr>
    <w:rPr>
      <w:rFonts w:ascii="Calibri" w:eastAsia="Times New Roman" w:hAnsi="Calibri" w:cs="Times New Roman"/>
      <w:szCs w:val="20"/>
      <w:lang w:val="tr-TR" w:eastAsia="tr-TR"/>
    </w:rPr>
  </w:style>
  <w:style w:type="character" w:customStyle="1" w:styleId="Vurgu1">
    <w:name w:val="Vurgu1"/>
    <w:basedOn w:val="DefaultParagraphFont"/>
    <w:rsid w:val="00521C1A"/>
  </w:style>
  <w:style w:type="paragraph" w:customStyle="1" w:styleId="indent">
    <w:name w:val="indent"/>
    <w:basedOn w:val="Normal"/>
    <w:rsid w:val="00B42C1A"/>
    <w:pPr>
      <w:spacing w:before="100" w:beforeAutospacing="1" w:after="100" w:afterAutospacing="1" w:line="240" w:lineRule="auto"/>
    </w:pPr>
    <w:rPr>
      <w:rFonts w:ascii="Times New Roman" w:eastAsia="Times New Roman" w:hAnsi="Times New Roman" w:cs="Times New Roman"/>
    </w:rPr>
  </w:style>
  <w:style w:type="character" w:customStyle="1" w:styleId="nowrap">
    <w:name w:val="nowrap"/>
    <w:basedOn w:val="DefaultParagraphFont"/>
    <w:rsid w:val="00525EA5"/>
  </w:style>
  <w:style w:type="paragraph" w:customStyle="1" w:styleId="Default">
    <w:name w:val="Default"/>
    <w:rsid w:val="00282A1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ipa">
    <w:name w:val="ipa"/>
    <w:basedOn w:val="DefaultParagraphFont"/>
    <w:rsid w:val="00834EAF"/>
  </w:style>
  <w:style w:type="character" w:styleId="Emphasis">
    <w:name w:val="Emphasis"/>
    <w:basedOn w:val="DefaultParagraphFont"/>
    <w:uiPriority w:val="20"/>
    <w:qFormat/>
    <w:rsid w:val="004D18DE"/>
    <w:rPr>
      <w:i/>
      <w:iCs/>
    </w:rPr>
  </w:style>
  <w:style w:type="table" w:customStyle="1" w:styleId="1">
    <w:name w:val="قائمة فاتحة1"/>
    <w:basedOn w:val="TableNormal"/>
    <w:uiPriority w:val="61"/>
    <w:rsid w:val="00A66A7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Bodytext2">
    <w:name w:val="Body text (2)_"/>
    <w:basedOn w:val="DefaultParagraphFont"/>
    <w:link w:val="Bodytext20"/>
    <w:uiPriority w:val="99"/>
    <w:rsid w:val="003024D3"/>
    <w:rPr>
      <w:rFonts w:ascii="Constantia" w:hAnsi="Constantia" w:cs="Constantia"/>
      <w:shd w:val="clear" w:color="auto" w:fill="FFFFFF"/>
    </w:rPr>
  </w:style>
  <w:style w:type="paragraph" w:customStyle="1" w:styleId="Bodytext20">
    <w:name w:val="Body text (2)"/>
    <w:basedOn w:val="Normal"/>
    <w:link w:val="Bodytext2"/>
    <w:uiPriority w:val="99"/>
    <w:rsid w:val="003024D3"/>
    <w:pPr>
      <w:shd w:val="clear" w:color="auto" w:fill="FFFFFF"/>
      <w:spacing w:after="0" w:line="284" w:lineRule="exact"/>
    </w:pPr>
    <w:rPr>
      <w:rFonts w:ascii="Constantia" w:eastAsiaTheme="minorHAnsi" w:hAnsi="Constantia" w:cs="Constantia"/>
    </w:rPr>
  </w:style>
  <w:style w:type="table" w:customStyle="1" w:styleId="10">
    <w:name w:val="تظليل فاتح1"/>
    <w:basedOn w:val="TableNormal"/>
    <w:uiPriority w:val="60"/>
    <w:rsid w:val="00A677D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phrase-checked">
    <w:name w:val="phrase-checked"/>
    <w:basedOn w:val="DefaultParagraphFont"/>
    <w:rsid w:val="009E4E29"/>
  </w:style>
  <w:style w:type="paragraph" w:styleId="Caption">
    <w:name w:val="caption"/>
    <w:basedOn w:val="Normal"/>
    <w:next w:val="Normal"/>
    <w:uiPriority w:val="35"/>
    <w:unhideWhenUsed/>
    <w:qFormat/>
    <w:rsid w:val="00370319"/>
    <w:pPr>
      <w:spacing w:line="240" w:lineRule="auto"/>
      <w:ind w:left="1134" w:hanging="1134"/>
    </w:pPr>
  </w:style>
  <w:style w:type="paragraph" w:styleId="TOCHeading">
    <w:name w:val="TOC Heading"/>
    <w:basedOn w:val="Heading1"/>
    <w:next w:val="Normal"/>
    <w:uiPriority w:val="39"/>
    <w:unhideWhenUsed/>
    <w:qFormat/>
    <w:rsid w:val="00906B12"/>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tr-TR" w:eastAsia="tr-TR"/>
    </w:rPr>
  </w:style>
  <w:style w:type="paragraph" w:styleId="TOC1">
    <w:name w:val="toc 1"/>
    <w:basedOn w:val="Normal"/>
    <w:next w:val="Normal"/>
    <w:autoRedefine/>
    <w:uiPriority w:val="39"/>
    <w:unhideWhenUsed/>
    <w:rsid w:val="00FB7A96"/>
    <w:pPr>
      <w:tabs>
        <w:tab w:val="left" w:pos="284"/>
        <w:tab w:val="left" w:pos="567"/>
        <w:tab w:val="right" w:leader="dot" w:pos="8210"/>
      </w:tabs>
      <w:spacing w:after="0" w:line="240" w:lineRule="auto"/>
    </w:pPr>
  </w:style>
  <w:style w:type="paragraph" w:styleId="TOC2">
    <w:name w:val="toc 2"/>
    <w:basedOn w:val="Normal"/>
    <w:next w:val="Normal"/>
    <w:autoRedefine/>
    <w:uiPriority w:val="39"/>
    <w:unhideWhenUsed/>
    <w:rsid w:val="003974BD"/>
    <w:pPr>
      <w:tabs>
        <w:tab w:val="left" w:pos="567"/>
        <w:tab w:val="left" w:pos="2329"/>
        <w:tab w:val="right" w:leader="dot" w:pos="8210"/>
      </w:tabs>
      <w:spacing w:after="0" w:line="240" w:lineRule="auto"/>
    </w:pPr>
  </w:style>
  <w:style w:type="paragraph" w:styleId="TOC3">
    <w:name w:val="toc 3"/>
    <w:basedOn w:val="Normal"/>
    <w:next w:val="Normal"/>
    <w:autoRedefine/>
    <w:uiPriority w:val="39"/>
    <w:unhideWhenUsed/>
    <w:rsid w:val="00FA415E"/>
    <w:pPr>
      <w:tabs>
        <w:tab w:val="left" w:pos="993"/>
        <w:tab w:val="left" w:pos="2915"/>
        <w:tab w:val="right" w:leader="dot" w:pos="8210"/>
      </w:tabs>
      <w:spacing w:after="0" w:line="240" w:lineRule="auto"/>
      <w:ind w:left="440"/>
      <w:jc w:val="left"/>
    </w:pPr>
    <w:rPr>
      <w:rFonts w:ascii="Times New Roman" w:hAnsi="Times New Roman" w:cs="Times New Roman"/>
      <w:noProof/>
    </w:rPr>
  </w:style>
  <w:style w:type="table" w:customStyle="1" w:styleId="AkGlgeleme1">
    <w:name w:val="Açık Gölgeleme1"/>
    <w:basedOn w:val="TableNormal"/>
    <w:uiPriority w:val="60"/>
    <w:rsid w:val="00335AE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aslik1">
    <w:name w:val="Baslik 1"/>
    <w:basedOn w:val="Normal"/>
    <w:next w:val="Normal"/>
    <w:rsid w:val="008F737B"/>
    <w:pPr>
      <w:keepNext/>
      <w:widowControl w:val="0"/>
      <w:tabs>
        <w:tab w:val="left" w:pos="0"/>
        <w:tab w:val="left" w:pos="2931"/>
      </w:tabs>
      <w:spacing w:after="0" w:line="240" w:lineRule="auto"/>
      <w:outlineLvl w:val="0"/>
    </w:pPr>
    <w:rPr>
      <w:rFonts w:ascii="Times New Roman" w:eastAsia="Times New Roman" w:hAnsi="Times New Roman" w:cs="Times New Roman"/>
      <w:b/>
      <w:snapToGrid w:val="0"/>
      <w:szCs w:val="20"/>
      <w:lang w:eastAsia="tr-TR"/>
    </w:rPr>
  </w:style>
  <w:style w:type="paragraph" w:styleId="BodyTextIndent">
    <w:name w:val="Body Text Indent"/>
    <w:basedOn w:val="Normal"/>
    <w:link w:val="BodyTextIndentChar"/>
    <w:rsid w:val="008F737B"/>
    <w:pPr>
      <w:spacing w:after="120" w:line="240" w:lineRule="auto"/>
      <w:ind w:left="283"/>
    </w:pPr>
    <w:rPr>
      <w:rFonts w:ascii="Times New Roman" w:eastAsia="Times New Roman" w:hAnsi="Times New Roman" w:cs="Times New Roman"/>
      <w:lang w:val="tr-TR" w:eastAsia="tr-TR"/>
    </w:rPr>
  </w:style>
  <w:style w:type="character" w:customStyle="1" w:styleId="BodyTextIndentChar">
    <w:name w:val="Body Text Indent Char"/>
    <w:basedOn w:val="DefaultParagraphFont"/>
    <w:link w:val="BodyTextIndent"/>
    <w:rsid w:val="008F737B"/>
    <w:rPr>
      <w:rFonts w:ascii="Times New Roman" w:eastAsia="Times New Roman" w:hAnsi="Times New Roman" w:cs="Times New Roman"/>
      <w:sz w:val="24"/>
      <w:szCs w:val="24"/>
      <w:lang w:val="tr-TR" w:eastAsia="tr-TR"/>
    </w:rPr>
  </w:style>
  <w:style w:type="character" w:customStyle="1" w:styleId="Picturecaption2Exact">
    <w:name w:val="Picture caption (2) Exact"/>
    <w:basedOn w:val="DefaultParagraphFont"/>
    <w:link w:val="Picturecaption2"/>
    <w:rsid w:val="00B07C83"/>
    <w:rPr>
      <w:rFonts w:ascii="Arial" w:eastAsia="Arial" w:hAnsi="Arial" w:cs="Arial"/>
      <w:sz w:val="18"/>
      <w:szCs w:val="18"/>
      <w:shd w:val="clear" w:color="auto" w:fill="FFFFFF"/>
    </w:rPr>
  </w:style>
  <w:style w:type="paragraph" w:customStyle="1" w:styleId="Picturecaption2">
    <w:name w:val="Picture caption (2)"/>
    <w:basedOn w:val="Normal"/>
    <w:link w:val="Picturecaption2Exact"/>
    <w:rsid w:val="00B07C83"/>
    <w:pPr>
      <w:widowControl w:val="0"/>
      <w:shd w:val="clear" w:color="auto" w:fill="FFFFFF"/>
      <w:spacing w:after="0" w:line="200" w:lineRule="exact"/>
    </w:pPr>
    <w:rPr>
      <w:rFonts w:ascii="Arial" w:eastAsia="Arial" w:hAnsi="Arial" w:cs="Arial"/>
      <w:sz w:val="18"/>
      <w:szCs w:val="18"/>
    </w:rPr>
  </w:style>
  <w:style w:type="character" w:customStyle="1" w:styleId="PicturecaptionExact">
    <w:name w:val="Picture caption Exact"/>
    <w:basedOn w:val="DefaultParagraphFont"/>
    <w:link w:val="Picturecaption"/>
    <w:rsid w:val="00B07C83"/>
    <w:rPr>
      <w:rFonts w:ascii="Arial" w:eastAsia="Arial" w:hAnsi="Arial" w:cs="Arial"/>
      <w:sz w:val="14"/>
      <w:szCs w:val="14"/>
      <w:shd w:val="clear" w:color="auto" w:fill="FFFFFF"/>
    </w:rPr>
  </w:style>
  <w:style w:type="paragraph" w:customStyle="1" w:styleId="Picturecaption">
    <w:name w:val="Picture caption"/>
    <w:basedOn w:val="Normal"/>
    <w:link w:val="PicturecaptionExact"/>
    <w:rsid w:val="00B07C83"/>
    <w:pPr>
      <w:widowControl w:val="0"/>
      <w:shd w:val="clear" w:color="auto" w:fill="FFFFFF"/>
      <w:spacing w:after="0" w:line="156" w:lineRule="exact"/>
    </w:pPr>
    <w:rPr>
      <w:rFonts w:ascii="Arial" w:eastAsia="Arial" w:hAnsi="Arial" w:cs="Arial"/>
      <w:sz w:val="14"/>
      <w:szCs w:val="14"/>
    </w:rPr>
  </w:style>
  <w:style w:type="character" w:customStyle="1" w:styleId="Heading10">
    <w:name w:val="Heading #1_"/>
    <w:basedOn w:val="DefaultParagraphFont"/>
    <w:link w:val="Heading11"/>
    <w:rsid w:val="00B07C83"/>
    <w:rPr>
      <w:rFonts w:ascii="Arial" w:eastAsia="Arial" w:hAnsi="Arial" w:cs="Arial"/>
      <w:b/>
      <w:bCs/>
      <w:sz w:val="26"/>
      <w:szCs w:val="26"/>
      <w:shd w:val="clear" w:color="auto" w:fill="FFFFFF"/>
    </w:rPr>
  </w:style>
  <w:style w:type="paragraph" w:customStyle="1" w:styleId="Heading11">
    <w:name w:val="Heading #1"/>
    <w:basedOn w:val="Normal"/>
    <w:link w:val="Heading10"/>
    <w:rsid w:val="00B07C83"/>
    <w:pPr>
      <w:widowControl w:val="0"/>
      <w:shd w:val="clear" w:color="auto" w:fill="FFFFFF"/>
      <w:spacing w:after="0" w:line="290" w:lineRule="exact"/>
      <w:outlineLvl w:val="0"/>
    </w:pPr>
    <w:rPr>
      <w:rFonts w:ascii="Arial" w:eastAsia="Arial" w:hAnsi="Arial" w:cs="Arial"/>
      <w:b/>
      <w:bCs/>
      <w:sz w:val="26"/>
      <w:szCs w:val="26"/>
    </w:rPr>
  </w:style>
  <w:style w:type="character" w:customStyle="1" w:styleId="articletypelabel">
    <w:name w:val="articletypelabel"/>
    <w:basedOn w:val="DefaultParagraphFont"/>
    <w:rsid w:val="001D3CB0"/>
  </w:style>
  <w:style w:type="character" w:customStyle="1" w:styleId="hit">
    <w:name w:val="hit"/>
    <w:basedOn w:val="DefaultParagraphFont"/>
    <w:rsid w:val="001D3CB0"/>
  </w:style>
  <w:style w:type="character" w:styleId="FollowedHyperlink">
    <w:name w:val="FollowedHyperlink"/>
    <w:basedOn w:val="DefaultParagraphFont"/>
    <w:uiPriority w:val="99"/>
    <w:semiHidden/>
    <w:unhideWhenUsed/>
    <w:rsid w:val="00A03EB3"/>
    <w:rPr>
      <w:color w:val="800080" w:themeColor="followedHyperlink"/>
      <w:u w:val="single"/>
    </w:rPr>
  </w:style>
  <w:style w:type="paragraph" w:styleId="BodyText">
    <w:name w:val="Body Text"/>
    <w:basedOn w:val="Normal"/>
    <w:link w:val="BodyTextChar"/>
    <w:uiPriority w:val="1"/>
    <w:unhideWhenUsed/>
    <w:qFormat/>
    <w:rsid w:val="00FA58E8"/>
    <w:pPr>
      <w:spacing w:after="120"/>
    </w:pPr>
  </w:style>
  <w:style w:type="character" w:customStyle="1" w:styleId="BodyTextChar">
    <w:name w:val="Body Text Char"/>
    <w:basedOn w:val="DefaultParagraphFont"/>
    <w:link w:val="BodyText"/>
    <w:uiPriority w:val="1"/>
    <w:rsid w:val="00FA58E8"/>
    <w:rPr>
      <w:rFonts w:eastAsiaTheme="minorEastAsia"/>
    </w:rPr>
  </w:style>
  <w:style w:type="character" w:customStyle="1" w:styleId="gt-baf-back">
    <w:name w:val="gt-baf-back"/>
    <w:basedOn w:val="DefaultParagraphFont"/>
    <w:rsid w:val="00953EC2"/>
  </w:style>
  <w:style w:type="paragraph" w:styleId="NoSpacing">
    <w:name w:val="No Spacing"/>
    <w:uiPriority w:val="1"/>
    <w:qFormat/>
    <w:rsid w:val="000079AA"/>
    <w:pPr>
      <w:spacing w:after="0" w:line="240" w:lineRule="auto"/>
    </w:pPr>
    <w:rPr>
      <w:rFonts w:ascii="Times New Roman" w:hAnsi="Times New Roman"/>
      <w:sz w:val="24"/>
      <w:lang w:val="tr-TR"/>
    </w:rPr>
  </w:style>
  <w:style w:type="character" w:customStyle="1" w:styleId="label">
    <w:name w:val="label"/>
    <w:basedOn w:val="DefaultParagraphFont"/>
    <w:rsid w:val="000079AA"/>
  </w:style>
  <w:style w:type="character" w:customStyle="1" w:styleId="captionlabel">
    <w:name w:val="captionlabel"/>
    <w:basedOn w:val="DefaultParagraphFont"/>
    <w:rsid w:val="000079AA"/>
  </w:style>
  <w:style w:type="paragraph" w:styleId="Subtitle">
    <w:name w:val="Subtitle"/>
    <w:basedOn w:val="Normal"/>
    <w:next w:val="Normal"/>
    <w:link w:val="SubtitleChar"/>
    <w:uiPriority w:val="11"/>
    <w:qFormat/>
    <w:rsid w:val="000079AA"/>
    <w:pPr>
      <w:numPr>
        <w:ilvl w:val="1"/>
      </w:numPr>
      <w:bidi/>
      <w:spacing w:line="276" w:lineRule="auto"/>
      <w:jc w:val="left"/>
    </w:pPr>
    <w:rPr>
      <w:rFonts w:asciiTheme="majorHAnsi" w:eastAsiaTheme="majorEastAsia" w:hAnsiTheme="majorHAnsi"/>
      <w:i/>
      <w:iCs/>
      <w:color w:val="4F81BD" w:themeColor="accent1"/>
      <w:spacing w:val="15"/>
    </w:rPr>
  </w:style>
  <w:style w:type="character" w:customStyle="1" w:styleId="SubtitleChar">
    <w:name w:val="Subtitle Char"/>
    <w:basedOn w:val="DefaultParagraphFont"/>
    <w:link w:val="Subtitle"/>
    <w:uiPriority w:val="11"/>
    <w:rsid w:val="000079AA"/>
    <w:rPr>
      <w:rFonts w:asciiTheme="majorHAnsi" w:eastAsiaTheme="majorEastAsia" w:hAnsiTheme="majorHAnsi" w:cstheme="majorBidi"/>
      <w:i/>
      <w:iCs/>
      <w:color w:val="4F81BD" w:themeColor="accent1"/>
      <w:spacing w:val="15"/>
      <w:sz w:val="24"/>
      <w:szCs w:val="24"/>
    </w:rPr>
  </w:style>
  <w:style w:type="paragraph" w:styleId="TableofFigures">
    <w:name w:val="table of figures"/>
    <w:basedOn w:val="Normal"/>
    <w:next w:val="Normal"/>
    <w:uiPriority w:val="99"/>
    <w:unhideWhenUsed/>
    <w:rsid w:val="00F06431"/>
    <w:pPr>
      <w:spacing w:after="0"/>
    </w:pPr>
  </w:style>
  <w:style w:type="paragraph" w:styleId="Title">
    <w:name w:val="Title"/>
    <w:basedOn w:val="Normal"/>
    <w:next w:val="Normal"/>
    <w:link w:val="TitleChar"/>
    <w:uiPriority w:val="10"/>
    <w:qFormat/>
    <w:rsid w:val="00230F05"/>
    <w:pPr>
      <w:pBdr>
        <w:bottom w:val="single" w:sz="8" w:space="4" w:color="4F81BD" w:themeColor="accent1"/>
      </w:pBdr>
      <w:spacing w:after="300" w:line="240" w:lineRule="auto"/>
      <w:contextualSpacing/>
      <w:jc w:val="left"/>
    </w:pPr>
    <w:rPr>
      <w:rFonts w:asciiTheme="majorHAnsi" w:eastAsiaTheme="majorEastAsia" w:hAnsiTheme="majorHAnsi"/>
      <w:color w:val="17365D" w:themeColor="text2" w:themeShade="BF"/>
      <w:spacing w:val="5"/>
      <w:kern w:val="28"/>
      <w:sz w:val="52"/>
      <w:szCs w:val="52"/>
    </w:rPr>
  </w:style>
  <w:style w:type="character" w:customStyle="1" w:styleId="TitleChar">
    <w:name w:val="Title Char"/>
    <w:basedOn w:val="DefaultParagraphFont"/>
    <w:link w:val="Title"/>
    <w:uiPriority w:val="10"/>
    <w:rsid w:val="00230F05"/>
    <w:rPr>
      <w:rFonts w:asciiTheme="majorHAnsi" w:eastAsiaTheme="majorEastAsia" w:hAnsiTheme="majorHAnsi" w:cstheme="majorBidi"/>
      <w:color w:val="17365D" w:themeColor="text2" w:themeShade="BF"/>
      <w:spacing w:val="5"/>
      <w:kern w:val="28"/>
      <w:sz w:val="52"/>
      <w:szCs w:val="52"/>
    </w:rPr>
  </w:style>
  <w:style w:type="paragraph" w:customStyle="1" w:styleId="Balk31">
    <w:name w:val="Başlık 31"/>
    <w:basedOn w:val="Normal"/>
    <w:uiPriority w:val="1"/>
    <w:qFormat/>
    <w:rsid w:val="00230F05"/>
    <w:pPr>
      <w:widowControl w:val="0"/>
      <w:spacing w:after="0" w:line="240" w:lineRule="auto"/>
      <w:ind w:left="444"/>
      <w:jc w:val="left"/>
      <w:outlineLvl w:val="3"/>
    </w:pPr>
    <w:rPr>
      <w:rFonts w:ascii="Times New Roman" w:eastAsia="Times New Roman" w:hAnsi="Times New Roman" w:cstheme="minorBidi"/>
      <w:b/>
      <w:bCs/>
    </w:rPr>
  </w:style>
  <w:style w:type="paragraph" w:customStyle="1" w:styleId="T11">
    <w:name w:val="İÇT 11"/>
    <w:basedOn w:val="Normal"/>
    <w:uiPriority w:val="1"/>
    <w:qFormat/>
    <w:rsid w:val="00230F05"/>
    <w:pPr>
      <w:widowControl w:val="0"/>
      <w:spacing w:before="237" w:after="0" w:line="240" w:lineRule="auto"/>
      <w:ind w:left="444"/>
      <w:jc w:val="left"/>
    </w:pPr>
    <w:rPr>
      <w:rFonts w:ascii="Times New Roman" w:eastAsia="Times New Roman" w:hAnsi="Times New Roman" w:cstheme="minorBidi"/>
    </w:rPr>
  </w:style>
  <w:style w:type="paragraph" w:customStyle="1" w:styleId="T21">
    <w:name w:val="İÇT 21"/>
    <w:basedOn w:val="Normal"/>
    <w:uiPriority w:val="1"/>
    <w:qFormat/>
    <w:rsid w:val="00230F05"/>
    <w:pPr>
      <w:widowControl w:val="0"/>
      <w:spacing w:before="237" w:after="0" w:line="240" w:lineRule="auto"/>
      <w:ind w:left="1164" w:hanging="432"/>
      <w:jc w:val="left"/>
    </w:pPr>
    <w:rPr>
      <w:rFonts w:ascii="Times New Roman" w:eastAsia="Times New Roman" w:hAnsi="Times New Roman" w:cstheme="minorBidi"/>
    </w:rPr>
  </w:style>
  <w:style w:type="paragraph" w:customStyle="1" w:styleId="T31">
    <w:name w:val="İÇT 31"/>
    <w:basedOn w:val="Normal"/>
    <w:uiPriority w:val="1"/>
    <w:qFormat/>
    <w:rsid w:val="00230F05"/>
    <w:pPr>
      <w:widowControl w:val="0"/>
      <w:spacing w:before="242" w:after="0" w:line="240" w:lineRule="auto"/>
      <w:ind w:left="732"/>
      <w:jc w:val="left"/>
    </w:pPr>
    <w:rPr>
      <w:rFonts w:ascii="Times New Roman" w:eastAsia="Times New Roman" w:hAnsi="Times New Roman" w:cstheme="minorBidi"/>
      <w:b/>
      <w:bCs/>
      <w:i/>
      <w:sz w:val="22"/>
      <w:szCs w:val="22"/>
    </w:rPr>
  </w:style>
  <w:style w:type="paragraph" w:customStyle="1" w:styleId="T41">
    <w:name w:val="İÇT 41"/>
    <w:basedOn w:val="Normal"/>
    <w:uiPriority w:val="1"/>
    <w:qFormat/>
    <w:rsid w:val="00230F05"/>
    <w:pPr>
      <w:widowControl w:val="0"/>
      <w:spacing w:before="237" w:after="0" w:line="240" w:lineRule="auto"/>
      <w:ind w:left="1884" w:hanging="720"/>
      <w:jc w:val="left"/>
    </w:pPr>
    <w:rPr>
      <w:rFonts w:ascii="Times New Roman" w:eastAsia="Times New Roman" w:hAnsi="Times New Roman" w:cstheme="minorBidi"/>
    </w:rPr>
  </w:style>
  <w:style w:type="paragraph" w:customStyle="1" w:styleId="T51">
    <w:name w:val="İÇT 51"/>
    <w:basedOn w:val="Normal"/>
    <w:uiPriority w:val="1"/>
    <w:qFormat/>
    <w:rsid w:val="00230F05"/>
    <w:pPr>
      <w:widowControl w:val="0"/>
      <w:spacing w:before="242" w:after="0" w:line="240" w:lineRule="auto"/>
      <w:ind w:left="1884" w:hanging="720"/>
      <w:jc w:val="left"/>
    </w:pPr>
    <w:rPr>
      <w:rFonts w:ascii="Times New Roman" w:eastAsia="Times New Roman" w:hAnsi="Times New Roman" w:cstheme="minorBidi"/>
      <w:b/>
      <w:bCs/>
      <w:i/>
      <w:sz w:val="22"/>
      <w:szCs w:val="22"/>
    </w:rPr>
  </w:style>
  <w:style w:type="paragraph" w:customStyle="1" w:styleId="T61">
    <w:name w:val="İÇT 61"/>
    <w:basedOn w:val="Normal"/>
    <w:uiPriority w:val="1"/>
    <w:qFormat/>
    <w:rsid w:val="00230F05"/>
    <w:pPr>
      <w:widowControl w:val="0"/>
      <w:spacing w:before="409" w:after="0" w:line="240" w:lineRule="auto"/>
      <w:ind w:left="3687"/>
      <w:jc w:val="left"/>
    </w:pPr>
    <w:rPr>
      <w:rFonts w:ascii="Times New Roman" w:eastAsia="Times New Roman" w:hAnsi="Times New Roman" w:cstheme="minorBidi"/>
      <w:sz w:val="19"/>
      <w:szCs w:val="19"/>
    </w:rPr>
  </w:style>
  <w:style w:type="paragraph" w:customStyle="1" w:styleId="Balk11">
    <w:name w:val="Başlık 11"/>
    <w:basedOn w:val="Normal"/>
    <w:uiPriority w:val="1"/>
    <w:qFormat/>
    <w:rsid w:val="00230F05"/>
    <w:pPr>
      <w:widowControl w:val="0"/>
      <w:spacing w:before="66" w:after="0" w:line="240" w:lineRule="auto"/>
      <w:ind w:left="444"/>
      <w:jc w:val="left"/>
      <w:outlineLvl w:val="1"/>
    </w:pPr>
    <w:rPr>
      <w:rFonts w:ascii="Arial" w:eastAsia="Arial" w:hAnsi="Arial" w:cstheme="minorBidi"/>
      <w:sz w:val="31"/>
      <w:szCs w:val="31"/>
    </w:rPr>
  </w:style>
  <w:style w:type="paragraph" w:customStyle="1" w:styleId="Balk21">
    <w:name w:val="Başlık 21"/>
    <w:basedOn w:val="Normal"/>
    <w:uiPriority w:val="1"/>
    <w:qFormat/>
    <w:rsid w:val="00230F05"/>
    <w:pPr>
      <w:widowControl w:val="0"/>
      <w:spacing w:after="0" w:line="240" w:lineRule="auto"/>
      <w:ind w:left="1448" w:hanging="1004"/>
      <w:jc w:val="left"/>
      <w:outlineLvl w:val="2"/>
    </w:pPr>
    <w:rPr>
      <w:rFonts w:ascii="Arial" w:eastAsia="Arial" w:hAnsi="Arial" w:cstheme="minorBidi"/>
      <w:sz w:val="28"/>
      <w:szCs w:val="28"/>
    </w:rPr>
  </w:style>
  <w:style w:type="paragraph" w:customStyle="1" w:styleId="TableParagraph">
    <w:name w:val="Table Paragraph"/>
    <w:basedOn w:val="Normal"/>
    <w:uiPriority w:val="1"/>
    <w:qFormat/>
    <w:rsid w:val="00230F05"/>
    <w:pPr>
      <w:widowControl w:val="0"/>
      <w:spacing w:after="0" w:line="240" w:lineRule="auto"/>
      <w:jc w:val="left"/>
    </w:pPr>
    <w:rPr>
      <w:rFonts w:asciiTheme="minorHAnsi" w:eastAsiaTheme="minorHAnsi" w:hAnsiTheme="minorHAnsi" w:cstheme="minorBidi"/>
      <w:sz w:val="22"/>
      <w:szCs w:val="22"/>
    </w:rPr>
  </w:style>
  <w:style w:type="paragraph" w:customStyle="1" w:styleId="Balk41">
    <w:name w:val="Başlık 41"/>
    <w:basedOn w:val="Normal"/>
    <w:uiPriority w:val="1"/>
    <w:qFormat/>
    <w:rsid w:val="00230F05"/>
    <w:pPr>
      <w:widowControl w:val="0"/>
      <w:spacing w:after="0" w:line="240" w:lineRule="auto"/>
      <w:ind w:left="1233"/>
      <w:jc w:val="left"/>
      <w:outlineLvl w:val="4"/>
    </w:pPr>
    <w:rPr>
      <w:rFonts w:ascii="Arial" w:eastAsia="Arial" w:hAnsi="Arial" w:cstheme="minorBidi"/>
      <w:b/>
      <w:bCs/>
      <w:sz w:val="36"/>
      <w:szCs w:val="36"/>
    </w:rPr>
  </w:style>
  <w:style w:type="paragraph" w:customStyle="1" w:styleId="Balk51">
    <w:name w:val="Başlık 51"/>
    <w:basedOn w:val="Normal"/>
    <w:uiPriority w:val="1"/>
    <w:qFormat/>
    <w:rsid w:val="00230F05"/>
    <w:pPr>
      <w:widowControl w:val="0"/>
      <w:spacing w:before="38" w:after="0" w:line="240" w:lineRule="auto"/>
      <w:ind w:left="820"/>
      <w:jc w:val="left"/>
      <w:outlineLvl w:val="5"/>
    </w:pPr>
    <w:rPr>
      <w:rFonts w:ascii="Arial" w:eastAsia="Arial" w:hAnsi="Arial" w:cstheme="minorBidi"/>
      <w:b/>
      <w:bCs/>
      <w:sz w:val="28"/>
      <w:szCs w:val="28"/>
    </w:rPr>
  </w:style>
  <w:style w:type="paragraph" w:customStyle="1" w:styleId="Balk61">
    <w:name w:val="Başlık 61"/>
    <w:basedOn w:val="Normal"/>
    <w:uiPriority w:val="1"/>
    <w:qFormat/>
    <w:rsid w:val="00230F05"/>
    <w:pPr>
      <w:widowControl w:val="0"/>
      <w:spacing w:after="0" w:line="240" w:lineRule="auto"/>
      <w:jc w:val="left"/>
      <w:outlineLvl w:val="6"/>
    </w:pPr>
    <w:rPr>
      <w:rFonts w:ascii="Arial" w:eastAsia="Arial" w:hAnsi="Arial" w:cstheme="minorBidi"/>
      <w:sz w:val="27"/>
      <w:szCs w:val="27"/>
    </w:rPr>
  </w:style>
  <w:style w:type="paragraph" w:customStyle="1" w:styleId="Balk71">
    <w:name w:val="Başlık 71"/>
    <w:basedOn w:val="Normal"/>
    <w:uiPriority w:val="1"/>
    <w:qFormat/>
    <w:rsid w:val="00230F05"/>
    <w:pPr>
      <w:widowControl w:val="0"/>
      <w:spacing w:after="0" w:line="240" w:lineRule="auto"/>
      <w:jc w:val="left"/>
      <w:outlineLvl w:val="7"/>
    </w:pPr>
    <w:rPr>
      <w:rFonts w:ascii="Arial" w:eastAsia="Arial" w:hAnsi="Arial" w:cstheme="minorBidi"/>
      <w:b/>
      <w:bCs/>
      <w:sz w:val="26"/>
      <w:szCs w:val="26"/>
    </w:rPr>
  </w:style>
  <w:style w:type="paragraph" w:customStyle="1" w:styleId="Balk81">
    <w:name w:val="Başlık 81"/>
    <w:basedOn w:val="Normal"/>
    <w:uiPriority w:val="1"/>
    <w:qFormat/>
    <w:rsid w:val="00230F05"/>
    <w:pPr>
      <w:widowControl w:val="0"/>
      <w:spacing w:after="0" w:line="240" w:lineRule="auto"/>
      <w:jc w:val="left"/>
      <w:outlineLvl w:val="8"/>
    </w:pPr>
    <w:rPr>
      <w:rFonts w:ascii="Arial" w:eastAsia="Arial" w:hAnsi="Arial" w:cstheme="minorBidi"/>
      <w:sz w:val="26"/>
      <w:szCs w:val="26"/>
    </w:rPr>
  </w:style>
  <w:style w:type="paragraph" w:customStyle="1" w:styleId="Balk91">
    <w:name w:val="Başlık 91"/>
    <w:basedOn w:val="Normal"/>
    <w:uiPriority w:val="1"/>
    <w:qFormat/>
    <w:rsid w:val="00230F05"/>
    <w:pPr>
      <w:widowControl w:val="0"/>
      <w:spacing w:before="69" w:after="0" w:line="240" w:lineRule="auto"/>
      <w:ind w:left="1431"/>
      <w:jc w:val="left"/>
    </w:pPr>
    <w:rPr>
      <w:rFonts w:ascii="Arial" w:eastAsia="Arial" w:hAnsi="Arial" w:cstheme="minorBidi"/>
      <w:sz w:val="25"/>
      <w:szCs w:val="25"/>
    </w:rPr>
  </w:style>
  <w:style w:type="character" w:customStyle="1" w:styleId="qur1">
    <w:name w:val="qur1"/>
    <w:basedOn w:val="DefaultParagraphFont"/>
    <w:rsid w:val="00230F05"/>
    <w:rPr>
      <w:rFonts w:cs="Simplified Arabic" w:hint="cs"/>
      <w:b/>
      <w:bCs/>
      <w:color w:val="339900"/>
      <w:sz w:val="24"/>
      <w:szCs w:val="24"/>
    </w:rPr>
  </w:style>
  <w:style w:type="paragraph" w:customStyle="1" w:styleId="Heading41">
    <w:name w:val="Heading 41"/>
    <w:basedOn w:val="Normal"/>
    <w:uiPriority w:val="1"/>
    <w:qFormat/>
    <w:rsid w:val="00D879FF"/>
    <w:pPr>
      <w:widowControl w:val="0"/>
      <w:spacing w:after="0" w:line="240" w:lineRule="auto"/>
      <w:ind w:left="1233"/>
      <w:jc w:val="left"/>
      <w:outlineLvl w:val="4"/>
    </w:pPr>
    <w:rPr>
      <w:rFonts w:ascii="Arial" w:eastAsia="Arial" w:hAnsi="Arial" w:cstheme="minorBidi"/>
      <w:b/>
      <w:bCs/>
      <w:sz w:val="36"/>
      <w:szCs w:val="36"/>
    </w:rPr>
  </w:style>
  <w:style w:type="table" w:customStyle="1" w:styleId="GridTable6Colorful1">
    <w:name w:val="Grid Table 6 Colorful1"/>
    <w:basedOn w:val="TableNormal"/>
    <w:uiPriority w:val="51"/>
    <w:rsid w:val="00D879FF"/>
    <w:pPr>
      <w:spacing w:after="0" w:line="240" w:lineRule="auto"/>
    </w:pPr>
    <w:rPr>
      <w:color w:val="000000" w:themeColor="text1"/>
      <w:lang w:val="tr-T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88224">
      <w:bodyDiv w:val="1"/>
      <w:marLeft w:val="0"/>
      <w:marRight w:val="0"/>
      <w:marTop w:val="0"/>
      <w:marBottom w:val="0"/>
      <w:divBdr>
        <w:top w:val="none" w:sz="0" w:space="0" w:color="auto"/>
        <w:left w:val="none" w:sz="0" w:space="0" w:color="auto"/>
        <w:bottom w:val="none" w:sz="0" w:space="0" w:color="auto"/>
        <w:right w:val="none" w:sz="0" w:space="0" w:color="auto"/>
      </w:divBdr>
    </w:div>
    <w:div w:id="34626779">
      <w:bodyDiv w:val="1"/>
      <w:marLeft w:val="0"/>
      <w:marRight w:val="0"/>
      <w:marTop w:val="0"/>
      <w:marBottom w:val="0"/>
      <w:divBdr>
        <w:top w:val="none" w:sz="0" w:space="0" w:color="auto"/>
        <w:left w:val="none" w:sz="0" w:space="0" w:color="auto"/>
        <w:bottom w:val="none" w:sz="0" w:space="0" w:color="auto"/>
        <w:right w:val="none" w:sz="0" w:space="0" w:color="auto"/>
      </w:divBdr>
    </w:div>
    <w:div w:id="48916255">
      <w:bodyDiv w:val="1"/>
      <w:marLeft w:val="0"/>
      <w:marRight w:val="0"/>
      <w:marTop w:val="0"/>
      <w:marBottom w:val="0"/>
      <w:divBdr>
        <w:top w:val="none" w:sz="0" w:space="0" w:color="auto"/>
        <w:left w:val="none" w:sz="0" w:space="0" w:color="auto"/>
        <w:bottom w:val="none" w:sz="0" w:space="0" w:color="auto"/>
        <w:right w:val="none" w:sz="0" w:space="0" w:color="auto"/>
      </w:divBdr>
    </w:div>
    <w:div w:id="92940473">
      <w:bodyDiv w:val="1"/>
      <w:marLeft w:val="0"/>
      <w:marRight w:val="0"/>
      <w:marTop w:val="0"/>
      <w:marBottom w:val="0"/>
      <w:divBdr>
        <w:top w:val="none" w:sz="0" w:space="0" w:color="auto"/>
        <w:left w:val="none" w:sz="0" w:space="0" w:color="auto"/>
        <w:bottom w:val="none" w:sz="0" w:space="0" w:color="auto"/>
        <w:right w:val="none" w:sz="0" w:space="0" w:color="auto"/>
      </w:divBdr>
    </w:div>
    <w:div w:id="151024045">
      <w:bodyDiv w:val="1"/>
      <w:marLeft w:val="0"/>
      <w:marRight w:val="0"/>
      <w:marTop w:val="0"/>
      <w:marBottom w:val="0"/>
      <w:divBdr>
        <w:top w:val="none" w:sz="0" w:space="0" w:color="auto"/>
        <w:left w:val="none" w:sz="0" w:space="0" w:color="auto"/>
        <w:bottom w:val="none" w:sz="0" w:space="0" w:color="auto"/>
        <w:right w:val="none" w:sz="0" w:space="0" w:color="auto"/>
      </w:divBdr>
    </w:div>
    <w:div w:id="160896427">
      <w:bodyDiv w:val="1"/>
      <w:marLeft w:val="0"/>
      <w:marRight w:val="0"/>
      <w:marTop w:val="0"/>
      <w:marBottom w:val="0"/>
      <w:divBdr>
        <w:top w:val="none" w:sz="0" w:space="0" w:color="auto"/>
        <w:left w:val="none" w:sz="0" w:space="0" w:color="auto"/>
        <w:bottom w:val="none" w:sz="0" w:space="0" w:color="auto"/>
        <w:right w:val="none" w:sz="0" w:space="0" w:color="auto"/>
      </w:divBdr>
    </w:div>
    <w:div w:id="216938466">
      <w:bodyDiv w:val="1"/>
      <w:marLeft w:val="0"/>
      <w:marRight w:val="0"/>
      <w:marTop w:val="0"/>
      <w:marBottom w:val="0"/>
      <w:divBdr>
        <w:top w:val="none" w:sz="0" w:space="0" w:color="auto"/>
        <w:left w:val="none" w:sz="0" w:space="0" w:color="auto"/>
        <w:bottom w:val="none" w:sz="0" w:space="0" w:color="auto"/>
        <w:right w:val="none" w:sz="0" w:space="0" w:color="auto"/>
      </w:divBdr>
    </w:div>
    <w:div w:id="260576455">
      <w:bodyDiv w:val="1"/>
      <w:marLeft w:val="0"/>
      <w:marRight w:val="0"/>
      <w:marTop w:val="0"/>
      <w:marBottom w:val="0"/>
      <w:divBdr>
        <w:top w:val="none" w:sz="0" w:space="0" w:color="auto"/>
        <w:left w:val="none" w:sz="0" w:space="0" w:color="auto"/>
        <w:bottom w:val="none" w:sz="0" w:space="0" w:color="auto"/>
        <w:right w:val="none" w:sz="0" w:space="0" w:color="auto"/>
      </w:divBdr>
    </w:div>
    <w:div w:id="288780459">
      <w:bodyDiv w:val="1"/>
      <w:marLeft w:val="0"/>
      <w:marRight w:val="0"/>
      <w:marTop w:val="0"/>
      <w:marBottom w:val="0"/>
      <w:divBdr>
        <w:top w:val="none" w:sz="0" w:space="0" w:color="auto"/>
        <w:left w:val="none" w:sz="0" w:space="0" w:color="auto"/>
        <w:bottom w:val="none" w:sz="0" w:space="0" w:color="auto"/>
        <w:right w:val="none" w:sz="0" w:space="0" w:color="auto"/>
      </w:divBdr>
    </w:div>
    <w:div w:id="327171511">
      <w:bodyDiv w:val="1"/>
      <w:marLeft w:val="0"/>
      <w:marRight w:val="0"/>
      <w:marTop w:val="0"/>
      <w:marBottom w:val="0"/>
      <w:divBdr>
        <w:top w:val="none" w:sz="0" w:space="0" w:color="auto"/>
        <w:left w:val="none" w:sz="0" w:space="0" w:color="auto"/>
        <w:bottom w:val="none" w:sz="0" w:space="0" w:color="auto"/>
        <w:right w:val="none" w:sz="0" w:space="0" w:color="auto"/>
      </w:divBdr>
    </w:div>
    <w:div w:id="346755218">
      <w:bodyDiv w:val="1"/>
      <w:marLeft w:val="0"/>
      <w:marRight w:val="0"/>
      <w:marTop w:val="0"/>
      <w:marBottom w:val="0"/>
      <w:divBdr>
        <w:top w:val="none" w:sz="0" w:space="0" w:color="auto"/>
        <w:left w:val="none" w:sz="0" w:space="0" w:color="auto"/>
        <w:bottom w:val="none" w:sz="0" w:space="0" w:color="auto"/>
        <w:right w:val="none" w:sz="0" w:space="0" w:color="auto"/>
      </w:divBdr>
    </w:div>
    <w:div w:id="384381105">
      <w:bodyDiv w:val="1"/>
      <w:marLeft w:val="0"/>
      <w:marRight w:val="0"/>
      <w:marTop w:val="0"/>
      <w:marBottom w:val="0"/>
      <w:divBdr>
        <w:top w:val="none" w:sz="0" w:space="0" w:color="auto"/>
        <w:left w:val="none" w:sz="0" w:space="0" w:color="auto"/>
        <w:bottom w:val="none" w:sz="0" w:space="0" w:color="auto"/>
        <w:right w:val="none" w:sz="0" w:space="0" w:color="auto"/>
      </w:divBdr>
    </w:div>
    <w:div w:id="419834205">
      <w:bodyDiv w:val="1"/>
      <w:marLeft w:val="0"/>
      <w:marRight w:val="0"/>
      <w:marTop w:val="0"/>
      <w:marBottom w:val="0"/>
      <w:divBdr>
        <w:top w:val="none" w:sz="0" w:space="0" w:color="auto"/>
        <w:left w:val="none" w:sz="0" w:space="0" w:color="auto"/>
        <w:bottom w:val="none" w:sz="0" w:space="0" w:color="auto"/>
        <w:right w:val="none" w:sz="0" w:space="0" w:color="auto"/>
      </w:divBdr>
    </w:div>
    <w:div w:id="435491776">
      <w:bodyDiv w:val="1"/>
      <w:marLeft w:val="0"/>
      <w:marRight w:val="0"/>
      <w:marTop w:val="0"/>
      <w:marBottom w:val="0"/>
      <w:divBdr>
        <w:top w:val="none" w:sz="0" w:space="0" w:color="auto"/>
        <w:left w:val="none" w:sz="0" w:space="0" w:color="auto"/>
        <w:bottom w:val="none" w:sz="0" w:space="0" w:color="auto"/>
        <w:right w:val="none" w:sz="0" w:space="0" w:color="auto"/>
      </w:divBdr>
    </w:div>
    <w:div w:id="447970365">
      <w:bodyDiv w:val="1"/>
      <w:marLeft w:val="0"/>
      <w:marRight w:val="0"/>
      <w:marTop w:val="0"/>
      <w:marBottom w:val="0"/>
      <w:divBdr>
        <w:top w:val="none" w:sz="0" w:space="0" w:color="auto"/>
        <w:left w:val="none" w:sz="0" w:space="0" w:color="auto"/>
        <w:bottom w:val="none" w:sz="0" w:space="0" w:color="auto"/>
        <w:right w:val="none" w:sz="0" w:space="0" w:color="auto"/>
      </w:divBdr>
    </w:div>
    <w:div w:id="473719247">
      <w:bodyDiv w:val="1"/>
      <w:marLeft w:val="0"/>
      <w:marRight w:val="0"/>
      <w:marTop w:val="0"/>
      <w:marBottom w:val="0"/>
      <w:divBdr>
        <w:top w:val="none" w:sz="0" w:space="0" w:color="auto"/>
        <w:left w:val="none" w:sz="0" w:space="0" w:color="auto"/>
        <w:bottom w:val="none" w:sz="0" w:space="0" w:color="auto"/>
        <w:right w:val="none" w:sz="0" w:space="0" w:color="auto"/>
      </w:divBdr>
    </w:div>
    <w:div w:id="511802554">
      <w:bodyDiv w:val="1"/>
      <w:marLeft w:val="0"/>
      <w:marRight w:val="0"/>
      <w:marTop w:val="0"/>
      <w:marBottom w:val="0"/>
      <w:divBdr>
        <w:top w:val="none" w:sz="0" w:space="0" w:color="auto"/>
        <w:left w:val="none" w:sz="0" w:space="0" w:color="auto"/>
        <w:bottom w:val="none" w:sz="0" w:space="0" w:color="auto"/>
        <w:right w:val="none" w:sz="0" w:space="0" w:color="auto"/>
      </w:divBdr>
    </w:div>
    <w:div w:id="541211649">
      <w:bodyDiv w:val="1"/>
      <w:marLeft w:val="0"/>
      <w:marRight w:val="0"/>
      <w:marTop w:val="0"/>
      <w:marBottom w:val="0"/>
      <w:divBdr>
        <w:top w:val="none" w:sz="0" w:space="0" w:color="auto"/>
        <w:left w:val="none" w:sz="0" w:space="0" w:color="auto"/>
        <w:bottom w:val="none" w:sz="0" w:space="0" w:color="auto"/>
        <w:right w:val="none" w:sz="0" w:space="0" w:color="auto"/>
      </w:divBdr>
    </w:div>
    <w:div w:id="590549194">
      <w:bodyDiv w:val="1"/>
      <w:marLeft w:val="0"/>
      <w:marRight w:val="0"/>
      <w:marTop w:val="0"/>
      <w:marBottom w:val="0"/>
      <w:divBdr>
        <w:top w:val="none" w:sz="0" w:space="0" w:color="auto"/>
        <w:left w:val="none" w:sz="0" w:space="0" w:color="auto"/>
        <w:bottom w:val="none" w:sz="0" w:space="0" w:color="auto"/>
        <w:right w:val="none" w:sz="0" w:space="0" w:color="auto"/>
      </w:divBdr>
      <w:divsChild>
        <w:div w:id="2026203221">
          <w:marLeft w:val="0"/>
          <w:marRight w:val="0"/>
          <w:marTop w:val="0"/>
          <w:marBottom w:val="0"/>
          <w:divBdr>
            <w:top w:val="none" w:sz="0" w:space="0" w:color="auto"/>
            <w:left w:val="none" w:sz="0" w:space="0" w:color="auto"/>
            <w:bottom w:val="none" w:sz="0" w:space="0" w:color="auto"/>
            <w:right w:val="none" w:sz="0" w:space="0" w:color="auto"/>
          </w:divBdr>
        </w:div>
      </w:divsChild>
    </w:div>
    <w:div w:id="626205643">
      <w:bodyDiv w:val="1"/>
      <w:marLeft w:val="0"/>
      <w:marRight w:val="0"/>
      <w:marTop w:val="0"/>
      <w:marBottom w:val="0"/>
      <w:divBdr>
        <w:top w:val="none" w:sz="0" w:space="0" w:color="auto"/>
        <w:left w:val="none" w:sz="0" w:space="0" w:color="auto"/>
        <w:bottom w:val="none" w:sz="0" w:space="0" w:color="auto"/>
        <w:right w:val="none" w:sz="0" w:space="0" w:color="auto"/>
      </w:divBdr>
    </w:div>
    <w:div w:id="643243110">
      <w:bodyDiv w:val="1"/>
      <w:marLeft w:val="0"/>
      <w:marRight w:val="0"/>
      <w:marTop w:val="0"/>
      <w:marBottom w:val="0"/>
      <w:divBdr>
        <w:top w:val="none" w:sz="0" w:space="0" w:color="auto"/>
        <w:left w:val="none" w:sz="0" w:space="0" w:color="auto"/>
        <w:bottom w:val="none" w:sz="0" w:space="0" w:color="auto"/>
        <w:right w:val="none" w:sz="0" w:space="0" w:color="auto"/>
      </w:divBdr>
    </w:div>
    <w:div w:id="647051829">
      <w:bodyDiv w:val="1"/>
      <w:marLeft w:val="0"/>
      <w:marRight w:val="0"/>
      <w:marTop w:val="0"/>
      <w:marBottom w:val="0"/>
      <w:divBdr>
        <w:top w:val="none" w:sz="0" w:space="0" w:color="auto"/>
        <w:left w:val="none" w:sz="0" w:space="0" w:color="auto"/>
        <w:bottom w:val="none" w:sz="0" w:space="0" w:color="auto"/>
        <w:right w:val="none" w:sz="0" w:space="0" w:color="auto"/>
      </w:divBdr>
      <w:divsChild>
        <w:div w:id="689071001">
          <w:marLeft w:val="0"/>
          <w:marRight w:val="0"/>
          <w:marTop w:val="0"/>
          <w:marBottom w:val="0"/>
          <w:divBdr>
            <w:top w:val="none" w:sz="0" w:space="0" w:color="auto"/>
            <w:left w:val="none" w:sz="0" w:space="0" w:color="auto"/>
            <w:bottom w:val="none" w:sz="0" w:space="0" w:color="auto"/>
            <w:right w:val="none" w:sz="0" w:space="0" w:color="auto"/>
          </w:divBdr>
          <w:divsChild>
            <w:div w:id="1099255861">
              <w:marLeft w:val="0"/>
              <w:marRight w:val="0"/>
              <w:marTop w:val="0"/>
              <w:marBottom w:val="0"/>
              <w:divBdr>
                <w:top w:val="none" w:sz="0" w:space="0" w:color="auto"/>
                <w:left w:val="none" w:sz="0" w:space="0" w:color="auto"/>
                <w:bottom w:val="none" w:sz="0" w:space="0" w:color="auto"/>
                <w:right w:val="none" w:sz="0" w:space="0" w:color="auto"/>
              </w:divBdr>
              <w:divsChild>
                <w:div w:id="1660109960">
                  <w:marLeft w:val="0"/>
                  <w:marRight w:val="0"/>
                  <w:marTop w:val="0"/>
                  <w:marBottom w:val="0"/>
                  <w:divBdr>
                    <w:top w:val="none" w:sz="0" w:space="0" w:color="auto"/>
                    <w:left w:val="none" w:sz="0" w:space="0" w:color="auto"/>
                    <w:bottom w:val="none" w:sz="0" w:space="0" w:color="auto"/>
                    <w:right w:val="none" w:sz="0" w:space="0" w:color="auto"/>
                  </w:divBdr>
                  <w:divsChild>
                    <w:div w:id="199815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9436">
          <w:marLeft w:val="0"/>
          <w:marRight w:val="0"/>
          <w:marTop w:val="0"/>
          <w:marBottom w:val="0"/>
          <w:divBdr>
            <w:top w:val="none" w:sz="0" w:space="0" w:color="auto"/>
            <w:left w:val="none" w:sz="0" w:space="0" w:color="auto"/>
            <w:bottom w:val="none" w:sz="0" w:space="0" w:color="auto"/>
            <w:right w:val="none" w:sz="0" w:space="0" w:color="auto"/>
          </w:divBdr>
          <w:divsChild>
            <w:div w:id="22245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02675">
      <w:bodyDiv w:val="1"/>
      <w:marLeft w:val="0"/>
      <w:marRight w:val="0"/>
      <w:marTop w:val="0"/>
      <w:marBottom w:val="0"/>
      <w:divBdr>
        <w:top w:val="none" w:sz="0" w:space="0" w:color="auto"/>
        <w:left w:val="none" w:sz="0" w:space="0" w:color="auto"/>
        <w:bottom w:val="none" w:sz="0" w:space="0" w:color="auto"/>
        <w:right w:val="none" w:sz="0" w:space="0" w:color="auto"/>
      </w:divBdr>
    </w:div>
    <w:div w:id="670719944">
      <w:bodyDiv w:val="1"/>
      <w:marLeft w:val="0"/>
      <w:marRight w:val="0"/>
      <w:marTop w:val="0"/>
      <w:marBottom w:val="0"/>
      <w:divBdr>
        <w:top w:val="none" w:sz="0" w:space="0" w:color="auto"/>
        <w:left w:val="none" w:sz="0" w:space="0" w:color="auto"/>
        <w:bottom w:val="none" w:sz="0" w:space="0" w:color="auto"/>
        <w:right w:val="none" w:sz="0" w:space="0" w:color="auto"/>
      </w:divBdr>
    </w:div>
    <w:div w:id="716319620">
      <w:bodyDiv w:val="1"/>
      <w:marLeft w:val="0"/>
      <w:marRight w:val="0"/>
      <w:marTop w:val="0"/>
      <w:marBottom w:val="0"/>
      <w:divBdr>
        <w:top w:val="none" w:sz="0" w:space="0" w:color="auto"/>
        <w:left w:val="none" w:sz="0" w:space="0" w:color="auto"/>
        <w:bottom w:val="none" w:sz="0" w:space="0" w:color="auto"/>
        <w:right w:val="none" w:sz="0" w:space="0" w:color="auto"/>
      </w:divBdr>
    </w:div>
    <w:div w:id="739718425">
      <w:bodyDiv w:val="1"/>
      <w:marLeft w:val="0"/>
      <w:marRight w:val="0"/>
      <w:marTop w:val="0"/>
      <w:marBottom w:val="0"/>
      <w:divBdr>
        <w:top w:val="none" w:sz="0" w:space="0" w:color="auto"/>
        <w:left w:val="none" w:sz="0" w:space="0" w:color="auto"/>
        <w:bottom w:val="none" w:sz="0" w:space="0" w:color="auto"/>
        <w:right w:val="none" w:sz="0" w:space="0" w:color="auto"/>
      </w:divBdr>
    </w:div>
    <w:div w:id="755712439">
      <w:bodyDiv w:val="1"/>
      <w:marLeft w:val="0"/>
      <w:marRight w:val="0"/>
      <w:marTop w:val="0"/>
      <w:marBottom w:val="0"/>
      <w:divBdr>
        <w:top w:val="none" w:sz="0" w:space="0" w:color="auto"/>
        <w:left w:val="none" w:sz="0" w:space="0" w:color="auto"/>
        <w:bottom w:val="none" w:sz="0" w:space="0" w:color="auto"/>
        <w:right w:val="none" w:sz="0" w:space="0" w:color="auto"/>
      </w:divBdr>
    </w:div>
    <w:div w:id="775833648">
      <w:bodyDiv w:val="1"/>
      <w:marLeft w:val="0"/>
      <w:marRight w:val="0"/>
      <w:marTop w:val="0"/>
      <w:marBottom w:val="0"/>
      <w:divBdr>
        <w:top w:val="none" w:sz="0" w:space="0" w:color="auto"/>
        <w:left w:val="none" w:sz="0" w:space="0" w:color="auto"/>
        <w:bottom w:val="none" w:sz="0" w:space="0" w:color="auto"/>
        <w:right w:val="none" w:sz="0" w:space="0" w:color="auto"/>
      </w:divBdr>
    </w:div>
    <w:div w:id="821652762">
      <w:bodyDiv w:val="1"/>
      <w:marLeft w:val="0"/>
      <w:marRight w:val="0"/>
      <w:marTop w:val="0"/>
      <w:marBottom w:val="0"/>
      <w:divBdr>
        <w:top w:val="none" w:sz="0" w:space="0" w:color="auto"/>
        <w:left w:val="none" w:sz="0" w:space="0" w:color="auto"/>
        <w:bottom w:val="none" w:sz="0" w:space="0" w:color="auto"/>
        <w:right w:val="none" w:sz="0" w:space="0" w:color="auto"/>
      </w:divBdr>
    </w:div>
    <w:div w:id="831412354">
      <w:bodyDiv w:val="1"/>
      <w:marLeft w:val="0"/>
      <w:marRight w:val="0"/>
      <w:marTop w:val="0"/>
      <w:marBottom w:val="0"/>
      <w:divBdr>
        <w:top w:val="none" w:sz="0" w:space="0" w:color="auto"/>
        <w:left w:val="none" w:sz="0" w:space="0" w:color="auto"/>
        <w:bottom w:val="none" w:sz="0" w:space="0" w:color="auto"/>
        <w:right w:val="none" w:sz="0" w:space="0" w:color="auto"/>
      </w:divBdr>
    </w:div>
    <w:div w:id="843668899">
      <w:bodyDiv w:val="1"/>
      <w:marLeft w:val="0"/>
      <w:marRight w:val="0"/>
      <w:marTop w:val="0"/>
      <w:marBottom w:val="0"/>
      <w:divBdr>
        <w:top w:val="none" w:sz="0" w:space="0" w:color="auto"/>
        <w:left w:val="none" w:sz="0" w:space="0" w:color="auto"/>
        <w:bottom w:val="none" w:sz="0" w:space="0" w:color="auto"/>
        <w:right w:val="none" w:sz="0" w:space="0" w:color="auto"/>
      </w:divBdr>
    </w:div>
    <w:div w:id="865292014">
      <w:bodyDiv w:val="1"/>
      <w:marLeft w:val="0"/>
      <w:marRight w:val="0"/>
      <w:marTop w:val="0"/>
      <w:marBottom w:val="0"/>
      <w:divBdr>
        <w:top w:val="none" w:sz="0" w:space="0" w:color="auto"/>
        <w:left w:val="none" w:sz="0" w:space="0" w:color="auto"/>
        <w:bottom w:val="none" w:sz="0" w:space="0" w:color="auto"/>
        <w:right w:val="none" w:sz="0" w:space="0" w:color="auto"/>
      </w:divBdr>
    </w:div>
    <w:div w:id="883756139">
      <w:bodyDiv w:val="1"/>
      <w:marLeft w:val="0"/>
      <w:marRight w:val="0"/>
      <w:marTop w:val="0"/>
      <w:marBottom w:val="0"/>
      <w:divBdr>
        <w:top w:val="none" w:sz="0" w:space="0" w:color="auto"/>
        <w:left w:val="none" w:sz="0" w:space="0" w:color="auto"/>
        <w:bottom w:val="none" w:sz="0" w:space="0" w:color="auto"/>
        <w:right w:val="none" w:sz="0" w:space="0" w:color="auto"/>
      </w:divBdr>
    </w:div>
    <w:div w:id="912856160">
      <w:bodyDiv w:val="1"/>
      <w:marLeft w:val="0"/>
      <w:marRight w:val="0"/>
      <w:marTop w:val="0"/>
      <w:marBottom w:val="0"/>
      <w:divBdr>
        <w:top w:val="none" w:sz="0" w:space="0" w:color="auto"/>
        <w:left w:val="none" w:sz="0" w:space="0" w:color="auto"/>
        <w:bottom w:val="none" w:sz="0" w:space="0" w:color="auto"/>
        <w:right w:val="none" w:sz="0" w:space="0" w:color="auto"/>
      </w:divBdr>
    </w:div>
    <w:div w:id="934170357">
      <w:bodyDiv w:val="1"/>
      <w:marLeft w:val="0"/>
      <w:marRight w:val="0"/>
      <w:marTop w:val="0"/>
      <w:marBottom w:val="0"/>
      <w:divBdr>
        <w:top w:val="none" w:sz="0" w:space="0" w:color="auto"/>
        <w:left w:val="none" w:sz="0" w:space="0" w:color="auto"/>
        <w:bottom w:val="none" w:sz="0" w:space="0" w:color="auto"/>
        <w:right w:val="none" w:sz="0" w:space="0" w:color="auto"/>
      </w:divBdr>
    </w:div>
    <w:div w:id="934510240">
      <w:bodyDiv w:val="1"/>
      <w:marLeft w:val="0"/>
      <w:marRight w:val="0"/>
      <w:marTop w:val="0"/>
      <w:marBottom w:val="0"/>
      <w:divBdr>
        <w:top w:val="none" w:sz="0" w:space="0" w:color="auto"/>
        <w:left w:val="none" w:sz="0" w:space="0" w:color="auto"/>
        <w:bottom w:val="none" w:sz="0" w:space="0" w:color="auto"/>
        <w:right w:val="none" w:sz="0" w:space="0" w:color="auto"/>
      </w:divBdr>
    </w:div>
    <w:div w:id="1044215171">
      <w:bodyDiv w:val="1"/>
      <w:marLeft w:val="0"/>
      <w:marRight w:val="0"/>
      <w:marTop w:val="0"/>
      <w:marBottom w:val="0"/>
      <w:divBdr>
        <w:top w:val="none" w:sz="0" w:space="0" w:color="auto"/>
        <w:left w:val="none" w:sz="0" w:space="0" w:color="auto"/>
        <w:bottom w:val="none" w:sz="0" w:space="0" w:color="auto"/>
        <w:right w:val="none" w:sz="0" w:space="0" w:color="auto"/>
      </w:divBdr>
    </w:div>
    <w:div w:id="1047147119">
      <w:bodyDiv w:val="1"/>
      <w:marLeft w:val="0"/>
      <w:marRight w:val="0"/>
      <w:marTop w:val="0"/>
      <w:marBottom w:val="0"/>
      <w:divBdr>
        <w:top w:val="none" w:sz="0" w:space="0" w:color="auto"/>
        <w:left w:val="none" w:sz="0" w:space="0" w:color="auto"/>
        <w:bottom w:val="none" w:sz="0" w:space="0" w:color="auto"/>
        <w:right w:val="none" w:sz="0" w:space="0" w:color="auto"/>
      </w:divBdr>
    </w:div>
    <w:div w:id="1102722501">
      <w:bodyDiv w:val="1"/>
      <w:marLeft w:val="0"/>
      <w:marRight w:val="0"/>
      <w:marTop w:val="0"/>
      <w:marBottom w:val="0"/>
      <w:divBdr>
        <w:top w:val="none" w:sz="0" w:space="0" w:color="auto"/>
        <w:left w:val="none" w:sz="0" w:space="0" w:color="auto"/>
        <w:bottom w:val="none" w:sz="0" w:space="0" w:color="auto"/>
        <w:right w:val="none" w:sz="0" w:space="0" w:color="auto"/>
      </w:divBdr>
    </w:div>
    <w:div w:id="1105660109">
      <w:bodyDiv w:val="1"/>
      <w:marLeft w:val="0"/>
      <w:marRight w:val="0"/>
      <w:marTop w:val="0"/>
      <w:marBottom w:val="0"/>
      <w:divBdr>
        <w:top w:val="none" w:sz="0" w:space="0" w:color="auto"/>
        <w:left w:val="none" w:sz="0" w:space="0" w:color="auto"/>
        <w:bottom w:val="none" w:sz="0" w:space="0" w:color="auto"/>
        <w:right w:val="none" w:sz="0" w:space="0" w:color="auto"/>
      </w:divBdr>
    </w:div>
    <w:div w:id="1136678454">
      <w:bodyDiv w:val="1"/>
      <w:marLeft w:val="0"/>
      <w:marRight w:val="0"/>
      <w:marTop w:val="0"/>
      <w:marBottom w:val="0"/>
      <w:divBdr>
        <w:top w:val="none" w:sz="0" w:space="0" w:color="auto"/>
        <w:left w:val="none" w:sz="0" w:space="0" w:color="auto"/>
        <w:bottom w:val="none" w:sz="0" w:space="0" w:color="auto"/>
        <w:right w:val="none" w:sz="0" w:space="0" w:color="auto"/>
      </w:divBdr>
    </w:div>
    <w:div w:id="1200126470">
      <w:bodyDiv w:val="1"/>
      <w:marLeft w:val="0"/>
      <w:marRight w:val="0"/>
      <w:marTop w:val="0"/>
      <w:marBottom w:val="0"/>
      <w:divBdr>
        <w:top w:val="none" w:sz="0" w:space="0" w:color="auto"/>
        <w:left w:val="none" w:sz="0" w:space="0" w:color="auto"/>
        <w:bottom w:val="none" w:sz="0" w:space="0" w:color="auto"/>
        <w:right w:val="none" w:sz="0" w:space="0" w:color="auto"/>
      </w:divBdr>
    </w:div>
    <w:div w:id="1217397597">
      <w:bodyDiv w:val="1"/>
      <w:marLeft w:val="0"/>
      <w:marRight w:val="0"/>
      <w:marTop w:val="0"/>
      <w:marBottom w:val="0"/>
      <w:divBdr>
        <w:top w:val="none" w:sz="0" w:space="0" w:color="auto"/>
        <w:left w:val="none" w:sz="0" w:space="0" w:color="auto"/>
        <w:bottom w:val="none" w:sz="0" w:space="0" w:color="auto"/>
        <w:right w:val="none" w:sz="0" w:space="0" w:color="auto"/>
      </w:divBdr>
    </w:div>
    <w:div w:id="1250164926">
      <w:bodyDiv w:val="1"/>
      <w:marLeft w:val="0"/>
      <w:marRight w:val="0"/>
      <w:marTop w:val="0"/>
      <w:marBottom w:val="0"/>
      <w:divBdr>
        <w:top w:val="none" w:sz="0" w:space="0" w:color="auto"/>
        <w:left w:val="none" w:sz="0" w:space="0" w:color="auto"/>
        <w:bottom w:val="none" w:sz="0" w:space="0" w:color="auto"/>
        <w:right w:val="none" w:sz="0" w:space="0" w:color="auto"/>
      </w:divBdr>
    </w:div>
    <w:div w:id="1262445901">
      <w:bodyDiv w:val="1"/>
      <w:marLeft w:val="0"/>
      <w:marRight w:val="0"/>
      <w:marTop w:val="0"/>
      <w:marBottom w:val="0"/>
      <w:divBdr>
        <w:top w:val="none" w:sz="0" w:space="0" w:color="auto"/>
        <w:left w:val="none" w:sz="0" w:space="0" w:color="auto"/>
        <w:bottom w:val="none" w:sz="0" w:space="0" w:color="auto"/>
        <w:right w:val="none" w:sz="0" w:space="0" w:color="auto"/>
      </w:divBdr>
    </w:div>
    <w:div w:id="1319921058">
      <w:bodyDiv w:val="1"/>
      <w:marLeft w:val="0"/>
      <w:marRight w:val="0"/>
      <w:marTop w:val="0"/>
      <w:marBottom w:val="0"/>
      <w:divBdr>
        <w:top w:val="none" w:sz="0" w:space="0" w:color="auto"/>
        <w:left w:val="none" w:sz="0" w:space="0" w:color="auto"/>
        <w:bottom w:val="none" w:sz="0" w:space="0" w:color="auto"/>
        <w:right w:val="none" w:sz="0" w:space="0" w:color="auto"/>
      </w:divBdr>
    </w:div>
    <w:div w:id="1325622304">
      <w:bodyDiv w:val="1"/>
      <w:marLeft w:val="0"/>
      <w:marRight w:val="0"/>
      <w:marTop w:val="0"/>
      <w:marBottom w:val="0"/>
      <w:divBdr>
        <w:top w:val="none" w:sz="0" w:space="0" w:color="auto"/>
        <w:left w:val="none" w:sz="0" w:space="0" w:color="auto"/>
        <w:bottom w:val="none" w:sz="0" w:space="0" w:color="auto"/>
        <w:right w:val="none" w:sz="0" w:space="0" w:color="auto"/>
      </w:divBdr>
      <w:divsChild>
        <w:div w:id="1171945509">
          <w:marLeft w:val="0"/>
          <w:marRight w:val="0"/>
          <w:marTop w:val="0"/>
          <w:marBottom w:val="0"/>
          <w:divBdr>
            <w:top w:val="none" w:sz="0" w:space="0" w:color="auto"/>
            <w:left w:val="none" w:sz="0" w:space="0" w:color="auto"/>
            <w:bottom w:val="none" w:sz="0" w:space="0" w:color="auto"/>
            <w:right w:val="none" w:sz="0" w:space="0" w:color="auto"/>
          </w:divBdr>
        </w:div>
      </w:divsChild>
    </w:div>
    <w:div w:id="1327594097">
      <w:bodyDiv w:val="1"/>
      <w:marLeft w:val="0"/>
      <w:marRight w:val="0"/>
      <w:marTop w:val="0"/>
      <w:marBottom w:val="0"/>
      <w:divBdr>
        <w:top w:val="none" w:sz="0" w:space="0" w:color="auto"/>
        <w:left w:val="none" w:sz="0" w:space="0" w:color="auto"/>
        <w:bottom w:val="none" w:sz="0" w:space="0" w:color="auto"/>
        <w:right w:val="none" w:sz="0" w:space="0" w:color="auto"/>
      </w:divBdr>
    </w:div>
    <w:div w:id="1330711197">
      <w:bodyDiv w:val="1"/>
      <w:marLeft w:val="0"/>
      <w:marRight w:val="0"/>
      <w:marTop w:val="0"/>
      <w:marBottom w:val="0"/>
      <w:divBdr>
        <w:top w:val="none" w:sz="0" w:space="0" w:color="auto"/>
        <w:left w:val="none" w:sz="0" w:space="0" w:color="auto"/>
        <w:bottom w:val="none" w:sz="0" w:space="0" w:color="auto"/>
        <w:right w:val="none" w:sz="0" w:space="0" w:color="auto"/>
      </w:divBdr>
    </w:div>
    <w:div w:id="1343775084">
      <w:bodyDiv w:val="1"/>
      <w:marLeft w:val="0"/>
      <w:marRight w:val="0"/>
      <w:marTop w:val="0"/>
      <w:marBottom w:val="0"/>
      <w:divBdr>
        <w:top w:val="none" w:sz="0" w:space="0" w:color="auto"/>
        <w:left w:val="none" w:sz="0" w:space="0" w:color="auto"/>
        <w:bottom w:val="none" w:sz="0" w:space="0" w:color="auto"/>
        <w:right w:val="none" w:sz="0" w:space="0" w:color="auto"/>
      </w:divBdr>
    </w:div>
    <w:div w:id="1419792293">
      <w:bodyDiv w:val="1"/>
      <w:marLeft w:val="0"/>
      <w:marRight w:val="0"/>
      <w:marTop w:val="0"/>
      <w:marBottom w:val="0"/>
      <w:divBdr>
        <w:top w:val="none" w:sz="0" w:space="0" w:color="auto"/>
        <w:left w:val="none" w:sz="0" w:space="0" w:color="auto"/>
        <w:bottom w:val="none" w:sz="0" w:space="0" w:color="auto"/>
        <w:right w:val="none" w:sz="0" w:space="0" w:color="auto"/>
      </w:divBdr>
    </w:div>
    <w:div w:id="1430158483">
      <w:bodyDiv w:val="1"/>
      <w:marLeft w:val="0"/>
      <w:marRight w:val="0"/>
      <w:marTop w:val="0"/>
      <w:marBottom w:val="0"/>
      <w:divBdr>
        <w:top w:val="none" w:sz="0" w:space="0" w:color="auto"/>
        <w:left w:val="none" w:sz="0" w:space="0" w:color="auto"/>
        <w:bottom w:val="none" w:sz="0" w:space="0" w:color="auto"/>
        <w:right w:val="none" w:sz="0" w:space="0" w:color="auto"/>
      </w:divBdr>
      <w:divsChild>
        <w:div w:id="1195653063">
          <w:marLeft w:val="0"/>
          <w:marRight w:val="0"/>
          <w:marTop w:val="0"/>
          <w:marBottom w:val="0"/>
          <w:divBdr>
            <w:top w:val="none" w:sz="0" w:space="0" w:color="auto"/>
            <w:left w:val="none" w:sz="0" w:space="0" w:color="auto"/>
            <w:bottom w:val="none" w:sz="0" w:space="0" w:color="auto"/>
            <w:right w:val="none" w:sz="0" w:space="0" w:color="auto"/>
          </w:divBdr>
        </w:div>
      </w:divsChild>
    </w:div>
    <w:div w:id="1491287071">
      <w:bodyDiv w:val="1"/>
      <w:marLeft w:val="0"/>
      <w:marRight w:val="0"/>
      <w:marTop w:val="0"/>
      <w:marBottom w:val="0"/>
      <w:divBdr>
        <w:top w:val="none" w:sz="0" w:space="0" w:color="auto"/>
        <w:left w:val="none" w:sz="0" w:space="0" w:color="auto"/>
        <w:bottom w:val="none" w:sz="0" w:space="0" w:color="auto"/>
        <w:right w:val="none" w:sz="0" w:space="0" w:color="auto"/>
      </w:divBdr>
    </w:div>
    <w:div w:id="1507086768">
      <w:bodyDiv w:val="1"/>
      <w:marLeft w:val="0"/>
      <w:marRight w:val="0"/>
      <w:marTop w:val="0"/>
      <w:marBottom w:val="0"/>
      <w:divBdr>
        <w:top w:val="none" w:sz="0" w:space="0" w:color="auto"/>
        <w:left w:val="none" w:sz="0" w:space="0" w:color="auto"/>
        <w:bottom w:val="none" w:sz="0" w:space="0" w:color="auto"/>
        <w:right w:val="none" w:sz="0" w:space="0" w:color="auto"/>
      </w:divBdr>
    </w:div>
    <w:div w:id="1507600225">
      <w:bodyDiv w:val="1"/>
      <w:marLeft w:val="0"/>
      <w:marRight w:val="0"/>
      <w:marTop w:val="0"/>
      <w:marBottom w:val="0"/>
      <w:divBdr>
        <w:top w:val="none" w:sz="0" w:space="0" w:color="auto"/>
        <w:left w:val="none" w:sz="0" w:space="0" w:color="auto"/>
        <w:bottom w:val="none" w:sz="0" w:space="0" w:color="auto"/>
        <w:right w:val="none" w:sz="0" w:space="0" w:color="auto"/>
      </w:divBdr>
    </w:div>
    <w:div w:id="1569266670">
      <w:bodyDiv w:val="1"/>
      <w:marLeft w:val="0"/>
      <w:marRight w:val="0"/>
      <w:marTop w:val="0"/>
      <w:marBottom w:val="0"/>
      <w:divBdr>
        <w:top w:val="none" w:sz="0" w:space="0" w:color="auto"/>
        <w:left w:val="none" w:sz="0" w:space="0" w:color="auto"/>
        <w:bottom w:val="none" w:sz="0" w:space="0" w:color="auto"/>
        <w:right w:val="none" w:sz="0" w:space="0" w:color="auto"/>
      </w:divBdr>
    </w:div>
    <w:div w:id="1608662565">
      <w:bodyDiv w:val="1"/>
      <w:marLeft w:val="0"/>
      <w:marRight w:val="0"/>
      <w:marTop w:val="0"/>
      <w:marBottom w:val="0"/>
      <w:divBdr>
        <w:top w:val="none" w:sz="0" w:space="0" w:color="auto"/>
        <w:left w:val="none" w:sz="0" w:space="0" w:color="auto"/>
        <w:bottom w:val="none" w:sz="0" w:space="0" w:color="auto"/>
        <w:right w:val="none" w:sz="0" w:space="0" w:color="auto"/>
      </w:divBdr>
    </w:div>
    <w:div w:id="1657033424">
      <w:bodyDiv w:val="1"/>
      <w:marLeft w:val="0"/>
      <w:marRight w:val="0"/>
      <w:marTop w:val="0"/>
      <w:marBottom w:val="0"/>
      <w:divBdr>
        <w:top w:val="none" w:sz="0" w:space="0" w:color="auto"/>
        <w:left w:val="none" w:sz="0" w:space="0" w:color="auto"/>
        <w:bottom w:val="none" w:sz="0" w:space="0" w:color="auto"/>
        <w:right w:val="none" w:sz="0" w:space="0" w:color="auto"/>
      </w:divBdr>
    </w:div>
    <w:div w:id="1666008616">
      <w:bodyDiv w:val="1"/>
      <w:marLeft w:val="0"/>
      <w:marRight w:val="0"/>
      <w:marTop w:val="0"/>
      <w:marBottom w:val="0"/>
      <w:divBdr>
        <w:top w:val="none" w:sz="0" w:space="0" w:color="auto"/>
        <w:left w:val="none" w:sz="0" w:space="0" w:color="auto"/>
        <w:bottom w:val="none" w:sz="0" w:space="0" w:color="auto"/>
        <w:right w:val="none" w:sz="0" w:space="0" w:color="auto"/>
      </w:divBdr>
    </w:div>
    <w:div w:id="1723210593">
      <w:bodyDiv w:val="1"/>
      <w:marLeft w:val="0"/>
      <w:marRight w:val="0"/>
      <w:marTop w:val="0"/>
      <w:marBottom w:val="0"/>
      <w:divBdr>
        <w:top w:val="none" w:sz="0" w:space="0" w:color="auto"/>
        <w:left w:val="none" w:sz="0" w:space="0" w:color="auto"/>
        <w:bottom w:val="none" w:sz="0" w:space="0" w:color="auto"/>
        <w:right w:val="none" w:sz="0" w:space="0" w:color="auto"/>
      </w:divBdr>
    </w:div>
    <w:div w:id="1728068077">
      <w:bodyDiv w:val="1"/>
      <w:marLeft w:val="0"/>
      <w:marRight w:val="0"/>
      <w:marTop w:val="0"/>
      <w:marBottom w:val="0"/>
      <w:divBdr>
        <w:top w:val="none" w:sz="0" w:space="0" w:color="auto"/>
        <w:left w:val="none" w:sz="0" w:space="0" w:color="auto"/>
        <w:bottom w:val="none" w:sz="0" w:space="0" w:color="auto"/>
        <w:right w:val="none" w:sz="0" w:space="0" w:color="auto"/>
      </w:divBdr>
    </w:div>
    <w:div w:id="1753699882">
      <w:bodyDiv w:val="1"/>
      <w:marLeft w:val="0"/>
      <w:marRight w:val="0"/>
      <w:marTop w:val="0"/>
      <w:marBottom w:val="0"/>
      <w:divBdr>
        <w:top w:val="none" w:sz="0" w:space="0" w:color="auto"/>
        <w:left w:val="none" w:sz="0" w:space="0" w:color="auto"/>
        <w:bottom w:val="none" w:sz="0" w:space="0" w:color="auto"/>
        <w:right w:val="none" w:sz="0" w:space="0" w:color="auto"/>
      </w:divBdr>
      <w:divsChild>
        <w:div w:id="1495949222">
          <w:marLeft w:val="336"/>
          <w:marRight w:val="0"/>
          <w:marTop w:val="120"/>
          <w:marBottom w:val="312"/>
          <w:divBdr>
            <w:top w:val="none" w:sz="0" w:space="0" w:color="auto"/>
            <w:left w:val="none" w:sz="0" w:space="0" w:color="auto"/>
            <w:bottom w:val="none" w:sz="0" w:space="0" w:color="auto"/>
            <w:right w:val="none" w:sz="0" w:space="0" w:color="auto"/>
          </w:divBdr>
          <w:divsChild>
            <w:div w:id="67052607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732191762">
          <w:marLeft w:val="336"/>
          <w:marRight w:val="0"/>
          <w:marTop w:val="120"/>
          <w:marBottom w:val="312"/>
          <w:divBdr>
            <w:top w:val="none" w:sz="0" w:space="0" w:color="auto"/>
            <w:left w:val="none" w:sz="0" w:space="0" w:color="auto"/>
            <w:bottom w:val="none" w:sz="0" w:space="0" w:color="auto"/>
            <w:right w:val="none" w:sz="0" w:space="0" w:color="auto"/>
          </w:divBdr>
          <w:divsChild>
            <w:div w:id="325519548">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757090156">
      <w:bodyDiv w:val="1"/>
      <w:marLeft w:val="0"/>
      <w:marRight w:val="0"/>
      <w:marTop w:val="0"/>
      <w:marBottom w:val="0"/>
      <w:divBdr>
        <w:top w:val="none" w:sz="0" w:space="0" w:color="auto"/>
        <w:left w:val="none" w:sz="0" w:space="0" w:color="auto"/>
        <w:bottom w:val="none" w:sz="0" w:space="0" w:color="auto"/>
        <w:right w:val="none" w:sz="0" w:space="0" w:color="auto"/>
      </w:divBdr>
    </w:div>
    <w:div w:id="1784767241">
      <w:bodyDiv w:val="1"/>
      <w:marLeft w:val="0"/>
      <w:marRight w:val="0"/>
      <w:marTop w:val="0"/>
      <w:marBottom w:val="0"/>
      <w:divBdr>
        <w:top w:val="none" w:sz="0" w:space="0" w:color="auto"/>
        <w:left w:val="none" w:sz="0" w:space="0" w:color="auto"/>
        <w:bottom w:val="none" w:sz="0" w:space="0" w:color="auto"/>
        <w:right w:val="none" w:sz="0" w:space="0" w:color="auto"/>
      </w:divBdr>
      <w:divsChild>
        <w:div w:id="855269535">
          <w:marLeft w:val="0"/>
          <w:marRight w:val="0"/>
          <w:marTop w:val="0"/>
          <w:marBottom w:val="0"/>
          <w:divBdr>
            <w:top w:val="none" w:sz="0" w:space="0" w:color="auto"/>
            <w:left w:val="none" w:sz="0" w:space="0" w:color="auto"/>
            <w:bottom w:val="none" w:sz="0" w:space="0" w:color="auto"/>
            <w:right w:val="none" w:sz="0" w:space="0" w:color="auto"/>
          </w:divBdr>
        </w:div>
      </w:divsChild>
    </w:div>
    <w:div w:id="1877541798">
      <w:bodyDiv w:val="1"/>
      <w:marLeft w:val="0"/>
      <w:marRight w:val="0"/>
      <w:marTop w:val="0"/>
      <w:marBottom w:val="0"/>
      <w:divBdr>
        <w:top w:val="none" w:sz="0" w:space="0" w:color="auto"/>
        <w:left w:val="none" w:sz="0" w:space="0" w:color="auto"/>
        <w:bottom w:val="none" w:sz="0" w:space="0" w:color="auto"/>
        <w:right w:val="none" w:sz="0" w:space="0" w:color="auto"/>
      </w:divBdr>
    </w:div>
    <w:div w:id="1885170848">
      <w:bodyDiv w:val="1"/>
      <w:marLeft w:val="0"/>
      <w:marRight w:val="0"/>
      <w:marTop w:val="0"/>
      <w:marBottom w:val="0"/>
      <w:divBdr>
        <w:top w:val="none" w:sz="0" w:space="0" w:color="auto"/>
        <w:left w:val="none" w:sz="0" w:space="0" w:color="auto"/>
        <w:bottom w:val="none" w:sz="0" w:space="0" w:color="auto"/>
        <w:right w:val="none" w:sz="0" w:space="0" w:color="auto"/>
      </w:divBdr>
    </w:div>
    <w:div w:id="1907063322">
      <w:bodyDiv w:val="1"/>
      <w:marLeft w:val="0"/>
      <w:marRight w:val="0"/>
      <w:marTop w:val="0"/>
      <w:marBottom w:val="0"/>
      <w:divBdr>
        <w:top w:val="none" w:sz="0" w:space="0" w:color="auto"/>
        <w:left w:val="none" w:sz="0" w:space="0" w:color="auto"/>
        <w:bottom w:val="none" w:sz="0" w:space="0" w:color="auto"/>
        <w:right w:val="none" w:sz="0" w:space="0" w:color="auto"/>
      </w:divBdr>
    </w:div>
    <w:div w:id="1934699414">
      <w:bodyDiv w:val="1"/>
      <w:marLeft w:val="0"/>
      <w:marRight w:val="0"/>
      <w:marTop w:val="0"/>
      <w:marBottom w:val="0"/>
      <w:divBdr>
        <w:top w:val="none" w:sz="0" w:space="0" w:color="auto"/>
        <w:left w:val="none" w:sz="0" w:space="0" w:color="auto"/>
        <w:bottom w:val="none" w:sz="0" w:space="0" w:color="auto"/>
        <w:right w:val="none" w:sz="0" w:space="0" w:color="auto"/>
      </w:divBdr>
    </w:div>
    <w:div w:id="1940749905">
      <w:bodyDiv w:val="1"/>
      <w:marLeft w:val="0"/>
      <w:marRight w:val="0"/>
      <w:marTop w:val="0"/>
      <w:marBottom w:val="0"/>
      <w:divBdr>
        <w:top w:val="none" w:sz="0" w:space="0" w:color="auto"/>
        <w:left w:val="none" w:sz="0" w:space="0" w:color="auto"/>
        <w:bottom w:val="none" w:sz="0" w:space="0" w:color="auto"/>
        <w:right w:val="none" w:sz="0" w:space="0" w:color="auto"/>
      </w:divBdr>
    </w:div>
    <w:div w:id="1957060253">
      <w:bodyDiv w:val="1"/>
      <w:marLeft w:val="0"/>
      <w:marRight w:val="0"/>
      <w:marTop w:val="0"/>
      <w:marBottom w:val="0"/>
      <w:divBdr>
        <w:top w:val="none" w:sz="0" w:space="0" w:color="auto"/>
        <w:left w:val="none" w:sz="0" w:space="0" w:color="auto"/>
        <w:bottom w:val="none" w:sz="0" w:space="0" w:color="auto"/>
        <w:right w:val="none" w:sz="0" w:space="0" w:color="auto"/>
      </w:divBdr>
      <w:divsChild>
        <w:div w:id="662853923">
          <w:marLeft w:val="0"/>
          <w:marRight w:val="0"/>
          <w:marTop w:val="0"/>
          <w:marBottom w:val="0"/>
          <w:divBdr>
            <w:top w:val="none" w:sz="0" w:space="0" w:color="auto"/>
            <w:left w:val="none" w:sz="0" w:space="0" w:color="auto"/>
            <w:bottom w:val="none" w:sz="0" w:space="0" w:color="auto"/>
            <w:right w:val="none" w:sz="0" w:space="0" w:color="auto"/>
          </w:divBdr>
        </w:div>
        <w:div w:id="843858815">
          <w:marLeft w:val="0"/>
          <w:marRight w:val="0"/>
          <w:marTop w:val="0"/>
          <w:marBottom w:val="0"/>
          <w:divBdr>
            <w:top w:val="none" w:sz="0" w:space="0" w:color="auto"/>
            <w:left w:val="none" w:sz="0" w:space="0" w:color="auto"/>
            <w:bottom w:val="none" w:sz="0" w:space="0" w:color="auto"/>
            <w:right w:val="none" w:sz="0" w:space="0" w:color="auto"/>
          </w:divBdr>
        </w:div>
      </w:divsChild>
    </w:div>
    <w:div w:id="1996911237">
      <w:bodyDiv w:val="1"/>
      <w:marLeft w:val="0"/>
      <w:marRight w:val="0"/>
      <w:marTop w:val="0"/>
      <w:marBottom w:val="0"/>
      <w:divBdr>
        <w:top w:val="none" w:sz="0" w:space="0" w:color="auto"/>
        <w:left w:val="none" w:sz="0" w:space="0" w:color="auto"/>
        <w:bottom w:val="none" w:sz="0" w:space="0" w:color="auto"/>
        <w:right w:val="none" w:sz="0" w:space="0" w:color="auto"/>
      </w:divBdr>
    </w:div>
    <w:div w:id="2049525174">
      <w:bodyDiv w:val="1"/>
      <w:marLeft w:val="0"/>
      <w:marRight w:val="0"/>
      <w:marTop w:val="0"/>
      <w:marBottom w:val="0"/>
      <w:divBdr>
        <w:top w:val="none" w:sz="0" w:space="0" w:color="auto"/>
        <w:left w:val="none" w:sz="0" w:space="0" w:color="auto"/>
        <w:bottom w:val="none" w:sz="0" w:space="0" w:color="auto"/>
        <w:right w:val="none" w:sz="0" w:space="0" w:color="auto"/>
      </w:divBdr>
    </w:div>
    <w:div w:id="2054839838">
      <w:bodyDiv w:val="1"/>
      <w:marLeft w:val="0"/>
      <w:marRight w:val="0"/>
      <w:marTop w:val="0"/>
      <w:marBottom w:val="0"/>
      <w:divBdr>
        <w:top w:val="none" w:sz="0" w:space="0" w:color="auto"/>
        <w:left w:val="none" w:sz="0" w:space="0" w:color="auto"/>
        <w:bottom w:val="none" w:sz="0" w:space="0" w:color="auto"/>
        <w:right w:val="none" w:sz="0" w:space="0" w:color="auto"/>
      </w:divBdr>
    </w:div>
    <w:div w:id="2060398286">
      <w:bodyDiv w:val="1"/>
      <w:marLeft w:val="0"/>
      <w:marRight w:val="0"/>
      <w:marTop w:val="0"/>
      <w:marBottom w:val="0"/>
      <w:divBdr>
        <w:top w:val="none" w:sz="0" w:space="0" w:color="auto"/>
        <w:left w:val="none" w:sz="0" w:space="0" w:color="auto"/>
        <w:bottom w:val="none" w:sz="0" w:space="0" w:color="auto"/>
        <w:right w:val="none" w:sz="0" w:space="0" w:color="auto"/>
      </w:divBdr>
    </w:div>
    <w:div w:id="2064327374">
      <w:bodyDiv w:val="1"/>
      <w:marLeft w:val="0"/>
      <w:marRight w:val="0"/>
      <w:marTop w:val="0"/>
      <w:marBottom w:val="0"/>
      <w:divBdr>
        <w:top w:val="none" w:sz="0" w:space="0" w:color="auto"/>
        <w:left w:val="none" w:sz="0" w:space="0" w:color="auto"/>
        <w:bottom w:val="none" w:sz="0" w:space="0" w:color="auto"/>
        <w:right w:val="none" w:sz="0" w:space="0" w:color="auto"/>
      </w:divBdr>
    </w:div>
    <w:div w:id="2076321655">
      <w:bodyDiv w:val="1"/>
      <w:marLeft w:val="0"/>
      <w:marRight w:val="0"/>
      <w:marTop w:val="0"/>
      <w:marBottom w:val="0"/>
      <w:divBdr>
        <w:top w:val="none" w:sz="0" w:space="0" w:color="auto"/>
        <w:left w:val="none" w:sz="0" w:space="0" w:color="auto"/>
        <w:bottom w:val="none" w:sz="0" w:space="0" w:color="auto"/>
        <w:right w:val="none" w:sz="0" w:space="0" w:color="auto"/>
      </w:divBdr>
    </w:div>
    <w:div w:id="2103716158">
      <w:bodyDiv w:val="1"/>
      <w:marLeft w:val="0"/>
      <w:marRight w:val="0"/>
      <w:marTop w:val="0"/>
      <w:marBottom w:val="0"/>
      <w:divBdr>
        <w:top w:val="none" w:sz="0" w:space="0" w:color="auto"/>
        <w:left w:val="none" w:sz="0" w:space="0" w:color="auto"/>
        <w:bottom w:val="none" w:sz="0" w:space="0" w:color="auto"/>
        <w:right w:val="none" w:sz="0" w:space="0" w:color="auto"/>
      </w:divBdr>
    </w:div>
    <w:div w:id="2118868623">
      <w:bodyDiv w:val="1"/>
      <w:marLeft w:val="0"/>
      <w:marRight w:val="0"/>
      <w:marTop w:val="0"/>
      <w:marBottom w:val="0"/>
      <w:divBdr>
        <w:top w:val="none" w:sz="0" w:space="0" w:color="auto"/>
        <w:left w:val="none" w:sz="0" w:space="0" w:color="auto"/>
        <w:bottom w:val="none" w:sz="0" w:space="0" w:color="auto"/>
        <w:right w:val="none" w:sz="0" w:space="0" w:color="auto"/>
      </w:divBdr>
    </w:div>
    <w:div w:id="212854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gif"/><Relationship Id="rId39" Type="http://schemas.openxmlformats.org/officeDocument/2006/relationships/hyperlink" Target="https://scholar.google.com/scholar?hl=ar&amp;as_sdt=0%2C5&amp;q=Epstein%2C+J.+I.+%282010%29.+An+update+of+the+Gleason+grading+system.+The+Journal+of+urology%2C+183%282%29%2C+433-440.%E2%80%8F&amp;btn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s://scholar.google.com/scholar?hl=ar&amp;as_sdt=0%2C5&amp;q=Burris+III%2C+H.+A.+%282004%29.+Dual+Kinase+Inhibition+in+the+Treatment+of+Breast+Cancer%3A+Initial+Experience+with+the+EGFR%2FErbB%E2%80%902+Inhibitor+Lapatinib.+The+Oncologist%2C+9%2C+10-15.%E2%80%8F&amp;btn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gif"/><Relationship Id="rId32" Type="http://schemas.openxmlformats.org/officeDocument/2006/relationships/image" Target="media/image20.png"/><Relationship Id="rId37" Type="http://schemas.openxmlformats.org/officeDocument/2006/relationships/hyperlink" Target="https://ir.lib.uwo.ca/cgi/viewcontent.cgi?article=7467&amp;context=etd" TargetMode="Externa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http://www.karatekin.edu.tr/dosyalar/odul.jpg" TargetMode="External"/><Relationship Id="rId19" Type="http://schemas.openxmlformats.org/officeDocument/2006/relationships/image" Target="media/image8.jpe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png"/><Relationship Id="rId30" Type="http://schemas.microsoft.com/office/2007/relationships/hdphoto" Target="NULL"/><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865B80-F3DE-4808-BCAC-60062B6BA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85</Pages>
  <Words>20159</Words>
  <Characters>114912</Characters>
  <Application>Microsoft Office Word</Application>
  <DocSecurity>0</DocSecurity>
  <Lines>957</Lines>
  <Paragraphs>269</Paragraphs>
  <ScaleCrop>false</ScaleCrop>
  <HeadingPairs>
    <vt:vector size="10" baseType="variant">
      <vt:variant>
        <vt:lpstr>Title</vt:lpstr>
      </vt:variant>
      <vt:variant>
        <vt:i4>1</vt:i4>
      </vt:variant>
      <vt:variant>
        <vt:lpstr>Headings</vt:lpstr>
      </vt:variant>
      <vt:variant>
        <vt:i4>72</vt:i4>
      </vt:variant>
      <vt:variant>
        <vt:lpstr>العنوان</vt:lpstr>
      </vt:variant>
      <vt:variant>
        <vt:i4>1</vt:i4>
      </vt:variant>
      <vt:variant>
        <vt:lpstr>Konu Başlığı</vt:lpstr>
      </vt:variant>
      <vt:variant>
        <vt:i4>1</vt:i4>
      </vt:variant>
      <vt:variant>
        <vt:lpstr>Başlıklar</vt:lpstr>
      </vt:variant>
      <vt:variant>
        <vt:i4>100</vt:i4>
      </vt:variant>
    </vt:vector>
  </HeadingPairs>
  <TitlesOfParts>
    <vt:vector size="175" baseType="lpstr">
      <vt:lpstr/>
      <vt:lpstr>    ÇANKIRI KARATEKİN UNIVERSITY</vt:lpstr>
      <vt:lpstr>Director of the Institute</vt:lpstr>
      <vt:lpstr/>
      <vt:lpstr/>
      <vt:lpstr>ÖZET</vt:lpstr>
      <vt:lpstr/>
      <vt:lpstr>ABSTRACT</vt:lpstr>
      <vt:lpstr/>
      <vt:lpstr/>
      <vt:lpstr>PREFACE AND ACKNOWLEDGEMENTS</vt:lpstr>
      <vt:lpstr>Çankırı-2021</vt:lpstr>
      <vt:lpstr/>
      <vt:lpstr>SIMGELER DIZINI</vt:lpstr>
      <vt:lpstr/>
      <vt:lpstr>TABLE OF CONTENTS                                                               </vt:lpstr>
      <vt:lpstr/>
      <vt:lpstr/>
      <vt:lpstr/>
      <vt:lpstr/>
      <vt:lpstr>LIST OF FIGURES                                                                 </vt:lpstr>
      <vt:lpstr/>
      <vt:lpstr>Figure 2.1. An immunohistochemical examination of paraffin-embedded tissue parts</vt:lpstr>
      <vt:lpstr>Figure 4.1.The relation between Control group and patient group with Mean of age</vt:lpstr>
      <vt:lpstr/>
      <vt:lpstr>LIST OF TABLE                                                                  </vt:lpstr>
      <vt:lpstr>INTRODUCTION</vt:lpstr>
      <vt:lpstr/>
      <vt:lpstr>LITRATURE REVIEW</vt:lpstr>
      <vt:lpstr/>
      <vt:lpstr>    Prostate Cancer</vt:lpstr>
      <vt:lpstr>        Introduction to Prostate Cancer Gland</vt:lpstr>
      <vt:lpstr>        Prostate Anatomy</vt:lpstr>
      <vt:lpstr>        Prostate Cancer Rates</vt:lpstr>
      <vt:lpstr>        Grading Prostate cancer Aggression</vt:lpstr>
      <vt:lpstr>        Prostate Cancer Diagnosis</vt:lpstr>
      <vt:lpstr>        Prostate Cancer Treatment and Overtreatment</vt:lpstr>
      <vt:lpstr>    Hepcidin</vt:lpstr>
      <vt:lpstr>        Discover and Role</vt:lpstr>
      <vt:lpstr>        Hepcidin Function</vt:lpstr>
      <vt:lpstr>        Hepcidin Kinetics</vt:lpstr>
      <vt:lpstr>        Hepcidin, Iron and inflammation</vt:lpstr>
      <vt:lpstr>        Hepcidin and peripheral blood leukocytes</vt:lpstr>
      <vt:lpstr>        Regulation of Hepcidin</vt:lpstr>
      <vt:lpstr>        Therapeutic aspects of Hepcidin</vt:lpstr>
      <vt:lpstr>        Growth differentiation factor-15 (GDF15)</vt:lpstr>
      <vt:lpstr>    Hormone</vt:lpstr>
      <vt:lpstr>        FSH</vt:lpstr>
      <vt:lpstr>MATERIAL AND METHOD</vt:lpstr>
      <vt:lpstr/>
      <vt:lpstr>Material</vt:lpstr>
      <vt:lpstr/>
      <vt:lpstr>        BioTek Elisa ELx800 (S.N0 257381)</vt:lpstr>
      <vt:lpstr>        Roche Cobas c 311 Automated Chemistry Analyzer (REF 04826876001)</vt:lpstr>
      <vt:lpstr>        Automatic Micropipette (Diamond)</vt:lpstr>
      <vt:lpstr>        Centrifuge C- 12000 (6M 1810968)</vt:lpstr>
      <vt:lpstr>        Memmert water bath (WNE 22) (L513.0977)</vt:lpstr>
      <vt:lpstr>        Additional material</vt:lpstr>
      <vt:lpstr>    Kits </vt:lpstr>
      <vt:lpstr>        Prostate Specific Antigen – PSA (REF 52030)</vt:lpstr>
      <vt:lpstr>        Human GDF15 (Growth Differentiation Factor 15) H0150F038</vt:lpstr>
      <vt:lpstr>        CRP (0004956842190c501V11.0)</vt:lpstr>
      <vt:lpstr>        Hepcidin (MBS2881688)</vt:lpstr>
      <vt:lpstr>        FSH (425-300)</vt:lpstr>
      <vt:lpstr>RESULTS AND DİSCUSSİON</vt:lpstr>
      <vt:lpstr/>
      <vt:lpstr>Prostate cancer Analysis</vt:lpstr>
      <vt:lpstr/>
      <vt:lpstr>    Hormons Results</vt:lpstr>
      <vt:lpstr>        FSH</vt:lpstr>
      <vt:lpstr>        GDF15</vt:lpstr>
      <vt:lpstr>CONCLUSIONS</vt:lpstr>
      <vt:lpstr/>
      <vt:lpstr/>
      <vt:lpstr/>
      <vt:lpstr/>
      <vt:lpstr>ABSTRACT</vt:lpstr>
      <vt:lpstr>Supervisor: Prof. Dr. İskender AKKURT</vt:lpstr>
      <vt:lpstr/>
      <vt:lpstr/>
      <vt:lpstr>ÖZET</vt:lpstr>
      <vt:lpstr>Danışman: Prof. Dr. İskender AKKURT</vt:lpstr>
      <vt:lpstr/>
      <vt:lpstr/>
      <vt:lpstr>ACKNOWLEDGEMENTS</vt:lpstr>
      <vt:lpstr>1.     INTRODUCTION</vt:lpstr>
      <vt:lpstr/>
      <vt:lpstr/>
      <vt:lpstr>    Radiation defined as the emitted energy that comes from a source and travels thr</vt:lpstr>
      <vt:lpstr>    The Radiation and Radioactive Decays</vt:lpstr>
      <vt:lpstr>        Alpha ()-Decay</vt:lpstr>
      <vt:lpstr/>
      <vt:lpstr>        Beta ()-Decay</vt:lpstr>
      <vt:lpstr>        Gamma ()-Decay</vt:lpstr>
      <vt:lpstr>        Neutron (n)</vt:lpstr>
      <vt:lpstr>    The Ionizing Radiation </vt:lpstr>
      <vt:lpstr>    The Non-Ionizing Radiation </vt:lpstr>
      <vt:lpstr>    The Sources of Radiation</vt:lpstr>
      <vt:lpstr>        1.4.1.     The Natural Radiation</vt:lpstr>
      <vt:lpstr>        1.4.2.     Man-Made Radiation</vt:lpstr>
      <vt:lpstr>    </vt:lpstr>
      <vt:lpstr>    1.5.     The Radiation Protection</vt:lpstr>
      <vt:lpstr>        </vt:lpstr>
      <vt:lpstr>        1.5.1    Time</vt:lpstr>
      <vt:lpstr>        1.5.2    Distance</vt:lpstr>
      <vt:lpstr>        1.5.3     Shielding</vt:lpstr>
      <vt:lpstr>THE LITERATURE BACKGROUND</vt:lpstr>
      <vt:lpstr>Akkurt and his team.(2004), obtained the linear attenuation coefficients and tot</vt:lpstr>
      <vt:lpstr>Akkurt and other.(2009), have measured the linear attenuation coefficients of tw</vt:lpstr>
      <vt:lpstr>Akkurt and his team (2010), have done a work on some concrete produced with bari</vt:lpstr>
      <vt:lpstr>Akkurt and in his team.(2013a), have investigated radiation shielding properties</vt:lpstr>
      <vt:lpstr>Akkurt and his team.(2013b) have obtained the gamma and neutron shielding prope</vt:lpstr>
      <vt:lpstr>Akkurt and his team. (2013c), have obtained gamma ray attenuation coefficients o</vt:lpstr>
      <vt:lpstr/>
      <vt:lpstr>Abdelghany and his team. (2013), obtained glasses from the binary strontium bora</vt:lpstr>
      <vt:lpstr/>
      <vt:lpstr>Barta and his team. (2012), researched utilizes two different commercially avail</vt:lpstr>
      <vt:lpstr/>
      <vt:lpstr>Dong Yu and his team. (2012), verified the influence of the functional elements </vt:lpstr>
      <vt:lpstr>Mavi and her team. (2010),  obtained the radiation shielding properties of glass</vt:lpstr>
      <vt:lpstr>Todica and others (2012), obtained  the modifications of the PVA-TiO2 membranes </vt:lpstr>
      <vt:lpstr>Kim and other.(2011), studied to investigate the electromagnetic interference (E</vt:lpstr>
      <vt:lpstr>Mann and other.(2014), investigated gamma-rays interaction parameters with six p</vt:lpstr>
      <vt:lpstr>MATERIALS AND METHODS USED</vt:lpstr>
      <vt:lpstr/>
      <vt:lpstr>    Materials</vt:lpstr>
      <vt:lpstr>        3.1.1.    Polymer‎</vt:lpstr>
      <vt:lpstr>        The Epoxy</vt:lpstr>
      <vt:lpstr>        3.1.3.       The Barite</vt:lpstr>
      <vt:lpstr>        3.1.4.      Preparation of Samples</vt:lpstr>
      <vt:lpstr>    3.2.     Methods</vt:lpstr>
      <vt:lpstr>3.2.1.    Gama Spectrometer System</vt:lpstr>
      <vt:lpstr>3.2.2.     NaI(TI) Detectors</vt:lpstr>
      <vt:lpstr>3.2.4.     Energy Calibration</vt:lpstr>
      <vt:lpstr>3.2.5.     Detection Efficiency Calibration</vt:lpstr>
      <vt:lpstr>3.3.     The Linear attenuation Coefficients Measurement</vt:lpstr>
      <vt:lpstr>Figure 3.15. Intensity of gamma rays with and without materials for 60Co and 137</vt:lpstr>
      <vt:lpstr>sources . </vt:lpstr>
      <vt:lpstr/>
      <vt:lpstr>RESULTS AND DISCUSSION</vt:lpstr>
      <vt:lpstr/>
      <vt:lpstr>    4.1.     Gamma Attenuation Coefficients Measurement</vt:lpstr>
      <vt:lpstr/>
      <vt:lpstr>Abdelghany A,M., Elbatal H.A. 2013.  Effect Of TiO2 Doping And Gamma Ray</vt:lpstr>
      <vt:lpstr>Irradiation on the Properties Of SrO-B2O3 Glasses. J Non-Cryst Solids, Journal o</vt:lpstr>
      <vt:lpstr>Akkurt I., Kılınçarslan Ş, Basyigit C.,  2004. The Photon Attenuation Coefficien</vt:lpstr>
      <vt:lpstr>Of Barite, Marble And limra, T.C. Süleyman Demirel Üniversitesi, Amitabat, Ispar</vt:lpstr>
      <vt:lpstr>Akkurt I.,  Basyigit C,  Kılıncarslan  Ş ,  Mavi B., 2005 .The Shielding Of γ-Ra</vt:lpstr>
      <vt:lpstr>Concretes Produced With Barite, Progress In Nuclear Energy 46(1),1-11, doi: 10.1</vt:lpstr>
      <vt:lpstr>Akkurt I .,   Kılıncarslan Ş., Basyigit C., Mavi B.,  Akyıldırım H.,2009.</vt:lpstr>
      <vt:lpstr>Investigation of    photon attenuation coefficient for pumice, Int.J,Phys.Sci 4 </vt:lpstr>
      <vt:lpstr>Akkurt I ., Akyildirim H . , Mavi B., Kılınçarslan Ş .,  Basyigit C ., 2010  .Ph</vt:lpstr>
      <vt:lpstr>Attenuation Coefficients Of Concrete Includes Barite In Different Rate , Annals </vt:lpstr>
      <vt:lpstr/>
      <vt:lpstr/>
      <vt:lpstr>Akkurt  I .; Mavi  B .; Gunoglu K .; Akyldirim H .; Canakcic H.,2013a,Photon</vt:lpstr>
      <vt:lpstr>Attenuation Coefficients Of Iron Doped Clay At 662 keV, Acta Physica Polonica, A</vt:lpstr>
      <vt:lpstr/>
      <vt:lpstr>Akkurt  I ., El-Khayatt A.M.,.; 2013b . The Effect Of Barite Proportion On</vt:lpstr>
      <vt:lpstr>Neutron And Gamma-Ray Shielding, Annals  of Nuclear Energy, Volume 51, January 2</vt:lpstr>
      <vt:lpstr/>
      <vt:lpstr>Akkurt.I ., Günoğlu K,  Çelik A,  Karakas M.S ., 2013c . Determination Of </vt:lpstr>
      <vt:lpstr>Gamma Ray Attenuation Coefficients of AL-4% Cu/B4c Metal Matrix Composites at 66</vt:lpstr>
      <vt:lpstr/>
      <vt:lpstr>Barta M.B.,  Nadler J.H., Kang Z., Wagner B.K., 2010. BaF2:Ce</vt:lpstr>
      <vt:lpstr>Polymer Composite  Gamma-Ray Scintillators Georgia Tech Research Institute 925 D</vt:lpstr>
      <vt:lpstr/>
      <vt:lpstr>Barytes,     Barium         Sulfate          (BaSO4) </vt:lpstr>
      <vt:lpstr>http://www.mineralszone.com/minerals/barytes.html</vt:lpstr>
      <vt:lpstr/>
      <vt:lpstr>Barite http://geology.com/minerals/barite.shtml </vt:lpstr>
      <vt:lpstr/>
      <vt:lpstr>        http://nuclearsafety.gc.ca/eng/resources/radiation/index.cfm</vt:lpstr>
      <vt:lpstr>        </vt:lpstr>
      <vt:lpstr>Dong Yu., Shu-Quan C., Hong-Xu Z., Chao R., 2012.Effects of WO3 Particle </vt:lpstr>
    </vt:vector>
  </TitlesOfParts>
  <Company>Microsoft</Company>
  <LinksUpToDate>false</LinksUpToDate>
  <CharactersWithSpaces>134802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esra</dc:creator>
  <cp:lastModifiedBy>Maher</cp:lastModifiedBy>
  <cp:revision>3</cp:revision>
  <cp:lastPrinted>2021-06-27T14:45:00Z</cp:lastPrinted>
  <dcterms:created xsi:type="dcterms:W3CDTF">2022-08-14T13:44:00Z</dcterms:created>
  <dcterms:modified xsi:type="dcterms:W3CDTF">2022-08-14T13:56:00Z</dcterms:modified>
</cp:coreProperties>
</file>