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3018D7" w14:textId="28D841FC" w:rsidR="00680B72" w:rsidRDefault="00680B72" w:rsidP="00680B72">
      <w:pPr>
        <w:jc w:val="both"/>
        <w:rPr>
          <w:rFonts w:asciiTheme="majorBidi" w:hAnsiTheme="majorBidi" w:cstheme="majorBidi"/>
          <w:b/>
          <w:bCs/>
          <w:sz w:val="28"/>
          <w:szCs w:val="28"/>
        </w:rPr>
      </w:pPr>
      <w:r>
        <w:rPr>
          <w:rFonts w:asciiTheme="majorBidi" w:hAnsiTheme="majorBidi" w:cstheme="majorBidi"/>
          <w:b/>
          <w:bCs/>
          <w:sz w:val="28"/>
          <w:szCs w:val="28"/>
        </w:rPr>
        <w:t>The Study Relation</w:t>
      </w:r>
      <w:r w:rsidR="00567255" w:rsidRPr="009B6112">
        <w:rPr>
          <w:rFonts w:asciiTheme="majorBidi" w:hAnsiTheme="majorBidi" w:cstheme="majorBidi"/>
          <w:b/>
          <w:bCs/>
          <w:sz w:val="28"/>
          <w:szCs w:val="28"/>
        </w:rPr>
        <w:t xml:space="preserve"> </w:t>
      </w:r>
      <w:r>
        <w:rPr>
          <w:rFonts w:asciiTheme="majorBidi" w:hAnsiTheme="majorBidi" w:cstheme="majorBidi"/>
          <w:b/>
          <w:bCs/>
          <w:sz w:val="28"/>
          <w:szCs w:val="28"/>
        </w:rPr>
        <w:t>of</w:t>
      </w:r>
      <w:r w:rsidR="00567255" w:rsidRPr="009B6112">
        <w:rPr>
          <w:rFonts w:asciiTheme="majorBidi" w:hAnsiTheme="majorBidi" w:cstheme="majorBidi"/>
          <w:b/>
          <w:bCs/>
          <w:sz w:val="28"/>
          <w:szCs w:val="28"/>
        </w:rPr>
        <w:t xml:space="preserve"> E</w:t>
      </w:r>
      <w:r>
        <w:rPr>
          <w:rFonts w:asciiTheme="majorBidi" w:hAnsiTheme="majorBidi" w:cstheme="majorBidi"/>
          <w:b/>
          <w:bCs/>
          <w:sz w:val="28"/>
          <w:szCs w:val="28"/>
        </w:rPr>
        <w:t>ndothelin</w:t>
      </w:r>
      <w:r w:rsidR="00567255" w:rsidRPr="009B6112">
        <w:rPr>
          <w:rFonts w:asciiTheme="majorBidi" w:hAnsiTheme="majorBidi" w:cstheme="majorBidi"/>
          <w:b/>
          <w:bCs/>
          <w:sz w:val="28"/>
          <w:szCs w:val="28"/>
        </w:rPr>
        <w:t xml:space="preserve">-1 </w:t>
      </w:r>
      <w:r>
        <w:rPr>
          <w:rFonts w:asciiTheme="majorBidi" w:hAnsiTheme="majorBidi" w:cstheme="majorBidi"/>
          <w:b/>
          <w:bCs/>
          <w:sz w:val="28"/>
          <w:szCs w:val="28"/>
        </w:rPr>
        <w:t>and</w:t>
      </w:r>
      <w:r w:rsidR="00567255" w:rsidRPr="009B6112">
        <w:rPr>
          <w:rFonts w:asciiTheme="majorBidi" w:hAnsiTheme="majorBidi" w:cstheme="majorBidi"/>
          <w:b/>
          <w:bCs/>
          <w:sz w:val="28"/>
          <w:szCs w:val="28"/>
        </w:rPr>
        <w:t xml:space="preserve"> M</w:t>
      </w:r>
      <w:r>
        <w:rPr>
          <w:rFonts w:asciiTheme="majorBidi" w:hAnsiTheme="majorBidi" w:cstheme="majorBidi"/>
          <w:b/>
          <w:bCs/>
          <w:sz w:val="28"/>
          <w:szCs w:val="28"/>
        </w:rPr>
        <w:t>alondialdehyde with Chronic  Kidney Disease</w:t>
      </w:r>
    </w:p>
    <w:p w14:paraId="036021A8" w14:textId="77777777" w:rsidR="00004A52" w:rsidRDefault="00004A52" w:rsidP="00A17699">
      <w:pPr>
        <w:jc w:val="both"/>
        <w:rPr>
          <w:rFonts w:asciiTheme="majorBidi" w:hAnsiTheme="majorBidi" w:cstheme="majorBidi"/>
          <w:b/>
          <w:bCs/>
          <w:sz w:val="28"/>
          <w:szCs w:val="28"/>
        </w:rPr>
      </w:pPr>
    </w:p>
    <w:p w14:paraId="50348FAB" w14:textId="0853F9F6" w:rsidR="00567255" w:rsidRDefault="00567255" w:rsidP="00A17699">
      <w:pPr>
        <w:spacing w:after="120" w:line="480" w:lineRule="auto"/>
        <w:rPr>
          <w:rFonts w:ascii="Times New Roman" w:hAnsi="Times New Roman" w:cs="Times New Roman"/>
          <w:b/>
          <w:i/>
          <w:vertAlign w:val="superscript"/>
        </w:rPr>
      </w:pPr>
      <w:r>
        <w:rPr>
          <w:rFonts w:asciiTheme="majorBidi" w:hAnsiTheme="majorBidi" w:cstheme="majorBidi"/>
          <w:b/>
          <w:bCs/>
          <w:i/>
          <w:iCs/>
        </w:rPr>
        <w:t>Zainab AHMED</w:t>
      </w:r>
      <w:r w:rsidRPr="00F07AEF">
        <w:rPr>
          <w:rFonts w:ascii="Times New Roman" w:hAnsi="Times New Roman" w:cs="Times New Roman"/>
          <w:b/>
          <w:i/>
          <w:vertAlign w:val="superscript"/>
        </w:rPr>
        <w:t>1</w:t>
      </w:r>
      <w:r>
        <w:rPr>
          <w:rFonts w:asciiTheme="majorBidi" w:hAnsiTheme="majorBidi" w:cstheme="majorBidi"/>
          <w:b/>
          <w:bCs/>
          <w:i/>
          <w:iCs/>
        </w:rPr>
        <w:t xml:space="preserve"> </w:t>
      </w:r>
      <w:r w:rsidRPr="009B6112">
        <w:rPr>
          <w:rFonts w:asciiTheme="majorBidi" w:hAnsiTheme="majorBidi" w:cstheme="majorBidi"/>
          <w:b/>
          <w:bCs/>
          <w:i/>
          <w:iCs/>
        </w:rPr>
        <w:t xml:space="preserve">, </w:t>
      </w:r>
      <w:r w:rsidRPr="009B6112">
        <w:rPr>
          <w:rFonts w:asciiTheme="majorBidi" w:hAnsiTheme="majorBidi" w:cstheme="majorBidi"/>
          <w:b/>
          <w:bCs/>
          <w:i/>
          <w:iCs/>
          <w:lang w:bidi="ar-IQ"/>
        </w:rPr>
        <w:t>Şevki ADEM</w:t>
      </w:r>
      <w:r>
        <w:rPr>
          <w:rFonts w:ascii="Times New Roman" w:hAnsi="Times New Roman" w:cs="Times New Roman"/>
          <w:b/>
          <w:i/>
          <w:vertAlign w:val="superscript"/>
        </w:rPr>
        <w:t>2</w:t>
      </w:r>
      <w:r w:rsidRPr="009B6112">
        <w:rPr>
          <w:rFonts w:asciiTheme="majorBidi" w:hAnsiTheme="majorBidi" w:cstheme="majorBidi"/>
          <w:b/>
          <w:bCs/>
          <w:i/>
          <w:iCs/>
          <w:lang w:bidi="ar-IQ"/>
        </w:rPr>
        <w:t>, Abdullah RAOOF</w:t>
      </w:r>
      <w:r>
        <w:rPr>
          <w:rFonts w:ascii="Times New Roman" w:hAnsi="Times New Roman" w:cs="Times New Roman"/>
          <w:b/>
          <w:i/>
          <w:vertAlign w:val="superscript"/>
        </w:rPr>
        <w:t>3</w:t>
      </w:r>
    </w:p>
    <w:p w14:paraId="0B786C37" w14:textId="6DAD70EA" w:rsidR="00567255" w:rsidRPr="002D5A6F" w:rsidRDefault="002D5A6F" w:rsidP="00004A52">
      <w:pPr>
        <w:jc w:val="center"/>
        <w:rPr>
          <w:rFonts w:asciiTheme="majorBidi" w:hAnsiTheme="majorBidi" w:cs="Italic Outline Art"/>
          <w:i/>
          <w:iCs/>
          <w:sz w:val="18"/>
          <w:szCs w:val="18"/>
        </w:rPr>
      </w:pPr>
      <w:r w:rsidRPr="00F07AEF">
        <w:rPr>
          <w:rFonts w:ascii="Times New Roman" w:hAnsi="Times New Roman" w:cs="Times New Roman"/>
          <w:b/>
          <w:i/>
          <w:vertAlign w:val="superscript"/>
        </w:rPr>
        <w:t>1</w:t>
      </w:r>
      <w:r w:rsidR="008D7877" w:rsidRPr="002D5A6F">
        <w:rPr>
          <w:rFonts w:asciiTheme="majorBidi" w:hAnsiTheme="majorBidi" w:cs="Italic Outline Art"/>
          <w:i/>
          <w:iCs/>
          <w:sz w:val="18"/>
          <w:szCs w:val="18"/>
          <w:lang w:bidi="ar-IQ"/>
        </w:rPr>
        <w:t>Scince Inistitution</w:t>
      </w:r>
      <w:r w:rsidR="008D7877" w:rsidRPr="002D5A6F">
        <w:rPr>
          <w:rFonts w:asciiTheme="majorBidi" w:hAnsiTheme="majorBidi" w:cs="Italic Outline Art"/>
          <w:i/>
          <w:iCs/>
          <w:sz w:val="18"/>
          <w:szCs w:val="18"/>
        </w:rPr>
        <w:t xml:space="preserve">, Chemstery Department, Çankırı Karatekin University, </w:t>
      </w:r>
      <w:r w:rsidR="0006688E" w:rsidRPr="002D5A6F">
        <w:rPr>
          <w:rFonts w:asciiTheme="majorBidi" w:hAnsiTheme="majorBidi" w:cs="Italic Outline Art"/>
          <w:i/>
          <w:iCs/>
          <w:sz w:val="18"/>
          <w:szCs w:val="18"/>
        </w:rPr>
        <w:t>Çanıkrı, Turkey</w:t>
      </w:r>
    </w:p>
    <w:p w14:paraId="0718C5BA" w14:textId="7100A340" w:rsidR="008D7877" w:rsidRPr="002D5A6F" w:rsidRDefault="002D5A6F" w:rsidP="00004A52">
      <w:pPr>
        <w:jc w:val="center"/>
        <w:rPr>
          <w:rFonts w:asciiTheme="majorBidi" w:hAnsiTheme="majorBidi" w:cs="Italic Outline Art"/>
          <w:i/>
          <w:iCs/>
          <w:sz w:val="18"/>
          <w:szCs w:val="18"/>
        </w:rPr>
      </w:pPr>
      <w:r>
        <w:rPr>
          <w:rFonts w:ascii="Times New Roman" w:hAnsi="Times New Roman" w:cs="Times New Roman"/>
          <w:b/>
          <w:i/>
          <w:vertAlign w:val="superscript"/>
        </w:rPr>
        <w:t>2</w:t>
      </w:r>
      <w:r w:rsidR="008D7877" w:rsidRPr="002D5A6F">
        <w:rPr>
          <w:rFonts w:asciiTheme="majorBidi" w:hAnsiTheme="majorBidi" w:cs="Italic Outline Art"/>
          <w:i/>
          <w:iCs/>
          <w:sz w:val="18"/>
          <w:szCs w:val="18"/>
          <w:lang w:bidi="ar-IQ"/>
        </w:rPr>
        <w:t>Scince Inistitution</w:t>
      </w:r>
      <w:r w:rsidR="008D7877" w:rsidRPr="002D5A6F">
        <w:rPr>
          <w:rFonts w:asciiTheme="majorBidi" w:hAnsiTheme="majorBidi" w:cs="Italic Outline Art"/>
          <w:i/>
          <w:iCs/>
          <w:sz w:val="18"/>
          <w:szCs w:val="18"/>
        </w:rPr>
        <w:t>, Chemstery Department, Çankırı Karatekin University, Çanıkrı, Turkey</w:t>
      </w:r>
    </w:p>
    <w:p w14:paraId="4C33B4EC" w14:textId="780CA3F6" w:rsidR="008D7877" w:rsidRDefault="002D5A6F" w:rsidP="00004A52">
      <w:pPr>
        <w:spacing w:after="0"/>
        <w:ind w:left="1620"/>
        <w:rPr>
          <w:rFonts w:asciiTheme="majorBidi" w:hAnsiTheme="majorBidi" w:cs="Italic Outline Art"/>
          <w:i/>
          <w:iCs/>
          <w:sz w:val="18"/>
          <w:szCs w:val="18"/>
        </w:rPr>
      </w:pPr>
      <w:r>
        <w:rPr>
          <w:rFonts w:ascii="Times New Roman" w:hAnsi="Times New Roman" w:cs="Times New Roman"/>
          <w:b/>
          <w:i/>
          <w:vertAlign w:val="superscript"/>
        </w:rPr>
        <w:t>3</w:t>
      </w:r>
      <w:r w:rsidR="00004A52">
        <w:rPr>
          <w:rFonts w:asciiTheme="majorBidi" w:hAnsiTheme="majorBidi" w:cs="Italic Outline Art"/>
          <w:i/>
          <w:iCs/>
          <w:sz w:val="18"/>
          <w:szCs w:val="18"/>
        </w:rPr>
        <w:t>Medicine Faculty, Ki</w:t>
      </w:r>
      <w:r w:rsidRPr="002D5A6F">
        <w:rPr>
          <w:rFonts w:asciiTheme="majorBidi" w:hAnsiTheme="majorBidi" w:cs="Italic Outline Art"/>
          <w:i/>
          <w:iCs/>
          <w:sz w:val="18"/>
          <w:szCs w:val="18"/>
        </w:rPr>
        <w:t>rkuk University</w:t>
      </w:r>
    </w:p>
    <w:p w14:paraId="3AB54EFE" w14:textId="77777777" w:rsidR="00A17699" w:rsidRPr="00593186" w:rsidRDefault="00A17699" w:rsidP="00A17699">
      <w:pPr>
        <w:spacing w:after="0"/>
        <w:rPr>
          <w:rFonts w:asciiTheme="majorBidi" w:hAnsiTheme="majorBidi" w:cstheme="majorBidi"/>
          <w:b/>
          <w:bCs/>
          <w:i/>
          <w:iCs/>
          <w:sz w:val="18"/>
          <w:szCs w:val="18"/>
          <w:lang w:bidi="ar-IQ"/>
        </w:rPr>
      </w:pPr>
    </w:p>
    <w:p w14:paraId="25DC2C56" w14:textId="77777777" w:rsidR="00567255" w:rsidRPr="00A17699" w:rsidRDefault="00567255" w:rsidP="00A17699">
      <w:pPr>
        <w:spacing w:after="0"/>
        <w:rPr>
          <w:rFonts w:asciiTheme="majorBidi" w:hAnsiTheme="majorBidi" w:cstheme="majorBidi"/>
          <w:b/>
          <w:bCs/>
          <w:sz w:val="24"/>
          <w:szCs w:val="24"/>
          <w:lang w:bidi="ar-IQ"/>
        </w:rPr>
      </w:pPr>
      <w:r w:rsidRPr="00A17699">
        <w:rPr>
          <w:rFonts w:asciiTheme="majorBidi" w:hAnsiTheme="majorBidi" w:cstheme="majorBidi"/>
          <w:b/>
          <w:bCs/>
          <w:sz w:val="24"/>
          <w:szCs w:val="24"/>
          <w:lang w:bidi="ar-IQ"/>
        </w:rPr>
        <w:t>Abstract</w:t>
      </w:r>
    </w:p>
    <w:p w14:paraId="1771B4CD" w14:textId="77777777" w:rsidR="00785B9C" w:rsidRPr="00785B9C" w:rsidRDefault="00785B9C" w:rsidP="00785B9C">
      <w:pPr>
        <w:spacing w:after="200"/>
        <w:jc w:val="lowKashida"/>
        <w:rPr>
          <w:rFonts w:ascii="Times New Roman" w:hAnsi="Times New Roman" w:cs="Times New Roman"/>
          <w:sz w:val="20"/>
          <w:szCs w:val="20"/>
          <w:lang w:bidi="ar-IQ"/>
        </w:rPr>
      </w:pPr>
      <w:r w:rsidRPr="00785B9C">
        <w:rPr>
          <w:rFonts w:ascii="Times New Roman" w:hAnsi="Times New Roman" w:cs="Times New Roman"/>
          <w:sz w:val="20"/>
          <w:szCs w:val="20"/>
        </w:rPr>
        <w:t>Chronic kidney disease is a worldwide public health problem with an increasing incidence and prevalence</w:t>
      </w:r>
      <w:r w:rsidRPr="00785B9C">
        <w:rPr>
          <w:rFonts w:ascii="Times New Roman" w:hAnsi="Times New Roman" w:cs="Times New Roman"/>
          <w:sz w:val="20"/>
          <w:szCs w:val="20"/>
          <w:lang w:bidi="ar-IQ"/>
        </w:rPr>
        <w:t>. A cross-control study was carried out for estimation of endothelin-1 and MDA and some parameters in patients with chronic renal disease.</w:t>
      </w:r>
      <w:r w:rsidRPr="00785B9C">
        <w:rPr>
          <w:rFonts w:ascii="Times New Roman" w:hAnsi="Times New Roman" w:cs="Times New Roman"/>
          <w:b/>
          <w:bCs/>
          <w:sz w:val="20"/>
          <w:szCs w:val="20"/>
          <w:lang w:bidi="ar-IQ"/>
        </w:rPr>
        <w:t xml:space="preserve"> </w:t>
      </w:r>
      <w:r w:rsidRPr="00785B9C">
        <w:rPr>
          <w:rFonts w:ascii="Times New Roman" w:hAnsi="Times New Roman" w:cs="Times New Roman"/>
          <w:sz w:val="20"/>
          <w:szCs w:val="20"/>
          <w:lang w:bidi="ar-IQ"/>
        </w:rPr>
        <w:t>The number of patients under the study were 40 patients with chronic renal disease (under hemodialysis) their ages were between 20-75 years old. The study included 40 healthy control group who apparently haven’t any disease, with the same demographic properties.</w:t>
      </w:r>
      <w:r w:rsidRPr="00785B9C">
        <w:rPr>
          <w:rFonts w:ascii="Times New Roman" w:hAnsi="Times New Roman" w:cs="Times New Roman"/>
          <w:b/>
          <w:bCs/>
          <w:sz w:val="20"/>
          <w:szCs w:val="20"/>
          <w:lang w:bidi="ar-IQ"/>
        </w:rPr>
        <w:t xml:space="preserve"> </w:t>
      </w:r>
      <w:r w:rsidRPr="00785B9C">
        <w:rPr>
          <w:rFonts w:ascii="Times New Roman" w:hAnsi="Times New Roman" w:cs="Times New Roman"/>
          <w:sz w:val="20"/>
          <w:szCs w:val="20"/>
          <w:lang w:bidi="ar-IQ"/>
        </w:rPr>
        <w:t>The study showed that the highest mean level of endothelin-1</w:t>
      </w:r>
      <w:r w:rsidRPr="00785B9C">
        <w:rPr>
          <w:rFonts w:ascii="Times New Roman" w:hAnsi="Times New Roman" w:cs="Times New Roman"/>
          <w:sz w:val="20"/>
          <w:szCs w:val="20"/>
          <w:rtl/>
          <w:lang w:bidi="ar-IQ"/>
        </w:rPr>
        <w:t xml:space="preserve"> </w:t>
      </w:r>
      <w:r w:rsidRPr="00785B9C">
        <w:rPr>
          <w:rFonts w:ascii="Times New Roman" w:hAnsi="Times New Roman" w:cs="Times New Roman"/>
          <w:sz w:val="20"/>
          <w:szCs w:val="20"/>
          <w:lang w:bidi="ar-IQ"/>
        </w:rPr>
        <w:t>and MDA were found in patients with chronic renal disease as respectively (102.6±15.1 pg/ml) and (12.03±3.94 nmol/ml). The lowest mean of the two markers were in the control group as respectively (39.03±5.94 pg/ml) and (7.56±2.25nmol/ml). The current study showed that the mean age of patients enrolled in the study was 51.7 years, the highest mean of endothelin-1  in HD patients was recorded within the age group &gt;50 year with hypertension (P&lt;0.05). The study showed that the highest means level of   B. urea, S. creatinine and Cystatin were found in patients with chronic renal disease (156.3±22.4 , 7.22±2.91 mg/dl and 12.88±2.16 mg/dl) respectively, and the lowest means of the tests above were noted in the control group with highly significant relation (P. value &lt;0.01). The study showed positive correlation of ET-1 and MDA with B. urea, S. creatinine and cystatin c. The study showed significant positive correlation of MDA with ET-1 in CKD patients (r: 0.57, P&lt;0.01).</w:t>
      </w:r>
    </w:p>
    <w:p w14:paraId="4EE2A9A0" w14:textId="77777777" w:rsidR="00A17699" w:rsidRPr="00115BE1" w:rsidRDefault="00A17699" w:rsidP="00A17699">
      <w:pPr>
        <w:spacing w:after="0"/>
        <w:jc w:val="both"/>
        <w:rPr>
          <w:rFonts w:asciiTheme="majorBidi" w:hAnsiTheme="majorBidi" w:cstheme="majorBidi"/>
          <w:sz w:val="20"/>
          <w:szCs w:val="20"/>
          <w:lang w:bidi="ar-IQ"/>
        </w:rPr>
      </w:pPr>
    </w:p>
    <w:p w14:paraId="5A6E6A60" w14:textId="77777777" w:rsidR="00567255" w:rsidRPr="00004A52" w:rsidRDefault="00567255" w:rsidP="00567255">
      <w:pPr>
        <w:jc w:val="both"/>
        <w:rPr>
          <w:rFonts w:asciiTheme="majorBidi" w:hAnsiTheme="majorBidi" w:cstheme="majorBidi"/>
          <w:i/>
          <w:iCs/>
          <w:sz w:val="20"/>
          <w:szCs w:val="20"/>
          <w:lang w:bidi="ar-IQ"/>
        </w:rPr>
      </w:pPr>
      <w:r w:rsidRPr="00004A52">
        <w:rPr>
          <w:rFonts w:asciiTheme="majorBidi" w:hAnsiTheme="majorBidi" w:cstheme="majorBidi"/>
          <w:b/>
          <w:bCs/>
          <w:i/>
          <w:iCs/>
          <w:sz w:val="20"/>
          <w:szCs w:val="20"/>
          <w:lang w:bidi="ar-IQ"/>
        </w:rPr>
        <w:t>Keywords:</w:t>
      </w:r>
      <w:r w:rsidRPr="00004A52">
        <w:rPr>
          <w:rFonts w:asciiTheme="majorBidi" w:hAnsiTheme="majorBidi" w:cstheme="majorBidi"/>
          <w:i/>
          <w:iCs/>
          <w:sz w:val="20"/>
          <w:szCs w:val="20"/>
          <w:lang w:bidi="ar-IQ"/>
        </w:rPr>
        <w:t xml:space="preserve"> Endothelin_1, Malondialdehyde, Chronic kidney disease </w:t>
      </w:r>
    </w:p>
    <w:p w14:paraId="4A1C2029" w14:textId="77777777" w:rsidR="00A17699" w:rsidRPr="00593186" w:rsidRDefault="00A17699" w:rsidP="00567255">
      <w:pPr>
        <w:jc w:val="both"/>
        <w:rPr>
          <w:rFonts w:asciiTheme="majorBidi" w:hAnsiTheme="majorBidi" w:cstheme="majorBidi"/>
          <w:sz w:val="20"/>
          <w:szCs w:val="20"/>
          <w:lang w:bidi="ar-IQ"/>
        </w:rPr>
      </w:pPr>
    </w:p>
    <w:p w14:paraId="58F3D3D8" w14:textId="77777777" w:rsidR="00567255" w:rsidRDefault="00567255" w:rsidP="00567255">
      <w:pPr>
        <w:pStyle w:val="a3"/>
        <w:numPr>
          <w:ilvl w:val="0"/>
          <w:numId w:val="36"/>
        </w:numPr>
        <w:spacing w:after="200" w:line="276" w:lineRule="auto"/>
        <w:jc w:val="both"/>
        <w:rPr>
          <w:rFonts w:asciiTheme="majorBidi" w:hAnsiTheme="majorBidi" w:cstheme="majorBidi"/>
          <w:b/>
          <w:bCs/>
          <w:sz w:val="24"/>
          <w:szCs w:val="24"/>
          <w:lang w:bidi="ar-IQ"/>
        </w:rPr>
      </w:pPr>
      <w:r w:rsidRPr="00527625">
        <w:rPr>
          <w:rFonts w:asciiTheme="majorBidi" w:hAnsiTheme="majorBidi" w:cstheme="majorBidi"/>
          <w:b/>
          <w:bCs/>
          <w:sz w:val="24"/>
          <w:szCs w:val="24"/>
          <w:lang w:bidi="ar-IQ"/>
        </w:rPr>
        <w:t xml:space="preserve">Introduction </w:t>
      </w:r>
    </w:p>
    <w:p w14:paraId="1D12DFAF" w14:textId="6AE9D21E" w:rsidR="00567255" w:rsidRPr="007F5690" w:rsidRDefault="00567255" w:rsidP="007F5690">
      <w:pPr>
        <w:jc w:val="both"/>
        <w:rPr>
          <w:rFonts w:asciiTheme="majorBidi" w:hAnsiTheme="majorBidi" w:cstheme="majorBidi"/>
          <w:lang w:val="en-US" w:bidi="ar-IQ"/>
        </w:rPr>
      </w:pPr>
      <w:r w:rsidRPr="00007919">
        <w:rPr>
          <w:rFonts w:asciiTheme="majorBidi" w:hAnsiTheme="majorBidi" w:cstheme="majorBidi"/>
          <w:lang w:bidi="ar-IQ"/>
        </w:rPr>
        <w:t xml:space="preserve">Chronic kidney disease is a very important worldwide public health problem with an increasing incidence and prevalence, that cause poor outcomes, and high cost. Outcomes of chronic kidney disease include not only kidney failure but also complications of decreased kidney function and cardiovascular disease </w:t>
      </w:r>
      <w:r w:rsidR="007F5690">
        <w:rPr>
          <w:rFonts w:asciiTheme="majorBidi" w:hAnsiTheme="majorBidi" w:cstheme="majorBidi"/>
          <w:lang w:val="en-US" w:bidi="ar-IQ"/>
        </w:rPr>
        <w:t>[1].</w:t>
      </w:r>
    </w:p>
    <w:p w14:paraId="781C0AB9" w14:textId="38C0A928" w:rsidR="00567255" w:rsidRPr="00007919" w:rsidRDefault="00567255" w:rsidP="00761C33">
      <w:pPr>
        <w:jc w:val="both"/>
        <w:rPr>
          <w:rFonts w:asciiTheme="majorBidi" w:hAnsiTheme="majorBidi" w:cstheme="majorBidi"/>
          <w:lang w:bidi="ar-IQ"/>
        </w:rPr>
      </w:pPr>
      <w:r w:rsidRPr="00007919">
        <w:rPr>
          <w:rFonts w:asciiTheme="majorBidi" w:hAnsiTheme="majorBidi" w:cstheme="majorBidi"/>
          <w:lang w:bidi="ar-IQ"/>
        </w:rPr>
        <w:t xml:space="preserve">In recent years, a pivotal role for the Endothelin system (ETs) has been documented in normal renal function, and also in renal disease. Endothelin-1 (ET-1) acts as an autocrine and paracrine manner in renal vessels and nephron segments, it is modulating renal hemodynamics by tubular water and minerals reabsorption </w:t>
      </w:r>
      <w:r w:rsidR="00761C33">
        <w:rPr>
          <w:rFonts w:asciiTheme="majorBidi" w:hAnsiTheme="majorBidi" w:cstheme="majorBidi"/>
          <w:lang w:bidi="ar-IQ"/>
        </w:rPr>
        <w:t>[4].</w:t>
      </w:r>
      <w:r w:rsidRPr="00007919">
        <w:rPr>
          <w:rFonts w:asciiTheme="majorBidi" w:hAnsiTheme="majorBidi" w:cstheme="majorBidi"/>
          <w:lang w:bidi="ar-IQ"/>
        </w:rPr>
        <w:t xml:space="preserve"> ET-1 has been implicated in pathological conditions such as renal fibrosis, glomerular sclerosis which leads to the progressive decline in renal function, development of hypertension and cardiovascular hypertrophy.</w:t>
      </w:r>
    </w:p>
    <w:p w14:paraId="66D4465A" w14:textId="61C67967" w:rsidR="00567255" w:rsidRPr="00007919" w:rsidRDefault="00567255" w:rsidP="00567255">
      <w:pPr>
        <w:jc w:val="both"/>
        <w:rPr>
          <w:rFonts w:asciiTheme="majorBidi" w:hAnsiTheme="majorBidi" w:cstheme="majorBidi"/>
          <w:lang w:bidi="ar-IQ"/>
        </w:rPr>
      </w:pPr>
      <w:r w:rsidRPr="00007919">
        <w:rPr>
          <w:rFonts w:asciiTheme="majorBidi" w:hAnsiTheme="majorBidi" w:cstheme="majorBidi"/>
          <w:lang w:bidi="ar-IQ"/>
        </w:rPr>
        <w:t>On the otherwise renal disease is associated with a graded elevation in oxidative stress (OS) markers even in ear</w:t>
      </w:r>
      <w:r w:rsidR="00761C33">
        <w:rPr>
          <w:rFonts w:asciiTheme="majorBidi" w:hAnsiTheme="majorBidi" w:cstheme="majorBidi"/>
          <w:lang w:bidi="ar-IQ"/>
        </w:rPr>
        <w:t>ly CKD [2]</w:t>
      </w:r>
      <w:r w:rsidRPr="00007919">
        <w:rPr>
          <w:rFonts w:asciiTheme="majorBidi" w:hAnsiTheme="majorBidi" w:cstheme="majorBidi"/>
          <w:lang w:bidi="ar-IQ"/>
        </w:rPr>
        <w:t xml:space="preserve">. Oxidative stress can enhance renal injury progression and contribute to increased cardiovascular risk. Some studies have documented that peritoneal dialysis is associated with decreased levels of OS and inflammatory markers more </w:t>
      </w:r>
      <w:r w:rsidR="00761C33">
        <w:rPr>
          <w:rFonts w:asciiTheme="majorBidi" w:hAnsiTheme="majorBidi" w:cstheme="majorBidi"/>
          <w:lang w:bidi="ar-IQ"/>
        </w:rPr>
        <w:t>than hemodialysis [3]</w:t>
      </w:r>
      <w:r w:rsidRPr="00007919">
        <w:rPr>
          <w:rFonts w:asciiTheme="majorBidi" w:hAnsiTheme="majorBidi" w:cstheme="majorBidi"/>
          <w:lang w:bidi="ar-IQ"/>
        </w:rPr>
        <w:t>. Malondialdehyde (MDA) is the marker of OS produced by peroxidation of unsaturated fats, it is associated in atherosclerosis progression in patients with chronic kidney disease (CKD) not yet on dialysis compared to patients on peritoneal dialysis is less known, particularly concerning cardiometabolic syndrome</w:t>
      </w:r>
      <w:r w:rsidR="00761C33">
        <w:rPr>
          <w:rFonts w:asciiTheme="majorBidi" w:hAnsiTheme="majorBidi" w:cstheme="majorBidi"/>
          <w:lang w:bidi="ar-IQ"/>
        </w:rPr>
        <w:t xml:space="preserve"> [5]</w:t>
      </w:r>
      <w:r w:rsidRPr="00007919">
        <w:rPr>
          <w:rFonts w:asciiTheme="majorBidi" w:hAnsiTheme="majorBidi" w:cstheme="majorBidi"/>
          <w:lang w:bidi="ar-IQ"/>
        </w:rPr>
        <w:t>.</w:t>
      </w:r>
    </w:p>
    <w:p w14:paraId="789BE14E" w14:textId="77777777" w:rsidR="00567255" w:rsidRPr="00CA3211" w:rsidRDefault="00567255" w:rsidP="008F2D68">
      <w:pPr>
        <w:spacing w:before="240" w:after="240"/>
        <w:jc w:val="both"/>
        <w:rPr>
          <w:rFonts w:asciiTheme="majorBidi" w:hAnsiTheme="majorBidi" w:cstheme="majorBidi"/>
          <w:sz w:val="24"/>
          <w:szCs w:val="24"/>
          <w:lang w:bidi="ar-IQ"/>
        </w:rPr>
      </w:pPr>
      <w:r w:rsidRPr="003C45C8">
        <w:rPr>
          <w:rFonts w:asciiTheme="majorBidi" w:hAnsiTheme="majorBidi" w:cstheme="majorBidi"/>
          <w:b/>
          <w:bCs/>
          <w:sz w:val="24"/>
          <w:szCs w:val="24"/>
          <w:lang w:bidi="ar-IQ"/>
        </w:rPr>
        <w:t>2</w:t>
      </w:r>
      <w:r>
        <w:rPr>
          <w:rFonts w:asciiTheme="majorBidi" w:hAnsiTheme="majorBidi" w:cstheme="majorBidi"/>
          <w:b/>
          <w:bCs/>
          <w:sz w:val="24"/>
          <w:szCs w:val="24"/>
          <w:lang w:bidi="ar-IQ"/>
        </w:rPr>
        <w:t>. Material and Methods</w:t>
      </w:r>
    </w:p>
    <w:p w14:paraId="0F1F5BC9" w14:textId="77777777" w:rsidR="00567255" w:rsidRPr="00C363E5" w:rsidRDefault="00567255" w:rsidP="008F2D68">
      <w:pPr>
        <w:spacing w:before="240" w:after="240"/>
        <w:jc w:val="both"/>
        <w:rPr>
          <w:rFonts w:asciiTheme="majorBidi" w:hAnsiTheme="majorBidi" w:cstheme="majorBidi"/>
          <w:b/>
          <w:bCs/>
          <w:sz w:val="24"/>
          <w:szCs w:val="24"/>
          <w:lang w:bidi="ar-IQ"/>
        </w:rPr>
      </w:pPr>
      <w:r w:rsidRPr="001669EA">
        <w:rPr>
          <w:rFonts w:asciiTheme="majorBidi" w:hAnsiTheme="majorBidi" w:cstheme="majorBidi"/>
          <w:b/>
          <w:bCs/>
          <w:sz w:val="24"/>
          <w:szCs w:val="24"/>
          <w:lang w:bidi="ar-IQ"/>
        </w:rPr>
        <w:t>2</w:t>
      </w:r>
      <w:r w:rsidRPr="007871C2">
        <w:rPr>
          <w:rFonts w:asciiTheme="majorBidi" w:hAnsiTheme="majorBidi" w:cstheme="majorBidi"/>
          <w:b/>
          <w:bCs/>
          <w:lang w:bidi="ar-IQ"/>
        </w:rPr>
        <w:t>.1</w:t>
      </w:r>
      <w:r w:rsidRPr="007871C2">
        <w:rPr>
          <w:rFonts w:asciiTheme="majorBidi" w:hAnsiTheme="majorBidi" w:cstheme="majorBidi"/>
          <w:lang w:bidi="ar-IQ"/>
        </w:rPr>
        <w:t xml:space="preserve"> </w:t>
      </w:r>
      <w:r w:rsidRPr="007871C2">
        <w:rPr>
          <w:rFonts w:asciiTheme="majorBidi" w:hAnsiTheme="majorBidi" w:cstheme="majorBidi"/>
          <w:b/>
          <w:bCs/>
          <w:lang w:bidi="ar-IQ"/>
        </w:rPr>
        <w:t>Study Design</w:t>
      </w:r>
    </w:p>
    <w:p w14:paraId="4110D79B" w14:textId="77777777" w:rsidR="00567255" w:rsidRPr="00A209F2" w:rsidRDefault="00567255" w:rsidP="00567255">
      <w:pPr>
        <w:jc w:val="both"/>
        <w:rPr>
          <w:rFonts w:asciiTheme="majorBidi" w:hAnsiTheme="majorBidi" w:cstheme="majorBidi"/>
          <w:lang w:bidi="ar-IQ"/>
        </w:rPr>
      </w:pPr>
      <w:r w:rsidRPr="00A209F2">
        <w:rPr>
          <w:rFonts w:asciiTheme="majorBidi" w:hAnsiTheme="majorBidi" w:cstheme="majorBidi"/>
          <w:lang w:bidi="ar-IQ"/>
        </w:rPr>
        <w:lastRenderedPageBreak/>
        <w:t xml:space="preserve">The study is performed in Kirkuk city from 27th of October 2020 to 30th of November 2020. For the study, the relationship between Endothelin-1 and Malondialdehyde with the chronic kidney disease we depended on the samples taken from CKD patients on hemodialysis and other samples were taken from healthy people as the control group. The number of patients under study reached 40 patients with chronic kidney disease (under  </w:t>
      </w:r>
      <w:r>
        <w:rPr>
          <w:rFonts w:asciiTheme="majorBidi" w:hAnsiTheme="majorBidi" w:cstheme="majorBidi"/>
          <w:lang w:bidi="ar-IQ"/>
        </w:rPr>
        <w:t>dialysis).</w:t>
      </w:r>
      <w:r w:rsidRPr="00A209F2">
        <w:rPr>
          <w:rFonts w:asciiTheme="majorBidi" w:hAnsiTheme="majorBidi" w:cstheme="majorBidi"/>
          <w:lang w:bidi="ar-IQ"/>
        </w:rPr>
        <w:t xml:space="preserve"> The study included </w:t>
      </w:r>
      <w:r>
        <w:rPr>
          <w:rFonts w:asciiTheme="majorBidi" w:hAnsiTheme="majorBidi" w:cstheme="majorBidi"/>
          <w:lang w:bidi="ar-IQ"/>
        </w:rPr>
        <w:t xml:space="preserve">also </w:t>
      </w:r>
      <w:r w:rsidRPr="00A209F2">
        <w:rPr>
          <w:rFonts w:asciiTheme="majorBidi" w:hAnsiTheme="majorBidi" w:cstheme="majorBidi"/>
          <w:lang w:bidi="ar-IQ"/>
        </w:rPr>
        <w:t>40 healthy control group who haven’t any disease, with the same demographic properties (healthy individuals). Five ml of the blood sample was taken by vein puncture without using tourniquet from each subject registered in this study. Blood samples were placed into sterile test tubes, after blood clotting, centrifuged at 3000 rpm for 15 minutes then clot removed and remain re-centrifuged at 3000 rpm for 10 minute and the obtained serum were aspirated using a mechanical micropipette and transferred into clean test tubes which labelled and stored in a deep freeze at -20 °C for biochemical measurement of blood urea, serum creatinine, serum (MDA), as well as estimation of human Endothelin-1 by ELISA technique.</w:t>
      </w:r>
    </w:p>
    <w:p w14:paraId="3E2C27E1" w14:textId="77777777" w:rsidR="00567255" w:rsidRPr="00A209F2" w:rsidRDefault="00567255" w:rsidP="008F2D68">
      <w:pPr>
        <w:spacing w:before="240" w:after="240"/>
        <w:jc w:val="both"/>
        <w:rPr>
          <w:rFonts w:asciiTheme="majorBidi" w:hAnsiTheme="majorBidi" w:cstheme="majorBidi"/>
          <w:b/>
          <w:bCs/>
          <w:lang w:bidi="ar-IQ"/>
        </w:rPr>
      </w:pPr>
      <w:r w:rsidRPr="00A209F2">
        <w:rPr>
          <w:rFonts w:asciiTheme="majorBidi" w:hAnsiTheme="majorBidi" w:cstheme="majorBidi"/>
          <w:b/>
          <w:bCs/>
          <w:lang w:bidi="ar-IQ"/>
        </w:rPr>
        <w:t>2.2</w:t>
      </w:r>
      <w:r>
        <w:rPr>
          <w:rFonts w:asciiTheme="majorBidi" w:hAnsiTheme="majorBidi" w:cstheme="majorBidi"/>
          <w:b/>
          <w:bCs/>
          <w:lang w:bidi="ar-IQ"/>
        </w:rPr>
        <w:t xml:space="preserve"> Estimation of Human Endothelin-1</w:t>
      </w:r>
      <w:r w:rsidRPr="00A209F2">
        <w:rPr>
          <w:rFonts w:asciiTheme="majorBidi" w:hAnsiTheme="majorBidi" w:cstheme="majorBidi"/>
          <w:b/>
          <w:bCs/>
          <w:lang w:bidi="ar-IQ"/>
        </w:rPr>
        <w:t xml:space="preserve"> by ELISA</w:t>
      </w:r>
    </w:p>
    <w:p w14:paraId="3F02C306" w14:textId="77777777" w:rsidR="00567255" w:rsidRPr="00A209F2" w:rsidRDefault="00567255" w:rsidP="00567255">
      <w:pPr>
        <w:jc w:val="both"/>
        <w:rPr>
          <w:rFonts w:asciiTheme="majorBidi" w:hAnsiTheme="majorBidi" w:cstheme="majorBidi"/>
          <w:lang w:bidi="ar-IQ"/>
        </w:rPr>
      </w:pPr>
      <w:r w:rsidRPr="00A209F2">
        <w:rPr>
          <w:rFonts w:asciiTheme="majorBidi" w:hAnsiTheme="majorBidi" w:cstheme="majorBidi"/>
          <w:lang w:bidi="ar-IQ"/>
        </w:rPr>
        <w:t>For estimation of human Endothelin-1 by ELISA kit Sandwich-ELISA method is used. The Microelisa strip plate provided in the kit has been pre-coated with an antibody specific to ET-1. Each of the standards and samples were added to the appropriate Microelisa strip plate wells and combined to the specific antibody. Then a Horseradish Peroxidase (HRP)-conjugated antibody specific for ET-1 is added to each well and incubated. Then TMB, substrate solution was added to each well. The wells which contain ET-1 and HRP conjugated ET-1 antibody will appear blue and when added the stop solution it will turn to yellow. The optical density (OD) is measured by the spectrophotometer at a wavelength of 450 nm. The concentration of ET-1 is proportional to the OD value. We can calculate the concentration of ET-1 in the prepared samples by comparing the OD of the samples to the standard curve.</w:t>
      </w:r>
    </w:p>
    <w:p w14:paraId="68008050" w14:textId="77777777" w:rsidR="00567255" w:rsidRPr="00A209F2" w:rsidRDefault="00567255" w:rsidP="00567255">
      <w:pPr>
        <w:autoSpaceDE w:val="0"/>
        <w:autoSpaceDN w:val="0"/>
        <w:adjustRightInd w:val="0"/>
        <w:spacing w:before="240" w:after="240" w:line="360" w:lineRule="auto"/>
        <w:jc w:val="lowKashida"/>
        <w:rPr>
          <w:rFonts w:asciiTheme="majorBidi" w:hAnsiTheme="majorBidi" w:cstheme="majorBidi"/>
          <w:b/>
          <w:bCs/>
        </w:rPr>
      </w:pPr>
      <w:r w:rsidRPr="00A209F2">
        <w:rPr>
          <w:rFonts w:asciiTheme="majorBidi" w:hAnsiTheme="majorBidi" w:cstheme="majorBidi"/>
          <w:b/>
          <w:bCs/>
          <w:lang w:bidi="ar-IQ"/>
        </w:rPr>
        <w:t xml:space="preserve">2.3 </w:t>
      </w:r>
      <w:r w:rsidRPr="00A209F2">
        <w:rPr>
          <w:rFonts w:asciiTheme="majorBidi" w:hAnsiTheme="majorBidi" w:cstheme="majorBidi"/>
          <w:b/>
          <w:bCs/>
        </w:rPr>
        <w:t>Determi</w:t>
      </w:r>
      <w:r>
        <w:rPr>
          <w:rFonts w:asciiTheme="majorBidi" w:hAnsiTheme="majorBidi" w:cstheme="majorBidi"/>
          <w:b/>
          <w:bCs/>
        </w:rPr>
        <w:t>nation of Serum Malondialdehyde</w:t>
      </w:r>
    </w:p>
    <w:p w14:paraId="764773AC" w14:textId="77777777" w:rsidR="00567255" w:rsidRPr="00A209F2" w:rsidRDefault="00567255" w:rsidP="00567255">
      <w:pPr>
        <w:spacing w:after="240"/>
        <w:jc w:val="both"/>
        <w:rPr>
          <w:rFonts w:asciiTheme="majorBidi" w:hAnsiTheme="majorBidi" w:cstheme="majorBidi"/>
        </w:rPr>
      </w:pPr>
      <w:r w:rsidRPr="00A209F2">
        <w:rPr>
          <w:rFonts w:asciiTheme="majorBidi" w:hAnsiTheme="majorBidi" w:cstheme="majorBidi"/>
        </w:rPr>
        <w:t>The level of malondialdehyde was determined by the reaction of MDA with thiobarbituric acid –TBA, forming an MDA-TBA2 according to the modified method described by Schmedes and Holmer.</w:t>
      </w:r>
    </w:p>
    <w:p w14:paraId="2E2D7BEE" w14:textId="77777777" w:rsidR="00567255" w:rsidRPr="00A209F2" w:rsidRDefault="00567255" w:rsidP="00567255">
      <w:pPr>
        <w:spacing w:after="240"/>
        <w:rPr>
          <w:rFonts w:asciiTheme="majorBidi" w:hAnsiTheme="majorBidi" w:cstheme="majorBidi"/>
          <w:b/>
          <w:bCs/>
        </w:rPr>
      </w:pPr>
      <w:r w:rsidRPr="00A209F2">
        <w:rPr>
          <w:rFonts w:asciiTheme="majorBidi" w:hAnsiTheme="majorBidi" w:cstheme="majorBidi"/>
          <w:b/>
          <w:bCs/>
        </w:rPr>
        <w:t>Manual procedure</w:t>
      </w:r>
    </w:p>
    <w:p w14:paraId="21F82969" w14:textId="77777777" w:rsidR="00567255" w:rsidRPr="00A209F2" w:rsidRDefault="00567255" w:rsidP="008F2D68">
      <w:pPr>
        <w:spacing w:after="240"/>
        <w:jc w:val="both"/>
        <w:rPr>
          <w:rFonts w:asciiTheme="majorBidi" w:hAnsiTheme="majorBidi" w:cstheme="majorBidi"/>
        </w:rPr>
      </w:pPr>
      <w:r w:rsidRPr="00A209F2">
        <w:rPr>
          <w:rFonts w:asciiTheme="majorBidi" w:hAnsiTheme="majorBidi" w:cstheme="majorBidi"/>
        </w:rPr>
        <w:t xml:space="preserve">In the table 2.1. below the details of the manual procedure for the determination of serum malondyaldehyde is showed.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6"/>
        <w:gridCol w:w="1454"/>
        <w:gridCol w:w="1932"/>
      </w:tblGrid>
      <w:tr w:rsidR="00567255" w14:paraId="15CB1EDB" w14:textId="77777777" w:rsidTr="00FF1F34">
        <w:trPr>
          <w:trHeight w:val="377"/>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485973B7" w14:textId="77777777" w:rsidR="00567255" w:rsidRPr="00CB66E6" w:rsidRDefault="00567255" w:rsidP="00FF1F34">
            <w:pPr>
              <w:autoSpaceDE w:val="0"/>
              <w:autoSpaceDN w:val="0"/>
              <w:adjustRightInd w:val="0"/>
              <w:spacing w:after="0"/>
              <w:jc w:val="center"/>
              <w:rPr>
                <w:b/>
                <w:bCs/>
                <w:sz w:val="20"/>
                <w:szCs w:val="20"/>
              </w:rPr>
            </w:pPr>
            <w:r w:rsidRPr="00CB66E6">
              <w:rPr>
                <w:b/>
                <w:bCs/>
                <w:sz w:val="20"/>
                <w:szCs w:val="20"/>
              </w:rPr>
              <w:t>Pipette into well identified test tubes:</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AB913C4" w14:textId="77777777" w:rsidR="00567255" w:rsidRPr="00CB66E6" w:rsidRDefault="00567255" w:rsidP="00FF1F34">
            <w:pPr>
              <w:autoSpaceDE w:val="0"/>
              <w:autoSpaceDN w:val="0"/>
              <w:adjustRightInd w:val="0"/>
              <w:spacing w:after="0"/>
              <w:jc w:val="center"/>
              <w:rPr>
                <w:b/>
                <w:bCs/>
                <w:sz w:val="20"/>
                <w:szCs w:val="20"/>
              </w:rPr>
            </w:pPr>
            <w:r w:rsidRPr="00CB66E6">
              <w:rPr>
                <w:b/>
                <w:bCs/>
                <w:sz w:val="20"/>
                <w:szCs w:val="20"/>
              </w:rPr>
              <w:t>Test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19380957" w14:textId="77777777" w:rsidR="00567255" w:rsidRPr="00CB66E6" w:rsidRDefault="00567255" w:rsidP="00FF1F34">
            <w:pPr>
              <w:autoSpaceDE w:val="0"/>
              <w:autoSpaceDN w:val="0"/>
              <w:adjustRightInd w:val="0"/>
              <w:spacing w:after="0"/>
              <w:jc w:val="center"/>
              <w:rPr>
                <w:b/>
                <w:bCs/>
                <w:sz w:val="20"/>
                <w:szCs w:val="20"/>
              </w:rPr>
            </w:pPr>
            <w:r w:rsidRPr="00CB66E6">
              <w:rPr>
                <w:b/>
                <w:bCs/>
                <w:sz w:val="20"/>
                <w:szCs w:val="20"/>
              </w:rPr>
              <w:t>Standard</w:t>
            </w:r>
          </w:p>
        </w:tc>
      </w:tr>
      <w:tr w:rsidR="00567255" w14:paraId="4F4A8289" w14:textId="77777777" w:rsidTr="00FF1F34">
        <w:trPr>
          <w:trHeight w:val="170"/>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2C6B7FA4" w14:textId="77777777" w:rsidR="00567255" w:rsidRPr="00CB66E6" w:rsidRDefault="00567255" w:rsidP="00FF1F34">
            <w:pPr>
              <w:autoSpaceDE w:val="0"/>
              <w:autoSpaceDN w:val="0"/>
              <w:adjustRightInd w:val="0"/>
              <w:spacing w:after="0"/>
              <w:rPr>
                <w:b/>
                <w:bCs/>
                <w:sz w:val="20"/>
                <w:szCs w:val="20"/>
              </w:rPr>
            </w:pPr>
            <w:r w:rsidRPr="00CB66E6">
              <w:rPr>
                <w:b/>
                <w:bCs/>
                <w:sz w:val="20"/>
                <w:szCs w:val="20"/>
              </w:rPr>
              <w:t xml:space="preserve">Serum </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30C8661" w14:textId="77777777" w:rsidR="00567255" w:rsidRPr="00CB66E6" w:rsidRDefault="00567255" w:rsidP="00FF1F34">
            <w:pPr>
              <w:autoSpaceDE w:val="0"/>
              <w:autoSpaceDN w:val="0"/>
              <w:adjustRightInd w:val="0"/>
              <w:spacing w:after="0"/>
              <w:jc w:val="center"/>
              <w:rPr>
                <w:sz w:val="20"/>
                <w:szCs w:val="20"/>
              </w:rPr>
            </w:pPr>
            <w:r w:rsidRPr="00CB66E6">
              <w:rPr>
                <w:sz w:val="20"/>
                <w:szCs w:val="20"/>
              </w:rPr>
              <w:t>150  µl</w:t>
            </w:r>
          </w:p>
        </w:tc>
        <w:tc>
          <w:tcPr>
            <w:tcW w:w="1932" w:type="dxa"/>
            <w:tcBorders>
              <w:top w:val="single" w:sz="4" w:space="0" w:color="auto"/>
              <w:left w:val="single" w:sz="4" w:space="0" w:color="auto"/>
              <w:bottom w:val="single" w:sz="4" w:space="0" w:color="auto"/>
              <w:right w:val="single" w:sz="4" w:space="0" w:color="auto"/>
            </w:tcBorders>
            <w:vAlign w:val="center"/>
            <w:hideMark/>
          </w:tcPr>
          <w:p w14:paraId="028BFBE0" w14:textId="77777777" w:rsidR="00567255" w:rsidRPr="00CB66E6" w:rsidRDefault="00567255" w:rsidP="00FF1F34">
            <w:pPr>
              <w:autoSpaceDE w:val="0"/>
              <w:autoSpaceDN w:val="0"/>
              <w:adjustRightInd w:val="0"/>
              <w:spacing w:after="0"/>
              <w:jc w:val="center"/>
              <w:rPr>
                <w:sz w:val="20"/>
                <w:szCs w:val="20"/>
              </w:rPr>
            </w:pPr>
            <w:r w:rsidRPr="00CB66E6">
              <w:rPr>
                <w:sz w:val="20"/>
                <w:szCs w:val="20"/>
              </w:rPr>
              <w:t>-</w:t>
            </w:r>
          </w:p>
        </w:tc>
      </w:tr>
      <w:tr w:rsidR="00567255" w14:paraId="7A8F7A6E" w14:textId="77777777" w:rsidTr="00FF1F34">
        <w:trPr>
          <w:trHeight w:val="80"/>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787EAA85" w14:textId="77777777" w:rsidR="00567255" w:rsidRPr="00CB66E6" w:rsidRDefault="00567255" w:rsidP="00FF1F34">
            <w:pPr>
              <w:autoSpaceDE w:val="0"/>
              <w:autoSpaceDN w:val="0"/>
              <w:adjustRightInd w:val="0"/>
              <w:spacing w:after="0"/>
              <w:rPr>
                <w:sz w:val="20"/>
                <w:szCs w:val="20"/>
              </w:rPr>
            </w:pPr>
            <w:r w:rsidRPr="00CB66E6">
              <w:rPr>
                <w:b/>
                <w:bCs/>
                <w:sz w:val="20"/>
                <w:szCs w:val="20"/>
              </w:rPr>
              <w:t>Distilled</w:t>
            </w:r>
            <w:r w:rsidRPr="00CB66E6">
              <w:rPr>
                <w:sz w:val="20"/>
                <w:szCs w:val="20"/>
              </w:rPr>
              <w:t xml:space="preserve">  </w:t>
            </w:r>
            <w:r w:rsidRPr="00CB66E6">
              <w:rPr>
                <w:b/>
                <w:bCs/>
                <w:sz w:val="20"/>
                <w:szCs w:val="20"/>
              </w:rPr>
              <w:t>water</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E609E9D" w14:textId="77777777" w:rsidR="00567255" w:rsidRPr="00CB66E6" w:rsidRDefault="00567255" w:rsidP="00FF1F34">
            <w:pPr>
              <w:autoSpaceDE w:val="0"/>
              <w:autoSpaceDN w:val="0"/>
              <w:adjustRightInd w:val="0"/>
              <w:spacing w:after="0"/>
              <w:jc w:val="center"/>
              <w:rPr>
                <w:sz w:val="20"/>
                <w:szCs w:val="20"/>
              </w:rPr>
            </w:pPr>
            <w:r w:rsidRPr="00CB66E6">
              <w:rPr>
                <w:sz w:val="20"/>
                <w:szCs w:val="20"/>
              </w:rPr>
              <w:t>-</w:t>
            </w:r>
          </w:p>
        </w:tc>
        <w:tc>
          <w:tcPr>
            <w:tcW w:w="1932" w:type="dxa"/>
            <w:tcBorders>
              <w:top w:val="single" w:sz="4" w:space="0" w:color="auto"/>
              <w:left w:val="single" w:sz="4" w:space="0" w:color="auto"/>
              <w:bottom w:val="single" w:sz="4" w:space="0" w:color="auto"/>
              <w:right w:val="single" w:sz="4" w:space="0" w:color="auto"/>
            </w:tcBorders>
            <w:vAlign w:val="center"/>
            <w:hideMark/>
          </w:tcPr>
          <w:p w14:paraId="4BB1AEE6" w14:textId="77777777" w:rsidR="00567255" w:rsidRPr="00CB66E6" w:rsidRDefault="00567255" w:rsidP="00FF1F34">
            <w:pPr>
              <w:autoSpaceDE w:val="0"/>
              <w:autoSpaceDN w:val="0"/>
              <w:adjustRightInd w:val="0"/>
              <w:spacing w:after="0"/>
              <w:jc w:val="center"/>
              <w:rPr>
                <w:sz w:val="20"/>
                <w:szCs w:val="20"/>
              </w:rPr>
            </w:pPr>
            <w:r w:rsidRPr="00CB66E6">
              <w:rPr>
                <w:sz w:val="20"/>
                <w:szCs w:val="20"/>
              </w:rPr>
              <w:t>150  µl</w:t>
            </w:r>
          </w:p>
        </w:tc>
      </w:tr>
      <w:tr w:rsidR="00567255" w14:paraId="79B33A27" w14:textId="77777777" w:rsidTr="00FF1F34">
        <w:trPr>
          <w:trHeight w:val="152"/>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6D58B5BC" w14:textId="77777777" w:rsidR="00567255" w:rsidRPr="00CB66E6" w:rsidRDefault="00567255" w:rsidP="00FF1F34">
            <w:pPr>
              <w:autoSpaceDE w:val="0"/>
              <w:autoSpaceDN w:val="0"/>
              <w:adjustRightInd w:val="0"/>
              <w:spacing w:after="0"/>
              <w:rPr>
                <w:b/>
                <w:bCs/>
                <w:sz w:val="20"/>
                <w:szCs w:val="20"/>
              </w:rPr>
            </w:pPr>
            <w:r w:rsidRPr="00CB66E6">
              <w:rPr>
                <w:b/>
                <w:bCs/>
                <w:sz w:val="20"/>
                <w:szCs w:val="20"/>
              </w:rPr>
              <w:t>TCA(17.5%)</w:t>
            </w:r>
          </w:p>
        </w:tc>
        <w:tc>
          <w:tcPr>
            <w:tcW w:w="1454" w:type="dxa"/>
            <w:tcBorders>
              <w:top w:val="single" w:sz="4" w:space="0" w:color="auto"/>
              <w:left w:val="single" w:sz="4" w:space="0" w:color="auto"/>
              <w:bottom w:val="single" w:sz="4" w:space="0" w:color="auto"/>
              <w:right w:val="single" w:sz="4" w:space="0" w:color="auto"/>
            </w:tcBorders>
            <w:vAlign w:val="center"/>
            <w:hideMark/>
          </w:tcPr>
          <w:p w14:paraId="7F40DD29" w14:textId="77777777" w:rsidR="00567255" w:rsidRPr="00CB66E6" w:rsidRDefault="00567255" w:rsidP="00FF1F34">
            <w:pPr>
              <w:spacing w:after="0"/>
              <w:jc w:val="center"/>
              <w:rPr>
                <w:sz w:val="20"/>
                <w:szCs w:val="20"/>
              </w:rPr>
            </w:pPr>
            <w:r w:rsidRPr="00CB66E6">
              <w:rPr>
                <w:sz w:val="20"/>
                <w:szCs w:val="20"/>
              </w:rPr>
              <w:t>1 ml</w:t>
            </w:r>
          </w:p>
        </w:tc>
        <w:tc>
          <w:tcPr>
            <w:tcW w:w="1932" w:type="dxa"/>
            <w:tcBorders>
              <w:top w:val="single" w:sz="4" w:space="0" w:color="auto"/>
              <w:left w:val="single" w:sz="4" w:space="0" w:color="auto"/>
              <w:bottom w:val="single" w:sz="4" w:space="0" w:color="auto"/>
              <w:right w:val="single" w:sz="4" w:space="0" w:color="auto"/>
            </w:tcBorders>
            <w:vAlign w:val="center"/>
            <w:hideMark/>
          </w:tcPr>
          <w:p w14:paraId="76717570" w14:textId="77777777" w:rsidR="00567255" w:rsidRPr="00CB66E6" w:rsidRDefault="00567255" w:rsidP="00FF1F34">
            <w:pPr>
              <w:spacing w:after="0"/>
              <w:jc w:val="center"/>
              <w:rPr>
                <w:sz w:val="20"/>
                <w:szCs w:val="20"/>
              </w:rPr>
            </w:pPr>
            <w:r w:rsidRPr="00CB66E6">
              <w:rPr>
                <w:sz w:val="20"/>
                <w:szCs w:val="20"/>
              </w:rPr>
              <w:t>1 ml</w:t>
            </w:r>
          </w:p>
        </w:tc>
      </w:tr>
      <w:tr w:rsidR="00567255" w14:paraId="6082E7CB" w14:textId="77777777" w:rsidTr="00FF1F34">
        <w:trPr>
          <w:trHeight w:val="278"/>
          <w:jc w:val="center"/>
        </w:trPr>
        <w:tc>
          <w:tcPr>
            <w:tcW w:w="9342" w:type="dxa"/>
            <w:gridSpan w:val="3"/>
            <w:tcBorders>
              <w:top w:val="single" w:sz="4" w:space="0" w:color="auto"/>
              <w:left w:val="single" w:sz="4" w:space="0" w:color="auto"/>
              <w:bottom w:val="single" w:sz="4" w:space="0" w:color="auto"/>
              <w:right w:val="single" w:sz="4" w:space="0" w:color="auto"/>
            </w:tcBorders>
            <w:vAlign w:val="center"/>
            <w:hideMark/>
          </w:tcPr>
          <w:p w14:paraId="6BCADCBB" w14:textId="77777777" w:rsidR="00567255" w:rsidRPr="00CB66E6" w:rsidRDefault="00567255" w:rsidP="00FF1F34">
            <w:pPr>
              <w:spacing w:after="0"/>
              <w:jc w:val="center"/>
              <w:rPr>
                <w:sz w:val="20"/>
                <w:szCs w:val="20"/>
              </w:rPr>
            </w:pPr>
            <w:r w:rsidRPr="00CB66E6">
              <w:rPr>
                <w:sz w:val="20"/>
                <w:szCs w:val="20"/>
              </w:rPr>
              <w:t>Mix well</w:t>
            </w:r>
          </w:p>
        </w:tc>
      </w:tr>
      <w:tr w:rsidR="00567255" w14:paraId="2920498E" w14:textId="77777777" w:rsidTr="00FF1F34">
        <w:trPr>
          <w:trHeight w:val="233"/>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19034C50" w14:textId="77777777" w:rsidR="00567255" w:rsidRPr="00CB66E6" w:rsidRDefault="00567255" w:rsidP="00FF1F34">
            <w:pPr>
              <w:autoSpaceDE w:val="0"/>
              <w:autoSpaceDN w:val="0"/>
              <w:adjustRightInd w:val="0"/>
              <w:spacing w:after="0"/>
              <w:rPr>
                <w:b/>
                <w:bCs/>
                <w:sz w:val="20"/>
                <w:szCs w:val="20"/>
              </w:rPr>
            </w:pPr>
            <w:r w:rsidRPr="00CB66E6">
              <w:rPr>
                <w:b/>
                <w:bCs/>
                <w:sz w:val="20"/>
                <w:szCs w:val="20"/>
              </w:rPr>
              <w:t>TBA (0.6%)</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E934C51" w14:textId="77777777" w:rsidR="00567255" w:rsidRPr="00CB66E6" w:rsidRDefault="00567255" w:rsidP="00FF1F34">
            <w:pPr>
              <w:spacing w:after="0"/>
              <w:jc w:val="center"/>
              <w:rPr>
                <w:sz w:val="20"/>
                <w:szCs w:val="20"/>
              </w:rPr>
            </w:pPr>
            <w:r w:rsidRPr="00CB66E6">
              <w:rPr>
                <w:sz w:val="20"/>
                <w:szCs w:val="20"/>
              </w:rPr>
              <w:t>1 ml</w:t>
            </w:r>
          </w:p>
        </w:tc>
        <w:tc>
          <w:tcPr>
            <w:tcW w:w="1932" w:type="dxa"/>
            <w:tcBorders>
              <w:top w:val="single" w:sz="4" w:space="0" w:color="auto"/>
              <w:left w:val="single" w:sz="4" w:space="0" w:color="auto"/>
              <w:bottom w:val="single" w:sz="4" w:space="0" w:color="auto"/>
              <w:right w:val="single" w:sz="4" w:space="0" w:color="auto"/>
            </w:tcBorders>
            <w:vAlign w:val="center"/>
            <w:hideMark/>
          </w:tcPr>
          <w:p w14:paraId="63E37C31" w14:textId="77777777" w:rsidR="00567255" w:rsidRPr="00CB66E6" w:rsidRDefault="00567255" w:rsidP="00FF1F34">
            <w:pPr>
              <w:spacing w:after="0"/>
              <w:jc w:val="center"/>
              <w:rPr>
                <w:sz w:val="20"/>
                <w:szCs w:val="20"/>
              </w:rPr>
            </w:pPr>
            <w:r w:rsidRPr="00CB66E6">
              <w:rPr>
                <w:sz w:val="20"/>
                <w:szCs w:val="20"/>
              </w:rPr>
              <w:t>1 ml</w:t>
            </w:r>
          </w:p>
        </w:tc>
      </w:tr>
      <w:tr w:rsidR="00567255" w14:paraId="1CBECB42" w14:textId="77777777" w:rsidTr="00FF1F34">
        <w:trPr>
          <w:trHeight w:val="395"/>
          <w:jc w:val="center"/>
        </w:trPr>
        <w:tc>
          <w:tcPr>
            <w:tcW w:w="9342" w:type="dxa"/>
            <w:gridSpan w:val="3"/>
            <w:tcBorders>
              <w:top w:val="single" w:sz="4" w:space="0" w:color="auto"/>
              <w:left w:val="single" w:sz="4" w:space="0" w:color="auto"/>
              <w:bottom w:val="single" w:sz="4" w:space="0" w:color="auto"/>
              <w:right w:val="single" w:sz="4" w:space="0" w:color="auto"/>
            </w:tcBorders>
            <w:vAlign w:val="center"/>
            <w:hideMark/>
          </w:tcPr>
          <w:p w14:paraId="56B299B0" w14:textId="77777777" w:rsidR="00567255" w:rsidRPr="00CB66E6" w:rsidRDefault="00567255" w:rsidP="00FF1F34">
            <w:pPr>
              <w:pStyle w:val="Default"/>
              <w:rPr>
                <w:sz w:val="20"/>
                <w:szCs w:val="20"/>
              </w:rPr>
            </w:pPr>
            <w:r w:rsidRPr="00CB66E6">
              <w:rPr>
                <w:sz w:val="20"/>
                <w:szCs w:val="20"/>
              </w:rPr>
              <w:t xml:space="preserve">The tubes were mixed well by vortex, incubated in boiling water bath for 15 minutes, and then allowed to cool. </w:t>
            </w:r>
          </w:p>
        </w:tc>
      </w:tr>
      <w:tr w:rsidR="00567255" w14:paraId="0A25A5D3" w14:textId="77777777" w:rsidTr="00FF1F34">
        <w:trPr>
          <w:trHeight w:val="287"/>
          <w:jc w:val="center"/>
        </w:trPr>
        <w:tc>
          <w:tcPr>
            <w:tcW w:w="5956" w:type="dxa"/>
            <w:tcBorders>
              <w:top w:val="single" w:sz="4" w:space="0" w:color="auto"/>
              <w:left w:val="single" w:sz="4" w:space="0" w:color="auto"/>
              <w:bottom w:val="single" w:sz="4" w:space="0" w:color="auto"/>
              <w:right w:val="single" w:sz="4" w:space="0" w:color="auto"/>
            </w:tcBorders>
            <w:vAlign w:val="center"/>
            <w:hideMark/>
          </w:tcPr>
          <w:p w14:paraId="5E88600B" w14:textId="77777777" w:rsidR="00567255" w:rsidRPr="00CB66E6" w:rsidRDefault="00567255" w:rsidP="00FF1F34">
            <w:pPr>
              <w:autoSpaceDE w:val="0"/>
              <w:autoSpaceDN w:val="0"/>
              <w:adjustRightInd w:val="0"/>
              <w:spacing w:after="0"/>
              <w:rPr>
                <w:b/>
                <w:bCs/>
                <w:sz w:val="20"/>
                <w:szCs w:val="20"/>
              </w:rPr>
            </w:pPr>
            <w:r w:rsidRPr="00CB66E6">
              <w:rPr>
                <w:b/>
                <w:bCs/>
                <w:sz w:val="20"/>
                <w:szCs w:val="20"/>
              </w:rPr>
              <w:t>TCA(70%)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0D96143" w14:textId="77777777" w:rsidR="00567255" w:rsidRPr="00CB66E6" w:rsidRDefault="00567255" w:rsidP="00FF1F34">
            <w:pPr>
              <w:spacing w:after="0"/>
              <w:jc w:val="center"/>
              <w:rPr>
                <w:sz w:val="20"/>
                <w:szCs w:val="20"/>
              </w:rPr>
            </w:pPr>
            <w:r w:rsidRPr="00CB66E6">
              <w:rPr>
                <w:sz w:val="20"/>
                <w:szCs w:val="20"/>
              </w:rPr>
              <w:t>1 ml</w:t>
            </w:r>
          </w:p>
        </w:tc>
        <w:tc>
          <w:tcPr>
            <w:tcW w:w="1932" w:type="dxa"/>
            <w:tcBorders>
              <w:top w:val="single" w:sz="4" w:space="0" w:color="auto"/>
              <w:left w:val="single" w:sz="4" w:space="0" w:color="auto"/>
              <w:bottom w:val="single" w:sz="4" w:space="0" w:color="auto"/>
              <w:right w:val="single" w:sz="4" w:space="0" w:color="auto"/>
            </w:tcBorders>
            <w:vAlign w:val="center"/>
            <w:hideMark/>
          </w:tcPr>
          <w:p w14:paraId="1E7503F6" w14:textId="77777777" w:rsidR="00567255" w:rsidRPr="00CB66E6" w:rsidRDefault="00567255" w:rsidP="00FF1F34">
            <w:pPr>
              <w:spacing w:after="0"/>
              <w:jc w:val="center"/>
              <w:rPr>
                <w:sz w:val="20"/>
                <w:szCs w:val="20"/>
              </w:rPr>
            </w:pPr>
            <w:r w:rsidRPr="00CB66E6">
              <w:rPr>
                <w:sz w:val="20"/>
                <w:szCs w:val="20"/>
              </w:rPr>
              <w:t>1 ml</w:t>
            </w:r>
          </w:p>
        </w:tc>
      </w:tr>
      <w:tr w:rsidR="00567255" w14:paraId="6B0AA26B" w14:textId="77777777" w:rsidTr="00FF1F34">
        <w:trPr>
          <w:trHeight w:val="77"/>
          <w:jc w:val="center"/>
        </w:trPr>
        <w:tc>
          <w:tcPr>
            <w:tcW w:w="9342" w:type="dxa"/>
            <w:gridSpan w:val="3"/>
            <w:tcBorders>
              <w:top w:val="single" w:sz="4" w:space="0" w:color="auto"/>
              <w:left w:val="single" w:sz="4" w:space="0" w:color="auto"/>
              <w:bottom w:val="single" w:sz="4" w:space="0" w:color="auto"/>
              <w:right w:val="single" w:sz="4" w:space="0" w:color="auto"/>
            </w:tcBorders>
            <w:vAlign w:val="center"/>
            <w:hideMark/>
          </w:tcPr>
          <w:p w14:paraId="61573EA1" w14:textId="77777777" w:rsidR="00567255" w:rsidRPr="00CB66E6" w:rsidRDefault="00567255" w:rsidP="00FF1F34">
            <w:pPr>
              <w:pStyle w:val="Default"/>
              <w:rPr>
                <w:sz w:val="20"/>
                <w:szCs w:val="20"/>
              </w:rPr>
            </w:pPr>
            <w:r w:rsidRPr="00CB66E6">
              <w:rPr>
                <w:sz w:val="20"/>
                <w:szCs w:val="20"/>
              </w:rPr>
              <w:t xml:space="preserve">The mixture was let to stand at room temperature for 20 minutes, The tubes were centrifuged at 2000 rpm for 15 minutes, and the supernatant was taken for measurement of the absorbance at 532nm. </w:t>
            </w:r>
          </w:p>
        </w:tc>
      </w:tr>
    </w:tbl>
    <w:p w14:paraId="1205CD59" w14:textId="77777777" w:rsidR="00567255" w:rsidRDefault="00567255" w:rsidP="00567255">
      <w:pPr>
        <w:jc w:val="both"/>
        <w:rPr>
          <w:rFonts w:asciiTheme="majorBidi" w:hAnsiTheme="majorBidi" w:cstheme="majorBidi"/>
          <w:sz w:val="24"/>
          <w:szCs w:val="24"/>
          <w:lang w:bidi="ar-IQ"/>
        </w:rPr>
      </w:pPr>
    </w:p>
    <w:p w14:paraId="03A38728" w14:textId="77777777" w:rsidR="00567255" w:rsidRDefault="00567255" w:rsidP="00567255">
      <w:pPr>
        <w:spacing w:after="240"/>
        <w:rPr>
          <w:rFonts w:asciiTheme="majorBidi" w:hAnsiTheme="majorBidi" w:cstheme="majorBidi"/>
          <w:b/>
          <w:bCs/>
          <w:lang w:bidi="ar-IQ"/>
        </w:rPr>
      </w:pPr>
      <w:r>
        <w:rPr>
          <w:b/>
          <w:bCs/>
        </w:rPr>
        <w:t xml:space="preserve">3. </w:t>
      </w:r>
      <w:r>
        <w:rPr>
          <w:rFonts w:asciiTheme="majorBidi" w:hAnsiTheme="majorBidi" w:cstheme="majorBidi"/>
          <w:b/>
          <w:bCs/>
          <w:lang w:bidi="ar-IQ"/>
        </w:rPr>
        <w:t xml:space="preserve">Results and Discussion </w:t>
      </w:r>
    </w:p>
    <w:p w14:paraId="3384C95F" w14:textId="77777777" w:rsidR="00567255" w:rsidRDefault="00567255" w:rsidP="00567255">
      <w:pPr>
        <w:spacing w:after="240"/>
        <w:rPr>
          <w:rFonts w:asciiTheme="majorBidi" w:hAnsiTheme="majorBidi" w:cstheme="majorBidi"/>
          <w:sz w:val="24"/>
          <w:szCs w:val="24"/>
        </w:rPr>
      </w:pPr>
      <w:r>
        <w:rPr>
          <w:rFonts w:asciiTheme="majorBidi" w:hAnsiTheme="majorBidi" w:cstheme="majorBidi"/>
          <w:b/>
          <w:bCs/>
          <w:lang w:bidi="ar-IQ"/>
        </w:rPr>
        <w:t>3.1. General Characteristics of the Studied Groups</w:t>
      </w:r>
    </w:p>
    <w:p w14:paraId="082E1210" w14:textId="16983B8E" w:rsidR="00567255" w:rsidRPr="003B746E" w:rsidRDefault="00567255" w:rsidP="008F2D68">
      <w:pPr>
        <w:spacing w:after="240"/>
        <w:rPr>
          <w:rFonts w:asciiTheme="majorBidi" w:hAnsiTheme="majorBidi" w:cstheme="majorBidi"/>
          <w:sz w:val="24"/>
          <w:szCs w:val="24"/>
          <w:rtl/>
        </w:rPr>
      </w:pPr>
      <w:r>
        <w:rPr>
          <w:rFonts w:asciiTheme="majorBidi" w:hAnsiTheme="majorBidi" w:cstheme="majorBidi"/>
          <w:b/>
          <w:bCs/>
          <w:lang w:bidi="ar-IQ"/>
        </w:rPr>
        <w:t>Table 3.1</w:t>
      </w:r>
      <w:r w:rsidR="008F2D68">
        <w:rPr>
          <w:rFonts w:asciiTheme="majorBidi" w:hAnsiTheme="majorBidi" w:cstheme="majorBidi"/>
          <w:lang w:bidi="ar-IQ"/>
        </w:rPr>
        <w:t>. G</w:t>
      </w:r>
      <w:r>
        <w:rPr>
          <w:rFonts w:asciiTheme="majorBidi" w:hAnsiTheme="majorBidi" w:cstheme="majorBidi"/>
          <w:lang w:bidi="ar-IQ"/>
        </w:rPr>
        <w:t>eneral characteristics of the studied groups</w:t>
      </w:r>
    </w:p>
    <w:tbl>
      <w:tblPr>
        <w:tblStyle w:val="GridTableLight"/>
        <w:tblW w:w="0" w:type="auto"/>
        <w:tblLook w:val="04A0" w:firstRow="1" w:lastRow="0" w:firstColumn="1" w:lastColumn="0" w:noHBand="0" w:noVBand="1"/>
      </w:tblPr>
      <w:tblGrid>
        <w:gridCol w:w="2819"/>
        <w:gridCol w:w="1853"/>
        <w:gridCol w:w="1802"/>
        <w:gridCol w:w="1441"/>
      </w:tblGrid>
      <w:tr w:rsidR="00567255" w14:paraId="1A8B40C8" w14:textId="77777777" w:rsidTr="00785B9C">
        <w:trPr>
          <w:trHeight w:val="95"/>
        </w:trPr>
        <w:tc>
          <w:tcPr>
            <w:tcW w:w="281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6FF1464" w14:textId="4E54B47A" w:rsidR="00567255" w:rsidRPr="00785B9C" w:rsidRDefault="00785B9C" w:rsidP="00FF1F34">
            <w:pPr>
              <w:jc w:val="center"/>
              <w:rPr>
                <w:rFonts w:asciiTheme="majorBidi" w:hAnsiTheme="majorBidi" w:cstheme="majorBidi"/>
                <w:b/>
                <w:bCs/>
                <w:lang w:bidi="ar-IQ"/>
              </w:rPr>
            </w:pPr>
            <w:r w:rsidRPr="00785B9C">
              <w:rPr>
                <w:rFonts w:asciiTheme="majorBidi" w:hAnsiTheme="majorBidi" w:cstheme="majorBidi"/>
                <w:b/>
                <w:bCs/>
                <w:lang w:bidi="ar-IQ"/>
              </w:rPr>
              <w:t xml:space="preserve">Parameters </w:t>
            </w:r>
          </w:p>
        </w:tc>
        <w:tc>
          <w:tcPr>
            <w:tcW w:w="1853"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F1DC2A9" w14:textId="77777777" w:rsidR="00567255" w:rsidRPr="00785B9C" w:rsidRDefault="00785B9C" w:rsidP="00FF1F34">
            <w:pPr>
              <w:jc w:val="center"/>
              <w:rPr>
                <w:rFonts w:asciiTheme="majorBidi" w:hAnsiTheme="majorBidi" w:cstheme="majorBidi"/>
                <w:b/>
                <w:bCs/>
                <w:lang w:bidi="ar-IQ"/>
              </w:rPr>
            </w:pPr>
            <w:r w:rsidRPr="00785B9C">
              <w:rPr>
                <w:rFonts w:asciiTheme="majorBidi" w:hAnsiTheme="majorBidi" w:cstheme="majorBidi"/>
                <w:b/>
                <w:bCs/>
                <w:lang w:bidi="ar-IQ"/>
              </w:rPr>
              <w:t>CKD patient</w:t>
            </w:r>
          </w:p>
          <w:p w14:paraId="02BDF7EE" w14:textId="33C7022C" w:rsidR="00785B9C" w:rsidRPr="00785B9C" w:rsidRDefault="00785B9C" w:rsidP="00FF1F34">
            <w:pPr>
              <w:jc w:val="center"/>
              <w:rPr>
                <w:rFonts w:asciiTheme="majorBidi" w:hAnsiTheme="majorBidi" w:cstheme="majorBidi"/>
                <w:b/>
                <w:bCs/>
                <w:lang w:bidi="ar-IQ"/>
              </w:rPr>
            </w:pPr>
            <w:r w:rsidRPr="00785B9C">
              <w:rPr>
                <w:rFonts w:asciiTheme="majorBidi" w:hAnsiTheme="majorBidi" w:cstheme="majorBidi"/>
                <w:b/>
                <w:bCs/>
                <w:lang w:bidi="ar-IQ"/>
              </w:rPr>
              <w:t>(n:40)</w:t>
            </w:r>
          </w:p>
        </w:tc>
        <w:tc>
          <w:tcPr>
            <w:tcW w:w="1802"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3F77790A" w14:textId="77777777" w:rsidR="00567255" w:rsidRPr="00785B9C" w:rsidRDefault="00785B9C" w:rsidP="00FF1F34">
            <w:pPr>
              <w:jc w:val="center"/>
              <w:rPr>
                <w:rFonts w:asciiTheme="majorBidi" w:hAnsiTheme="majorBidi" w:cstheme="majorBidi"/>
                <w:b/>
                <w:bCs/>
                <w:lang w:bidi="ar-IQ"/>
              </w:rPr>
            </w:pPr>
            <w:r w:rsidRPr="00785B9C">
              <w:rPr>
                <w:rFonts w:asciiTheme="majorBidi" w:hAnsiTheme="majorBidi" w:cstheme="majorBidi"/>
                <w:b/>
                <w:bCs/>
                <w:lang w:bidi="ar-IQ"/>
              </w:rPr>
              <w:t>Control group</w:t>
            </w:r>
          </w:p>
          <w:p w14:paraId="4CDD1065" w14:textId="6254D69E" w:rsidR="00785B9C" w:rsidRPr="00785B9C" w:rsidRDefault="00785B9C" w:rsidP="00FF1F34">
            <w:pPr>
              <w:jc w:val="center"/>
              <w:rPr>
                <w:rFonts w:asciiTheme="majorBidi" w:hAnsiTheme="majorBidi" w:cstheme="majorBidi"/>
                <w:b/>
                <w:bCs/>
                <w:lang w:bidi="ar-IQ"/>
              </w:rPr>
            </w:pPr>
            <w:r w:rsidRPr="00785B9C">
              <w:rPr>
                <w:rFonts w:asciiTheme="majorBidi" w:hAnsiTheme="majorBidi" w:cstheme="majorBidi"/>
                <w:b/>
                <w:bCs/>
                <w:lang w:bidi="ar-IQ"/>
              </w:rPr>
              <w:t>(n:40)</w:t>
            </w:r>
          </w:p>
        </w:tc>
        <w:tc>
          <w:tcPr>
            <w:tcW w:w="144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hideMark/>
          </w:tcPr>
          <w:p w14:paraId="57CACF9B" w14:textId="7FA3D75D" w:rsidR="00567255" w:rsidRDefault="00785B9C" w:rsidP="00FF1F34">
            <w:pPr>
              <w:jc w:val="center"/>
              <w:rPr>
                <w:rFonts w:asciiTheme="majorBidi" w:hAnsiTheme="majorBidi" w:cstheme="majorBidi"/>
                <w:b/>
                <w:bCs/>
                <w:sz w:val="24"/>
                <w:szCs w:val="24"/>
                <w:lang w:bidi="ar-IQ"/>
              </w:rPr>
            </w:pPr>
            <w:r w:rsidRPr="00785B9C">
              <w:rPr>
                <w:rFonts w:asciiTheme="majorBidi" w:hAnsiTheme="majorBidi" w:cstheme="majorBidi"/>
                <w:b/>
                <w:bCs/>
                <w:lang w:bidi="ar-IQ"/>
              </w:rPr>
              <w:t>P. value</w:t>
            </w:r>
          </w:p>
        </w:tc>
      </w:tr>
      <w:tr w:rsidR="00785B9C" w14:paraId="3A01D7F8" w14:textId="77777777" w:rsidTr="00785B9C">
        <w:trPr>
          <w:trHeight w:val="240"/>
        </w:trPr>
        <w:tc>
          <w:tcPr>
            <w:tcW w:w="281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FDB5474" w14:textId="03C1903C" w:rsidR="00785B9C" w:rsidRDefault="00785B9C" w:rsidP="00FF1F34">
            <w:pPr>
              <w:jc w:val="center"/>
              <w:rPr>
                <w:rFonts w:asciiTheme="majorBidi" w:hAnsiTheme="majorBidi" w:cstheme="majorBidi"/>
                <w:b/>
                <w:bCs/>
                <w:lang w:bidi="ar-IQ"/>
              </w:rPr>
            </w:pPr>
            <w:r>
              <w:rPr>
                <w:rFonts w:asciiTheme="majorBidi" w:hAnsiTheme="majorBidi" w:cstheme="majorBidi"/>
                <w:b/>
                <w:bCs/>
                <w:lang w:bidi="ar-IQ"/>
              </w:rPr>
              <w:lastRenderedPageBreak/>
              <w:t>Age (</w:t>
            </w:r>
            <w:proofErr w:type="spellStart"/>
            <w:r>
              <w:rPr>
                <w:rFonts w:asciiTheme="majorBidi" w:hAnsiTheme="majorBidi" w:cstheme="majorBidi"/>
                <w:b/>
                <w:bCs/>
                <w:lang w:bidi="ar-IQ"/>
              </w:rPr>
              <w:t>Mean±SD</w:t>
            </w:r>
            <w:proofErr w:type="spellEnd"/>
            <w:r>
              <w:rPr>
                <w:rFonts w:asciiTheme="majorBidi" w:hAnsiTheme="majorBidi" w:cstheme="majorBidi"/>
                <w:b/>
                <w:bCs/>
                <w:lang w:bidi="ar-IQ"/>
              </w:rPr>
              <w:t>)</w:t>
            </w:r>
          </w:p>
        </w:tc>
        <w:tc>
          <w:tcPr>
            <w:tcW w:w="185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C43D7E2" w14:textId="260486EC" w:rsidR="00785B9C" w:rsidRDefault="00785B9C" w:rsidP="00FF1F34">
            <w:pPr>
              <w:jc w:val="center"/>
              <w:rPr>
                <w:rFonts w:asciiTheme="majorBidi" w:hAnsiTheme="majorBidi" w:cstheme="majorBidi"/>
                <w:lang w:bidi="ar-IQ"/>
              </w:rPr>
            </w:pPr>
            <w:r>
              <w:rPr>
                <w:rFonts w:asciiTheme="majorBidi" w:hAnsiTheme="majorBidi" w:cstheme="majorBidi"/>
                <w:lang w:bidi="ar-IQ"/>
              </w:rPr>
              <w:t>51.7±3.9</w:t>
            </w:r>
          </w:p>
        </w:tc>
        <w:tc>
          <w:tcPr>
            <w:tcW w:w="1802"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61BDC8C0" w14:textId="6FBE8DFA" w:rsidR="00785B9C" w:rsidRDefault="00785B9C" w:rsidP="00FF1F34">
            <w:pPr>
              <w:jc w:val="center"/>
              <w:rPr>
                <w:rFonts w:asciiTheme="majorBidi" w:hAnsiTheme="majorBidi" w:cstheme="majorBidi"/>
                <w:lang w:bidi="ar-IQ"/>
              </w:rPr>
            </w:pPr>
            <w:r>
              <w:rPr>
                <w:rFonts w:asciiTheme="majorBidi" w:hAnsiTheme="majorBidi" w:cstheme="majorBidi"/>
                <w:lang w:bidi="ar-IQ"/>
              </w:rPr>
              <w:t>50.3±3.8</w:t>
            </w:r>
          </w:p>
        </w:tc>
        <w:tc>
          <w:tcPr>
            <w:tcW w:w="1441"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tcPr>
          <w:p w14:paraId="48CB4AD0" w14:textId="49D15B2E" w:rsidR="00785B9C" w:rsidRPr="00785B9C" w:rsidRDefault="00785B9C" w:rsidP="00FF1F34">
            <w:pPr>
              <w:jc w:val="center"/>
              <w:rPr>
                <w:rFonts w:asciiTheme="majorBidi" w:hAnsiTheme="majorBidi" w:cstheme="majorBidi"/>
                <w:lang w:bidi="ar-IQ"/>
              </w:rPr>
            </w:pPr>
            <w:r w:rsidRPr="00785B9C">
              <w:rPr>
                <w:rFonts w:asciiTheme="majorBidi" w:hAnsiTheme="majorBidi" w:cstheme="majorBidi"/>
                <w:lang w:bidi="ar-IQ"/>
              </w:rPr>
              <w:t>NS</w:t>
            </w:r>
          </w:p>
        </w:tc>
      </w:tr>
      <w:tr w:rsidR="00785B9C" w14:paraId="306C844A" w14:textId="77777777" w:rsidTr="00FF1F34">
        <w:trPr>
          <w:trHeight w:val="350"/>
        </w:trPr>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B40F978" w14:textId="77777777" w:rsidR="00785B9C" w:rsidRDefault="00785B9C" w:rsidP="00FF1F34">
            <w:pPr>
              <w:jc w:val="center"/>
              <w:rPr>
                <w:rFonts w:asciiTheme="majorBidi" w:hAnsiTheme="majorBidi" w:cstheme="majorBidi"/>
                <w:b/>
                <w:bCs/>
                <w:sz w:val="24"/>
                <w:szCs w:val="24"/>
                <w:lang w:bidi="ar-IQ"/>
              </w:rPr>
            </w:pPr>
            <w:r>
              <w:rPr>
                <w:rFonts w:asciiTheme="majorBidi" w:hAnsiTheme="majorBidi" w:cstheme="majorBidi"/>
                <w:b/>
                <w:bCs/>
                <w:lang w:bidi="ar-IQ"/>
              </w:rPr>
              <w:t>BMI</w:t>
            </w:r>
          </w:p>
        </w:tc>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AF4F01"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27.5±3.8</w:t>
            </w:r>
          </w:p>
        </w:tc>
        <w:tc>
          <w:tcPr>
            <w:tcW w:w="1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76AE1B"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27.2±4.2</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A022C5C" w14:textId="77777777" w:rsidR="00785B9C" w:rsidRPr="00785B9C" w:rsidRDefault="00785B9C" w:rsidP="00FF1F34">
            <w:pPr>
              <w:jc w:val="center"/>
              <w:rPr>
                <w:rFonts w:asciiTheme="majorBidi" w:hAnsiTheme="majorBidi" w:cstheme="majorBidi"/>
                <w:sz w:val="24"/>
                <w:szCs w:val="24"/>
                <w:lang w:bidi="ar-IQ"/>
              </w:rPr>
            </w:pPr>
            <w:r w:rsidRPr="00785B9C">
              <w:rPr>
                <w:rFonts w:asciiTheme="majorBidi" w:hAnsiTheme="majorBidi" w:cstheme="majorBidi"/>
                <w:lang w:bidi="ar-IQ"/>
              </w:rPr>
              <w:t>NS</w:t>
            </w:r>
          </w:p>
        </w:tc>
      </w:tr>
      <w:tr w:rsidR="00785B9C" w14:paraId="699C83B6" w14:textId="77777777" w:rsidTr="00FF1F34">
        <w:trPr>
          <w:trHeight w:val="323"/>
        </w:trPr>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E1BCD92" w14:textId="77777777" w:rsidR="00785B9C" w:rsidRDefault="00785B9C" w:rsidP="00FF1F34">
            <w:pPr>
              <w:jc w:val="center"/>
              <w:rPr>
                <w:rFonts w:asciiTheme="majorBidi" w:hAnsiTheme="majorBidi" w:cstheme="majorBidi"/>
                <w:b/>
                <w:bCs/>
                <w:sz w:val="24"/>
                <w:szCs w:val="24"/>
                <w:lang w:bidi="ar-IQ"/>
              </w:rPr>
            </w:pPr>
            <w:r>
              <w:rPr>
                <w:rFonts w:asciiTheme="majorBidi" w:hAnsiTheme="majorBidi" w:cstheme="majorBidi"/>
                <w:b/>
                <w:bCs/>
                <w:lang w:bidi="ar-IQ"/>
              </w:rPr>
              <w:t>Sex</w:t>
            </w:r>
          </w:p>
        </w:tc>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BAA26D8"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25 male/ 15 female</w:t>
            </w:r>
          </w:p>
        </w:tc>
        <w:tc>
          <w:tcPr>
            <w:tcW w:w="1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9A0E6E9"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24 male/ 16 female</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CC76C8F" w14:textId="77777777" w:rsidR="00785B9C" w:rsidRPr="00785B9C" w:rsidRDefault="00785B9C" w:rsidP="00FF1F34">
            <w:pPr>
              <w:jc w:val="center"/>
              <w:rPr>
                <w:rFonts w:asciiTheme="majorBidi" w:hAnsiTheme="majorBidi" w:cstheme="majorBidi"/>
                <w:sz w:val="24"/>
                <w:szCs w:val="24"/>
                <w:lang w:bidi="ar-IQ"/>
              </w:rPr>
            </w:pPr>
            <w:r w:rsidRPr="00785B9C">
              <w:rPr>
                <w:rFonts w:asciiTheme="majorBidi" w:hAnsiTheme="majorBidi" w:cstheme="majorBidi"/>
                <w:lang w:bidi="ar-IQ"/>
              </w:rPr>
              <w:t>NS</w:t>
            </w:r>
          </w:p>
        </w:tc>
      </w:tr>
      <w:tr w:rsidR="00785B9C" w14:paraId="28F00C1C" w14:textId="77777777" w:rsidTr="00FF1F34">
        <w:trPr>
          <w:trHeight w:val="143"/>
        </w:trPr>
        <w:tc>
          <w:tcPr>
            <w:tcW w:w="2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475CE2F" w14:textId="77777777" w:rsidR="00785B9C" w:rsidRDefault="00785B9C" w:rsidP="00FF1F34">
            <w:pPr>
              <w:jc w:val="center"/>
              <w:rPr>
                <w:rFonts w:asciiTheme="majorBidi" w:hAnsiTheme="majorBidi" w:cstheme="majorBidi"/>
                <w:b/>
                <w:bCs/>
                <w:sz w:val="24"/>
                <w:szCs w:val="24"/>
                <w:lang w:bidi="ar-IQ"/>
              </w:rPr>
            </w:pPr>
            <w:r>
              <w:rPr>
                <w:rFonts w:asciiTheme="majorBidi" w:hAnsiTheme="majorBidi" w:cstheme="majorBidi"/>
                <w:b/>
                <w:bCs/>
                <w:lang w:bidi="ar-IQ"/>
              </w:rPr>
              <w:t>Residence (urban)</w:t>
            </w:r>
          </w:p>
        </w:tc>
        <w:tc>
          <w:tcPr>
            <w:tcW w:w="185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673BE96"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55%</w:t>
            </w:r>
          </w:p>
        </w:tc>
        <w:tc>
          <w:tcPr>
            <w:tcW w:w="18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1634E58" w14:textId="77777777" w:rsidR="00785B9C" w:rsidRDefault="00785B9C" w:rsidP="00FF1F34">
            <w:pPr>
              <w:jc w:val="center"/>
              <w:rPr>
                <w:rFonts w:asciiTheme="majorBidi" w:hAnsiTheme="majorBidi" w:cstheme="majorBidi"/>
                <w:sz w:val="24"/>
                <w:szCs w:val="24"/>
                <w:lang w:bidi="ar-IQ"/>
              </w:rPr>
            </w:pPr>
            <w:r>
              <w:rPr>
                <w:rFonts w:asciiTheme="majorBidi" w:hAnsiTheme="majorBidi" w:cstheme="majorBidi"/>
                <w:lang w:bidi="ar-IQ"/>
              </w:rPr>
              <w:t>56%</w:t>
            </w:r>
          </w:p>
        </w:tc>
        <w:tc>
          <w:tcPr>
            <w:tcW w:w="144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9C1553F" w14:textId="77777777" w:rsidR="00785B9C" w:rsidRPr="00785B9C" w:rsidRDefault="00785B9C" w:rsidP="00FF1F34">
            <w:pPr>
              <w:jc w:val="center"/>
              <w:rPr>
                <w:rFonts w:asciiTheme="majorBidi" w:hAnsiTheme="majorBidi" w:cstheme="majorBidi"/>
                <w:sz w:val="24"/>
                <w:szCs w:val="24"/>
                <w:lang w:bidi="ar-IQ"/>
              </w:rPr>
            </w:pPr>
            <w:r w:rsidRPr="00785B9C">
              <w:rPr>
                <w:rFonts w:asciiTheme="majorBidi" w:hAnsiTheme="majorBidi" w:cstheme="majorBidi"/>
                <w:lang w:bidi="ar-IQ"/>
              </w:rPr>
              <w:t>NS</w:t>
            </w:r>
          </w:p>
        </w:tc>
      </w:tr>
    </w:tbl>
    <w:p w14:paraId="1C0D46D2" w14:textId="77777777" w:rsidR="00567255" w:rsidRDefault="00567255" w:rsidP="00567255">
      <w:pPr>
        <w:jc w:val="both"/>
        <w:rPr>
          <w:rFonts w:asciiTheme="majorBidi" w:hAnsiTheme="majorBidi" w:cstheme="majorBidi"/>
          <w:sz w:val="24"/>
          <w:szCs w:val="24"/>
          <w:lang w:bidi="ar-IQ"/>
        </w:rPr>
      </w:pPr>
    </w:p>
    <w:p w14:paraId="4462A60E" w14:textId="77777777" w:rsidR="00567255" w:rsidRDefault="00567255" w:rsidP="00567255">
      <w:pPr>
        <w:spacing w:after="240" w:line="360" w:lineRule="auto"/>
        <w:jc w:val="lowKashida"/>
        <w:rPr>
          <w:rFonts w:asciiTheme="majorBidi" w:hAnsiTheme="majorBidi" w:cstheme="majorBidi"/>
          <w:b/>
          <w:bCs/>
          <w:lang w:bidi="ar-IQ"/>
        </w:rPr>
      </w:pPr>
      <w:r>
        <w:rPr>
          <w:rFonts w:asciiTheme="majorBidi" w:hAnsiTheme="majorBidi" w:cstheme="majorBidi" w:hint="cs"/>
          <w:b/>
          <w:bCs/>
          <w:rtl/>
          <w:lang w:bidi="ar-IQ"/>
        </w:rPr>
        <w:t>3</w:t>
      </w:r>
      <w:r>
        <w:rPr>
          <w:rFonts w:asciiTheme="majorBidi" w:hAnsiTheme="majorBidi" w:cstheme="majorBidi"/>
          <w:b/>
          <w:bCs/>
          <w:lang w:bidi="ar-IQ"/>
        </w:rPr>
        <w:t>.2 Relation of Endothelin-1 with CKD</w:t>
      </w:r>
    </w:p>
    <w:p w14:paraId="178930AB" w14:textId="77777777" w:rsidR="00567255" w:rsidRDefault="00567255" w:rsidP="00567255">
      <w:pPr>
        <w:spacing w:after="240" w:line="360" w:lineRule="auto"/>
        <w:jc w:val="lowKashida"/>
        <w:rPr>
          <w:rFonts w:asciiTheme="majorBidi" w:hAnsiTheme="majorBidi" w:cstheme="majorBidi"/>
        </w:rPr>
      </w:pPr>
      <w:r>
        <w:rPr>
          <w:rFonts w:asciiTheme="majorBidi" w:hAnsiTheme="majorBidi" w:cstheme="majorBidi"/>
          <w:lang w:bidi="ar-IQ"/>
        </w:rPr>
        <w:t xml:space="preserve">The study showed that the highest mean level of </w:t>
      </w:r>
      <w:r>
        <w:rPr>
          <w:rFonts w:asciiTheme="majorBidi" w:hAnsiTheme="majorBidi" w:cstheme="majorBidi"/>
        </w:rPr>
        <w:t xml:space="preserve">endothelin-1 was found in patients with chronic renal disease (102.6±15.1 pg/ml) and the lowest mean was in the control group (39.03±5.94 pg/ml), (P&lt; </w:t>
      </w:r>
      <w:r>
        <w:rPr>
          <w:rFonts w:asciiTheme="majorBidi" w:hAnsiTheme="majorBidi" w:cstheme="majorBidi"/>
          <w:lang w:bidi="ar-IQ"/>
        </w:rPr>
        <w:t>0.01)</w:t>
      </w:r>
      <w:r>
        <w:rPr>
          <w:rFonts w:asciiTheme="majorBidi" w:hAnsiTheme="majorBidi" w:cstheme="majorBidi"/>
        </w:rPr>
        <w:t>, Table 3.2.</w:t>
      </w:r>
    </w:p>
    <w:tbl>
      <w:tblPr>
        <w:tblStyle w:val="GridTableLight"/>
        <w:tblW w:w="8130" w:type="dxa"/>
        <w:tblLayout w:type="fixed"/>
        <w:tblLook w:val="04A0" w:firstRow="1" w:lastRow="0" w:firstColumn="1" w:lastColumn="0" w:noHBand="0" w:noVBand="1"/>
      </w:tblPr>
      <w:tblGrid>
        <w:gridCol w:w="2909"/>
        <w:gridCol w:w="746"/>
        <w:gridCol w:w="1457"/>
        <w:gridCol w:w="1648"/>
        <w:gridCol w:w="1370"/>
      </w:tblGrid>
      <w:tr w:rsidR="00567255" w14:paraId="6E720F88" w14:textId="77777777" w:rsidTr="00FF1F34">
        <w:trPr>
          <w:trHeight w:val="413"/>
        </w:trPr>
        <w:tc>
          <w:tcPr>
            <w:tcW w:w="29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1CD1D6"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p>
          <w:p w14:paraId="3DAABDAF"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Studied groups</w:t>
            </w:r>
          </w:p>
        </w:tc>
        <w:tc>
          <w:tcPr>
            <w:tcW w:w="74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3BAC3A"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p>
          <w:p w14:paraId="3E4B1C1D"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N</w:t>
            </w:r>
          </w:p>
        </w:tc>
        <w:tc>
          <w:tcPr>
            <w:tcW w:w="4475"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8265B7"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p>
          <w:p w14:paraId="3F850DE0"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Endothelin-1 level (</w:t>
            </w:r>
            <w:proofErr w:type="spellStart"/>
            <w:r>
              <w:rPr>
                <w:rFonts w:asciiTheme="majorBidi" w:hAnsiTheme="majorBidi" w:cstheme="majorBidi"/>
                <w:b/>
                <w:bCs/>
                <w:color w:val="000000"/>
              </w:rPr>
              <w:t>pg</w:t>
            </w:r>
            <w:proofErr w:type="spellEnd"/>
            <w:r>
              <w:rPr>
                <w:rFonts w:asciiTheme="majorBidi" w:hAnsiTheme="majorBidi" w:cstheme="majorBidi"/>
                <w:b/>
                <w:bCs/>
                <w:color w:val="000000"/>
              </w:rPr>
              <w:t>/ml)</w:t>
            </w:r>
          </w:p>
        </w:tc>
      </w:tr>
      <w:tr w:rsidR="00567255" w14:paraId="31DAC5BA" w14:textId="77777777" w:rsidTr="00FF1F34">
        <w:trPr>
          <w:trHeight w:val="161"/>
        </w:trPr>
        <w:tc>
          <w:tcPr>
            <w:tcW w:w="29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8CAC759" w14:textId="77777777" w:rsidR="00567255" w:rsidRDefault="00567255" w:rsidP="00FF1F34">
            <w:pPr>
              <w:rPr>
                <w:rFonts w:asciiTheme="majorBidi" w:hAnsiTheme="majorBidi" w:cstheme="majorBidi"/>
                <w:b/>
                <w:bCs/>
                <w:color w:val="000000"/>
                <w:sz w:val="24"/>
                <w:szCs w:val="24"/>
              </w:rPr>
            </w:pPr>
          </w:p>
        </w:tc>
        <w:tc>
          <w:tcPr>
            <w:tcW w:w="746"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4E6D63" w14:textId="77777777" w:rsidR="00567255" w:rsidRDefault="00567255" w:rsidP="00FF1F34">
            <w:pPr>
              <w:rPr>
                <w:rFonts w:asciiTheme="majorBidi" w:hAnsiTheme="majorBidi" w:cstheme="majorBidi"/>
                <w:b/>
                <w:bCs/>
                <w:color w:val="000000"/>
                <w:sz w:val="24"/>
                <w:szCs w:val="24"/>
              </w:rPr>
            </w:pP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C73075"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Mean</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99AA28A"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SD</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5A5E26"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SE Mean</w:t>
            </w:r>
          </w:p>
        </w:tc>
      </w:tr>
      <w:tr w:rsidR="00567255" w14:paraId="235CDDA9" w14:textId="77777777" w:rsidTr="00FF1F34">
        <w:trPr>
          <w:trHeight w:val="197"/>
        </w:trPr>
        <w:tc>
          <w:tcPr>
            <w:tcW w:w="2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E03608"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 xml:space="preserve">  CKD</w:t>
            </w:r>
          </w:p>
        </w:tc>
        <w:tc>
          <w:tcPr>
            <w:tcW w:w="7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48592FF"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40</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364FC0E"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102.6</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4268080"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15.1</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1C790F"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8.5</w:t>
            </w:r>
          </w:p>
        </w:tc>
      </w:tr>
      <w:tr w:rsidR="00567255" w14:paraId="185C693C" w14:textId="77777777" w:rsidTr="00FF1F34">
        <w:trPr>
          <w:trHeight w:val="233"/>
        </w:trPr>
        <w:tc>
          <w:tcPr>
            <w:tcW w:w="29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CB0727D"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Control group</w:t>
            </w:r>
          </w:p>
        </w:tc>
        <w:tc>
          <w:tcPr>
            <w:tcW w:w="7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824F3EF"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40</w:t>
            </w:r>
          </w:p>
        </w:tc>
        <w:tc>
          <w:tcPr>
            <w:tcW w:w="145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CAEFF74"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39.03</w:t>
            </w:r>
          </w:p>
        </w:tc>
        <w:tc>
          <w:tcPr>
            <w:tcW w:w="16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8AC0A3"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5.94</w:t>
            </w:r>
          </w:p>
        </w:tc>
        <w:tc>
          <w:tcPr>
            <w:tcW w:w="13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60CE93B"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1.1</w:t>
            </w:r>
          </w:p>
        </w:tc>
      </w:tr>
      <w:tr w:rsidR="00567255" w14:paraId="5B8E6A62" w14:textId="77777777" w:rsidTr="00FF1F34">
        <w:trPr>
          <w:trHeight w:val="248"/>
        </w:trPr>
        <w:tc>
          <w:tcPr>
            <w:tcW w:w="813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C3DD7D9" w14:textId="77777777" w:rsidR="00567255" w:rsidRDefault="00567255" w:rsidP="00FF1F34">
            <w:pPr>
              <w:autoSpaceDE w:val="0"/>
              <w:autoSpaceDN w:val="0"/>
              <w:adjustRightInd w:val="0"/>
              <w:spacing w:after="96"/>
              <w:jc w:val="center"/>
              <w:rPr>
                <w:rFonts w:asciiTheme="majorBidi" w:hAnsiTheme="majorBidi" w:cstheme="majorBidi"/>
                <w:b/>
                <w:bCs/>
                <w:color w:val="056EB2"/>
                <w:sz w:val="24"/>
                <w:szCs w:val="24"/>
              </w:rPr>
            </w:pPr>
            <w:r>
              <w:rPr>
                <w:rFonts w:asciiTheme="majorBidi" w:hAnsiTheme="majorBidi" w:cstheme="majorBidi"/>
                <w:b/>
                <w:bCs/>
                <w:color w:val="000000" w:themeColor="text1"/>
              </w:rPr>
              <w:t>P. value: 0.001</w:t>
            </w:r>
          </w:p>
        </w:tc>
      </w:tr>
    </w:tbl>
    <w:p w14:paraId="0194278B" w14:textId="77777777" w:rsidR="00567255" w:rsidRDefault="00567255" w:rsidP="00567255">
      <w:pPr>
        <w:jc w:val="both"/>
        <w:rPr>
          <w:rFonts w:asciiTheme="majorBidi" w:hAnsiTheme="majorBidi" w:cstheme="majorBidi"/>
          <w:sz w:val="24"/>
          <w:szCs w:val="24"/>
          <w:lang w:bidi="ar-IQ"/>
        </w:rPr>
      </w:pPr>
    </w:p>
    <w:p w14:paraId="2BBDAF3A" w14:textId="77777777" w:rsidR="00567255" w:rsidRDefault="00567255" w:rsidP="00567255">
      <w:pPr>
        <w:spacing w:after="240" w:line="360" w:lineRule="auto"/>
        <w:jc w:val="lowKashida"/>
        <w:rPr>
          <w:rFonts w:asciiTheme="majorBidi" w:hAnsiTheme="majorBidi" w:cstheme="majorBidi"/>
          <w:b/>
          <w:bCs/>
          <w:lang w:bidi="ar-IQ"/>
        </w:rPr>
      </w:pPr>
      <w:r>
        <w:rPr>
          <w:rFonts w:asciiTheme="majorBidi" w:hAnsiTheme="majorBidi" w:cstheme="majorBidi"/>
          <w:b/>
          <w:bCs/>
          <w:lang w:bidi="ar-IQ"/>
        </w:rPr>
        <w:t xml:space="preserve">3.3 Level of </w:t>
      </w:r>
      <w:r>
        <w:rPr>
          <w:rFonts w:asciiTheme="majorBidi" w:hAnsiTheme="majorBidi" w:cstheme="majorBidi"/>
          <w:b/>
          <w:bCs/>
        </w:rPr>
        <w:t>Malondialdehyde (MDA)</w:t>
      </w:r>
      <w:r>
        <w:rPr>
          <w:rFonts w:asciiTheme="majorBidi" w:hAnsiTheme="majorBidi" w:cstheme="majorBidi"/>
          <w:b/>
          <w:bCs/>
          <w:lang w:bidi="ar-IQ"/>
        </w:rPr>
        <w:t xml:space="preserve"> in </w:t>
      </w:r>
      <w:r>
        <w:rPr>
          <w:rFonts w:asciiTheme="majorBidi" w:hAnsiTheme="majorBidi" w:cstheme="majorBidi"/>
          <w:b/>
          <w:bCs/>
        </w:rPr>
        <w:t>Patients with CKD and The Control Group.</w:t>
      </w:r>
    </w:p>
    <w:p w14:paraId="15EE4459" w14:textId="4A8EBCC3" w:rsidR="00567255" w:rsidRDefault="00567255" w:rsidP="008F2D68">
      <w:pPr>
        <w:spacing w:after="240"/>
        <w:jc w:val="lowKashida"/>
        <w:rPr>
          <w:rFonts w:asciiTheme="majorBidi" w:hAnsiTheme="majorBidi" w:cstheme="majorBidi"/>
        </w:rPr>
      </w:pPr>
      <w:r>
        <w:rPr>
          <w:rFonts w:asciiTheme="majorBidi" w:hAnsiTheme="majorBidi" w:cstheme="majorBidi"/>
          <w:lang w:bidi="ar-IQ"/>
        </w:rPr>
        <w:t xml:space="preserve">The study showed that the highest mean level of </w:t>
      </w:r>
      <w:r>
        <w:rPr>
          <w:rFonts w:asciiTheme="majorBidi" w:hAnsiTheme="majorBidi" w:cstheme="majorBidi"/>
        </w:rPr>
        <w:t xml:space="preserve">MDA was found in patients with chronic renal disease (12.03±3.94 nmol/ml) and the lowest mean was recorded in the control group (7.56±2.25nmol/ml), (P&lt;  </w:t>
      </w:r>
      <w:r>
        <w:rPr>
          <w:rFonts w:asciiTheme="majorBidi" w:hAnsiTheme="majorBidi" w:cstheme="majorBidi"/>
          <w:lang w:bidi="ar-IQ"/>
        </w:rPr>
        <w:t>0.01)</w:t>
      </w:r>
      <w:r>
        <w:rPr>
          <w:rFonts w:asciiTheme="majorBidi" w:hAnsiTheme="majorBidi" w:cstheme="majorBidi"/>
        </w:rPr>
        <w:t>, Table 3.3</w:t>
      </w:r>
    </w:p>
    <w:tbl>
      <w:tblPr>
        <w:tblStyle w:val="GridTableLight"/>
        <w:tblW w:w="7453" w:type="dxa"/>
        <w:tblLook w:val="04A0" w:firstRow="1" w:lastRow="0" w:firstColumn="1" w:lastColumn="0" w:noHBand="0" w:noVBand="1"/>
      </w:tblPr>
      <w:tblGrid>
        <w:gridCol w:w="3074"/>
        <w:gridCol w:w="777"/>
        <w:gridCol w:w="992"/>
        <w:gridCol w:w="990"/>
        <w:gridCol w:w="1620"/>
      </w:tblGrid>
      <w:tr w:rsidR="00567255" w14:paraId="0171D9FD" w14:textId="77777777" w:rsidTr="00FF1F34">
        <w:trPr>
          <w:trHeight w:val="305"/>
        </w:trPr>
        <w:tc>
          <w:tcPr>
            <w:tcW w:w="307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C0D479" w14:textId="77777777" w:rsidR="00567255" w:rsidRDefault="00567255" w:rsidP="00FF1F34">
            <w:pPr>
              <w:autoSpaceDE w:val="0"/>
              <w:autoSpaceDN w:val="0"/>
              <w:adjustRightInd w:val="0"/>
              <w:jc w:val="center"/>
              <w:rPr>
                <w:rFonts w:asciiTheme="majorBidi" w:hAnsiTheme="majorBidi" w:cstheme="majorBidi"/>
                <w:b/>
                <w:bCs/>
                <w:color w:val="000000"/>
              </w:rPr>
            </w:pPr>
          </w:p>
          <w:p w14:paraId="30A408C0"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Studied groups</w:t>
            </w:r>
          </w:p>
        </w:tc>
        <w:tc>
          <w:tcPr>
            <w:tcW w:w="77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F08771" w14:textId="77777777" w:rsidR="00567255" w:rsidRDefault="00567255" w:rsidP="00FF1F34">
            <w:pPr>
              <w:autoSpaceDE w:val="0"/>
              <w:autoSpaceDN w:val="0"/>
              <w:adjustRightInd w:val="0"/>
              <w:rPr>
                <w:rFonts w:asciiTheme="majorBidi" w:hAnsiTheme="majorBidi" w:cstheme="majorBidi"/>
                <w:b/>
                <w:bCs/>
                <w:color w:val="000000"/>
                <w:sz w:val="24"/>
                <w:szCs w:val="24"/>
              </w:rPr>
            </w:pPr>
          </w:p>
          <w:p w14:paraId="6988BDC9" w14:textId="77777777" w:rsidR="00567255" w:rsidRDefault="00567255" w:rsidP="00FF1F34">
            <w:pPr>
              <w:autoSpaceDE w:val="0"/>
              <w:autoSpaceDN w:val="0"/>
              <w:adjustRightInd w:val="0"/>
              <w:rPr>
                <w:rFonts w:asciiTheme="majorBidi" w:hAnsiTheme="majorBidi" w:cstheme="majorBidi"/>
                <w:b/>
                <w:bCs/>
                <w:color w:val="000000"/>
              </w:rPr>
            </w:pPr>
          </w:p>
          <w:p w14:paraId="3DE5A9A7"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N</w:t>
            </w:r>
          </w:p>
        </w:tc>
        <w:tc>
          <w:tcPr>
            <w:tcW w:w="360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AA3925" w14:textId="77777777" w:rsidR="00567255" w:rsidRDefault="00567255" w:rsidP="00FF1F34">
            <w:pPr>
              <w:autoSpaceDE w:val="0"/>
              <w:autoSpaceDN w:val="0"/>
              <w:adjustRightInd w:val="0"/>
              <w:rPr>
                <w:rFonts w:asciiTheme="majorBidi" w:hAnsiTheme="majorBidi" w:cstheme="majorBidi"/>
                <w:b/>
                <w:bCs/>
                <w:color w:val="000000"/>
                <w:sz w:val="24"/>
                <w:szCs w:val="24"/>
              </w:rPr>
            </w:pPr>
          </w:p>
          <w:p w14:paraId="535F133C"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MDA level (</w:t>
            </w:r>
            <w:proofErr w:type="spellStart"/>
            <w:r>
              <w:rPr>
                <w:rFonts w:asciiTheme="majorBidi" w:hAnsiTheme="majorBidi" w:cstheme="majorBidi"/>
                <w:b/>
                <w:bCs/>
                <w:color w:val="000000"/>
              </w:rPr>
              <w:t>nmol</w:t>
            </w:r>
            <w:proofErr w:type="spellEnd"/>
            <w:r>
              <w:rPr>
                <w:rFonts w:asciiTheme="majorBidi" w:hAnsiTheme="majorBidi" w:cstheme="majorBidi"/>
                <w:b/>
                <w:bCs/>
                <w:color w:val="000000"/>
              </w:rPr>
              <w:t>/ml)</w:t>
            </w:r>
          </w:p>
        </w:tc>
      </w:tr>
      <w:tr w:rsidR="00567255" w14:paraId="605A25C7" w14:textId="77777777" w:rsidTr="00FF1F34">
        <w:trPr>
          <w:trHeight w:val="31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7C475B0" w14:textId="77777777" w:rsidR="00567255" w:rsidRDefault="00567255" w:rsidP="00FF1F34">
            <w:pPr>
              <w:rPr>
                <w:rFonts w:asciiTheme="majorBidi" w:hAnsiTheme="majorBidi" w:cstheme="majorBidi"/>
                <w:b/>
                <w:bCs/>
                <w:color w:val="000000"/>
                <w:sz w:val="24"/>
                <w:szCs w:val="24"/>
              </w:rPr>
            </w:pPr>
          </w:p>
        </w:tc>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6E38BF3" w14:textId="77777777" w:rsidR="00567255" w:rsidRDefault="00567255" w:rsidP="00FF1F34">
            <w:pPr>
              <w:rPr>
                <w:rFonts w:asciiTheme="majorBidi" w:hAnsiTheme="majorBidi" w:cstheme="majorBidi"/>
                <w:b/>
                <w:bCs/>
                <w:color w:val="000000"/>
                <w:sz w:val="24"/>
                <w:szCs w:val="24"/>
              </w:rPr>
            </w:pP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27CB24C"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Mean</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4D0D49A"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SD</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7908FA" w14:textId="77777777" w:rsidR="00567255" w:rsidRDefault="00567255" w:rsidP="00FF1F34">
            <w:pPr>
              <w:autoSpaceDE w:val="0"/>
              <w:autoSpaceDN w:val="0"/>
              <w:adjustRightInd w:val="0"/>
              <w:jc w:val="center"/>
              <w:rPr>
                <w:rFonts w:asciiTheme="majorBidi" w:hAnsiTheme="majorBidi" w:cstheme="majorBidi"/>
                <w:b/>
                <w:bCs/>
                <w:color w:val="000000"/>
                <w:sz w:val="24"/>
                <w:szCs w:val="24"/>
              </w:rPr>
            </w:pPr>
            <w:r>
              <w:rPr>
                <w:rFonts w:asciiTheme="majorBidi" w:hAnsiTheme="majorBidi" w:cstheme="majorBidi"/>
                <w:b/>
                <w:bCs/>
                <w:color w:val="000000"/>
              </w:rPr>
              <w:t>SE Mean</w:t>
            </w:r>
          </w:p>
        </w:tc>
      </w:tr>
      <w:tr w:rsidR="00567255" w14:paraId="59580A07" w14:textId="77777777" w:rsidTr="00FF1F34">
        <w:trPr>
          <w:trHeight w:val="260"/>
        </w:trPr>
        <w:tc>
          <w:tcPr>
            <w:tcW w:w="3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D681DA7"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CKD</w:t>
            </w:r>
          </w:p>
        </w:tc>
        <w:tc>
          <w:tcPr>
            <w:tcW w:w="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46921F"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40</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4606BE2"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12.03</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2176E8E"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3.94</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7F912ED"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1.1</w:t>
            </w:r>
          </w:p>
        </w:tc>
      </w:tr>
      <w:tr w:rsidR="00567255" w14:paraId="536D34F6" w14:textId="77777777" w:rsidTr="00FF1F34">
        <w:trPr>
          <w:trHeight w:val="269"/>
        </w:trPr>
        <w:tc>
          <w:tcPr>
            <w:tcW w:w="307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859905"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Control group</w:t>
            </w:r>
          </w:p>
        </w:tc>
        <w:tc>
          <w:tcPr>
            <w:tcW w:w="7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D4C0C91"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40</w:t>
            </w:r>
          </w:p>
        </w:tc>
        <w:tc>
          <w:tcPr>
            <w:tcW w:w="99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98ACF8D"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7.56</w:t>
            </w:r>
          </w:p>
        </w:tc>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D490288"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2.25</w:t>
            </w:r>
          </w:p>
        </w:tc>
        <w:tc>
          <w:tcPr>
            <w:tcW w:w="16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F2D89F" w14:textId="77777777" w:rsidR="00567255" w:rsidRDefault="00567255" w:rsidP="00FF1F34">
            <w:pPr>
              <w:autoSpaceDE w:val="0"/>
              <w:autoSpaceDN w:val="0"/>
              <w:adjustRightInd w:val="0"/>
              <w:jc w:val="center"/>
              <w:rPr>
                <w:rFonts w:asciiTheme="majorBidi" w:hAnsiTheme="majorBidi" w:cstheme="majorBidi"/>
                <w:color w:val="000000"/>
                <w:sz w:val="24"/>
                <w:szCs w:val="24"/>
              </w:rPr>
            </w:pPr>
            <w:r>
              <w:rPr>
                <w:rFonts w:asciiTheme="majorBidi" w:hAnsiTheme="majorBidi" w:cstheme="majorBidi"/>
                <w:color w:val="000000"/>
              </w:rPr>
              <w:t>0.80</w:t>
            </w:r>
          </w:p>
        </w:tc>
      </w:tr>
    </w:tbl>
    <w:p w14:paraId="1F959C1C" w14:textId="77777777" w:rsidR="00567255" w:rsidRDefault="00567255" w:rsidP="00567255">
      <w:pPr>
        <w:jc w:val="both"/>
        <w:rPr>
          <w:rFonts w:asciiTheme="majorBidi" w:hAnsiTheme="majorBidi" w:cstheme="majorBidi"/>
          <w:sz w:val="24"/>
          <w:szCs w:val="24"/>
          <w:lang w:bidi="ar-IQ"/>
        </w:rPr>
      </w:pPr>
    </w:p>
    <w:p w14:paraId="49929060" w14:textId="77777777" w:rsidR="00567255" w:rsidRDefault="00567255" w:rsidP="00567255">
      <w:pPr>
        <w:spacing w:after="240" w:line="360" w:lineRule="auto"/>
        <w:jc w:val="lowKashida"/>
        <w:rPr>
          <w:rFonts w:asciiTheme="majorBidi" w:hAnsiTheme="majorBidi" w:cstheme="majorBidi"/>
          <w:b/>
          <w:bCs/>
          <w:lang w:bidi="ar-IQ"/>
        </w:rPr>
      </w:pPr>
      <w:r>
        <w:rPr>
          <w:rFonts w:asciiTheme="majorBidi" w:hAnsiTheme="majorBidi" w:cstheme="majorBidi"/>
          <w:b/>
          <w:bCs/>
          <w:lang w:bidi="ar-IQ"/>
        </w:rPr>
        <w:t>3.4 Relation of ET-1 with Age of CKD Patients</w:t>
      </w:r>
    </w:p>
    <w:p w14:paraId="16B9812E" w14:textId="77777777" w:rsidR="00567255" w:rsidRDefault="00567255" w:rsidP="00567255">
      <w:pPr>
        <w:spacing w:after="240"/>
        <w:jc w:val="lowKashida"/>
        <w:rPr>
          <w:rFonts w:asciiTheme="majorBidi" w:hAnsiTheme="majorBidi" w:cstheme="majorBidi"/>
          <w:lang w:bidi="ar-IQ"/>
        </w:rPr>
      </w:pPr>
      <w:r>
        <w:rPr>
          <w:rFonts w:asciiTheme="majorBidi" w:hAnsiTheme="majorBidi" w:cstheme="majorBidi"/>
          <w:lang w:bidi="ar-IQ"/>
        </w:rPr>
        <w:t>The current study showed that the mean age of patients enrolled in the study was 51.7 years, the highest mean of endothelin-1  in HD patients was recorded within the age group &gt;50 year (P&lt;0.05), Table 3.4.</w:t>
      </w:r>
    </w:p>
    <w:tbl>
      <w:tblPr>
        <w:tblStyle w:val="a5"/>
        <w:tblW w:w="7470" w:type="dxa"/>
        <w:tblLayout w:type="fixed"/>
        <w:tblLook w:val="04A0" w:firstRow="1" w:lastRow="0" w:firstColumn="1" w:lastColumn="0" w:noHBand="0" w:noVBand="1"/>
      </w:tblPr>
      <w:tblGrid>
        <w:gridCol w:w="1350"/>
        <w:gridCol w:w="900"/>
        <w:gridCol w:w="5220"/>
      </w:tblGrid>
      <w:tr w:rsidR="00567255" w14:paraId="38575ED5" w14:textId="77777777" w:rsidTr="00FF1F34">
        <w:trPr>
          <w:trHeight w:val="242"/>
        </w:trPr>
        <w:tc>
          <w:tcPr>
            <w:tcW w:w="1350" w:type="dxa"/>
            <w:vMerge w:val="restart"/>
            <w:tcBorders>
              <w:top w:val="single" w:sz="4" w:space="0" w:color="auto"/>
              <w:left w:val="single" w:sz="4" w:space="0" w:color="auto"/>
              <w:bottom w:val="single" w:sz="4" w:space="0" w:color="auto"/>
              <w:right w:val="single" w:sz="4" w:space="0" w:color="auto"/>
            </w:tcBorders>
          </w:tcPr>
          <w:p w14:paraId="659D6E11" w14:textId="77777777" w:rsidR="00567255" w:rsidRPr="00CB66E6" w:rsidRDefault="00567255" w:rsidP="00FF1F34">
            <w:pPr>
              <w:jc w:val="center"/>
              <w:rPr>
                <w:rFonts w:asciiTheme="majorBidi" w:hAnsiTheme="majorBidi" w:cstheme="majorBidi"/>
                <w:b/>
                <w:bCs/>
                <w:sz w:val="20"/>
                <w:szCs w:val="20"/>
                <w:lang w:bidi="ar-IQ"/>
              </w:rPr>
            </w:pPr>
          </w:p>
          <w:p w14:paraId="63947065" w14:textId="77777777" w:rsidR="00567255" w:rsidRPr="00CB66E6" w:rsidRDefault="00567255" w:rsidP="00FF1F34">
            <w:pPr>
              <w:jc w:val="center"/>
              <w:rPr>
                <w:rFonts w:asciiTheme="majorBidi" w:hAnsiTheme="majorBidi" w:cstheme="majorBidi"/>
                <w:b/>
                <w:bCs/>
                <w:sz w:val="20"/>
                <w:szCs w:val="20"/>
                <w:lang w:bidi="ar-IQ"/>
              </w:rPr>
            </w:pPr>
          </w:p>
          <w:p w14:paraId="50A8B3F3" w14:textId="77777777" w:rsidR="00567255" w:rsidRPr="00CB66E6" w:rsidRDefault="00567255" w:rsidP="00FF1F34">
            <w:pPr>
              <w:jc w:val="center"/>
              <w:rPr>
                <w:rFonts w:asciiTheme="majorBidi" w:hAnsiTheme="majorBidi" w:cstheme="majorBidi"/>
                <w:b/>
                <w:bCs/>
                <w:sz w:val="20"/>
                <w:szCs w:val="20"/>
                <w:lang w:bidi="ar-IQ"/>
              </w:rPr>
            </w:pPr>
            <w:r w:rsidRPr="00CB66E6">
              <w:rPr>
                <w:rFonts w:asciiTheme="majorBidi" w:hAnsiTheme="majorBidi" w:cstheme="majorBidi"/>
                <w:b/>
                <w:bCs/>
                <w:sz w:val="20"/>
                <w:szCs w:val="20"/>
                <w:lang w:bidi="ar-IQ"/>
              </w:rPr>
              <w:t>Age groups (years)</w:t>
            </w:r>
          </w:p>
        </w:tc>
        <w:tc>
          <w:tcPr>
            <w:tcW w:w="6120" w:type="dxa"/>
            <w:gridSpan w:val="2"/>
            <w:tcBorders>
              <w:top w:val="single" w:sz="4" w:space="0" w:color="auto"/>
              <w:left w:val="single" w:sz="4" w:space="0" w:color="auto"/>
              <w:bottom w:val="single" w:sz="4" w:space="0" w:color="auto"/>
              <w:right w:val="single" w:sz="4" w:space="0" w:color="auto"/>
            </w:tcBorders>
            <w:hideMark/>
          </w:tcPr>
          <w:p w14:paraId="730C4246" w14:textId="77777777" w:rsidR="00567255" w:rsidRPr="00CB66E6" w:rsidRDefault="00567255" w:rsidP="00FF1F34">
            <w:pPr>
              <w:jc w:val="center"/>
              <w:rPr>
                <w:rFonts w:asciiTheme="majorBidi" w:hAnsiTheme="majorBidi" w:cstheme="majorBidi"/>
                <w:b/>
                <w:bCs/>
                <w:sz w:val="20"/>
                <w:szCs w:val="20"/>
                <w:lang w:bidi="ar-IQ"/>
              </w:rPr>
            </w:pPr>
            <w:proofErr w:type="spellStart"/>
            <w:r w:rsidRPr="00CB66E6">
              <w:rPr>
                <w:rFonts w:asciiTheme="majorBidi" w:hAnsiTheme="majorBidi" w:cstheme="majorBidi"/>
                <w:b/>
                <w:bCs/>
                <w:sz w:val="20"/>
                <w:szCs w:val="20"/>
              </w:rPr>
              <w:t>Endothelin</w:t>
            </w:r>
            <w:proofErr w:type="spellEnd"/>
            <w:r w:rsidRPr="00CB66E6">
              <w:rPr>
                <w:rFonts w:asciiTheme="majorBidi" w:hAnsiTheme="majorBidi" w:cstheme="majorBidi"/>
                <w:b/>
                <w:bCs/>
                <w:sz w:val="20"/>
                <w:szCs w:val="20"/>
              </w:rPr>
              <w:t xml:space="preserve"> 1 level (</w:t>
            </w:r>
            <w:proofErr w:type="spellStart"/>
            <w:r w:rsidRPr="00CB66E6">
              <w:rPr>
                <w:rFonts w:asciiTheme="majorBidi" w:hAnsiTheme="majorBidi" w:cstheme="majorBidi"/>
                <w:b/>
                <w:bCs/>
                <w:sz w:val="20"/>
                <w:szCs w:val="20"/>
              </w:rPr>
              <w:t>pg</w:t>
            </w:r>
            <w:proofErr w:type="spellEnd"/>
            <w:r w:rsidRPr="00CB66E6">
              <w:rPr>
                <w:rFonts w:asciiTheme="majorBidi" w:hAnsiTheme="majorBidi" w:cstheme="majorBidi"/>
                <w:b/>
                <w:bCs/>
                <w:sz w:val="20"/>
                <w:szCs w:val="20"/>
              </w:rPr>
              <w:t>/ml)  (</w:t>
            </w:r>
            <w:proofErr w:type="spellStart"/>
            <w:r w:rsidRPr="00CB66E6">
              <w:rPr>
                <w:rFonts w:asciiTheme="majorBidi" w:hAnsiTheme="majorBidi" w:cstheme="majorBidi"/>
                <w:b/>
                <w:bCs/>
                <w:sz w:val="20"/>
                <w:szCs w:val="20"/>
              </w:rPr>
              <w:t>Mean±SD</w:t>
            </w:r>
            <w:proofErr w:type="spellEnd"/>
            <w:r w:rsidRPr="00CB66E6">
              <w:rPr>
                <w:rFonts w:asciiTheme="majorBidi" w:hAnsiTheme="majorBidi" w:cstheme="majorBidi"/>
                <w:b/>
                <w:bCs/>
                <w:sz w:val="20"/>
                <w:szCs w:val="20"/>
              </w:rPr>
              <w:t>.)</w:t>
            </w:r>
          </w:p>
        </w:tc>
      </w:tr>
      <w:tr w:rsidR="00567255" w14:paraId="3428B0E5" w14:textId="77777777" w:rsidTr="00FF1F34">
        <w:trPr>
          <w:trHeight w:val="350"/>
        </w:trPr>
        <w:tc>
          <w:tcPr>
            <w:tcW w:w="1350" w:type="dxa"/>
            <w:vMerge/>
            <w:tcBorders>
              <w:top w:val="single" w:sz="4" w:space="0" w:color="auto"/>
              <w:left w:val="single" w:sz="4" w:space="0" w:color="auto"/>
              <w:bottom w:val="single" w:sz="4" w:space="0" w:color="auto"/>
              <w:right w:val="single" w:sz="4" w:space="0" w:color="auto"/>
            </w:tcBorders>
            <w:vAlign w:val="center"/>
            <w:hideMark/>
          </w:tcPr>
          <w:p w14:paraId="0ADDDE55" w14:textId="77777777" w:rsidR="00567255" w:rsidRPr="00CB66E6" w:rsidRDefault="00567255" w:rsidP="00FF1F34">
            <w:pPr>
              <w:rPr>
                <w:rFonts w:asciiTheme="majorBidi" w:hAnsiTheme="majorBidi" w:cstheme="majorBidi"/>
                <w:b/>
                <w:bCs/>
                <w:sz w:val="20"/>
                <w:szCs w:val="20"/>
                <w:lang w:bidi="ar-IQ"/>
              </w:rPr>
            </w:pPr>
          </w:p>
        </w:tc>
        <w:tc>
          <w:tcPr>
            <w:tcW w:w="900" w:type="dxa"/>
            <w:tcBorders>
              <w:top w:val="single" w:sz="4" w:space="0" w:color="auto"/>
              <w:left w:val="single" w:sz="4" w:space="0" w:color="auto"/>
              <w:bottom w:val="single" w:sz="4" w:space="0" w:color="auto"/>
              <w:right w:val="single" w:sz="4" w:space="0" w:color="auto"/>
            </w:tcBorders>
            <w:hideMark/>
          </w:tcPr>
          <w:p w14:paraId="7CA72B42" w14:textId="77777777" w:rsidR="00567255" w:rsidRPr="00CB66E6" w:rsidRDefault="00567255" w:rsidP="00FF1F34">
            <w:pPr>
              <w:jc w:val="center"/>
              <w:rPr>
                <w:rFonts w:asciiTheme="majorBidi" w:hAnsiTheme="majorBidi" w:cstheme="majorBidi"/>
                <w:sz w:val="20"/>
                <w:szCs w:val="20"/>
                <w:lang w:bidi="ar-IQ"/>
              </w:rPr>
            </w:pPr>
            <w:r w:rsidRPr="00CB66E6">
              <w:rPr>
                <w:rFonts w:asciiTheme="majorBidi" w:hAnsiTheme="majorBidi" w:cstheme="majorBidi"/>
                <w:sz w:val="20"/>
                <w:szCs w:val="20"/>
                <w:lang w:bidi="ar-IQ"/>
              </w:rPr>
              <w:t>No.</w:t>
            </w:r>
          </w:p>
        </w:tc>
        <w:tc>
          <w:tcPr>
            <w:tcW w:w="5220" w:type="dxa"/>
            <w:tcBorders>
              <w:top w:val="single" w:sz="4" w:space="0" w:color="auto"/>
              <w:left w:val="single" w:sz="4" w:space="0" w:color="auto"/>
              <w:bottom w:val="single" w:sz="4" w:space="0" w:color="auto"/>
              <w:right w:val="single" w:sz="4" w:space="0" w:color="auto"/>
            </w:tcBorders>
            <w:hideMark/>
          </w:tcPr>
          <w:p w14:paraId="34336EA6" w14:textId="77777777" w:rsidR="00567255" w:rsidRPr="00CB66E6" w:rsidRDefault="00567255" w:rsidP="00FF1F34">
            <w:pPr>
              <w:jc w:val="center"/>
              <w:rPr>
                <w:rFonts w:asciiTheme="majorBidi" w:hAnsiTheme="majorBidi" w:cstheme="majorBidi"/>
                <w:sz w:val="20"/>
                <w:szCs w:val="20"/>
                <w:lang w:bidi="ar-IQ"/>
              </w:rPr>
            </w:pPr>
            <w:r w:rsidRPr="00CB66E6">
              <w:rPr>
                <w:rFonts w:asciiTheme="majorBidi" w:hAnsiTheme="majorBidi" w:cstheme="majorBidi"/>
                <w:sz w:val="20"/>
                <w:szCs w:val="20"/>
                <w:lang w:bidi="ar-IQ"/>
              </w:rPr>
              <w:t>Chronic renal disease (n:30)</w:t>
            </w:r>
          </w:p>
        </w:tc>
      </w:tr>
      <w:tr w:rsidR="00567255" w14:paraId="65D36998" w14:textId="77777777" w:rsidTr="00FF1F34">
        <w:trPr>
          <w:trHeight w:val="269"/>
        </w:trPr>
        <w:tc>
          <w:tcPr>
            <w:tcW w:w="1350" w:type="dxa"/>
            <w:tcBorders>
              <w:top w:val="single" w:sz="4" w:space="0" w:color="auto"/>
              <w:left w:val="single" w:sz="4" w:space="0" w:color="auto"/>
              <w:bottom w:val="single" w:sz="4" w:space="0" w:color="auto"/>
              <w:right w:val="single" w:sz="4" w:space="0" w:color="auto"/>
            </w:tcBorders>
            <w:hideMark/>
          </w:tcPr>
          <w:p w14:paraId="18170BD3" w14:textId="77777777" w:rsidR="00567255" w:rsidRPr="00CB66E6" w:rsidRDefault="00567255" w:rsidP="00FF1F34">
            <w:pPr>
              <w:jc w:val="center"/>
              <w:rPr>
                <w:rFonts w:asciiTheme="majorBidi" w:hAnsiTheme="majorBidi" w:cstheme="majorBidi"/>
                <w:b/>
                <w:bCs/>
                <w:sz w:val="20"/>
                <w:szCs w:val="20"/>
                <w:lang w:bidi="ar-IQ"/>
              </w:rPr>
            </w:pPr>
            <w:r w:rsidRPr="00CB66E6">
              <w:rPr>
                <w:rFonts w:asciiTheme="majorBidi" w:hAnsiTheme="majorBidi" w:cstheme="majorBidi"/>
                <w:b/>
                <w:bCs/>
                <w:sz w:val="20"/>
                <w:szCs w:val="20"/>
                <w:lang w:bidi="ar-IQ"/>
              </w:rPr>
              <w:t>&lt;30</w:t>
            </w:r>
          </w:p>
        </w:tc>
        <w:tc>
          <w:tcPr>
            <w:tcW w:w="900" w:type="dxa"/>
            <w:tcBorders>
              <w:top w:val="single" w:sz="4" w:space="0" w:color="auto"/>
              <w:left w:val="single" w:sz="4" w:space="0" w:color="auto"/>
              <w:bottom w:val="single" w:sz="4" w:space="0" w:color="auto"/>
              <w:right w:val="single" w:sz="4" w:space="0" w:color="auto"/>
            </w:tcBorders>
            <w:hideMark/>
          </w:tcPr>
          <w:p w14:paraId="472D4DD5"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8</w:t>
            </w:r>
          </w:p>
        </w:tc>
        <w:tc>
          <w:tcPr>
            <w:tcW w:w="5220" w:type="dxa"/>
            <w:tcBorders>
              <w:top w:val="single" w:sz="4" w:space="0" w:color="auto"/>
              <w:left w:val="single" w:sz="4" w:space="0" w:color="auto"/>
              <w:bottom w:val="single" w:sz="4" w:space="0" w:color="auto"/>
              <w:right w:val="single" w:sz="4" w:space="0" w:color="auto"/>
            </w:tcBorders>
            <w:hideMark/>
          </w:tcPr>
          <w:p w14:paraId="300FB65A"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88.5±22.5</w:t>
            </w:r>
          </w:p>
        </w:tc>
      </w:tr>
      <w:tr w:rsidR="00567255" w14:paraId="3BC19D8B" w14:textId="77777777" w:rsidTr="00FF1F34">
        <w:trPr>
          <w:trHeight w:val="161"/>
        </w:trPr>
        <w:tc>
          <w:tcPr>
            <w:tcW w:w="1350" w:type="dxa"/>
            <w:tcBorders>
              <w:top w:val="single" w:sz="4" w:space="0" w:color="auto"/>
              <w:left w:val="single" w:sz="4" w:space="0" w:color="auto"/>
              <w:bottom w:val="single" w:sz="4" w:space="0" w:color="auto"/>
              <w:right w:val="single" w:sz="4" w:space="0" w:color="auto"/>
            </w:tcBorders>
            <w:hideMark/>
          </w:tcPr>
          <w:p w14:paraId="7A86D052" w14:textId="77777777" w:rsidR="00567255" w:rsidRPr="00CB66E6" w:rsidRDefault="00567255" w:rsidP="00FF1F34">
            <w:pPr>
              <w:jc w:val="center"/>
              <w:rPr>
                <w:rFonts w:asciiTheme="majorBidi" w:hAnsiTheme="majorBidi" w:cstheme="majorBidi"/>
                <w:b/>
                <w:bCs/>
                <w:sz w:val="20"/>
                <w:szCs w:val="20"/>
                <w:lang w:bidi="ar-IQ"/>
              </w:rPr>
            </w:pPr>
            <w:r w:rsidRPr="00CB66E6">
              <w:rPr>
                <w:rFonts w:asciiTheme="majorBidi" w:hAnsiTheme="majorBidi" w:cstheme="majorBidi"/>
                <w:b/>
                <w:bCs/>
                <w:sz w:val="20"/>
                <w:szCs w:val="20"/>
                <w:lang w:bidi="ar-IQ"/>
              </w:rPr>
              <w:t>30-50</w:t>
            </w:r>
          </w:p>
        </w:tc>
        <w:tc>
          <w:tcPr>
            <w:tcW w:w="900" w:type="dxa"/>
            <w:tcBorders>
              <w:top w:val="single" w:sz="4" w:space="0" w:color="auto"/>
              <w:left w:val="single" w:sz="4" w:space="0" w:color="auto"/>
              <w:bottom w:val="single" w:sz="4" w:space="0" w:color="auto"/>
              <w:right w:val="single" w:sz="4" w:space="0" w:color="auto"/>
            </w:tcBorders>
            <w:hideMark/>
          </w:tcPr>
          <w:p w14:paraId="20F2CD68"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18</w:t>
            </w:r>
          </w:p>
        </w:tc>
        <w:tc>
          <w:tcPr>
            <w:tcW w:w="5220" w:type="dxa"/>
            <w:tcBorders>
              <w:top w:val="single" w:sz="4" w:space="0" w:color="auto"/>
              <w:left w:val="single" w:sz="4" w:space="0" w:color="auto"/>
              <w:bottom w:val="single" w:sz="4" w:space="0" w:color="auto"/>
              <w:right w:val="single" w:sz="4" w:space="0" w:color="auto"/>
            </w:tcBorders>
            <w:hideMark/>
          </w:tcPr>
          <w:p w14:paraId="1DBECCC0"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109.1±31.5</w:t>
            </w:r>
          </w:p>
        </w:tc>
      </w:tr>
      <w:tr w:rsidR="00567255" w14:paraId="6066DB15" w14:textId="77777777" w:rsidTr="00FF1F34">
        <w:trPr>
          <w:trHeight w:val="137"/>
        </w:trPr>
        <w:tc>
          <w:tcPr>
            <w:tcW w:w="1350" w:type="dxa"/>
            <w:tcBorders>
              <w:top w:val="single" w:sz="4" w:space="0" w:color="auto"/>
              <w:left w:val="single" w:sz="4" w:space="0" w:color="auto"/>
              <w:bottom w:val="single" w:sz="4" w:space="0" w:color="auto"/>
              <w:right w:val="single" w:sz="4" w:space="0" w:color="auto"/>
            </w:tcBorders>
            <w:hideMark/>
          </w:tcPr>
          <w:p w14:paraId="0DC5B564" w14:textId="77777777" w:rsidR="00567255" w:rsidRPr="00CB66E6" w:rsidRDefault="00567255" w:rsidP="00FF1F34">
            <w:pPr>
              <w:jc w:val="center"/>
              <w:rPr>
                <w:rFonts w:asciiTheme="majorBidi" w:hAnsiTheme="majorBidi" w:cstheme="majorBidi"/>
                <w:b/>
                <w:bCs/>
                <w:sz w:val="20"/>
                <w:szCs w:val="20"/>
                <w:lang w:bidi="ar-IQ"/>
              </w:rPr>
            </w:pPr>
            <w:r w:rsidRPr="00CB66E6">
              <w:rPr>
                <w:rFonts w:asciiTheme="majorBidi" w:hAnsiTheme="majorBidi" w:cstheme="majorBidi"/>
                <w:b/>
                <w:bCs/>
                <w:sz w:val="20"/>
                <w:szCs w:val="20"/>
                <w:lang w:bidi="ar-IQ"/>
              </w:rPr>
              <w:t>&gt;50</w:t>
            </w:r>
          </w:p>
        </w:tc>
        <w:tc>
          <w:tcPr>
            <w:tcW w:w="900" w:type="dxa"/>
            <w:tcBorders>
              <w:top w:val="single" w:sz="4" w:space="0" w:color="auto"/>
              <w:left w:val="single" w:sz="4" w:space="0" w:color="auto"/>
              <w:bottom w:val="single" w:sz="4" w:space="0" w:color="auto"/>
              <w:right w:val="single" w:sz="4" w:space="0" w:color="auto"/>
            </w:tcBorders>
            <w:hideMark/>
          </w:tcPr>
          <w:p w14:paraId="74CC7346"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14</w:t>
            </w:r>
          </w:p>
        </w:tc>
        <w:tc>
          <w:tcPr>
            <w:tcW w:w="5220" w:type="dxa"/>
            <w:tcBorders>
              <w:top w:val="single" w:sz="4" w:space="0" w:color="auto"/>
              <w:left w:val="single" w:sz="4" w:space="0" w:color="auto"/>
              <w:bottom w:val="single" w:sz="4" w:space="0" w:color="auto"/>
              <w:right w:val="single" w:sz="4" w:space="0" w:color="auto"/>
            </w:tcBorders>
            <w:hideMark/>
          </w:tcPr>
          <w:p w14:paraId="626F3C3D" w14:textId="77777777" w:rsidR="00567255" w:rsidRPr="00CB66E6" w:rsidRDefault="00567255" w:rsidP="00FF1F34">
            <w:pPr>
              <w:jc w:val="center"/>
              <w:rPr>
                <w:rFonts w:asciiTheme="majorBidi" w:hAnsiTheme="majorBidi" w:cstheme="majorBidi"/>
                <w:sz w:val="20"/>
                <w:szCs w:val="20"/>
              </w:rPr>
            </w:pPr>
            <w:r w:rsidRPr="00CB66E6">
              <w:rPr>
                <w:rFonts w:asciiTheme="majorBidi" w:hAnsiTheme="majorBidi" w:cstheme="majorBidi"/>
                <w:sz w:val="20"/>
                <w:szCs w:val="20"/>
              </w:rPr>
              <w:t>115.4±29.4</w:t>
            </w:r>
          </w:p>
        </w:tc>
      </w:tr>
      <w:tr w:rsidR="00567255" w14:paraId="566175F2" w14:textId="77777777" w:rsidTr="00FF1F34">
        <w:trPr>
          <w:trHeight w:val="233"/>
        </w:trPr>
        <w:tc>
          <w:tcPr>
            <w:tcW w:w="7470" w:type="dxa"/>
            <w:gridSpan w:val="3"/>
            <w:tcBorders>
              <w:top w:val="single" w:sz="4" w:space="0" w:color="auto"/>
              <w:left w:val="single" w:sz="4" w:space="0" w:color="auto"/>
              <w:bottom w:val="single" w:sz="4" w:space="0" w:color="auto"/>
              <w:right w:val="single" w:sz="4" w:space="0" w:color="auto"/>
            </w:tcBorders>
            <w:hideMark/>
          </w:tcPr>
          <w:p w14:paraId="64EF962F" w14:textId="77777777" w:rsidR="00567255" w:rsidRPr="00CB66E6" w:rsidRDefault="00567255" w:rsidP="00FF1F34">
            <w:pPr>
              <w:jc w:val="center"/>
              <w:rPr>
                <w:rFonts w:asciiTheme="majorBidi" w:hAnsiTheme="majorBidi" w:cstheme="majorBidi"/>
                <w:b/>
                <w:bCs/>
                <w:sz w:val="20"/>
                <w:szCs w:val="20"/>
                <w:lang w:bidi="ar-IQ"/>
              </w:rPr>
            </w:pPr>
            <w:r w:rsidRPr="00CB66E6">
              <w:rPr>
                <w:rFonts w:asciiTheme="majorBidi" w:hAnsiTheme="majorBidi" w:cstheme="majorBidi"/>
                <w:b/>
                <w:bCs/>
                <w:sz w:val="20"/>
                <w:szCs w:val="20"/>
                <w:lang w:bidi="ar-IQ"/>
              </w:rPr>
              <w:t xml:space="preserve">P. value: </w:t>
            </w:r>
            <w:r w:rsidRPr="00CB66E6">
              <w:rPr>
                <w:rFonts w:asciiTheme="majorBidi" w:hAnsiTheme="majorBidi" w:cstheme="majorBidi"/>
                <w:sz w:val="20"/>
                <w:szCs w:val="20"/>
                <w:lang w:bidi="ar-IQ"/>
              </w:rPr>
              <w:t>0.014</w:t>
            </w:r>
          </w:p>
        </w:tc>
      </w:tr>
    </w:tbl>
    <w:p w14:paraId="73F69BD4" w14:textId="77777777" w:rsidR="00567255" w:rsidRDefault="00567255" w:rsidP="00567255">
      <w:pPr>
        <w:jc w:val="both"/>
        <w:rPr>
          <w:rFonts w:asciiTheme="majorBidi" w:hAnsiTheme="majorBidi" w:cstheme="majorBidi"/>
          <w:sz w:val="24"/>
          <w:szCs w:val="24"/>
          <w:lang w:bidi="ar-IQ"/>
        </w:rPr>
      </w:pPr>
    </w:p>
    <w:p w14:paraId="56C508D4" w14:textId="77777777" w:rsidR="00567255" w:rsidRPr="00204989" w:rsidRDefault="00567255" w:rsidP="00567255">
      <w:pPr>
        <w:spacing w:after="240" w:line="360" w:lineRule="auto"/>
        <w:jc w:val="lowKashida"/>
        <w:rPr>
          <w:rFonts w:asciiTheme="majorBidi" w:hAnsiTheme="majorBidi" w:cstheme="majorBidi"/>
          <w:b/>
          <w:bCs/>
          <w:lang w:bidi="ar-IQ"/>
        </w:rPr>
      </w:pPr>
      <w:r w:rsidRPr="00204989">
        <w:rPr>
          <w:rFonts w:asciiTheme="majorBidi" w:hAnsiTheme="majorBidi" w:cstheme="majorBidi"/>
          <w:b/>
          <w:bCs/>
          <w:lang w:bidi="ar-IQ"/>
        </w:rPr>
        <w:t>3.5  Correlation of MDA with  ET-1 of CKD patients</w:t>
      </w:r>
    </w:p>
    <w:p w14:paraId="5FF08DBF" w14:textId="77777777" w:rsidR="00567255" w:rsidRDefault="00567255" w:rsidP="00567255">
      <w:pPr>
        <w:spacing w:after="240" w:line="360" w:lineRule="auto"/>
        <w:jc w:val="lowKashida"/>
        <w:rPr>
          <w:rFonts w:asciiTheme="majorBidi" w:hAnsiTheme="majorBidi" w:cstheme="majorBidi"/>
          <w:lang w:bidi="ar-IQ"/>
        </w:rPr>
      </w:pPr>
      <w:r w:rsidRPr="00204989">
        <w:rPr>
          <w:rFonts w:asciiTheme="majorBidi" w:hAnsiTheme="majorBidi" w:cstheme="majorBidi"/>
          <w:lang w:bidi="ar-IQ"/>
        </w:rPr>
        <w:t>The study showed significant positive correlation of MDA with ET-1</w:t>
      </w:r>
      <w:r w:rsidRPr="00204989">
        <w:rPr>
          <w:rFonts w:asciiTheme="majorBidi" w:hAnsiTheme="majorBidi" w:cstheme="majorBidi"/>
          <w:b/>
          <w:bCs/>
          <w:lang w:bidi="ar-IQ"/>
        </w:rPr>
        <w:t xml:space="preserve"> </w:t>
      </w:r>
      <w:r w:rsidRPr="00204989">
        <w:rPr>
          <w:rFonts w:asciiTheme="majorBidi" w:hAnsiTheme="majorBidi" w:cstheme="majorBidi"/>
          <w:lang w:bidi="ar-IQ"/>
        </w:rPr>
        <w:t>in CKD patients</w:t>
      </w:r>
      <w:r>
        <w:rPr>
          <w:rFonts w:asciiTheme="majorBidi" w:hAnsiTheme="majorBidi" w:cstheme="majorBidi"/>
          <w:lang w:bidi="ar-IQ"/>
        </w:rPr>
        <w:t xml:space="preserve"> (r: 0.57, P&lt;0.01), Figure 3.5</w:t>
      </w:r>
    </w:p>
    <w:p w14:paraId="2A7AC556" w14:textId="77777777" w:rsidR="00567255" w:rsidRDefault="00567255" w:rsidP="00567255">
      <w:pPr>
        <w:spacing w:after="240" w:line="360" w:lineRule="auto"/>
        <w:jc w:val="center"/>
        <w:rPr>
          <w:rFonts w:asciiTheme="majorBidi" w:hAnsiTheme="majorBidi" w:cstheme="majorBidi"/>
          <w:lang w:bidi="ar-IQ"/>
        </w:rPr>
      </w:pPr>
      <w:r>
        <w:rPr>
          <w:noProof/>
          <w:lang w:val="en-US"/>
        </w:rPr>
        <w:lastRenderedPageBreak/>
        <w:drawing>
          <wp:inline distT="0" distB="0" distL="0" distR="0" wp14:anchorId="3B2AC556" wp14:editId="25127958">
            <wp:extent cx="3990975" cy="2047875"/>
            <wp:effectExtent l="0" t="0" r="0" b="9525"/>
            <wp:docPr id="100" name="Picture 100" descr="Scatterplot of Endothelin A CKD vs MDA CKD"/>
            <wp:cNvGraphicFramePr/>
            <a:graphic xmlns:a="http://schemas.openxmlformats.org/drawingml/2006/main">
              <a:graphicData uri="http://schemas.openxmlformats.org/drawingml/2006/picture">
                <pic:pic xmlns:pic="http://schemas.openxmlformats.org/drawingml/2006/picture">
                  <pic:nvPicPr>
                    <pic:cNvPr id="100" name="Picture 100" descr="Scatterplot of Endothelin A CKD vs MDA CK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2052763"/>
                    </a:xfrm>
                    <a:prstGeom prst="rect">
                      <a:avLst/>
                    </a:prstGeom>
                    <a:noFill/>
                    <a:ln>
                      <a:noFill/>
                    </a:ln>
                  </pic:spPr>
                </pic:pic>
              </a:graphicData>
            </a:graphic>
          </wp:inline>
        </w:drawing>
      </w:r>
    </w:p>
    <w:p w14:paraId="162C44EE" w14:textId="7DE14365" w:rsidR="00761C33" w:rsidRPr="00680B72" w:rsidRDefault="00004A52" w:rsidP="00680B72">
      <w:pPr>
        <w:spacing w:after="240" w:line="360" w:lineRule="auto"/>
        <w:rPr>
          <w:rFonts w:asciiTheme="majorBidi" w:hAnsiTheme="majorBidi" w:cstheme="majorBidi"/>
          <w:sz w:val="20"/>
          <w:szCs w:val="20"/>
          <w:lang w:bidi="ar-IQ"/>
        </w:rPr>
      </w:pPr>
      <w:r w:rsidRPr="00785B9C">
        <w:rPr>
          <w:rFonts w:asciiTheme="majorBidi" w:hAnsiTheme="majorBidi" w:cstheme="majorBidi"/>
          <w:b/>
          <w:bCs/>
          <w:sz w:val="20"/>
          <w:szCs w:val="20"/>
          <w:lang w:bidi="ar-IQ"/>
        </w:rPr>
        <w:t>Figure 1.</w:t>
      </w:r>
      <w:r w:rsidRPr="00785B9C">
        <w:rPr>
          <w:rFonts w:asciiTheme="majorBidi" w:hAnsiTheme="majorBidi" w:cstheme="majorBidi"/>
          <w:sz w:val="20"/>
          <w:szCs w:val="20"/>
          <w:lang w:bidi="ar-IQ"/>
        </w:rPr>
        <w:t xml:space="preserve"> </w:t>
      </w:r>
      <w:r w:rsidRPr="00785B9C">
        <w:rPr>
          <w:rFonts w:asciiTheme="majorBidi" w:hAnsiTheme="majorBidi" w:cstheme="majorBidi"/>
          <w:sz w:val="20"/>
          <w:szCs w:val="20"/>
          <w:lang w:bidi="ar-IQ"/>
        </w:rPr>
        <w:t>Correlation of MDA with  ET-1 of CKD patients</w:t>
      </w:r>
    </w:p>
    <w:p w14:paraId="277A9BCE" w14:textId="7A2AA67D" w:rsidR="00761C33" w:rsidRDefault="00761C33" w:rsidP="00680B72">
      <w:pPr>
        <w:spacing w:after="0" w:line="23" w:lineRule="atLeast"/>
        <w:jc w:val="both"/>
        <w:rPr>
          <w:rFonts w:ascii="Times New Roman" w:hAnsi="Times New Roman" w:cs="Times New Roman"/>
          <w:b/>
          <w:sz w:val="24"/>
          <w:szCs w:val="24"/>
          <w:lang w:val="en-US" w:eastAsia="tr-TR"/>
        </w:rPr>
      </w:pPr>
      <w:r w:rsidRPr="00680B72">
        <w:rPr>
          <w:rFonts w:ascii="Times New Roman" w:hAnsi="Times New Roman" w:cs="Times New Roman"/>
          <w:b/>
          <w:sz w:val="24"/>
          <w:szCs w:val="24"/>
          <w:lang w:val="en-US" w:eastAsia="tr-TR"/>
        </w:rPr>
        <w:t xml:space="preserve">References </w:t>
      </w:r>
    </w:p>
    <w:p w14:paraId="5141FD53" w14:textId="77777777" w:rsidR="00680B72" w:rsidRPr="00680B72" w:rsidRDefault="00680B72" w:rsidP="00680B72">
      <w:pPr>
        <w:spacing w:after="0" w:line="23" w:lineRule="atLeast"/>
        <w:jc w:val="both"/>
        <w:rPr>
          <w:rFonts w:ascii="Times New Roman" w:eastAsia="Times New Roman" w:hAnsi="Times New Roman" w:cs="Times New Roman"/>
          <w:color w:val="FF0000"/>
          <w:shd w:val="clear" w:color="auto" w:fill="FFFFFF"/>
          <w:lang w:val="en-US" w:eastAsia="tr-TR"/>
        </w:rPr>
      </w:pPr>
    </w:p>
    <w:p w14:paraId="02542960" w14:textId="77777777" w:rsidR="00761C33" w:rsidRDefault="00761C33" w:rsidP="00761C33">
      <w:pPr>
        <w:pStyle w:val="a3"/>
        <w:numPr>
          <w:ilvl w:val="0"/>
          <w:numId w:val="31"/>
        </w:numPr>
        <w:jc w:val="lowKashida"/>
        <w:rPr>
          <w:rFonts w:asciiTheme="majorBidi" w:hAnsiTheme="majorBidi" w:cstheme="majorBidi"/>
        </w:rPr>
      </w:pPr>
      <w:r w:rsidRPr="00761C33">
        <w:rPr>
          <w:rFonts w:asciiTheme="majorBidi" w:hAnsiTheme="majorBidi" w:cstheme="majorBidi"/>
        </w:rPr>
        <w:t>Brophy, P.D., Charlton, J.R., Carmody, J.B., Reidy, K.J., Harshman, L., Segar, J., Askenazi, D., Shoham, D. and Bagby, S.P., 2018. Chronic kidney disease: A life course health development perspective. In </w:t>
      </w:r>
      <w:r w:rsidRPr="00761C33">
        <w:rPr>
          <w:rFonts w:asciiTheme="majorBidi" w:hAnsiTheme="majorBidi" w:cstheme="majorBidi"/>
          <w:i/>
          <w:iCs/>
        </w:rPr>
        <w:t>Handbook of Life Course Health Development</w:t>
      </w:r>
      <w:r w:rsidRPr="00761C33">
        <w:rPr>
          <w:rFonts w:asciiTheme="majorBidi" w:hAnsiTheme="majorBidi" w:cstheme="majorBidi"/>
        </w:rPr>
        <w:t> (pp. 375-401). Springer, Cham.</w:t>
      </w:r>
    </w:p>
    <w:p w14:paraId="7DAFD379" w14:textId="7C50DD85" w:rsidR="00761C33" w:rsidRDefault="00761C33" w:rsidP="00761C33">
      <w:pPr>
        <w:pStyle w:val="a3"/>
        <w:numPr>
          <w:ilvl w:val="0"/>
          <w:numId w:val="31"/>
        </w:numPr>
        <w:jc w:val="lowKashida"/>
        <w:rPr>
          <w:rFonts w:asciiTheme="majorBidi" w:hAnsiTheme="majorBidi" w:cstheme="majorBidi"/>
        </w:rPr>
      </w:pPr>
      <w:r w:rsidRPr="002A4CF4">
        <w:rPr>
          <w:rFonts w:asciiTheme="majorBidi" w:hAnsiTheme="majorBidi" w:cstheme="majorBidi"/>
        </w:rPr>
        <w:t>De Vecchi, A.F., Bamonti, F., Novembrino, C., Ippolito, S., Guerra, L., Lonati, S., Salini, S., Aman, C.S., Scurati-Manzoni, E. and Cighetti, G., 2009. Free and total plasma malondialdehyde in chronic renal insufficiency and in dialysis patients. </w:t>
      </w:r>
      <w:r w:rsidRPr="002A4CF4">
        <w:rPr>
          <w:rFonts w:asciiTheme="majorBidi" w:hAnsiTheme="majorBidi" w:cstheme="majorBidi"/>
          <w:i/>
          <w:iCs/>
        </w:rPr>
        <w:t>Nephrology Dialysis Transplantation</w:t>
      </w:r>
      <w:r w:rsidRPr="002A4CF4">
        <w:rPr>
          <w:rFonts w:asciiTheme="majorBidi" w:hAnsiTheme="majorBidi" w:cstheme="majorBidi"/>
        </w:rPr>
        <w:t>, </w:t>
      </w:r>
      <w:r w:rsidRPr="002A4CF4">
        <w:rPr>
          <w:rFonts w:asciiTheme="majorBidi" w:hAnsiTheme="majorBidi" w:cstheme="majorBidi"/>
          <w:i/>
          <w:iCs/>
        </w:rPr>
        <w:t>24</w:t>
      </w:r>
      <w:r w:rsidRPr="002A4CF4">
        <w:rPr>
          <w:rFonts w:asciiTheme="majorBidi" w:hAnsiTheme="majorBidi" w:cstheme="majorBidi"/>
        </w:rPr>
        <w:t>(8), pp.2524-2529.</w:t>
      </w:r>
    </w:p>
    <w:p w14:paraId="25B6A9D8" w14:textId="77777777" w:rsidR="00761C33" w:rsidRPr="00761C33" w:rsidRDefault="00761C33" w:rsidP="00761C33">
      <w:pPr>
        <w:pStyle w:val="a3"/>
        <w:numPr>
          <w:ilvl w:val="0"/>
          <w:numId w:val="31"/>
        </w:numPr>
        <w:jc w:val="lowKashida"/>
        <w:rPr>
          <w:rFonts w:asciiTheme="majorBidi" w:hAnsiTheme="majorBidi" w:cstheme="majorBidi"/>
        </w:rPr>
      </w:pPr>
      <w:r w:rsidRPr="00761C33">
        <w:rPr>
          <w:rFonts w:asciiTheme="majorBidi" w:hAnsiTheme="majorBidi" w:cstheme="majorBidi"/>
        </w:rPr>
        <w:t>Khoubnasabjafari, M., Ansarin, K. and Jouyban, A., 2016. Critical review of malondialdehyde analysis in biological samples. </w:t>
      </w:r>
      <w:r w:rsidRPr="00761C33">
        <w:rPr>
          <w:rFonts w:asciiTheme="majorBidi" w:hAnsiTheme="majorBidi" w:cstheme="majorBidi"/>
          <w:i/>
          <w:iCs/>
        </w:rPr>
        <w:t>Current Pharmaceutical Analysis</w:t>
      </w:r>
      <w:r w:rsidRPr="00761C33">
        <w:rPr>
          <w:rFonts w:asciiTheme="majorBidi" w:hAnsiTheme="majorBidi" w:cstheme="majorBidi"/>
        </w:rPr>
        <w:t>, </w:t>
      </w:r>
      <w:r w:rsidRPr="00761C33">
        <w:rPr>
          <w:rFonts w:asciiTheme="majorBidi" w:hAnsiTheme="majorBidi" w:cstheme="majorBidi"/>
          <w:i/>
          <w:iCs/>
        </w:rPr>
        <w:t>12</w:t>
      </w:r>
      <w:r w:rsidRPr="00761C33">
        <w:rPr>
          <w:rFonts w:asciiTheme="majorBidi" w:hAnsiTheme="majorBidi" w:cstheme="majorBidi"/>
        </w:rPr>
        <w:t>(1), pp.4-17.</w:t>
      </w:r>
    </w:p>
    <w:p w14:paraId="33B820BF" w14:textId="77777777" w:rsidR="00761C33" w:rsidRPr="00761C33" w:rsidRDefault="00761C33" w:rsidP="00761C33">
      <w:pPr>
        <w:pStyle w:val="a3"/>
        <w:numPr>
          <w:ilvl w:val="0"/>
          <w:numId w:val="31"/>
        </w:numPr>
        <w:tabs>
          <w:tab w:val="left" w:pos="0"/>
          <w:tab w:val="left" w:pos="450"/>
          <w:tab w:val="left" w:pos="540"/>
          <w:tab w:val="left" w:pos="810"/>
        </w:tabs>
        <w:rPr>
          <w:rFonts w:asciiTheme="majorBidi" w:hAnsiTheme="majorBidi" w:cstheme="majorBidi"/>
        </w:rPr>
      </w:pPr>
      <w:r w:rsidRPr="00761C33">
        <w:rPr>
          <w:rFonts w:asciiTheme="majorBidi" w:hAnsiTheme="majorBidi" w:cstheme="majorBidi"/>
        </w:rPr>
        <w:t>Komers, R. and Plotkin, H., 2016. Dual inhibition of renin-angiotensin-aldosterone system and endothelin-1 in treatment of chronic kidney disease. </w:t>
      </w:r>
      <w:r w:rsidRPr="00761C33">
        <w:rPr>
          <w:rFonts w:asciiTheme="majorBidi" w:hAnsiTheme="majorBidi" w:cstheme="majorBidi"/>
          <w:i/>
          <w:iCs/>
        </w:rPr>
        <w:t>American Journal of Physiology-Regulatory, Integrative and Comparative Physiology</w:t>
      </w:r>
      <w:r w:rsidRPr="00761C33">
        <w:rPr>
          <w:rFonts w:asciiTheme="majorBidi" w:hAnsiTheme="majorBidi" w:cstheme="majorBidi"/>
        </w:rPr>
        <w:t>, </w:t>
      </w:r>
      <w:r w:rsidRPr="00761C33">
        <w:rPr>
          <w:rFonts w:asciiTheme="majorBidi" w:hAnsiTheme="majorBidi" w:cstheme="majorBidi"/>
          <w:i/>
          <w:iCs/>
        </w:rPr>
        <w:t>310</w:t>
      </w:r>
      <w:r w:rsidRPr="00761C33">
        <w:rPr>
          <w:rFonts w:asciiTheme="majorBidi" w:hAnsiTheme="majorBidi" w:cstheme="majorBidi"/>
        </w:rPr>
        <w:t>(10), pp.R877-R884.</w:t>
      </w:r>
    </w:p>
    <w:p w14:paraId="0345049A" w14:textId="77777777" w:rsidR="00680B72" w:rsidRDefault="00761C33" w:rsidP="00680B72">
      <w:pPr>
        <w:pStyle w:val="a3"/>
        <w:numPr>
          <w:ilvl w:val="0"/>
          <w:numId w:val="31"/>
        </w:numPr>
        <w:jc w:val="lowKashida"/>
      </w:pPr>
      <w:bookmarkStart w:id="0" w:name="_GoBack"/>
      <w:bookmarkEnd w:id="0"/>
      <w:r w:rsidRPr="00680B72">
        <w:rPr>
          <w:rFonts w:asciiTheme="majorBidi" w:hAnsiTheme="majorBidi" w:cstheme="majorBidi"/>
        </w:rPr>
        <w:t>Papac-Milicevic, N., Busch, C.L. and Binder, C.J., 2016. Malondialdehyde epitopes as targets of immunity and the implications for atherosclerosis. In </w:t>
      </w:r>
      <w:r w:rsidRPr="00680B72">
        <w:rPr>
          <w:rFonts w:asciiTheme="majorBidi" w:hAnsiTheme="majorBidi" w:cstheme="majorBidi"/>
          <w:i/>
          <w:iCs/>
        </w:rPr>
        <w:t>Advances in immunology</w:t>
      </w:r>
      <w:r w:rsidRPr="00680B72">
        <w:rPr>
          <w:rFonts w:asciiTheme="majorBidi" w:hAnsiTheme="majorBidi" w:cstheme="majorBidi"/>
        </w:rPr>
        <w:t>(Vol. 131, pp. 1-59). Academic Press.</w:t>
      </w:r>
      <w:r w:rsidR="00680B72" w:rsidRPr="00680B72">
        <w:t xml:space="preserve"> </w:t>
      </w:r>
    </w:p>
    <w:p w14:paraId="0B682ACE" w14:textId="6F86EBD9" w:rsidR="00680B72" w:rsidRPr="00680B72" w:rsidRDefault="00680B72" w:rsidP="00680B72">
      <w:pPr>
        <w:pStyle w:val="a3"/>
        <w:numPr>
          <w:ilvl w:val="0"/>
          <w:numId w:val="31"/>
        </w:numPr>
        <w:jc w:val="lowKashida"/>
      </w:pPr>
      <w:r>
        <w:t xml:space="preserve">Ahmed Z., </w:t>
      </w:r>
      <w:r w:rsidRPr="00680B72">
        <w:rPr>
          <w:rFonts w:asciiTheme="majorBidi" w:hAnsiTheme="majorBidi" w:cstheme="majorBidi"/>
        </w:rPr>
        <w:t>The Study Relation of Endothelin-1 and Malondialdehyde with Chro</w:t>
      </w:r>
      <w:r>
        <w:rPr>
          <w:rFonts w:asciiTheme="majorBidi" w:hAnsiTheme="majorBidi" w:cstheme="majorBidi"/>
        </w:rPr>
        <w:t>nic  Ki</w:t>
      </w:r>
      <w:r w:rsidRPr="00680B72">
        <w:rPr>
          <w:rFonts w:asciiTheme="majorBidi" w:hAnsiTheme="majorBidi" w:cstheme="majorBidi"/>
        </w:rPr>
        <w:t>dney Disease</w:t>
      </w:r>
      <w:r>
        <w:rPr>
          <w:rFonts w:asciiTheme="majorBidi" w:hAnsiTheme="majorBidi" w:cstheme="majorBidi"/>
        </w:rPr>
        <w:t xml:space="preserve">, Master thesis, </w:t>
      </w:r>
      <w:r>
        <w:rPr>
          <w:rFonts w:asciiTheme="majorBidi" w:hAnsiTheme="majorBidi" w:cstheme="majorBidi"/>
          <w:lang w:bidi="ar-IQ"/>
        </w:rPr>
        <w:t>Çankırı Karatekin University</w:t>
      </w:r>
      <w:r>
        <w:rPr>
          <w:rFonts w:asciiTheme="majorBidi" w:hAnsiTheme="majorBidi" w:cstheme="majorBidi"/>
          <w:lang w:val="en-US" w:bidi="ar-IQ"/>
        </w:rPr>
        <w:t>, science institution, 2021.</w:t>
      </w:r>
    </w:p>
    <w:p w14:paraId="76783DA1" w14:textId="77777777" w:rsidR="00680B72" w:rsidRPr="00680B72" w:rsidRDefault="00680B72" w:rsidP="00680B72">
      <w:pPr>
        <w:pStyle w:val="a3"/>
        <w:jc w:val="lowKashida"/>
      </w:pPr>
    </w:p>
    <w:p w14:paraId="6BA032FD" w14:textId="6CF99F0D" w:rsidR="00680B72" w:rsidRPr="00680B72" w:rsidRDefault="00680B72" w:rsidP="00680B72">
      <w:pPr>
        <w:ind w:left="360"/>
        <w:jc w:val="lowKashida"/>
      </w:pPr>
    </w:p>
    <w:sectPr w:rsidR="00680B72" w:rsidRPr="00680B72" w:rsidSect="008E75EF">
      <w:footerReference w:type="default" r:id="rId10"/>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7AE73A" w14:textId="77777777" w:rsidR="00A509A6" w:rsidRDefault="00A509A6" w:rsidP="00A86FE2">
      <w:pPr>
        <w:spacing w:after="0"/>
      </w:pPr>
      <w:r>
        <w:separator/>
      </w:r>
    </w:p>
  </w:endnote>
  <w:endnote w:type="continuationSeparator" w:id="0">
    <w:p w14:paraId="456BA536" w14:textId="77777777" w:rsidR="00A509A6" w:rsidRDefault="00A509A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Italic Outline Art">
    <w:panose1 w:val="0201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CEA32A" w14:textId="77777777" w:rsidR="00680B72" w:rsidRDefault="00680B7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C143FD6" w:rsidR="000409ED" w:rsidRDefault="000409ED">
        <w:pPr>
          <w:pStyle w:val="a7"/>
          <w:jc w:val="center"/>
        </w:pPr>
        <w:r>
          <w:fldChar w:fldCharType="begin"/>
        </w:r>
        <w:r>
          <w:instrText>PAGE   \* MERGEFORMAT</w:instrText>
        </w:r>
        <w:r>
          <w:fldChar w:fldCharType="separate"/>
        </w:r>
        <w:r w:rsidR="008F2D68">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4ED28" w14:textId="77777777" w:rsidR="00A509A6" w:rsidRDefault="00A509A6" w:rsidP="00A86FE2">
      <w:pPr>
        <w:spacing w:after="0"/>
      </w:pPr>
      <w:r>
        <w:separator/>
      </w:r>
    </w:p>
  </w:footnote>
  <w:footnote w:type="continuationSeparator" w:id="0">
    <w:p w14:paraId="227FB30A" w14:textId="77777777" w:rsidR="00A509A6" w:rsidRDefault="00A509A6"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427684" w14:textId="77777777" w:rsidR="00567255" w:rsidRPr="00B04BE4" w:rsidRDefault="00567255" w:rsidP="00567255">
    <w:pPr>
      <w:jc w:val="center"/>
      <w:rPr>
        <w:rFonts w:cs="Arial"/>
        <w:b/>
        <w:color w:val="4F81BD" w:themeColor="accent1"/>
        <w:sz w:val="20"/>
        <w:szCs w:val="20"/>
      </w:rPr>
    </w:pPr>
    <w:r>
      <w:rPr>
        <w:noProof/>
        <w:lang w:val="en-US"/>
      </w:rPr>
      <w:drawing>
        <wp:inline distT="0" distB="0" distL="0" distR="0" wp14:anchorId="152F954D" wp14:editId="5D7F54DB">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Proceedings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internatinal karatekin science and technology CONFERENCE</w:t>
    </w:r>
    <w:r>
      <w:rPr>
        <w:noProof/>
        <w:lang w:val="en-US"/>
      </w:rPr>
      <w:drawing>
        <wp:inline distT="0" distB="0" distL="0" distR="0" wp14:anchorId="78E74400" wp14:editId="5B28AA2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3C9863C" w14:textId="77777777" w:rsidR="00567255" w:rsidRDefault="00567255" w:rsidP="0056725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38FD09B" w14:textId="77777777" w:rsidR="00567255" w:rsidRDefault="0056725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D047E99"/>
    <w:multiLevelType w:val="hybridMultilevel"/>
    <w:tmpl w:val="97B20D2E"/>
    <w:lvl w:ilvl="0" w:tplc="E2BE0EE8">
      <w:start w:val="1"/>
      <w:numFmt w:val="decimal"/>
      <w:lvlText w:val="%1."/>
      <w:lvlJc w:val="left"/>
      <w:pPr>
        <w:ind w:left="720" w:hanging="360"/>
      </w:pPr>
      <w:rPr>
        <w:rFonts w:hint="default"/>
        <w:b/>
        <w:bCs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6">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9">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1">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8"/>
  </w:num>
  <w:num w:numId="2">
    <w:abstractNumId w:val="12"/>
  </w:num>
  <w:num w:numId="3">
    <w:abstractNumId w:val="9"/>
  </w:num>
  <w:num w:numId="4">
    <w:abstractNumId w:val="0"/>
  </w:num>
  <w:num w:numId="5">
    <w:abstractNumId w:val="32"/>
  </w:num>
  <w:num w:numId="6">
    <w:abstractNumId w:val="11"/>
  </w:num>
  <w:num w:numId="7">
    <w:abstractNumId w:val="4"/>
  </w:num>
  <w:num w:numId="8">
    <w:abstractNumId w:val="19"/>
  </w:num>
  <w:num w:numId="9">
    <w:abstractNumId w:val="27"/>
  </w:num>
  <w:num w:numId="10">
    <w:abstractNumId w:val="23"/>
  </w:num>
  <w:num w:numId="11">
    <w:abstractNumId w:val="13"/>
  </w:num>
  <w:num w:numId="12">
    <w:abstractNumId w:val="3"/>
  </w:num>
  <w:num w:numId="13">
    <w:abstractNumId w:val="24"/>
  </w:num>
  <w:num w:numId="14">
    <w:abstractNumId w:val="33"/>
  </w:num>
  <w:num w:numId="15">
    <w:abstractNumId w:val="35"/>
  </w:num>
  <w:num w:numId="16">
    <w:abstractNumId w:val="36"/>
  </w:num>
  <w:num w:numId="17">
    <w:abstractNumId w:val="14"/>
  </w:num>
  <w:num w:numId="18">
    <w:abstractNumId w:val="29"/>
  </w:num>
  <w:num w:numId="19">
    <w:abstractNumId w:val="31"/>
  </w:num>
  <w:num w:numId="20">
    <w:abstractNumId w:val="10"/>
  </w:num>
  <w:num w:numId="21">
    <w:abstractNumId w:val="20"/>
  </w:num>
  <w:num w:numId="22">
    <w:abstractNumId w:val="6"/>
  </w:num>
  <w:num w:numId="23">
    <w:abstractNumId w:val="26"/>
  </w:num>
  <w:num w:numId="24">
    <w:abstractNumId w:val="2"/>
  </w:num>
  <w:num w:numId="25">
    <w:abstractNumId w:val="8"/>
  </w:num>
  <w:num w:numId="26">
    <w:abstractNumId w:val="17"/>
  </w:num>
  <w:num w:numId="27">
    <w:abstractNumId w:val="16"/>
  </w:num>
  <w:num w:numId="28">
    <w:abstractNumId w:val="30"/>
  </w:num>
  <w:num w:numId="29">
    <w:abstractNumId w:val="34"/>
  </w:num>
  <w:num w:numId="30">
    <w:abstractNumId w:val="21"/>
  </w:num>
  <w:num w:numId="31">
    <w:abstractNumId w:val="22"/>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5"/>
  </w:num>
  <w:num w:numId="35">
    <w:abstractNumId w:val="25"/>
  </w:num>
  <w:num w:numId="36">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52"/>
    <w:rsid w:val="00004AD1"/>
    <w:rsid w:val="00012A16"/>
    <w:rsid w:val="00013D56"/>
    <w:rsid w:val="00016F9D"/>
    <w:rsid w:val="000226CA"/>
    <w:rsid w:val="0002363F"/>
    <w:rsid w:val="00023EFE"/>
    <w:rsid w:val="000261CE"/>
    <w:rsid w:val="00027D98"/>
    <w:rsid w:val="000305BF"/>
    <w:rsid w:val="00032FFA"/>
    <w:rsid w:val="0003318E"/>
    <w:rsid w:val="000409ED"/>
    <w:rsid w:val="00041319"/>
    <w:rsid w:val="00041D68"/>
    <w:rsid w:val="000463DA"/>
    <w:rsid w:val="000469B2"/>
    <w:rsid w:val="000479FB"/>
    <w:rsid w:val="00055500"/>
    <w:rsid w:val="0005653D"/>
    <w:rsid w:val="000611FF"/>
    <w:rsid w:val="000617AA"/>
    <w:rsid w:val="00061A8B"/>
    <w:rsid w:val="00061C07"/>
    <w:rsid w:val="00061E30"/>
    <w:rsid w:val="0006225B"/>
    <w:rsid w:val="0006297B"/>
    <w:rsid w:val="00062BE6"/>
    <w:rsid w:val="000655C6"/>
    <w:rsid w:val="000662B9"/>
    <w:rsid w:val="00066659"/>
    <w:rsid w:val="0006688E"/>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382"/>
    <w:rsid w:val="002B5660"/>
    <w:rsid w:val="002B5B23"/>
    <w:rsid w:val="002B6939"/>
    <w:rsid w:val="002C018E"/>
    <w:rsid w:val="002C223B"/>
    <w:rsid w:val="002C2A1B"/>
    <w:rsid w:val="002C5284"/>
    <w:rsid w:val="002C7A08"/>
    <w:rsid w:val="002D563D"/>
    <w:rsid w:val="002D5A6F"/>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67255"/>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0B72"/>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6F645C"/>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1C33"/>
    <w:rsid w:val="007664D5"/>
    <w:rsid w:val="007704A2"/>
    <w:rsid w:val="00771441"/>
    <w:rsid w:val="00785B9C"/>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690"/>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D7877"/>
    <w:rsid w:val="008E09F7"/>
    <w:rsid w:val="008E1FF1"/>
    <w:rsid w:val="008E4634"/>
    <w:rsid w:val="008E75EF"/>
    <w:rsid w:val="008E7D53"/>
    <w:rsid w:val="008F11A6"/>
    <w:rsid w:val="008F2D68"/>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17699"/>
    <w:rsid w:val="00A219F5"/>
    <w:rsid w:val="00A3233F"/>
    <w:rsid w:val="00A32C29"/>
    <w:rsid w:val="00A330F8"/>
    <w:rsid w:val="00A34914"/>
    <w:rsid w:val="00A36302"/>
    <w:rsid w:val="00A36D7C"/>
    <w:rsid w:val="00A4005A"/>
    <w:rsid w:val="00A42C6A"/>
    <w:rsid w:val="00A4562B"/>
    <w:rsid w:val="00A509A6"/>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GridTableLight">
    <w:name w:val="Grid Table Light"/>
    <w:basedOn w:val="a1"/>
    <w:uiPriority w:val="40"/>
    <w:rsid w:val="00567255"/>
    <w:pPr>
      <w:spacing w:after="0"/>
    </w:pPr>
    <w:rPr>
      <w:rFonts w:ascii="Times New Roman" w:eastAsia="Times New Roman"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a2"/>
    <w:uiPriority w:val="99"/>
    <w:semiHidden/>
    <w:unhideWhenUsed/>
    <w:rsid w:val="00074338"/>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table" w:customStyle="1" w:styleId="GridTableLight">
    <w:name w:val="Grid Table Light"/>
    <w:basedOn w:val="a1"/>
    <w:uiPriority w:val="40"/>
    <w:rsid w:val="00567255"/>
    <w:pPr>
      <w:spacing w:after="0"/>
    </w:pPr>
    <w:rPr>
      <w:rFonts w:ascii="Times New Roman" w:eastAsia="Times New Roman" w:hAnsi="Times New Roman" w:cs="Times New Roman"/>
      <w:sz w:val="20"/>
      <w:szCs w:val="20"/>
      <w:lang w:val="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49586558">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3D554839-91F5-4DCC-8437-7FF2FA2B4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1450</Words>
  <Characters>8267</Characters>
  <Application>Microsoft Office Word</Application>
  <DocSecurity>0</DocSecurity>
  <Lines>68</Lines>
  <Paragraphs>19</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hp</cp:lastModifiedBy>
  <cp:revision>5</cp:revision>
  <cp:lastPrinted>2020-01-30T11:06:00Z</cp:lastPrinted>
  <dcterms:created xsi:type="dcterms:W3CDTF">2022-08-08T16:14:00Z</dcterms:created>
  <dcterms:modified xsi:type="dcterms:W3CDTF">2022-08-09T12:41:00Z</dcterms:modified>
</cp:coreProperties>
</file>