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49C12" w14:textId="77777777" w:rsidR="004E47A4" w:rsidRPr="004E47A4" w:rsidRDefault="004E47A4" w:rsidP="004E47A4">
      <w:pPr>
        <w:jc w:val="center"/>
        <w:rPr>
          <w:rFonts w:ascii="Times New Roman" w:hAnsi="Times New Roman" w:cs="Times New Roman"/>
          <w:b/>
          <w:sz w:val="28"/>
          <w:szCs w:val="28"/>
        </w:rPr>
      </w:pPr>
      <w:r w:rsidRPr="004E47A4">
        <w:rPr>
          <w:rFonts w:ascii="Times New Roman" w:hAnsi="Times New Roman" w:cs="Times New Roman"/>
          <w:b/>
          <w:sz w:val="28"/>
          <w:szCs w:val="28"/>
        </w:rPr>
        <w:t>THE RELATION OF SERUM URIC ACID WITH A RISK MARKERS OF CARDIOVASCULAR DISEASE PATIENTS</w:t>
      </w:r>
    </w:p>
    <w:p w14:paraId="2556BB2B" w14:textId="58E31EA5" w:rsidR="00890B2E" w:rsidRPr="00B7076A" w:rsidRDefault="00890B2E" w:rsidP="004E47A4">
      <w:pPr>
        <w:jc w:val="center"/>
        <w:rPr>
          <w:rFonts w:cstheme="minorHAnsi"/>
          <w:b/>
          <w:vertAlign w:val="superscript"/>
        </w:rPr>
      </w:pPr>
      <w:r w:rsidRPr="001A13FF">
        <w:rPr>
          <w:rFonts w:ascii="Times New Roman" w:hAnsi="Times New Roman" w:cs="Times New Roman"/>
          <w:b/>
          <w:sz w:val="28"/>
          <w:szCs w:val="28"/>
        </w:rPr>
        <w:t xml:space="preserve"> </w:t>
      </w:r>
      <w:r w:rsidR="004E47A4">
        <w:rPr>
          <w:rFonts w:ascii="Times New Roman" w:hAnsi="Times New Roman" w:cs="Times New Roman"/>
          <w:b/>
          <w:i/>
        </w:rPr>
        <w:t>Haydar</w:t>
      </w:r>
      <w:r w:rsidR="00E00261">
        <w:rPr>
          <w:rFonts w:ascii="Times New Roman" w:hAnsi="Times New Roman" w:cs="Times New Roman"/>
          <w:b/>
          <w:i/>
        </w:rPr>
        <w:t xml:space="preserve"> </w:t>
      </w:r>
      <w:r w:rsidR="004E47A4">
        <w:rPr>
          <w:rFonts w:ascii="Times New Roman" w:hAnsi="Times New Roman" w:cs="Times New Roman"/>
          <w:b/>
          <w:i/>
        </w:rPr>
        <w:t>AL-KHALIDI</w:t>
      </w:r>
      <w:r w:rsidR="00EE0497">
        <w:rPr>
          <w:rFonts w:ascii="Times New Roman" w:hAnsi="Times New Roman" w:cs="Times New Roman"/>
          <w:b/>
          <w:i/>
        </w:rPr>
        <w:t xml:space="preserve"> </w:t>
      </w:r>
      <w:r w:rsidRPr="000128D7">
        <w:rPr>
          <w:rFonts w:ascii="Times New Roman" w:hAnsi="Times New Roman" w:cs="Times New Roman"/>
          <w:b/>
          <w:i/>
          <w:vertAlign w:val="superscript"/>
        </w:rPr>
        <w:t>1</w:t>
      </w:r>
      <w:r w:rsidR="00EE0497">
        <w:rPr>
          <w:rFonts w:ascii="Times New Roman" w:hAnsi="Times New Roman" w:cs="Times New Roman"/>
          <w:b/>
          <w:i/>
        </w:rPr>
        <w:t>,</w:t>
      </w:r>
      <w:r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r w:rsidR="00825BB9">
        <w:rPr>
          <w:rFonts w:cstheme="minorHAnsi"/>
          <w:b/>
          <w:i/>
        </w:rPr>
        <w:t xml:space="preserve">, </w:t>
      </w:r>
      <w:r w:rsidR="004E47A4" w:rsidRPr="004E47A4">
        <w:rPr>
          <w:rFonts w:ascii="Times New Roman" w:hAnsi="Times New Roman" w:cs="Times New Roman"/>
          <w:b/>
          <w:i/>
        </w:rPr>
        <w:t>Şevki</w:t>
      </w:r>
      <w:r w:rsidR="00825BB9">
        <w:rPr>
          <w:rFonts w:ascii="Times New Roman" w:hAnsi="Times New Roman" w:cs="Times New Roman"/>
          <w:b/>
          <w:i/>
        </w:rPr>
        <w:t xml:space="preserve"> </w:t>
      </w:r>
      <w:r w:rsidR="004E47A4" w:rsidRPr="004E47A4">
        <w:rPr>
          <w:rFonts w:ascii="Times New Roman" w:hAnsi="Times New Roman" w:cs="Times New Roman"/>
          <w:b/>
          <w:i/>
        </w:rPr>
        <w:t>ADEM</w:t>
      </w:r>
      <w:r w:rsidR="004E47A4" w:rsidRPr="004E47A4">
        <w:rPr>
          <w:rFonts w:ascii="Times New Roman" w:hAnsi="Times New Roman" w:cs="Times New Roman"/>
          <w:b/>
          <w:i/>
          <w:vertAlign w:val="superscript"/>
        </w:rPr>
        <w:t xml:space="preserve"> </w:t>
      </w:r>
      <w:r w:rsidR="00F428BC">
        <w:rPr>
          <w:rFonts w:ascii="Times New Roman" w:hAnsi="Times New Roman" w:cs="Times New Roman"/>
          <w:b/>
          <w:i/>
          <w:vertAlign w:val="superscript"/>
        </w:rPr>
        <w:t>1</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r w:rsidR="004E47A4" w:rsidRPr="004E47A4">
        <w:rPr>
          <w:rFonts w:ascii="Times New Roman" w:hAnsi="Times New Roman" w:cs="Times New Roman"/>
          <w:b/>
          <w:i/>
        </w:rPr>
        <w:t>Dunya</w:t>
      </w:r>
      <w:r w:rsidR="00825BB9">
        <w:rPr>
          <w:rFonts w:ascii="Times New Roman" w:hAnsi="Times New Roman" w:cs="Times New Roman"/>
          <w:b/>
          <w:i/>
        </w:rPr>
        <w:t xml:space="preserve"> </w:t>
      </w:r>
      <w:r w:rsidR="004E47A4" w:rsidRPr="004E47A4">
        <w:rPr>
          <w:rFonts w:ascii="Times New Roman" w:hAnsi="Times New Roman" w:cs="Times New Roman"/>
          <w:b/>
          <w:i/>
        </w:rPr>
        <w:t>ALAABED</w:t>
      </w:r>
      <w:r w:rsidR="004E47A4" w:rsidRPr="004E47A4">
        <w:rPr>
          <w:rFonts w:ascii="Times New Roman" w:hAnsi="Times New Roman" w:cs="Times New Roman"/>
          <w:b/>
          <w:i/>
          <w:vertAlign w:val="superscript"/>
        </w:rPr>
        <w:t xml:space="preserve"> </w:t>
      </w:r>
      <w:r w:rsidR="00F428BC">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7076A" w:rsidRPr="00F94473">
        <w:rPr>
          <w:rFonts w:ascii="Times New Roman" w:hAnsi="Times New Roman" w:cs="Times New Roman"/>
          <w:b/>
          <w:i/>
          <w:color w:val="FF0000"/>
        </w:rPr>
        <w:t>)</w:t>
      </w:r>
    </w:p>
    <w:p w14:paraId="0B572F60" w14:textId="3CE7D720" w:rsidR="00890B2E" w:rsidRDefault="00890B2E" w:rsidP="00782AC3">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Institute</w:t>
      </w:r>
      <w:r w:rsidR="00A6332F">
        <w:rPr>
          <w:rFonts w:ascii="Times New Roman" w:eastAsia="MS Mincho" w:hAnsi="Times New Roman" w:cs="Times New Roman"/>
          <w:i/>
          <w:iCs/>
          <w:sz w:val="18"/>
          <w:szCs w:val="18"/>
        </w:rPr>
        <w:t xml:space="preserve"> of science</w:t>
      </w:r>
      <w:r w:rsidR="001558FC" w:rsidRPr="001558FC">
        <w:rPr>
          <w:rFonts w:ascii="Times New Roman" w:eastAsia="MS Mincho" w:hAnsi="Times New Roman" w:cs="Times New Roman"/>
          <w:i/>
          <w:iCs/>
          <w:sz w:val="18"/>
          <w:szCs w:val="18"/>
        </w:rPr>
        <w:t>, Faculty</w:t>
      </w:r>
      <w:r w:rsidR="00A6332F">
        <w:rPr>
          <w:rFonts w:ascii="Times New Roman" w:eastAsia="MS Mincho" w:hAnsi="Times New Roman" w:cs="Times New Roman"/>
          <w:i/>
          <w:iCs/>
          <w:sz w:val="18"/>
          <w:szCs w:val="18"/>
        </w:rPr>
        <w:t xml:space="preserve"> </w:t>
      </w:r>
      <w:r w:rsidR="00A6332F" w:rsidRPr="00A6332F">
        <w:rPr>
          <w:rFonts w:ascii="Times New Roman" w:eastAsia="MS Mincho" w:hAnsi="Times New Roman" w:cs="Times New Roman"/>
          <w:i/>
          <w:iCs/>
          <w:sz w:val="18"/>
          <w:szCs w:val="18"/>
        </w:rPr>
        <w:t>of Natural and Applied Sciences</w:t>
      </w:r>
      <w:r w:rsidR="001558FC" w:rsidRPr="001558FC">
        <w:rPr>
          <w:rFonts w:ascii="Times New Roman" w:eastAsia="MS Mincho" w:hAnsi="Times New Roman" w:cs="Times New Roman"/>
          <w:i/>
          <w:iCs/>
          <w:sz w:val="18"/>
          <w:szCs w:val="18"/>
        </w:rPr>
        <w:t xml:space="preserve">, </w:t>
      </w:r>
      <w:r w:rsidR="00A6332F">
        <w:rPr>
          <w:rFonts w:ascii="Times New Roman" w:eastAsia="MS Mincho" w:hAnsi="Times New Roman" w:cs="Times New Roman"/>
          <w:i/>
          <w:iCs/>
          <w:sz w:val="18"/>
          <w:szCs w:val="18"/>
        </w:rPr>
        <w:t>Biochemistry</w:t>
      </w:r>
      <w:bookmarkStart w:id="0" w:name="_Hlk111420810"/>
      <w:r w:rsidR="001558FC" w:rsidRPr="001558FC">
        <w:rPr>
          <w:rFonts w:ascii="Times New Roman" w:eastAsia="MS Mincho" w:hAnsi="Times New Roman" w:cs="Times New Roman"/>
          <w:i/>
          <w:iCs/>
          <w:sz w:val="18"/>
          <w:szCs w:val="18"/>
        </w:rPr>
        <w:t xml:space="preserve">, </w:t>
      </w:r>
      <w:r w:rsidR="00782AC3" w:rsidRPr="00782AC3">
        <w:rPr>
          <w:rFonts w:ascii="Times New Roman" w:eastAsia="MS Mincho" w:hAnsi="Times New Roman" w:cs="Times New Roman"/>
          <w:i/>
          <w:iCs/>
          <w:sz w:val="18"/>
          <w:szCs w:val="18"/>
        </w:rPr>
        <w:t xml:space="preserve">Çankırı </w:t>
      </w:r>
      <w:bookmarkEnd w:id="0"/>
      <w:r w:rsidR="00782AC3" w:rsidRPr="00782AC3">
        <w:rPr>
          <w:rFonts w:ascii="Times New Roman" w:eastAsia="MS Mincho" w:hAnsi="Times New Roman" w:cs="Times New Roman"/>
          <w:i/>
          <w:iCs/>
          <w:sz w:val="18"/>
          <w:szCs w:val="18"/>
        </w:rPr>
        <w:t>Karatekin University</w:t>
      </w:r>
      <w:r w:rsidR="001558FC" w:rsidRPr="001558FC">
        <w:rPr>
          <w:rFonts w:ascii="Times New Roman" w:eastAsia="MS Mincho" w:hAnsi="Times New Roman" w:cs="Times New Roman"/>
          <w:i/>
          <w:iCs/>
          <w:sz w:val="18"/>
          <w:szCs w:val="18"/>
        </w:rPr>
        <w:t>,</w:t>
      </w:r>
      <w:r w:rsidR="00782AC3">
        <w:rPr>
          <w:rFonts w:ascii="Times New Roman" w:eastAsia="MS Mincho" w:hAnsi="Times New Roman" w:cs="Times New Roman"/>
          <w:i/>
          <w:iCs/>
          <w:sz w:val="18"/>
          <w:szCs w:val="18"/>
        </w:rPr>
        <w:t xml:space="preserve"> </w:t>
      </w:r>
      <w:r w:rsidR="00782AC3" w:rsidRPr="00782AC3">
        <w:rPr>
          <w:rFonts w:ascii="Times New Roman" w:eastAsia="MS Mincho" w:hAnsi="Times New Roman" w:cs="Times New Roman"/>
          <w:i/>
          <w:iCs/>
          <w:sz w:val="18"/>
          <w:szCs w:val="18"/>
        </w:rPr>
        <w:t xml:space="preserve"> Çankırı</w:t>
      </w:r>
      <w:r w:rsidR="001558FC" w:rsidRPr="001558FC">
        <w:rPr>
          <w:rFonts w:ascii="Times New Roman" w:eastAsia="MS Mincho" w:hAnsi="Times New Roman" w:cs="Times New Roman"/>
          <w:i/>
          <w:iCs/>
          <w:sz w:val="18"/>
          <w:szCs w:val="18"/>
        </w:rPr>
        <w:t xml:space="preserve">, </w:t>
      </w:r>
      <w:r w:rsidR="00782AC3">
        <w:rPr>
          <w:rFonts w:ascii="Times New Roman" w:eastAsia="MS Mincho" w:hAnsi="Times New Roman" w:cs="Times New Roman"/>
          <w:i/>
          <w:iCs/>
          <w:sz w:val="18"/>
          <w:szCs w:val="18"/>
        </w:rPr>
        <w:t>Turkiye</w:t>
      </w:r>
      <w:r w:rsidR="00B7076A">
        <w:rPr>
          <w:rFonts w:ascii="Times New Roman" w:hAnsi="Times New Roman" w:cs="Times New Roman"/>
          <w:sz w:val="18"/>
          <w:szCs w:val="18"/>
        </w:rPr>
        <w:t xml:space="preserve"> </w:t>
      </w:r>
      <w:r w:rsidR="00B7076A" w:rsidRPr="00F07AEF">
        <w:rPr>
          <w:rFonts w:cstheme="minorHAnsi"/>
          <w:b/>
          <w:i/>
          <w:vertAlign w:val="superscript"/>
        </w:rPr>
        <w:t xml:space="preserve"> </w:t>
      </w:r>
    </w:p>
    <w:p w14:paraId="1841C66D" w14:textId="6938AF6B" w:rsidR="001558FC" w:rsidRPr="00B7076A" w:rsidRDefault="001558FC" w:rsidP="0059146B">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075857">
        <w:rPr>
          <w:rFonts w:ascii="Times New Roman" w:eastAsia="MS Mincho" w:hAnsi="Times New Roman" w:cs="Times New Roman"/>
          <w:i/>
          <w:iCs/>
          <w:sz w:val="18"/>
          <w:szCs w:val="18"/>
        </w:rPr>
        <w:t>Minstry of Health</w:t>
      </w:r>
      <w:r w:rsidRPr="001558FC">
        <w:rPr>
          <w:rFonts w:ascii="Times New Roman" w:eastAsia="MS Mincho" w:hAnsi="Times New Roman" w:cs="Times New Roman"/>
          <w:i/>
          <w:iCs/>
          <w:sz w:val="18"/>
          <w:szCs w:val="18"/>
        </w:rPr>
        <w:t xml:space="preserve">, </w:t>
      </w:r>
      <w:r w:rsidR="00075857">
        <w:rPr>
          <w:rFonts w:ascii="Times New Roman" w:eastAsia="MS Mincho" w:hAnsi="Times New Roman" w:cs="Times New Roman"/>
          <w:i/>
          <w:iCs/>
          <w:sz w:val="18"/>
          <w:szCs w:val="18"/>
        </w:rPr>
        <w:t>Medical City</w:t>
      </w:r>
      <w:r w:rsidRPr="001558FC">
        <w:rPr>
          <w:rFonts w:ascii="Times New Roman" w:eastAsia="MS Mincho" w:hAnsi="Times New Roman" w:cs="Times New Roman"/>
          <w:i/>
          <w:iCs/>
          <w:sz w:val="18"/>
          <w:szCs w:val="18"/>
        </w:rPr>
        <w:t xml:space="preserve">, </w:t>
      </w:r>
      <w:r w:rsidR="00075857">
        <w:rPr>
          <w:rFonts w:ascii="Times New Roman" w:eastAsia="MS Mincho" w:hAnsi="Times New Roman" w:cs="Times New Roman"/>
          <w:i/>
          <w:iCs/>
          <w:sz w:val="18"/>
          <w:szCs w:val="18"/>
        </w:rPr>
        <w:t>Welfar</w:t>
      </w:r>
      <w:r w:rsidR="008A4BC5">
        <w:rPr>
          <w:rFonts w:ascii="Times New Roman" w:eastAsia="MS Mincho" w:hAnsi="Times New Roman" w:cs="Times New Roman"/>
          <w:i/>
          <w:iCs/>
          <w:sz w:val="18"/>
          <w:szCs w:val="18"/>
        </w:rPr>
        <w:t>e</w:t>
      </w:r>
      <w:r w:rsidR="00075857">
        <w:rPr>
          <w:rFonts w:ascii="Times New Roman" w:eastAsia="MS Mincho" w:hAnsi="Times New Roman" w:cs="Times New Roman"/>
          <w:i/>
          <w:iCs/>
          <w:sz w:val="18"/>
          <w:szCs w:val="18"/>
        </w:rPr>
        <w:t xml:space="preserve"> Teaching Hospital</w:t>
      </w:r>
      <w:r w:rsidRPr="001558FC">
        <w:rPr>
          <w:rFonts w:ascii="Times New Roman" w:eastAsia="MS Mincho" w:hAnsi="Times New Roman" w:cs="Times New Roman"/>
          <w:i/>
          <w:iCs/>
          <w:sz w:val="18"/>
          <w:szCs w:val="18"/>
        </w:rPr>
        <w:t xml:space="preserve">, </w:t>
      </w:r>
      <w:r w:rsidR="00075857">
        <w:rPr>
          <w:rFonts w:ascii="Times New Roman" w:eastAsia="MS Mincho" w:hAnsi="Times New Roman" w:cs="Times New Roman"/>
          <w:i/>
          <w:iCs/>
          <w:sz w:val="18"/>
          <w:szCs w:val="18"/>
        </w:rPr>
        <w:t>Baghdad</w:t>
      </w:r>
      <w:r w:rsidRPr="001558FC">
        <w:rPr>
          <w:rFonts w:ascii="Times New Roman" w:eastAsia="MS Mincho" w:hAnsi="Times New Roman" w:cs="Times New Roman"/>
          <w:i/>
          <w:iCs/>
          <w:sz w:val="18"/>
          <w:szCs w:val="18"/>
        </w:rPr>
        <w:t xml:space="preserve">, </w:t>
      </w:r>
      <w:r w:rsidR="00075857">
        <w:rPr>
          <w:rFonts w:ascii="Times New Roman" w:eastAsia="MS Mincho" w:hAnsi="Times New Roman" w:cs="Times New Roman"/>
          <w:i/>
          <w:iCs/>
          <w:sz w:val="18"/>
          <w:szCs w:val="18"/>
        </w:rPr>
        <w:t>Iraq.</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4C31953A" w:rsidR="001558FC" w:rsidRPr="00DC125E" w:rsidRDefault="00DC125E" w:rsidP="00DC125E">
            <w:pPr>
              <w:shd w:val="clear" w:color="auto" w:fill="D9D9D9" w:themeFill="background1" w:themeFillShade="D9"/>
              <w:jc w:val="both"/>
              <w:rPr>
                <w:rFonts w:ascii="Times New Roman" w:hAnsi="Times New Roman" w:cs="Times New Roman"/>
                <w:sz w:val="20"/>
                <w:szCs w:val="20"/>
                <w:lang w:val="tr-TR"/>
              </w:rPr>
            </w:pPr>
            <w:r w:rsidRPr="00DC125E">
              <w:rPr>
                <w:rFonts w:ascii="Times New Roman" w:hAnsi="Times New Roman" w:cs="Times New Roman"/>
                <w:sz w:val="20"/>
                <w:szCs w:val="20"/>
                <w:lang w:val="tr-TR"/>
              </w:rPr>
              <w:t xml:space="preserve">Uric acid is the last product of purine metabolism. There has been a recent rise in the prevalence of cardiovascular disorders  which have been associated to elevated levels of serum uric acid (SUA). This study evaluated a group of people with cardiovascular disease to see whether there was any correlation between serum uric acid and a range of biochemical markers. </w:t>
            </w:r>
            <w:bookmarkStart w:id="1" w:name="_Hlk112348976"/>
            <w:r w:rsidRPr="00DC125E">
              <w:rPr>
                <w:rFonts w:ascii="Times New Roman" w:hAnsi="Times New Roman" w:cs="Times New Roman"/>
                <w:sz w:val="20"/>
                <w:szCs w:val="20"/>
                <w:lang w:val="tr-TR"/>
              </w:rPr>
              <w:t>Thrombosis</w:t>
            </w:r>
            <w:bookmarkEnd w:id="1"/>
            <w:r w:rsidRPr="00DC125E">
              <w:rPr>
                <w:rFonts w:ascii="Times New Roman" w:hAnsi="Times New Roman" w:cs="Times New Roman"/>
                <w:sz w:val="20"/>
                <w:szCs w:val="20"/>
                <w:lang w:val="tr-TR"/>
              </w:rPr>
              <w:t>, ischemic heart disease (IHD), and cardiovascular disease (CVD) patients were all included in the research, which had a total enrollment of 150. Patients with IHD and CVD who had higher uric acid, glucose, cholesterol, triglycerides, urea, and creatinine levels as well as lower HDL .Thromboembolism patients had elevated levels of uric acid, glucose, cholesterol, triglyceride, urea, and creatinine, and lower levels of HDL. logistic regression analysis showed a significant link between elevated uric acid levels (hyperuricemia) and an increased risk of ischemic heart disease (IHD).We concluded that hyperuricemia has a significant influence in the development of cardiovascular vascular illnesses such as ischemic heart disease and thromboembolism.</w:t>
            </w:r>
            <w:r>
              <w:rPr>
                <w:rFonts w:ascii="Times New Roman" w:hAnsi="Times New Roman" w:cs="Times New Roman"/>
                <w:sz w:val="20"/>
                <w:szCs w:val="20"/>
                <w:lang w:val="tr-TR"/>
              </w:rPr>
              <w:t xml:space="preserve"> </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0C6D0AC6" w:rsidR="001558FC" w:rsidRPr="00766F99" w:rsidRDefault="001558FC" w:rsidP="00DC125E">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DC125E" w:rsidRPr="00DC125E">
              <w:rPr>
                <w:rFonts w:eastAsia="MS Mincho"/>
                <w:b w:val="0"/>
                <w:bCs w:val="0"/>
                <w:sz w:val="20"/>
                <w:szCs w:val="20"/>
                <w:lang w:val="tr-TR"/>
              </w:rPr>
              <w:t>Uric acid, Cardiovascular disease, Ischemic heart disease, Thromboembolism, D-dimer, Troponin</w:t>
            </w:r>
            <w:r w:rsidR="00DC125E">
              <w:rPr>
                <w:rFonts w:eastAsia="MS Mincho"/>
                <w:b w:val="0"/>
                <w:bCs w:val="0"/>
                <w:sz w:val="20"/>
                <w:szCs w:val="20"/>
                <w:lang w:val="tr-TR"/>
              </w:rPr>
              <w:t>.</w:t>
            </w:r>
            <w:r w:rsidR="00DC125E" w:rsidRPr="00DC125E">
              <w:rPr>
                <w:rFonts w:eastAsia="MS Mincho"/>
                <w:b w:val="0"/>
                <w:bCs w:val="0"/>
                <w:sz w:val="20"/>
                <w:szCs w:val="20"/>
                <w:lang w:val="tr-TR"/>
              </w:rPr>
              <w:t xml:space="preserve">  </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2ADA711" w14:textId="46DB892E" w:rsidR="003A283B" w:rsidRPr="003A283B"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r w:rsidR="0010259C" w:rsidRPr="003A283B">
        <w:rPr>
          <w:rFonts w:ascii="Times New Roman" w:hAnsi="Times New Roman" w:cs="Times New Roman"/>
          <w:b/>
          <w:color w:val="FF0000"/>
        </w:rPr>
        <w:t xml:space="preserve"> </w:t>
      </w:r>
    </w:p>
    <w:p w14:paraId="00D6F358" w14:textId="1FD36A26" w:rsidR="003829A0" w:rsidRDefault="00B37677" w:rsidP="000F16E6">
      <w:pPr>
        <w:autoSpaceDE w:val="0"/>
        <w:autoSpaceDN w:val="0"/>
        <w:adjustRightInd w:val="0"/>
        <w:spacing w:before="120" w:after="120"/>
        <w:jc w:val="both"/>
        <w:rPr>
          <w:rFonts w:ascii="Times New Roman" w:eastAsia="Times New Roman" w:hAnsi="Times New Roman"/>
          <w:color w:val="FF0000"/>
          <w:shd w:val="clear" w:color="auto" w:fill="FFFFFF"/>
          <w:lang w:val="en-US" w:eastAsia="tr-TR"/>
        </w:rPr>
      </w:pPr>
      <w:r w:rsidRPr="00DC125E">
        <w:rPr>
          <w:rFonts w:ascii="Times New Roman" w:eastAsia="Times New Roman" w:hAnsi="Times New Roman" w:cs="Times New Roman"/>
          <w:shd w:val="clear" w:color="auto" w:fill="FFFFFF"/>
          <w:lang w:eastAsia="tr-TR"/>
        </w:rPr>
        <w:t>Uric acid</w:t>
      </w:r>
      <w:r>
        <w:rPr>
          <w:rFonts w:ascii="Times New Roman" w:eastAsia="Times New Roman" w:hAnsi="Times New Roman" w:cs="Times New Roman"/>
          <w:shd w:val="clear" w:color="auto" w:fill="FFFFFF"/>
          <w:lang w:eastAsia="tr-TR"/>
        </w:rPr>
        <w:t xml:space="preserve"> </w:t>
      </w:r>
      <w:r w:rsidRPr="00B37677">
        <w:rPr>
          <w:rFonts w:ascii="Times New Roman" w:eastAsia="Times New Roman" w:hAnsi="Times New Roman" w:cs="Times New Roman"/>
          <w:shd w:val="clear" w:color="auto" w:fill="FFFFFF"/>
          <w:lang w:eastAsia="tr-TR"/>
        </w:rPr>
        <w:t>(UA)</w:t>
      </w:r>
      <w:r w:rsidRPr="00DC125E">
        <w:rPr>
          <w:rFonts w:ascii="Times New Roman" w:eastAsia="Times New Roman" w:hAnsi="Times New Roman" w:cs="Times New Roman"/>
          <w:shd w:val="clear" w:color="auto" w:fill="FFFFFF"/>
          <w:lang w:eastAsia="tr-TR"/>
        </w:rPr>
        <w:t xml:space="preserve"> is the last product of purine metabolism.</w:t>
      </w:r>
      <w:r>
        <w:rPr>
          <w:rFonts w:ascii="Times New Roman" w:eastAsia="Times New Roman" w:hAnsi="Times New Roman" w:cs="Times New Roman"/>
          <w:shd w:val="clear" w:color="auto" w:fill="FFFFFF"/>
          <w:lang w:eastAsia="tr-TR"/>
        </w:rPr>
        <w:t xml:space="preserve"> </w:t>
      </w:r>
      <w:r w:rsidRPr="00B37677">
        <w:rPr>
          <w:rFonts w:ascii="Times New Roman" w:eastAsia="Times New Roman" w:hAnsi="Times New Roman" w:cs="Times New Roman"/>
          <w:shd w:val="clear" w:color="auto" w:fill="FFFFFF"/>
          <w:lang w:eastAsia="tr-TR"/>
        </w:rPr>
        <w:t>The body's UA production and excretion are in equilibrium under normal circumstances. Hyperuricemia results from a disturbance in this delicate equilibrium. A UA level of 7 mg/dL or higher in males and 6 mg/dL or higher in females is considered to be hyperuricemia</w:t>
      </w:r>
      <w:r>
        <w:rPr>
          <w:rFonts w:ascii="Times New Roman" w:eastAsia="Times New Roman" w:hAnsi="Times New Roman" w:cs="Times New Roman"/>
          <w:shd w:val="clear" w:color="auto" w:fill="FFFFFF"/>
          <w:lang w:eastAsia="tr-TR"/>
        </w:rPr>
        <w:t xml:space="preserve">[1]. </w:t>
      </w:r>
      <w:r w:rsidRPr="00B37677">
        <w:rPr>
          <w:rFonts w:ascii="Times New Roman" w:eastAsia="Times New Roman" w:hAnsi="Times New Roman" w:cs="Times New Roman"/>
          <w:shd w:val="clear" w:color="auto" w:fill="FFFFFF"/>
          <w:lang w:eastAsia="tr-TR"/>
        </w:rPr>
        <w:t>the UA level threshold increased risk much lower than clinical diagnostic criteria for overall mortality (4.7 mg/dL) and cardiovascular mortality (5 mg/dL</w:t>
      </w:r>
      <w:r>
        <w:rPr>
          <w:rFonts w:ascii="Times New Roman" w:eastAsia="Times New Roman" w:hAnsi="Times New Roman" w:cs="Times New Roman"/>
          <w:shd w:val="clear" w:color="auto" w:fill="FFFFFF"/>
          <w:lang w:eastAsia="tr-TR"/>
        </w:rPr>
        <w:t>)</w:t>
      </w:r>
      <w:r w:rsidRPr="00B37677">
        <w:rPr>
          <w:rFonts w:ascii="Times New Roman" w:eastAsia="Times New Roman" w:hAnsi="Times New Roman" w:cs="Times New Roman"/>
          <w:shd w:val="clear" w:color="auto" w:fill="FFFFFF"/>
          <w:lang w:eastAsia="tr-TR"/>
        </w:rPr>
        <w:t>, respectively</w:t>
      </w:r>
      <w:r>
        <w:rPr>
          <w:rFonts w:ascii="Times New Roman" w:eastAsia="Times New Roman" w:hAnsi="Times New Roman" w:cs="Times New Roman"/>
          <w:shd w:val="clear" w:color="auto" w:fill="FFFFFF"/>
          <w:lang w:eastAsia="tr-TR"/>
        </w:rPr>
        <w:t xml:space="preserve"> [2]</w:t>
      </w:r>
      <w:r w:rsidR="00A84577">
        <w:rPr>
          <w:rFonts w:ascii="Times New Roman" w:eastAsia="Times New Roman" w:hAnsi="Times New Roman" w:cs="Times New Roman"/>
          <w:shd w:val="clear" w:color="auto" w:fill="FFFFFF"/>
          <w:lang w:eastAsia="tr-TR"/>
        </w:rPr>
        <w:t>.</w:t>
      </w:r>
      <w:r w:rsidR="000F16E6">
        <w:rPr>
          <w:rFonts w:ascii="Times New Roman" w:eastAsia="Times New Roman" w:hAnsi="Times New Roman" w:cs="Times New Roman"/>
          <w:shd w:val="clear" w:color="auto" w:fill="FFFFFF"/>
          <w:lang w:eastAsia="tr-TR"/>
        </w:rPr>
        <w:t xml:space="preserve"> </w:t>
      </w:r>
      <w:r w:rsidR="000F16E6" w:rsidRPr="000F16E6">
        <w:rPr>
          <w:rFonts w:ascii="Times New Roman" w:eastAsia="Times New Roman" w:hAnsi="Times New Roman" w:cs="Times New Roman"/>
          <w:shd w:val="clear" w:color="auto" w:fill="FFFFFF"/>
          <w:lang w:eastAsia="tr-TR"/>
        </w:rPr>
        <w:t>Hyperuricemia has superseded hypertension, hyperglycemia, and hyperlipidemia as the "fourth greatest" risk factor for cardiovascular disease, according to a new research</w:t>
      </w:r>
      <w:r w:rsidR="000F16E6">
        <w:rPr>
          <w:rFonts w:ascii="Times New Roman" w:eastAsia="Times New Roman" w:hAnsi="Times New Roman" w:cs="Times New Roman"/>
          <w:shd w:val="clear" w:color="auto" w:fill="FFFFFF"/>
          <w:lang w:eastAsia="tr-TR"/>
        </w:rPr>
        <w:t xml:space="preserve"> [</w:t>
      </w:r>
      <w:r w:rsidR="005B0EF6">
        <w:rPr>
          <w:rFonts w:ascii="Times New Roman" w:eastAsia="Times New Roman" w:hAnsi="Times New Roman" w:cs="Times New Roman"/>
          <w:shd w:val="clear" w:color="auto" w:fill="FFFFFF"/>
          <w:lang w:eastAsia="tr-TR"/>
        </w:rPr>
        <w:t>1,</w:t>
      </w:r>
      <w:r w:rsidR="005E6690">
        <w:rPr>
          <w:rFonts w:ascii="Times New Roman" w:eastAsia="Times New Roman" w:hAnsi="Times New Roman" w:cs="Times New Roman"/>
          <w:shd w:val="clear" w:color="auto" w:fill="FFFFFF"/>
          <w:lang w:eastAsia="tr-TR"/>
        </w:rPr>
        <w:t>3-</w:t>
      </w:r>
      <w:r w:rsidR="005B0EF6">
        <w:rPr>
          <w:rFonts w:ascii="Times New Roman" w:eastAsia="Times New Roman" w:hAnsi="Times New Roman" w:cs="Times New Roman"/>
          <w:shd w:val="clear" w:color="auto" w:fill="FFFFFF"/>
          <w:lang w:eastAsia="tr-TR"/>
        </w:rPr>
        <w:t>5</w:t>
      </w:r>
      <w:r w:rsidR="000F16E6">
        <w:rPr>
          <w:rFonts w:ascii="Times New Roman" w:eastAsia="Times New Roman" w:hAnsi="Times New Roman" w:cs="Times New Roman"/>
          <w:shd w:val="clear" w:color="auto" w:fill="FFFFFF"/>
          <w:lang w:eastAsia="tr-TR"/>
        </w:rPr>
        <w:t>]</w:t>
      </w:r>
      <w:r w:rsidR="005E4273">
        <w:rPr>
          <w:rFonts w:ascii="Times New Roman" w:hAnsi="Times New Roman" w:cs="Times New Roman"/>
          <w:noProof/>
          <w:lang w:val="en"/>
        </w:rPr>
        <w:t>.</w:t>
      </w:r>
      <w:r w:rsidR="00AF3424">
        <w:rPr>
          <w:rFonts w:ascii="Times New Roman" w:eastAsia="Times New Roman" w:hAnsi="Times New Roman"/>
          <w:color w:val="FF0000"/>
          <w:shd w:val="clear" w:color="auto" w:fill="FFFFFF"/>
          <w:lang w:val="en-US" w:eastAsia="tr-TR"/>
        </w:rPr>
        <w:t xml:space="preserve"> </w:t>
      </w:r>
      <w:r w:rsidR="00574293" w:rsidRPr="00574293">
        <w:rPr>
          <w:rFonts w:ascii="Times New Roman" w:eastAsia="Times New Roman" w:hAnsi="Times New Roman"/>
          <w:color w:val="FF0000"/>
          <w:shd w:val="clear" w:color="auto" w:fill="FFFFFF"/>
          <w:lang w:val="en-US" w:eastAsia="tr-TR"/>
        </w:rPr>
        <w:t xml:space="preserve">           </w:t>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574293" w:rsidRPr="00574293">
        <w:rPr>
          <w:rFonts w:ascii="Times New Roman" w:eastAsia="Times New Roman" w:hAnsi="Times New Roman"/>
          <w:color w:val="FF0000"/>
          <w:shd w:val="clear" w:color="auto" w:fill="FFFFFF"/>
          <w:lang w:val="en-US" w:eastAsia="tr-TR"/>
        </w:rPr>
        <w:t xml:space="preserve"> </w:t>
      </w:r>
      <w:r w:rsidR="004F6A3A">
        <w:rPr>
          <w:rFonts w:ascii="Times New Roman" w:eastAsia="Times New Roman" w:hAnsi="Times New Roman"/>
          <w:color w:val="FF0000"/>
          <w:shd w:val="clear" w:color="auto" w:fill="FFFFFF"/>
          <w:lang w:val="en-US" w:eastAsia="tr-TR"/>
        </w:rPr>
        <w:t xml:space="preserve">              </w:t>
      </w:r>
      <w:r w:rsidR="00574293" w:rsidRPr="00574293">
        <w:rPr>
          <w:rFonts w:ascii="Times New Roman" w:eastAsia="Times New Roman" w:hAnsi="Times New Roman"/>
          <w:color w:val="FF0000"/>
          <w:shd w:val="clear" w:color="auto" w:fill="FFFFFF"/>
          <w:lang w:val="en-US" w:eastAsia="tr-TR"/>
        </w:rPr>
        <w:t xml:space="preserve">  </w:t>
      </w:r>
      <w:r w:rsidR="00253396">
        <w:rPr>
          <w:rFonts w:ascii="Times New Roman" w:eastAsia="Times New Roman" w:hAnsi="Times New Roman"/>
          <w:color w:val="FF0000"/>
          <w:shd w:val="clear" w:color="auto" w:fill="FFFFFF"/>
          <w:lang w:val="en-US" w:eastAsia="tr-TR"/>
        </w:rPr>
        <w:t xml:space="preserve">   </w:t>
      </w:r>
    </w:p>
    <w:p w14:paraId="7277482E" w14:textId="3F736CBB" w:rsidR="00AC167A" w:rsidRDefault="005E4273" w:rsidP="005E4273">
      <w:pPr>
        <w:spacing w:before="120" w:after="0"/>
        <w:jc w:val="both"/>
        <w:rPr>
          <w:rFonts w:ascii="Times New Roman" w:hAnsi="Times New Roman" w:cs="Times New Roman"/>
          <w:noProof/>
        </w:rPr>
      </w:pPr>
      <w:r>
        <w:rPr>
          <w:rFonts w:ascii="Times New Roman" w:hAnsi="Times New Roman" w:cs="Times New Roman"/>
          <w:noProof/>
        </w:rPr>
        <w:t>M</w:t>
      </w:r>
      <w:r w:rsidR="000F16E6" w:rsidRPr="000F16E6">
        <w:rPr>
          <w:rFonts w:ascii="Times New Roman" w:hAnsi="Times New Roman" w:cs="Times New Roman"/>
          <w:noProof/>
        </w:rPr>
        <w:t>etabolic syndrome may be caused by hyperuricemia, according to certain theories</w:t>
      </w:r>
      <w:r w:rsidR="000F16E6">
        <w:rPr>
          <w:rFonts w:ascii="Times New Roman" w:hAnsi="Times New Roman" w:cs="Times New Roman"/>
          <w:noProof/>
        </w:rPr>
        <w:t xml:space="preserve"> [</w:t>
      </w:r>
      <w:r w:rsidR="00A53599">
        <w:rPr>
          <w:rFonts w:ascii="Times New Roman" w:hAnsi="Times New Roman" w:cs="Times New Roman"/>
          <w:noProof/>
        </w:rPr>
        <w:t>6,7</w:t>
      </w:r>
      <w:r w:rsidR="000F16E6">
        <w:rPr>
          <w:rFonts w:ascii="Times New Roman" w:hAnsi="Times New Roman" w:cs="Times New Roman"/>
          <w:noProof/>
        </w:rPr>
        <w:t xml:space="preserve">]. </w:t>
      </w:r>
      <w:r w:rsidRPr="005E4273">
        <w:rPr>
          <w:rFonts w:ascii="Times New Roman" w:hAnsi="Times New Roman" w:cs="Times New Roman"/>
          <w:noProof/>
        </w:rPr>
        <w:t>Myocardial infarction, coronary artery disease, heart failure, and thromboembolism may all be predicted by uric acid levels in healthy individuals, as well as troponin and D-Dimer</w:t>
      </w:r>
      <w:r>
        <w:rPr>
          <w:rFonts w:ascii="Times New Roman" w:hAnsi="Times New Roman" w:cs="Times New Roman"/>
          <w:noProof/>
        </w:rPr>
        <w:t xml:space="preserve"> [</w:t>
      </w:r>
      <w:r w:rsidR="00A53599">
        <w:rPr>
          <w:rFonts w:ascii="Times New Roman" w:hAnsi="Times New Roman" w:cs="Times New Roman"/>
          <w:noProof/>
        </w:rPr>
        <w:t>8,9</w:t>
      </w:r>
      <w:r>
        <w:rPr>
          <w:rFonts w:ascii="Times New Roman" w:hAnsi="Times New Roman" w:cs="Times New Roman"/>
          <w:noProof/>
        </w:rPr>
        <w:t xml:space="preserve">]. </w:t>
      </w:r>
      <w:r w:rsidRPr="005E4273">
        <w:rPr>
          <w:rFonts w:ascii="Times New Roman" w:hAnsi="Times New Roman" w:cs="Times New Roman"/>
          <w:noProof/>
        </w:rPr>
        <w:t>In the present study, we aimed to illuminate</w:t>
      </w:r>
      <w:r w:rsidR="00383AF3">
        <w:rPr>
          <w:rFonts w:ascii="Times New Roman" w:hAnsi="Times New Roman" w:cs="Times New Roman"/>
          <w:noProof/>
        </w:rPr>
        <w:t xml:space="preserve"> the risk ratio and</w:t>
      </w:r>
      <w:r w:rsidR="00924A9A">
        <w:rPr>
          <w:rFonts w:ascii="Times New Roman" w:hAnsi="Times New Roman" w:cs="Times New Roman"/>
          <w:noProof/>
        </w:rPr>
        <w:t xml:space="preserve"> the relation of serum uric acid with risk marker of cardiovascular disease</w:t>
      </w:r>
      <w:r w:rsidR="00383AF3">
        <w:rPr>
          <w:rFonts w:ascii="Times New Roman" w:hAnsi="Times New Roman" w:cs="Times New Roman"/>
          <w:noProof/>
        </w:rPr>
        <w:t xml:space="preserve"> like troponin and D-Dimer.</w:t>
      </w:r>
      <w:r w:rsidR="00924A9A">
        <w:rPr>
          <w:rFonts w:ascii="Times New Roman" w:hAnsi="Times New Roman" w:cs="Times New Roman"/>
          <w:noProof/>
        </w:rPr>
        <w:t xml:space="preserve"> </w:t>
      </w:r>
      <w:r>
        <w:rPr>
          <w:rFonts w:ascii="Times New Roman" w:hAnsi="Times New Roman" w:cs="Times New Roman"/>
          <w:noProof/>
        </w:rPr>
        <w:t xml:space="preserve"> </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63C0F074" w:rsidR="00183830" w:rsidRPr="000409ED" w:rsidRDefault="00CF58C0" w:rsidP="000409ED">
      <w:pPr>
        <w:pStyle w:val="ListParagraph"/>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0A651D8A" w14:textId="0AB8D51A" w:rsidR="007E75C3" w:rsidRPr="003E70C9" w:rsidRDefault="007E75C3" w:rsidP="003E70C9">
      <w:pPr>
        <w:autoSpaceDE w:val="0"/>
        <w:autoSpaceDN w:val="0"/>
        <w:adjustRightInd w:val="0"/>
        <w:spacing w:after="120" w:line="276" w:lineRule="auto"/>
        <w:jc w:val="both"/>
        <w:rPr>
          <w:rFonts w:ascii="Times New Roman" w:hAnsi="Times New Roman" w:cs="Times New Roman"/>
          <w:b/>
          <w:lang w:val="en-GB"/>
        </w:rPr>
      </w:pPr>
      <w:r w:rsidRPr="003E70C9">
        <w:rPr>
          <w:rFonts w:ascii="Times New Roman" w:hAnsi="Times New Roman" w:cs="Times New Roman"/>
          <w:b/>
          <w:lang w:val="en-GB"/>
        </w:rPr>
        <w:t xml:space="preserve">2.1. </w:t>
      </w:r>
      <w:r w:rsidR="002F35B5" w:rsidRPr="002F35B5">
        <w:rPr>
          <w:rFonts w:ascii="Times New Roman" w:hAnsi="Times New Roman" w:cs="Times New Roman"/>
          <w:b/>
          <w:lang w:val="en-GB"/>
        </w:rPr>
        <w:t>Subjects</w:t>
      </w:r>
      <w:r w:rsidR="0039131A">
        <w:rPr>
          <w:rFonts w:ascii="Times New Roman" w:hAnsi="Times New Roman" w:cs="Times New Roman"/>
          <w:b/>
          <w:lang w:val="en-GB"/>
        </w:rPr>
        <w:t xml:space="preserve"> </w:t>
      </w:r>
      <w:r w:rsidR="00367661" w:rsidRPr="003E70C9">
        <w:rPr>
          <w:rFonts w:ascii="Times New Roman" w:hAnsi="Times New Roman" w:cs="Times New Roman"/>
          <w:b/>
          <w:color w:val="FF0000"/>
        </w:rPr>
        <w:t xml:space="preserve"> </w:t>
      </w:r>
    </w:p>
    <w:p w14:paraId="7D043E50" w14:textId="419BCEE3" w:rsidR="001B1726" w:rsidRDefault="002F35B5" w:rsidP="001A6AB2">
      <w:pPr>
        <w:autoSpaceDE w:val="0"/>
        <w:autoSpaceDN w:val="0"/>
        <w:adjustRightInd w:val="0"/>
        <w:spacing w:after="0"/>
        <w:jc w:val="both"/>
        <w:rPr>
          <w:rFonts w:ascii="Times New Roman" w:eastAsiaTheme="majorEastAsia" w:hAnsi="Times New Roman" w:cs="Times New Roman"/>
          <w:bCs/>
          <w:kern w:val="32"/>
        </w:rPr>
      </w:pPr>
      <w:r>
        <w:rPr>
          <w:rFonts w:ascii="Times New Roman" w:eastAsiaTheme="majorEastAsia" w:hAnsi="Times New Roman" w:cs="Times New Roman"/>
          <w:bCs/>
          <w:kern w:val="32"/>
          <w:lang w:val="en-US"/>
        </w:rPr>
        <w:t>Our study conducted on 150 patients divided</w:t>
      </w:r>
      <w:r w:rsidR="003842B0">
        <w:rPr>
          <w:rFonts w:ascii="Times New Roman" w:eastAsiaTheme="majorEastAsia" w:hAnsi="Times New Roman" w:cs="Times New Roman"/>
          <w:bCs/>
          <w:kern w:val="32"/>
          <w:lang w:val="en-US"/>
        </w:rPr>
        <w:t xml:space="preserve"> in</w:t>
      </w:r>
      <w:r>
        <w:rPr>
          <w:rFonts w:ascii="Times New Roman" w:eastAsiaTheme="majorEastAsia" w:hAnsi="Times New Roman" w:cs="Times New Roman"/>
          <w:bCs/>
          <w:kern w:val="32"/>
          <w:lang w:val="en-US"/>
        </w:rPr>
        <w:t xml:space="preserve"> to 3 groups</w:t>
      </w:r>
      <w:r w:rsidR="00642FA8">
        <w:rPr>
          <w:rFonts w:ascii="Times New Roman" w:eastAsiaTheme="majorEastAsia" w:hAnsi="Times New Roman" w:cs="Times New Roman"/>
          <w:bCs/>
          <w:kern w:val="32"/>
          <w:lang w:val="en-US"/>
        </w:rPr>
        <w:t xml:space="preserve"> which</w:t>
      </w:r>
      <w:r w:rsidR="003842B0">
        <w:rPr>
          <w:rFonts w:ascii="Times New Roman" w:eastAsiaTheme="majorEastAsia" w:hAnsi="Times New Roman" w:cs="Times New Roman"/>
          <w:bCs/>
          <w:kern w:val="32"/>
          <w:lang w:val="en-US"/>
        </w:rPr>
        <w:t xml:space="preserve"> </w:t>
      </w:r>
      <w:r w:rsidR="00642FA8" w:rsidRPr="00642FA8">
        <w:rPr>
          <w:rFonts w:ascii="Times New Roman" w:eastAsiaTheme="majorEastAsia" w:hAnsi="Times New Roman" w:cs="Times New Roman"/>
          <w:bCs/>
          <w:kern w:val="32"/>
          <w:lang w:val="en-US"/>
        </w:rPr>
        <w:t>diagnosed by physicians</w:t>
      </w:r>
      <w:r w:rsidR="00AA1980">
        <w:rPr>
          <w:rFonts w:ascii="Times New Roman" w:eastAsiaTheme="majorEastAsia" w:hAnsi="Times New Roman" w:cs="Times New Roman"/>
          <w:bCs/>
          <w:kern w:val="32"/>
          <w:lang w:val="en-US"/>
        </w:rPr>
        <w:t>, first group suffering from IHD</w:t>
      </w:r>
      <w:r w:rsidR="00AC30C2">
        <w:rPr>
          <w:rFonts w:ascii="Times New Roman" w:eastAsiaTheme="majorEastAsia" w:hAnsi="Times New Roman" w:cs="Times New Roman"/>
          <w:bCs/>
          <w:kern w:val="32"/>
          <w:lang w:val="en-US"/>
        </w:rPr>
        <w:t xml:space="preserve"> Troponin-I positive &gt;0.3</w:t>
      </w:r>
      <w:r w:rsidR="001A6AB2">
        <w:rPr>
          <w:rFonts w:ascii="Times New Roman" w:eastAsiaTheme="majorEastAsia" w:hAnsi="Times New Roman" w:cs="Times New Roman"/>
          <w:bCs/>
          <w:kern w:val="32"/>
          <w:lang w:val="en-US"/>
        </w:rPr>
        <w:t xml:space="preserve"> </w:t>
      </w:r>
      <w:r w:rsidR="00AC30C2" w:rsidRPr="00AC30C2">
        <w:rPr>
          <w:rFonts w:ascii="Times New Roman" w:eastAsiaTheme="majorEastAsia" w:hAnsi="Times New Roman" w:cs="Times New Roman"/>
          <w:bCs/>
          <w:kern w:val="32"/>
        </w:rPr>
        <w:t>(ng/mL)</w:t>
      </w:r>
      <w:r w:rsidR="00AA1980">
        <w:rPr>
          <w:rFonts w:ascii="Times New Roman" w:eastAsiaTheme="majorEastAsia" w:hAnsi="Times New Roman" w:cs="Times New Roman"/>
          <w:bCs/>
          <w:kern w:val="32"/>
          <w:lang w:val="en-US"/>
        </w:rPr>
        <w:t xml:space="preserve">, the </w:t>
      </w:r>
      <w:proofErr w:type="spellStart"/>
      <w:r w:rsidR="00642FA8">
        <w:rPr>
          <w:rFonts w:ascii="Times New Roman" w:eastAsiaTheme="majorEastAsia" w:hAnsi="Times New Roman" w:cs="Times New Roman"/>
          <w:bCs/>
          <w:kern w:val="32"/>
          <w:lang w:val="en-US"/>
        </w:rPr>
        <w:t>seconed</w:t>
      </w:r>
      <w:proofErr w:type="spellEnd"/>
      <w:r w:rsidR="00AA1980">
        <w:rPr>
          <w:rFonts w:ascii="Times New Roman" w:eastAsiaTheme="majorEastAsia" w:hAnsi="Times New Roman" w:cs="Times New Roman"/>
          <w:bCs/>
          <w:kern w:val="32"/>
          <w:lang w:val="en-US"/>
        </w:rPr>
        <w:t xml:space="preserve"> group was within </w:t>
      </w:r>
      <w:r w:rsidR="00AA1980">
        <w:rPr>
          <w:rFonts w:ascii="Times New Roman" w:eastAsiaTheme="majorEastAsia" w:hAnsi="Times New Roman" w:cs="Times New Roman"/>
          <w:bCs/>
          <w:kern w:val="32"/>
        </w:rPr>
        <w:t>t</w:t>
      </w:r>
      <w:r w:rsidR="00AA1980" w:rsidRPr="00AA1980">
        <w:rPr>
          <w:rFonts w:ascii="Times New Roman" w:eastAsiaTheme="majorEastAsia" w:hAnsi="Times New Roman" w:cs="Times New Roman"/>
          <w:bCs/>
          <w:kern w:val="32"/>
        </w:rPr>
        <w:t>hrombosis</w:t>
      </w:r>
      <w:r w:rsidR="00AC30C2">
        <w:rPr>
          <w:rFonts w:ascii="Times New Roman" w:eastAsiaTheme="majorEastAsia" w:hAnsi="Times New Roman" w:cs="Times New Roman"/>
          <w:bCs/>
          <w:kern w:val="32"/>
        </w:rPr>
        <w:t xml:space="preserve"> D-Dimer positive &gt;500</w:t>
      </w:r>
      <w:r w:rsidR="001A6AB2">
        <w:rPr>
          <w:rFonts w:ascii="Times New Roman" w:eastAsiaTheme="majorEastAsia" w:hAnsi="Times New Roman" w:cs="Times New Roman"/>
          <w:bCs/>
          <w:kern w:val="32"/>
        </w:rPr>
        <w:t xml:space="preserve"> </w:t>
      </w:r>
      <w:r w:rsidR="001A6AB2" w:rsidRPr="001A6AB2">
        <w:rPr>
          <w:rFonts w:ascii="Times New Roman" w:eastAsiaTheme="majorEastAsia" w:hAnsi="Times New Roman" w:cs="Times New Roman"/>
          <w:bCs/>
          <w:kern w:val="32"/>
        </w:rPr>
        <w:t>(mg/dL)</w:t>
      </w:r>
      <w:r w:rsidR="00AA1980">
        <w:rPr>
          <w:rFonts w:ascii="Times New Roman" w:eastAsiaTheme="majorEastAsia" w:hAnsi="Times New Roman" w:cs="Times New Roman"/>
          <w:bCs/>
          <w:kern w:val="32"/>
        </w:rPr>
        <w:t xml:space="preserve"> and </w:t>
      </w:r>
      <w:r w:rsidR="00642FA8">
        <w:rPr>
          <w:rFonts w:ascii="Times New Roman" w:eastAsiaTheme="majorEastAsia" w:hAnsi="Times New Roman" w:cs="Times New Roman"/>
          <w:bCs/>
          <w:kern w:val="32"/>
        </w:rPr>
        <w:t>thired</w:t>
      </w:r>
      <w:r w:rsidR="00AA1980">
        <w:rPr>
          <w:rFonts w:ascii="Times New Roman" w:eastAsiaTheme="majorEastAsia" w:hAnsi="Times New Roman" w:cs="Times New Roman"/>
          <w:bCs/>
          <w:kern w:val="32"/>
        </w:rPr>
        <w:t xml:space="preserve"> group was within CVD under control. </w:t>
      </w:r>
      <w:r w:rsidR="00D97299">
        <w:rPr>
          <w:rFonts w:ascii="Times New Roman" w:eastAsiaTheme="majorEastAsia" w:hAnsi="Times New Roman" w:cs="Times New Roman"/>
          <w:bCs/>
          <w:kern w:val="32"/>
        </w:rPr>
        <w:t>The mean of age for all patients was 40-70 years old.</w:t>
      </w:r>
    </w:p>
    <w:p w14:paraId="115CA758" w14:textId="77777777" w:rsidR="00F70A1D" w:rsidRDefault="00F70A1D" w:rsidP="001A6AB2">
      <w:pPr>
        <w:autoSpaceDE w:val="0"/>
        <w:autoSpaceDN w:val="0"/>
        <w:adjustRightInd w:val="0"/>
        <w:spacing w:after="0"/>
        <w:jc w:val="both"/>
        <w:rPr>
          <w:rFonts w:ascii="Times New Roman" w:eastAsiaTheme="majorEastAsia" w:hAnsi="Times New Roman" w:cs="Times New Roman"/>
          <w:bCs/>
          <w:kern w:val="32"/>
        </w:rPr>
      </w:pPr>
    </w:p>
    <w:p w14:paraId="429D0A95" w14:textId="32521DC0" w:rsidR="00D97299" w:rsidRDefault="00F70A1D" w:rsidP="00F05A47">
      <w:pPr>
        <w:autoSpaceDE w:val="0"/>
        <w:autoSpaceDN w:val="0"/>
        <w:adjustRightInd w:val="0"/>
        <w:spacing w:after="0"/>
        <w:jc w:val="both"/>
        <w:rPr>
          <w:rFonts w:ascii="Times New Roman" w:eastAsiaTheme="majorEastAsia" w:hAnsi="Times New Roman" w:cs="Times New Roman"/>
          <w:bCs/>
          <w:kern w:val="32"/>
        </w:rPr>
      </w:pPr>
      <w:r w:rsidRPr="00F70A1D">
        <w:rPr>
          <w:rFonts w:ascii="Times New Roman" w:eastAsiaTheme="majorEastAsia" w:hAnsi="Times New Roman" w:cs="Times New Roman"/>
          <w:bCs/>
          <w:kern w:val="32"/>
        </w:rPr>
        <w:t>Study samples were collected from patients attending to</w:t>
      </w:r>
      <w:r>
        <w:rPr>
          <w:rFonts w:ascii="Times New Roman" w:eastAsiaTheme="majorEastAsia" w:hAnsi="Times New Roman" w:cs="Times New Roman"/>
          <w:bCs/>
          <w:kern w:val="32"/>
        </w:rPr>
        <w:t xml:space="preserve"> </w:t>
      </w:r>
      <w:r w:rsidRPr="00F70A1D">
        <w:rPr>
          <w:rFonts w:ascii="Times New Roman" w:eastAsiaTheme="majorEastAsia" w:hAnsi="Times New Roman" w:cs="Times New Roman"/>
          <w:bCs/>
          <w:kern w:val="32"/>
        </w:rPr>
        <w:t>Respirotory care unit and cardiac care unit</w:t>
      </w:r>
      <w:r w:rsidR="00F05A47">
        <w:rPr>
          <w:rFonts w:ascii="Times New Roman" w:eastAsiaTheme="majorEastAsia" w:hAnsi="Times New Roman" w:cs="Times New Roman"/>
          <w:bCs/>
          <w:kern w:val="32"/>
        </w:rPr>
        <w:t xml:space="preserve"> at Baghdad teaching hospital/ Medical city</w:t>
      </w:r>
      <w:r w:rsidRPr="00F70A1D">
        <w:rPr>
          <w:rFonts w:ascii="Times New Roman" w:eastAsiaTheme="majorEastAsia" w:hAnsi="Times New Roman" w:cs="Times New Roman"/>
          <w:bCs/>
          <w:kern w:val="32"/>
        </w:rPr>
        <w:t xml:space="preserve"> from </w:t>
      </w:r>
      <w:r w:rsidR="00F05A47" w:rsidRPr="00F05A47">
        <w:rPr>
          <w:rFonts w:ascii="Times New Roman" w:eastAsiaTheme="majorEastAsia" w:hAnsi="Times New Roman" w:cs="Times New Roman"/>
          <w:bCs/>
          <w:kern w:val="32"/>
        </w:rPr>
        <w:t>January 2022 to July 2022</w:t>
      </w:r>
      <w:r w:rsidRPr="00F70A1D">
        <w:rPr>
          <w:rFonts w:ascii="Times New Roman" w:eastAsiaTheme="majorEastAsia" w:hAnsi="Times New Roman" w:cs="Times New Roman"/>
          <w:bCs/>
          <w:kern w:val="32"/>
        </w:rPr>
        <w:t>. All participants were informed about the study procedure through a written consent fo</w:t>
      </w:r>
      <w:r w:rsidR="00C6215A">
        <w:rPr>
          <w:rFonts w:ascii="Times New Roman" w:eastAsiaTheme="majorEastAsia" w:hAnsi="Times New Roman" w:cs="Times New Roman"/>
          <w:bCs/>
          <w:kern w:val="32"/>
        </w:rPr>
        <w:t>r</w:t>
      </w:r>
      <w:r w:rsidRPr="00F70A1D">
        <w:rPr>
          <w:rFonts w:ascii="Times New Roman" w:eastAsiaTheme="majorEastAsia" w:hAnsi="Times New Roman" w:cs="Times New Roman"/>
          <w:bCs/>
          <w:kern w:val="32"/>
        </w:rPr>
        <w:t xml:space="preserve">m before participation. The study complied with the Declaration of Helsinki, and the research protocol was approved by </w:t>
      </w:r>
      <w:r w:rsidR="00922DA2">
        <w:rPr>
          <w:rFonts w:ascii="Times New Roman" w:eastAsiaTheme="majorEastAsia" w:hAnsi="Times New Roman" w:cs="Times New Roman"/>
          <w:bCs/>
          <w:kern w:val="32"/>
        </w:rPr>
        <w:t>Medical City</w:t>
      </w:r>
      <w:r w:rsidRPr="00F70A1D">
        <w:rPr>
          <w:rFonts w:ascii="Times New Roman" w:eastAsiaTheme="majorEastAsia" w:hAnsi="Times New Roman" w:cs="Times New Roman"/>
          <w:bCs/>
          <w:kern w:val="32"/>
        </w:rPr>
        <w:t xml:space="preserve"> Research Ethics Committee (Decision date: 0</w:t>
      </w:r>
      <w:r w:rsidR="00FF67D6">
        <w:rPr>
          <w:rFonts w:ascii="Times New Roman" w:eastAsiaTheme="majorEastAsia" w:hAnsi="Times New Roman" w:cs="Times New Roman"/>
          <w:bCs/>
          <w:kern w:val="32"/>
        </w:rPr>
        <w:t>1</w:t>
      </w:r>
      <w:r w:rsidRPr="00F70A1D">
        <w:rPr>
          <w:rFonts w:ascii="Times New Roman" w:eastAsiaTheme="majorEastAsia" w:hAnsi="Times New Roman" w:cs="Times New Roman"/>
          <w:bCs/>
          <w:kern w:val="32"/>
        </w:rPr>
        <w:t>.</w:t>
      </w:r>
      <w:r w:rsidR="00FF67D6">
        <w:rPr>
          <w:rFonts w:ascii="Times New Roman" w:eastAsiaTheme="majorEastAsia" w:hAnsi="Times New Roman" w:cs="Times New Roman"/>
          <w:bCs/>
          <w:kern w:val="32"/>
        </w:rPr>
        <w:t>06</w:t>
      </w:r>
      <w:r w:rsidRPr="00F70A1D">
        <w:rPr>
          <w:rFonts w:ascii="Times New Roman" w:eastAsiaTheme="majorEastAsia" w:hAnsi="Times New Roman" w:cs="Times New Roman"/>
          <w:bCs/>
          <w:kern w:val="32"/>
        </w:rPr>
        <w:t>.20</w:t>
      </w:r>
      <w:r w:rsidR="00FF67D6">
        <w:rPr>
          <w:rFonts w:ascii="Times New Roman" w:eastAsiaTheme="majorEastAsia" w:hAnsi="Times New Roman" w:cs="Times New Roman"/>
          <w:bCs/>
          <w:kern w:val="32"/>
        </w:rPr>
        <w:t>22</w:t>
      </w:r>
      <w:r w:rsidRPr="00F70A1D">
        <w:rPr>
          <w:rFonts w:ascii="Times New Roman" w:eastAsiaTheme="majorEastAsia" w:hAnsi="Times New Roman" w:cs="Times New Roman"/>
          <w:bCs/>
          <w:kern w:val="32"/>
        </w:rPr>
        <w:t>, Decision no: 20</w:t>
      </w:r>
      <w:r w:rsidR="00FF67D6">
        <w:rPr>
          <w:rFonts w:ascii="Times New Roman" w:eastAsiaTheme="majorEastAsia" w:hAnsi="Times New Roman" w:cs="Times New Roman"/>
          <w:bCs/>
          <w:kern w:val="32"/>
        </w:rPr>
        <w:t>22</w:t>
      </w:r>
      <w:r w:rsidRPr="00F70A1D">
        <w:rPr>
          <w:rFonts w:ascii="Times New Roman" w:eastAsiaTheme="majorEastAsia" w:hAnsi="Times New Roman" w:cs="Times New Roman"/>
          <w:bCs/>
          <w:kern w:val="32"/>
        </w:rPr>
        <w:t>/</w:t>
      </w:r>
      <w:r w:rsidR="00FF67D6">
        <w:rPr>
          <w:rFonts w:ascii="Times New Roman" w:eastAsiaTheme="majorEastAsia" w:hAnsi="Times New Roman" w:cs="Times New Roman"/>
          <w:bCs/>
          <w:kern w:val="32"/>
        </w:rPr>
        <w:t>21853</w:t>
      </w:r>
      <w:r w:rsidRPr="00F70A1D">
        <w:rPr>
          <w:rFonts w:ascii="Times New Roman" w:eastAsiaTheme="majorEastAsia" w:hAnsi="Times New Roman" w:cs="Times New Roman"/>
          <w:bCs/>
          <w:kern w:val="32"/>
        </w:rPr>
        <w:t>).</w:t>
      </w:r>
    </w:p>
    <w:p w14:paraId="134C158F" w14:textId="68E3DB60" w:rsidR="00C46127" w:rsidRDefault="00C46127" w:rsidP="00F05A47">
      <w:pPr>
        <w:autoSpaceDE w:val="0"/>
        <w:autoSpaceDN w:val="0"/>
        <w:adjustRightInd w:val="0"/>
        <w:spacing w:after="0"/>
        <w:jc w:val="both"/>
        <w:rPr>
          <w:rFonts w:ascii="Times New Roman" w:eastAsiaTheme="majorEastAsia" w:hAnsi="Times New Roman" w:cs="Times New Roman"/>
          <w:bCs/>
          <w:kern w:val="32"/>
        </w:rPr>
      </w:pPr>
    </w:p>
    <w:p w14:paraId="264B8938" w14:textId="26CBAFCF" w:rsidR="003853F8" w:rsidRDefault="00C46127" w:rsidP="00456E2C">
      <w:pPr>
        <w:autoSpaceDE w:val="0"/>
        <w:autoSpaceDN w:val="0"/>
        <w:adjustRightInd w:val="0"/>
        <w:spacing w:after="0"/>
        <w:jc w:val="both"/>
        <w:rPr>
          <w:rFonts w:ascii="Times New Roman" w:eastAsiaTheme="majorEastAsia" w:hAnsi="Times New Roman" w:cs="Times New Roman"/>
          <w:bCs/>
          <w:kern w:val="32"/>
        </w:rPr>
      </w:pPr>
      <w:r w:rsidRPr="00C46127">
        <w:rPr>
          <w:rFonts w:ascii="Times New Roman" w:eastAsiaTheme="majorEastAsia" w:hAnsi="Times New Roman" w:cs="Times New Roman"/>
          <w:bCs/>
          <w:kern w:val="32"/>
        </w:rPr>
        <w:lastRenderedPageBreak/>
        <w:t xml:space="preserve">A </w:t>
      </w:r>
      <w:r w:rsidR="00456E2C">
        <w:rPr>
          <w:rFonts w:ascii="Times New Roman" w:eastAsiaTheme="majorEastAsia" w:hAnsi="Times New Roman" w:cs="Times New Roman"/>
          <w:bCs/>
          <w:kern w:val="32"/>
        </w:rPr>
        <w:t xml:space="preserve">body mass index BMI </w:t>
      </w:r>
      <w:r w:rsidR="00456E2C" w:rsidRPr="00456E2C">
        <w:rPr>
          <w:rFonts w:ascii="Times New Roman" w:eastAsiaTheme="majorEastAsia" w:hAnsi="Times New Roman" w:cs="Times New Roman"/>
          <w:bCs/>
          <w:kern w:val="32"/>
        </w:rPr>
        <w:t>(Kg/m</w:t>
      </w:r>
      <w:r w:rsidR="00456E2C" w:rsidRPr="00456E2C">
        <w:rPr>
          <w:rFonts w:ascii="Times New Roman" w:eastAsiaTheme="majorEastAsia" w:hAnsi="Times New Roman" w:cs="Times New Roman"/>
          <w:bCs/>
          <w:kern w:val="32"/>
          <w:vertAlign w:val="superscript"/>
        </w:rPr>
        <w:t>2</w:t>
      </w:r>
      <w:r w:rsidR="00456E2C" w:rsidRPr="00456E2C">
        <w:rPr>
          <w:rFonts w:ascii="Times New Roman" w:eastAsiaTheme="majorEastAsia" w:hAnsi="Times New Roman" w:cs="Times New Roman"/>
          <w:bCs/>
          <w:kern w:val="32"/>
        </w:rPr>
        <w:t>)</w:t>
      </w:r>
      <w:r w:rsidR="00456E2C">
        <w:rPr>
          <w:rFonts w:ascii="Times New Roman" w:eastAsiaTheme="majorEastAsia" w:hAnsi="Times New Roman" w:cs="Times New Roman"/>
          <w:bCs/>
          <w:kern w:val="32"/>
        </w:rPr>
        <w:t xml:space="preserve"> and blood pressure category </w:t>
      </w:r>
      <w:r w:rsidR="0042182D">
        <w:rPr>
          <w:rFonts w:ascii="Times New Roman" w:eastAsiaTheme="majorEastAsia" w:hAnsi="Times New Roman" w:cs="Times New Roman"/>
          <w:bCs/>
          <w:kern w:val="32"/>
        </w:rPr>
        <w:t>(mm Hg) was defien according to American Heart Association (AHA)</w:t>
      </w:r>
      <w:r>
        <w:rPr>
          <w:rFonts w:ascii="Times New Roman" w:eastAsiaTheme="majorEastAsia" w:hAnsi="Times New Roman" w:cs="Times New Roman"/>
          <w:bCs/>
          <w:kern w:val="32"/>
        </w:rPr>
        <w:t xml:space="preserve"> [</w:t>
      </w:r>
      <w:r w:rsidR="00A53599">
        <w:rPr>
          <w:rFonts w:ascii="Times New Roman" w:eastAsiaTheme="majorEastAsia" w:hAnsi="Times New Roman" w:cs="Times New Roman"/>
          <w:bCs/>
          <w:kern w:val="32"/>
        </w:rPr>
        <w:t>10</w:t>
      </w:r>
      <w:r>
        <w:rPr>
          <w:rFonts w:ascii="Times New Roman" w:eastAsiaTheme="majorEastAsia" w:hAnsi="Times New Roman" w:cs="Times New Roman"/>
          <w:bCs/>
          <w:kern w:val="32"/>
        </w:rPr>
        <w:t>]</w:t>
      </w:r>
      <w:r w:rsidR="0042182D">
        <w:rPr>
          <w:rFonts w:ascii="Times New Roman" w:eastAsiaTheme="majorEastAsia" w:hAnsi="Times New Roman" w:cs="Times New Roman"/>
          <w:bCs/>
          <w:kern w:val="32"/>
        </w:rPr>
        <w:t>.</w:t>
      </w:r>
    </w:p>
    <w:p w14:paraId="238A49BC" w14:textId="77777777" w:rsidR="003853F8" w:rsidRDefault="003853F8" w:rsidP="00456E2C">
      <w:pPr>
        <w:autoSpaceDE w:val="0"/>
        <w:autoSpaceDN w:val="0"/>
        <w:adjustRightInd w:val="0"/>
        <w:spacing w:after="0"/>
        <w:jc w:val="both"/>
        <w:rPr>
          <w:rFonts w:ascii="Times New Roman" w:eastAsiaTheme="majorEastAsia" w:hAnsi="Times New Roman" w:cs="Times New Roman"/>
          <w:bCs/>
          <w:kern w:val="32"/>
        </w:rPr>
      </w:pPr>
    </w:p>
    <w:p w14:paraId="0863D635" w14:textId="058527CA" w:rsidR="00C46127" w:rsidRDefault="003853F8" w:rsidP="00456E2C">
      <w:pPr>
        <w:autoSpaceDE w:val="0"/>
        <w:autoSpaceDN w:val="0"/>
        <w:adjustRightInd w:val="0"/>
        <w:spacing w:after="0"/>
        <w:jc w:val="both"/>
        <w:rPr>
          <w:rFonts w:ascii="Times New Roman" w:eastAsiaTheme="majorEastAsia" w:hAnsi="Times New Roman" w:cs="Times New Roman"/>
          <w:bCs/>
          <w:kern w:val="32"/>
        </w:rPr>
      </w:pPr>
      <w:r>
        <w:rPr>
          <w:rFonts w:ascii="Times New Roman" w:eastAsiaTheme="majorEastAsia" w:hAnsi="Times New Roman" w:cs="Times New Roman"/>
          <w:bCs/>
          <w:kern w:val="32"/>
        </w:rPr>
        <w:t>B</w:t>
      </w:r>
      <w:r w:rsidRPr="003853F8">
        <w:rPr>
          <w:rFonts w:ascii="Times New Roman" w:eastAsiaTheme="majorEastAsia" w:hAnsi="Times New Roman" w:cs="Times New Roman"/>
          <w:bCs/>
          <w:kern w:val="32"/>
        </w:rPr>
        <w:t xml:space="preserve">lood samples were obtained from the subjects by venipuncture and centrifuged immediately, and serum samples were analyzed directly without storage. In the central laboratory of </w:t>
      </w:r>
      <w:r>
        <w:rPr>
          <w:rFonts w:ascii="Times New Roman" w:eastAsiaTheme="majorEastAsia" w:hAnsi="Times New Roman" w:cs="Times New Roman"/>
          <w:bCs/>
          <w:kern w:val="32"/>
        </w:rPr>
        <w:t>Baghdad Teachin</w:t>
      </w:r>
      <w:r w:rsidR="000E703B">
        <w:rPr>
          <w:rFonts w:ascii="Times New Roman" w:eastAsiaTheme="majorEastAsia" w:hAnsi="Times New Roman" w:cs="Times New Roman"/>
          <w:bCs/>
          <w:kern w:val="32"/>
        </w:rPr>
        <w:t>g</w:t>
      </w:r>
      <w:r>
        <w:rPr>
          <w:rFonts w:ascii="Times New Roman" w:eastAsiaTheme="majorEastAsia" w:hAnsi="Times New Roman" w:cs="Times New Roman"/>
          <w:bCs/>
          <w:kern w:val="32"/>
        </w:rPr>
        <w:t xml:space="preserve"> Hospital</w:t>
      </w:r>
      <w:r w:rsidRPr="003853F8">
        <w:rPr>
          <w:rFonts w:ascii="Times New Roman" w:eastAsiaTheme="majorEastAsia" w:hAnsi="Times New Roman" w:cs="Times New Roman"/>
          <w:bCs/>
          <w:kern w:val="32"/>
        </w:rPr>
        <w:t xml:space="preserve">, a serum concentration of total </w:t>
      </w:r>
      <w:r w:rsidR="00C41F2E">
        <w:rPr>
          <w:rFonts w:ascii="Times New Roman" w:eastAsiaTheme="majorEastAsia" w:hAnsi="Times New Roman" w:cs="Times New Roman"/>
          <w:bCs/>
          <w:kern w:val="32"/>
        </w:rPr>
        <w:t>serum uric acid</w:t>
      </w:r>
      <w:r>
        <w:rPr>
          <w:rFonts w:ascii="Times New Roman" w:eastAsiaTheme="majorEastAsia" w:hAnsi="Times New Roman" w:cs="Times New Roman"/>
          <w:bCs/>
          <w:kern w:val="32"/>
        </w:rPr>
        <w:t>, cholestero</w:t>
      </w:r>
      <w:r w:rsidR="00B3077F">
        <w:rPr>
          <w:rFonts w:ascii="Times New Roman" w:eastAsiaTheme="majorEastAsia" w:hAnsi="Times New Roman" w:cs="Times New Roman"/>
          <w:bCs/>
          <w:kern w:val="32"/>
        </w:rPr>
        <w:t>,</w:t>
      </w:r>
      <w:r w:rsidRPr="003853F8">
        <w:rPr>
          <w:rFonts w:ascii="Times New Roman" w:eastAsiaTheme="majorEastAsia" w:hAnsi="Times New Roman" w:cs="Times New Roman"/>
          <w:bCs/>
          <w:kern w:val="32"/>
        </w:rPr>
        <w:t xml:space="preserve"> triglyceride</w:t>
      </w:r>
      <w:r w:rsidR="00B3077F">
        <w:rPr>
          <w:rFonts w:ascii="Times New Roman" w:eastAsiaTheme="majorEastAsia" w:hAnsi="Times New Roman" w:cs="Times New Roman"/>
          <w:bCs/>
          <w:kern w:val="32"/>
        </w:rPr>
        <w:t xml:space="preserve"> high density lipoprotien (HDL), urea and creatinin</w:t>
      </w:r>
      <w:r w:rsidRPr="003853F8">
        <w:rPr>
          <w:rFonts w:ascii="Times New Roman" w:eastAsiaTheme="majorEastAsia" w:hAnsi="Times New Roman" w:cs="Times New Roman"/>
          <w:bCs/>
          <w:kern w:val="32"/>
        </w:rPr>
        <w:t xml:space="preserve"> was measured by enzymatic methods, whereas plasma glucose</w:t>
      </w:r>
      <w:r w:rsidR="00B3077F">
        <w:rPr>
          <w:rFonts w:ascii="Times New Roman" w:eastAsiaTheme="majorEastAsia" w:hAnsi="Times New Roman" w:cs="Times New Roman"/>
          <w:bCs/>
          <w:kern w:val="32"/>
        </w:rPr>
        <w:t xml:space="preserve"> </w:t>
      </w:r>
      <w:r w:rsidRPr="003853F8">
        <w:rPr>
          <w:rFonts w:ascii="Times New Roman" w:eastAsiaTheme="majorEastAsia" w:hAnsi="Times New Roman" w:cs="Times New Roman"/>
          <w:bCs/>
          <w:kern w:val="32"/>
        </w:rPr>
        <w:t xml:space="preserve">was measured by the hexokinase method by an autoanalyzer. </w:t>
      </w:r>
      <w:r w:rsidR="00B3077F">
        <w:rPr>
          <w:rFonts w:ascii="Times New Roman" w:eastAsiaTheme="majorEastAsia" w:hAnsi="Times New Roman" w:cs="Times New Roman"/>
          <w:bCs/>
          <w:kern w:val="32"/>
        </w:rPr>
        <w:t>Troponin-I and D-Dimer</w:t>
      </w:r>
      <w:r w:rsidRPr="003853F8">
        <w:rPr>
          <w:rFonts w:ascii="Times New Roman" w:eastAsiaTheme="majorEastAsia" w:hAnsi="Times New Roman" w:cs="Times New Roman"/>
          <w:bCs/>
          <w:kern w:val="32"/>
        </w:rPr>
        <w:t xml:space="preserve"> levels were assayed by the chemiluminescent immunoassay technique by an autoanalyzer.</w:t>
      </w:r>
      <w:r w:rsidR="00C46127">
        <w:rPr>
          <w:rFonts w:ascii="Times New Roman" w:eastAsiaTheme="majorEastAsia" w:hAnsi="Times New Roman" w:cs="Times New Roman"/>
          <w:bCs/>
          <w:kern w:val="32"/>
        </w:rPr>
        <w:t xml:space="preserve"> </w:t>
      </w:r>
    </w:p>
    <w:p w14:paraId="60541146" w14:textId="1427A0AB" w:rsidR="00781E13" w:rsidRDefault="00781E13" w:rsidP="00456E2C">
      <w:pPr>
        <w:autoSpaceDE w:val="0"/>
        <w:autoSpaceDN w:val="0"/>
        <w:adjustRightInd w:val="0"/>
        <w:spacing w:after="0"/>
        <w:jc w:val="both"/>
        <w:rPr>
          <w:rFonts w:ascii="Times New Roman" w:eastAsiaTheme="majorEastAsia" w:hAnsi="Times New Roman" w:cs="Times New Roman"/>
          <w:bCs/>
          <w:kern w:val="32"/>
        </w:rPr>
      </w:pPr>
    </w:p>
    <w:p w14:paraId="4F4B8BB9" w14:textId="020BB441" w:rsidR="00781E13" w:rsidRPr="00C01014" w:rsidRDefault="00781E13" w:rsidP="00C01014">
      <w:pPr>
        <w:autoSpaceDE w:val="0"/>
        <w:autoSpaceDN w:val="0"/>
        <w:adjustRightInd w:val="0"/>
        <w:spacing w:after="120" w:line="276" w:lineRule="auto"/>
        <w:jc w:val="both"/>
        <w:rPr>
          <w:rFonts w:ascii="Times New Roman" w:eastAsiaTheme="majorEastAsia" w:hAnsi="Times New Roman" w:cs="Times New Roman"/>
          <w:b/>
          <w:kern w:val="32"/>
        </w:rPr>
      </w:pPr>
      <w:r w:rsidRPr="00C01014">
        <w:rPr>
          <w:rFonts w:ascii="Times New Roman" w:eastAsiaTheme="majorEastAsia" w:hAnsi="Times New Roman" w:cs="Times New Roman"/>
          <w:b/>
          <w:kern w:val="32"/>
        </w:rPr>
        <w:t>2.2 Statistical Analysis</w:t>
      </w:r>
    </w:p>
    <w:p w14:paraId="1A24F74E" w14:textId="0B26EE3C" w:rsidR="00781E13" w:rsidRPr="00AA1980" w:rsidRDefault="00781E13" w:rsidP="00456E2C">
      <w:pPr>
        <w:autoSpaceDE w:val="0"/>
        <w:autoSpaceDN w:val="0"/>
        <w:adjustRightInd w:val="0"/>
        <w:spacing w:after="0"/>
        <w:jc w:val="both"/>
        <w:rPr>
          <w:rFonts w:ascii="Times New Roman" w:eastAsiaTheme="majorEastAsia" w:hAnsi="Times New Roman" w:cs="Times New Roman"/>
          <w:bCs/>
          <w:kern w:val="32"/>
        </w:rPr>
      </w:pPr>
      <w:r w:rsidRPr="00781E13">
        <w:rPr>
          <w:rFonts w:ascii="Times New Roman" w:eastAsiaTheme="majorEastAsia" w:hAnsi="Times New Roman" w:cs="Times New Roman"/>
          <w:bCs/>
          <w:kern w:val="32"/>
        </w:rPr>
        <w:t>Chi-square (X2) tests were used to compare percentages in the present study's data. t. A test to compare two numerical variables was used. Measurement of the linear connection between two variables was done using Pearson correlation test. A significance threshold of 0.05 was used in the test. Logistic regression analysis and its 95% confidence intervals was used to measured odd ratio. SPSS v.23 programs used to analyze current data</w:t>
      </w:r>
    </w:p>
    <w:p w14:paraId="5BF325CD" w14:textId="537B6046" w:rsidR="007B47CE" w:rsidRDefault="007B47CE" w:rsidP="000409ED">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r w:rsidRPr="00A87B23">
        <w:rPr>
          <w:rFonts w:ascii="Times New Roman" w:hAnsi="Times New Roman" w:cs="Times New Roman"/>
          <w:b/>
        </w:rPr>
        <w:t xml:space="preserve">Results and </w:t>
      </w:r>
      <w:r w:rsidR="0010259C">
        <w:rPr>
          <w:rFonts w:ascii="Times New Roman" w:hAnsi="Times New Roman" w:cs="Times New Roman"/>
          <w:b/>
        </w:rPr>
        <w:t>D</w:t>
      </w:r>
      <w:r w:rsidRPr="00A87B23">
        <w:rPr>
          <w:rFonts w:ascii="Times New Roman" w:hAnsi="Times New Roman" w:cs="Times New Roman"/>
          <w:b/>
        </w:rPr>
        <w:t>iscussion</w:t>
      </w:r>
    </w:p>
    <w:p w14:paraId="19FE161F" w14:textId="59190D72" w:rsidR="00F601E5" w:rsidRDefault="007B47CE" w:rsidP="00F94473">
      <w:pPr>
        <w:autoSpaceDE w:val="0"/>
        <w:autoSpaceDN w:val="0"/>
        <w:adjustRightInd w:val="0"/>
        <w:spacing w:before="120" w:after="240"/>
        <w:jc w:val="both"/>
        <w:rPr>
          <w:rFonts w:ascii="Times New Roman" w:hAnsi="Times New Roman" w:cs="Times New Roman"/>
          <w:b/>
          <w:color w:val="FF0000"/>
        </w:rPr>
      </w:pPr>
      <w:r>
        <w:rPr>
          <w:rFonts w:ascii="Times New Roman" w:hAnsi="Times New Roman" w:cs="Times New Roman"/>
          <w:b/>
          <w:lang w:val="en-GB"/>
        </w:rPr>
        <w:t xml:space="preserve">3.1. </w:t>
      </w:r>
      <w:r w:rsidR="00BA06D4">
        <w:rPr>
          <w:rFonts w:ascii="Times New Roman" w:hAnsi="Times New Roman" w:cs="Times New Roman"/>
          <w:b/>
          <w:lang w:val="en-GB"/>
        </w:rPr>
        <w:t>Results</w:t>
      </w:r>
      <w:r w:rsidR="0039131A">
        <w:rPr>
          <w:rFonts w:ascii="Times New Roman" w:hAnsi="Times New Roman" w:cs="Times New Roman"/>
          <w:b/>
          <w:lang w:val="en-GB"/>
        </w:rPr>
        <w:t xml:space="preserve"> </w:t>
      </w:r>
    </w:p>
    <w:p w14:paraId="600EBCBC" w14:textId="200DD086" w:rsidR="00A76A4A" w:rsidRDefault="00A76A4A" w:rsidP="00A76A4A">
      <w:pPr>
        <w:autoSpaceDE w:val="0"/>
        <w:autoSpaceDN w:val="0"/>
        <w:adjustRightInd w:val="0"/>
        <w:spacing w:before="120" w:after="240"/>
        <w:jc w:val="both"/>
        <w:rPr>
          <w:rFonts w:ascii="Times New Roman" w:hAnsi="Times New Roman" w:cs="Times New Roman"/>
        </w:rPr>
      </w:pPr>
      <w:r>
        <w:rPr>
          <w:rFonts w:ascii="Times New Roman" w:hAnsi="Times New Roman" w:cs="Times New Roman"/>
        </w:rPr>
        <w:t>T</w:t>
      </w:r>
      <w:r w:rsidRPr="00A76A4A">
        <w:rPr>
          <w:rFonts w:ascii="Times New Roman" w:hAnsi="Times New Roman" w:cs="Times New Roman"/>
        </w:rPr>
        <w:t>he mean ages of the studied groups were within fifth to sixth decades, and this difference was statistically non-significant (P= 0.2). Also, the results of this table documented that most cases of Ischemic patients and cardiovascular under control were among male groups with 42(84.0%), 32(64.0%) respectively, while most cases of Thrombolisim in patients with Covid-Positive were recorded among female groups 32(64.0%), and these differences were statistically highly significant ( P&lt; 0.001)</w:t>
      </w:r>
      <w:r w:rsidR="00BA40BF">
        <w:rPr>
          <w:rFonts w:ascii="Times New Roman" w:hAnsi="Times New Roman" w:cs="Times New Roman"/>
        </w:rPr>
        <w:t xml:space="preserve"> as shown in table 1</w:t>
      </w:r>
      <w:r w:rsidRPr="00A76A4A">
        <w:rPr>
          <w:rFonts w:ascii="Times New Roman" w:hAnsi="Times New Roman" w:cs="Times New Roman"/>
        </w:rPr>
        <w:t>.</w:t>
      </w:r>
    </w:p>
    <w:p w14:paraId="00AAF04B" w14:textId="7FB798FF" w:rsidR="00781E13" w:rsidRPr="00C52D85" w:rsidRDefault="005F7FD2" w:rsidP="00C52D85">
      <w:pPr>
        <w:autoSpaceDE w:val="0"/>
        <w:autoSpaceDN w:val="0"/>
        <w:adjustRightInd w:val="0"/>
        <w:spacing w:after="0"/>
        <w:jc w:val="both"/>
        <w:rPr>
          <w:rFonts w:ascii="Times New Roman" w:hAnsi="Times New Roman" w:cs="Times New Roman"/>
          <w:b/>
          <w:sz w:val="20"/>
          <w:szCs w:val="20"/>
        </w:rPr>
      </w:pPr>
      <w:r w:rsidRPr="00C52D85">
        <w:rPr>
          <w:rFonts w:ascii="Times New Roman" w:hAnsi="Times New Roman" w:cs="Times New Roman"/>
          <w:b/>
          <w:sz w:val="20"/>
          <w:szCs w:val="20"/>
          <w:lang w:val="en-GB"/>
        </w:rPr>
        <w:t xml:space="preserve">Table 1. </w:t>
      </w:r>
      <w:r w:rsidR="00C52D85" w:rsidRPr="00C52D85">
        <w:rPr>
          <w:rFonts w:ascii="Times New Roman" w:hAnsi="Times New Roman" w:cs="Times New Roman"/>
          <w:bCs/>
          <w:sz w:val="20"/>
          <w:szCs w:val="20"/>
        </w:rPr>
        <w:t>Demographical picture of studied groups (N=150)</w:t>
      </w:r>
    </w:p>
    <w:tbl>
      <w:tblPr>
        <w:tblStyle w:val="TableGrid"/>
        <w:tblpPr w:leftFromText="141" w:rightFromText="141" w:vertAnchor="page" w:horzAnchor="margin" w:tblpY="8491"/>
        <w:tblW w:w="4644" w:type="pct"/>
        <w:tblLook w:val="04A0" w:firstRow="1" w:lastRow="0" w:firstColumn="1" w:lastColumn="0" w:noHBand="0" w:noVBand="1"/>
      </w:tblPr>
      <w:tblGrid>
        <w:gridCol w:w="1362"/>
        <w:gridCol w:w="1477"/>
        <w:gridCol w:w="1393"/>
        <w:gridCol w:w="1660"/>
        <w:gridCol w:w="1788"/>
        <w:gridCol w:w="1472"/>
      </w:tblGrid>
      <w:tr w:rsidR="00C52D85" w:rsidRPr="00445AA0" w14:paraId="4E44788A" w14:textId="77777777" w:rsidTr="00C52D85">
        <w:trPr>
          <w:trHeight w:val="552"/>
        </w:trPr>
        <w:tc>
          <w:tcPr>
            <w:tcW w:w="744" w:type="pct"/>
            <w:vAlign w:val="center"/>
          </w:tcPr>
          <w:p w14:paraId="272CDFA0" w14:textId="77777777" w:rsidR="00C52D85" w:rsidRPr="00445AA0" w:rsidRDefault="00C52D85" w:rsidP="00C52D85">
            <w:pPr>
              <w:autoSpaceDE w:val="0"/>
              <w:autoSpaceDN w:val="0"/>
              <w:adjustRightInd w:val="0"/>
              <w:jc w:val="center"/>
              <w:rPr>
                <w:rFonts w:ascii="Times New Roman" w:eastAsia="Times New Roman" w:hAnsi="Times New Roman" w:cs="Times New Roman"/>
                <w:b/>
                <w:bCs/>
                <w:sz w:val="20"/>
                <w:szCs w:val="20"/>
              </w:rPr>
            </w:pPr>
            <w:r w:rsidRPr="00445AA0">
              <w:rPr>
                <w:rFonts w:ascii="Times New Roman" w:eastAsia="Times New Roman" w:hAnsi="Times New Roman" w:cs="Times New Roman"/>
                <w:b/>
                <w:bCs/>
                <w:sz w:val="20"/>
                <w:szCs w:val="20"/>
              </w:rPr>
              <w:t>Parameters</w:t>
            </w:r>
          </w:p>
        </w:tc>
        <w:tc>
          <w:tcPr>
            <w:tcW w:w="807" w:type="pct"/>
            <w:vAlign w:val="center"/>
          </w:tcPr>
          <w:p w14:paraId="7F8BD4F0" w14:textId="77777777" w:rsidR="00C52D85" w:rsidRPr="00445AA0" w:rsidRDefault="00C52D85" w:rsidP="00C52D85">
            <w:pPr>
              <w:autoSpaceDE w:val="0"/>
              <w:autoSpaceDN w:val="0"/>
              <w:adjustRightInd w:val="0"/>
              <w:jc w:val="center"/>
              <w:rPr>
                <w:rFonts w:ascii="Times New Roman" w:eastAsia="Times New Roman" w:hAnsi="Times New Roman" w:cs="Times New Roman"/>
                <w:b/>
                <w:bCs/>
                <w:sz w:val="20"/>
                <w:szCs w:val="20"/>
              </w:rPr>
            </w:pPr>
            <w:r w:rsidRPr="00445AA0">
              <w:rPr>
                <w:rFonts w:ascii="Times New Roman" w:eastAsia="Times New Roman" w:hAnsi="Times New Roman" w:cs="Times New Roman"/>
                <w:b/>
                <w:bCs/>
                <w:sz w:val="20"/>
                <w:szCs w:val="20"/>
              </w:rPr>
              <w:t>Test</w:t>
            </w:r>
          </w:p>
        </w:tc>
        <w:tc>
          <w:tcPr>
            <w:tcW w:w="761" w:type="pct"/>
            <w:vAlign w:val="center"/>
          </w:tcPr>
          <w:p w14:paraId="3274F6E5" w14:textId="77777777" w:rsidR="00C52D85" w:rsidRPr="00445AA0" w:rsidRDefault="00C52D85" w:rsidP="00C52D85">
            <w:pPr>
              <w:autoSpaceDE w:val="0"/>
              <w:autoSpaceDN w:val="0"/>
              <w:adjustRightInd w:val="0"/>
              <w:jc w:val="center"/>
              <w:rPr>
                <w:rFonts w:ascii="Times New Roman" w:eastAsia="Times New Roman" w:hAnsi="Times New Roman" w:cs="Times New Roman"/>
                <w:b/>
                <w:bCs/>
                <w:sz w:val="20"/>
                <w:szCs w:val="20"/>
              </w:rPr>
            </w:pPr>
            <w:r w:rsidRPr="00445AA0">
              <w:rPr>
                <w:rFonts w:ascii="Times New Roman" w:eastAsia="Times New Roman" w:hAnsi="Times New Roman" w:cs="Times New Roman"/>
                <w:b/>
                <w:bCs/>
                <w:color w:val="000000"/>
                <w:sz w:val="20"/>
                <w:szCs w:val="20"/>
              </w:rPr>
              <w:t>Ischemic group (N=50)</w:t>
            </w:r>
          </w:p>
        </w:tc>
        <w:tc>
          <w:tcPr>
            <w:tcW w:w="907" w:type="pct"/>
            <w:vAlign w:val="center"/>
          </w:tcPr>
          <w:p w14:paraId="4C3084D6" w14:textId="77777777" w:rsidR="00C52D85" w:rsidRPr="00445AA0" w:rsidRDefault="00C52D85" w:rsidP="00C52D85">
            <w:pPr>
              <w:autoSpaceDE w:val="0"/>
              <w:autoSpaceDN w:val="0"/>
              <w:adjustRightInd w:val="0"/>
              <w:jc w:val="center"/>
              <w:rPr>
                <w:rFonts w:ascii="Times New Roman" w:eastAsia="Times New Roman" w:hAnsi="Times New Roman" w:cs="Times New Roman"/>
                <w:b/>
                <w:bCs/>
                <w:color w:val="000000"/>
                <w:sz w:val="20"/>
                <w:szCs w:val="20"/>
              </w:rPr>
            </w:pPr>
            <w:proofErr w:type="spellStart"/>
            <w:r w:rsidRPr="00445AA0">
              <w:rPr>
                <w:rFonts w:ascii="Times New Roman" w:eastAsia="Times New Roman" w:hAnsi="Times New Roman" w:cs="Times New Roman"/>
                <w:b/>
                <w:bCs/>
                <w:color w:val="000000"/>
                <w:sz w:val="20"/>
                <w:szCs w:val="20"/>
              </w:rPr>
              <w:t>Thrombolisim</w:t>
            </w:r>
            <w:proofErr w:type="spellEnd"/>
            <w:r w:rsidRPr="00445AA0">
              <w:rPr>
                <w:rFonts w:ascii="Times New Roman" w:eastAsia="Times New Roman" w:hAnsi="Times New Roman" w:cs="Times New Roman"/>
                <w:b/>
                <w:bCs/>
                <w:color w:val="000000"/>
                <w:sz w:val="20"/>
                <w:szCs w:val="20"/>
              </w:rPr>
              <w:t xml:space="preserve"> </w:t>
            </w:r>
          </w:p>
          <w:p w14:paraId="7C64D0D1" w14:textId="77777777" w:rsidR="00C52D85" w:rsidRPr="00445AA0" w:rsidRDefault="00C52D85" w:rsidP="00C52D85">
            <w:pPr>
              <w:autoSpaceDE w:val="0"/>
              <w:autoSpaceDN w:val="0"/>
              <w:adjustRightInd w:val="0"/>
              <w:jc w:val="center"/>
              <w:rPr>
                <w:rFonts w:ascii="Times New Roman" w:eastAsia="Times New Roman" w:hAnsi="Times New Roman" w:cs="Times New Roman"/>
                <w:b/>
                <w:bCs/>
                <w:sz w:val="20"/>
                <w:szCs w:val="20"/>
              </w:rPr>
            </w:pPr>
            <w:r w:rsidRPr="00445AA0">
              <w:rPr>
                <w:rFonts w:ascii="Times New Roman" w:eastAsia="Times New Roman" w:hAnsi="Times New Roman" w:cs="Times New Roman"/>
                <w:b/>
                <w:bCs/>
                <w:color w:val="000000"/>
                <w:sz w:val="20"/>
                <w:szCs w:val="20"/>
              </w:rPr>
              <w:t>group (N=50)</w:t>
            </w:r>
          </w:p>
        </w:tc>
        <w:tc>
          <w:tcPr>
            <w:tcW w:w="977" w:type="pct"/>
          </w:tcPr>
          <w:p w14:paraId="42ABE247" w14:textId="77777777" w:rsidR="00C52D85" w:rsidRPr="00445AA0" w:rsidRDefault="00C52D85" w:rsidP="00C52D85">
            <w:pPr>
              <w:autoSpaceDE w:val="0"/>
              <w:autoSpaceDN w:val="0"/>
              <w:adjustRightInd w:val="0"/>
              <w:jc w:val="center"/>
              <w:rPr>
                <w:rFonts w:ascii="Times New Roman" w:eastAsia="Times New Roman" w:hAnsi="Times New Roman" w:cs="Times New Roman"/>
                <w:b/>
                <w:bCs/>
                <w:color w:val="000000"/>
                <w:sz w:val="20"/>
                <w:szCs w:val="20"/>
              </w:rPr>
            </w:pPr>
          </w:p>
          <w:p w14:paraId="57149D7A" w14:textId="77777777" w:rsidR="00C52D85" w:rsidRPr="00445AA0" w:rsidRDefault="00C52D85" w:rsidP="00C52D85">
            <w:pPr>
              <w:autoSpaceDE w:val="0"/>
              <w:autoSpaceDN w:val="0"/>
              <w:adjustRightInd w:val="0"/>
              <w:jc w:val="center"/>
              <w:rPr>
                <w:rFonts w:ascii="Times New Roman" w:eastAsia="Times New Roman" w:hAnsi="Times New Roman" w:cs="Times New Roman"/>
                <w:b/>
                <w:bCs/>
                <w:sz w:val="20"/>
                <w:szCs w:val="20"/>
              </w:rPr>
            </w:pPr>
            <w:r w:rsidRPr="00445AA0">
              <w:rPr>
                <w:rFonts w:ascii="Times New Roman" w:eastAsia="Times New Roman" w:hAnsi="Times New Roman" w:cs="Times New Roman"/>
                <w:b/>
                <w:bCs/>
                <w:color w:val="000000"/>
                <w:sz w:val="20"/>
                <w:szCs w:val="20"/>
              </w:rPr>
              <w:t>Cardiovascular under Control (N=50)</w:t>
            </w:r>
          </w:p>
        </w:tc>
        <w:tc>
          <w:tcPr>
            <w:tcW w:w="804" w:type="pct"/>
            <w:vAlign w:val="center"/>
          </w:tcPr>
          <w:p w14:paraId="4CEA296F" w14:textId="77777777" w:rsidR="00C52D85" w:rsidRPr="00445AA0" w:rsidRDefault="00C52D85" w:rsidP="00C52D85">
            <w:pPr>
              <w:autoSpaceDE w:val="0"/>
              <w:autoSpaceDN w:val="0"/>
              <w:adjustRightInd w:val="0"/>
              <w:jc w:val="center"/>
              <w:rPr>
                <w:rFonts w:ascii="Times New Roman" w:eastAsia="Times New Roman" w:hAnsi="Times New Roman" w:cs="Times New Roman"/>
                <w:b/>
                <w:bCs/>
                <w:sz w:val="20"/>
                <w:szCs w:val="20"/>
              </w:rPr>
            </w:pPr>
            <w:r w:rsidRPr="00445AA0">
              <w:rPr>
                <w:rFonts w:ascii="Times New Roman" w:eastAsia="Times New Roman" w:hAnsi="Times New Roman" w:cs="Times New Roman"/>
                <w:b/>
                <w:bCs/>
                <w:sz w:val="20"/>
                <w:szCs w:val="20"/>
              </w:rPr>
              <w:t>Sig.</w:t>
            </w:r>
          </w:p>
        </w:tc>
      </w:tr>
      <w:tr w:rsidR="00C52D85" w:rsidRPr="00445AA0" w14:paraId="5FBACD2E" w14:textId="77777777" w:rsidTr="00C52D85">
        <w:trPr>
          <w:trHeight w:val="203"/>
        </w:trPr>
        <w:tc>
          <w:tcPr>
            <w:tcW w:w="744" w:type="pct"/>
            <w:vAlign w:val="center"/>
          </w:tcPr>
          <w:p w14:paraId="33D13195"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Age (Years)</w:t>
            </w:r>
          </w:p>
        </w:tc>
        <w:tc>
          <w:tcPr>
            <w:tcW w:w="807" w:type="pct"/>
            <w:vAlign w:val="center"/>
          </w:tcPr>
          <w:p w14:paraId="7B67E6BC"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M</w:t>
            </w:r>
            <w:r w:rsidRPr="00445AA0">
              <w:rPr>
                <w:rFonts w:ascii="Times New Roman" w:eastAsia="Times New Roman" w:hAnsi="Times New Roman" w:cs="Times New Roman"/>
                <w:sz w:val="20"/>
                <w:szCs w:val="20"/>
                <w:lang w:bidi="ar-IQ"/>
              </w:rPr>
              <w:t>± SD</w:t>
            </w:r>
          </w:p>
        </w:tc>
        <w:tc>
          <w:tcPr>
            <w:tcW w:w="761" w:type="pct"/>
            <w:vAlign w:val="center"/>
          </w:tcPr>
          <w:p w14:paraId="5C0BB0AF"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p w14:paraId="4786031D"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color w:val="000000"/>
                <w:sz w:val="20"/>
                <w:szCs w:val="20"/>
              </w:rPr>
              <w:t>60.46±10.67</w:t>
            </w:r>
          </w:p>
        </w:tc>
        <w:tc>
          <w:tcPr>
            <w:tcW w:w="907" w:type="pct"/>
            <w:vAlign w:val="center"/>
          </w:tcPr>
          <w:p w14:paraId="7B324BB2"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p w14:paraId="538ED589"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color w:val="000000"/>
                <w:sz w:val="20"/>
                <w:szCs w:val="20"/>
              </w:rPr>
              <w:t>56.56±14.05</w:t>
            </w:r>
          </w:p>
        </w:tc>
        <w:tc>
          <w:tcPr>
            <w:tcW w:w="977" w:type="pct"/>
          </w:tcPr>
          <w:p w14:paraId="29A2DBF0"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p w14:paraId="67DC40A1"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color w:val="000000"/>
                <w:sz w:val="20"/>
                <w:szCs w:val="20"/>
              </w:rPr>
              <w:t>57.68±10.74</w:t>
            </w:r>
          </w:p>
        </w:tc>
        <w:tc>
          <w:tcPr>
            <w:tcW w:w="804" w:type="pct"/>
            <w:vAlign w:val="center"/>
          </w:tcPr>
          <w:p w14:paraId="07A85468"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lang w:bidi="ar-IQ"/>
              </w:rPr>
            </w:pPr>
            <w:r w:rsidRPr="00445AA0">
              <w:rPr>
                <w:rFonts w:ascii="Times New Roman" w:eastAsia="Times New Roman" w:hAnsi="Times New Roman" w:cs="Times New Roman"/>
                <w:sz w:val="20"/>
                <w:szCs w:val="20"/>
              </w:rPr>
              <w:t>P-value=</w:t>
            </w:r>
            <w:r w:rsidRPr="00445AA0">
              <w:rPr>
                <w:rFonts w:ascii="Times New Roman" w:eastAsia="Times New Roman" w:hAnsi="Times New Roman" w:cs="Times New Roman"/>
                <w:color w:val="000000"/>
                <w:sz w:val="20"/>
                <w:szCs w:val="20"/>
                <w:lang w:bidi="ar-IQ"/>
              </w:rPr>
              <w:t>0.2</w:t>
            </w:r>
            <w:r w:rsidRPr="00445AA0">
              <w:rPr>
                <w:rFonts w:ascii="Times New Roman" w:eastAsia="Times New Roman" w:hAnsi="Times New Roman" w:cs="Times New Roman"/>
                <w:sz w:val="20"/>
                <w:szCs w:val="20"/>
              </w:rPr>
              <w:t xml:space="preserve"> (N.S)</w:t>
            </w:r>
          </w:p>
        </w:tc>
      </w:tr>
      <w:tr w:rsidR="00C52D85" w:rsidRPr="00445AA0" w14:paraId="014AA523" w14:textId="77777777" w:rsidTr="00C52D85">
        <w:trPr>
          <w:trHeight w:val="139"/>
        </w:trPr>
        <w:tc>
          <w:tcPr>
            <w:tcW w:w="744" w:type="pct"/>
          </w:tcPr>
          <w:p w14:paraId="1C5E4EC8"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(30-44)</w:t>
            </w:r>
          </w:p>
        </w:tc>
        <w:tc>
          <w:tcPr>
            <w:tcW w:w="807" w:type="pct"/>
            <w:vAlign w:val="center"/>
          </w:tcPr>
          <w:p w14:paraId="690105CD"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 (%)</w:t>
            </w:r>
          </w:p>
        </w:tc>
        <w:tc>
          <w:tcPr>
            <w:tcW w:w="761" w:type="pct"/>
            <w:vAlign w:val="center"/>
          </w:tcPr>
          <w:p w14:paraId="67487DAF"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 (4.0%)</w:t>
            </w:r>
          </w:p>
        </w:tc>
        <w:tc>
          <w:tcPr>
            <w:tcW w:w="907" w:type="pct"/>
            <w:vAlign w:val="center"/>
          </w:tcPr>
          <w:p w14:paraId="630A9836"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10 (20.0%)</w:t>
            </w:r>
          </w:p>
        </w:tc>
        <w:tc>
          <w:tcPr>
            <w:tcW w:w="977" w:type="pct"/>
            <w:vAlign w:val="center"/>
          </w:tcPr>
          <w:p w14:paraId="287E3034"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5 (10.0%)</w:t>
            </w:r>
          </w:p>
        </w:tc>
        <w:tc>
          <w:tcPr>
            <w:tcW w:w="804" w:type="pct"/>
            <w:vMerge w:val="restart"/>
            <w:vAlign w:val="center"/>
          </w:tcPr>
          <w:p w14:paraId="0C0BF38A"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Chi-</w:t>
            </w:r>
            <w:proofErr w:type="spellStart"/>
            <w:r w:rsidRPr="00445AA0">
              <w:rPr>
                <w:rFonts w:ascii="Times New Roman" w:eastAsia="Times New Roman" w:hAnsi="Times New Roman" w:cs="Times New Roman"/>
                <w:sz w:val="20"/>
                <w:szCs w:val="20"/>
              </w:rPr>
              <w:t>sequare</w:t>
            </w:r>
            <w:proofErr w:type="spellEnd"/>
            <w:r w:rsidRPr="00445AA0">
              <w:rPr>
                <w:rFonts w:ascii="Times New Roman" w:eastAsia="Times New Roman" w:hAnsi="Times New Roman" w:cs="Times New Roman"/>
                <w:sz w:val="20"/>
                <w:szCs w:val="20"/>
              </w:rPr>
              <w:t>=7.6</w:t>
            </w:r>
          </w:p>
          <w:p w14:paraId="418AB4E6"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lang w:bidi="ar-IQ"/>
              </w:rPr>
            </w:pPr>
            <w:r w:rsidRPr="00445AA0">
              <w:rPr>
                <w:rFonts w:ascii="Times New Roman" w:eastAsia="Times New Roman" w:hAnsi="Times New Roman" w:cs="Times New Roman"/>
                <w:sz w:val="20"/>
                <w:szCs w:val="20"/>
              </w:rPr>
              <w:t>P-value=</w:t>
            </w:r>
            <w:r w:rsidRPr="00445AA0">
              <w:rPr>
                <w:rFonts w:ascii="Times New Roman" w:eastAsia="Times New Roman" w:hAnsi="Times New Roman" w:cs="Times New Roman"/>
                <w:color w:val="000000"/>
                <w:sz w:val="20"/>
                <w:szCs w:val="20"/>
                <w:lang w:bidi="ar-IQ"/>
              </w:rPr>
              <w:t>0.2</w:t>
            </w:r>
            <w:r w:rsidRPr="00445AA0">
              <w:rPr>
                <w:rFonts w:ascii="Times New Roman" w:eastAsia="Times New Roman" w:hAnsi="Times New Roman" w:cs="Times New Roman"/>
                <w:sz w:val="20"/>
                <w:szCs w:val="20"/>
              </w:rPr>
              <w:t xml:space="preserve"> (N.S)</w:t>
            </w:r>
          </w:p>
        </w:tc>
      </w:tr>
      <w:tr w:rsidR="00C52D85" w:rsidRPr="00445AA0" w14:paraId="7D5BD07D" w14:textId="77777777" w:rsidTr="00C52D85">
        <w:trPr>
          <w:trHeight w:val="139"/>
        </w:trPr>
        <w:tc>
          <w:tcPr>
            <w:tcW w:w="744" w:type="pct"/>
          </w:tcPr>
          <w:p w14:paraId="27ADF16E"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(45-59)</w:t>
            </w:r>
          </w:p>
        </w:tc>
        <w:tc>
          <w:tcPr>
            <w:tcW w:w="807" w:type="pct"/>
            <w:vAlign w:val="center"/>
          </w:tcPr>
          <w:p w14:paraId="5713C7E7"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 (%)</w:t>
            </w:r>
          </w:p>
        </w:tc>
        <w:tc>
          <w:tcPr>
            <w:tcW w:w="761" w:type="pct"/>
            <w:vAlign w:val="center"/>
          </w:tcPr>
          <w:p w14:paraId="2CE8BE13"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25 (50.0%)</w:t>
            </w:r>
          </w:p>
        </w:tc>
        <w:tc>
          <w:tcPr>
            <w:tcW w:w="907" w:type="pct"/>
            <w:vAlign w:val="center"/>
          </w:tcPr>
          <w:p w14:paraId="77D0B644"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18 (36.0%)</w:t>
            </w:r>
          </w:p>
        </w:tc>
        <w:tc>
          <w:tcPr>
            <w:tcW w:w="977" w:type="pct"/>
            <w:vAlign w:val="center"/>
          </w:tcPr>
          <w:p w14:paraId="1CED46F7"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24 (48.0%)</w:t>
            </w:r>
          </w:p>
        </w:tc>
        <w:tc>
          <w:tcPr>
            <w:tcW w:w="804" w:type="pct"/>
            <w:vMerge/>
            <w:vAlign w:val="center"/>
          </w:tcPr>
          <w:p w14:paraId="55C839BC"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784AC66C" w14:textId="77777777" w:rsidTr="00C52D85">
        <w:trPr>
          <w:trHeight w:val="139"/>
        </w:trPr>
        <w:tc>
          <w:tcPr>
            <w:tcW w:w="744" w:type="pct"/>
          </w:tcPr>
          <w:p w14:paraId="465A3A87"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(60-74)</w:t>
            </w:r>
          </w:p>
        </w:tc>
        <w:tc>
          <w:tcPr>
            <w:tcW w:w="807" w:type="pct"/>
            <w:vAlign w:val="center"/>
          </w:tcPr>
          <w:p w14:paraId="0E843546"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 (%)</w:t>
            </w:r>
          </w:p>
        </w:tc>
        <w:tc>
          <w:tcPr>
            <w:tcW w:w="761" w:type="pct"/>
            <w:vAlign w:val="center"/>
          </w:tcPr>
          <w:p w14:paraId="00FC64F2"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17 (34.0%)</w:t>
            </w:r>
          </w:p>
        </w:tc>
        <w:tc>
          <w:tcPr>
            <w:tcW w:w="907" w:type="pct"/>
            <w:vAlign w:val="center"/>
          </w:tcPr>
          <w:p w14:paraId="6DB95953"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18 (36.0%)</w:t>
            </w:r>
          </w:p>
        </w:tc>
        <w:tc>
          <w:tcPr>
            <w:tcW w:w="977" w:type="pct"/>
            <w:vAlign w:val="center"/>
          </w:tcPr>
          <w:p w14:paraId="7AA4B4F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17 (34.0%)</w:t>
            </w:r>
          </w:p>
        </w:tc>
        <w:tc>
          <w:tcPr>
            <w:tcW w:w="804" w:type="pct"/>
            <w:vMerge/>
            <w:vAlign w:val="center"/>
          </w:tcPr>
          <w:p w14:paraId="1BBE8D98"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6DD3B7C8" w14:textId="77777777" w:rsidTr="00C52D85">
        <w:trPr>
          <w:trHeight w:val="139"/>
        </w:trPr>
        <w:tc>
          <w:tcPr>
            <w:tcW w:w="744" w:type="pct"/>
          </w:tcPr>
          <w:p w14:paraId="67AB250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(75-89)</w:t>
            </w:r>
          </w:p>
        </w:tc>
        <w:tc>
          <w:tcPr>
            <w:tcW w:w="807" w:type="pct"/>
            <w:vAlign w:val="center"/>
          </w:tcPr>
          <w:p w14:paraId="2BB7764D"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 (%)</w:t>
            </w:r>
          </w:p>
        </w:tc>
        <w:tc>
          <w:tcPr>
            <w:tcW w:w="761" w:type="pct"/>
            <w:vAlign w:val="center"/>
          </w:tcPr>
          <w:p w14:paraId="384220C5"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6 (12.0%)</w:t>
            </w:r>
          </w:p>
        </w:tc>
        <w:tc>
          <w:tcPr>
            <w:tcW w:w="907" w:type="pct"/>
            <w:vAlign w:val="center"/>
          </w:tcPr>
          <w:p w14:paraId="5BEFF344"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4 (8.0%)</w:t>
            </w:r>
          </w:p>
        </w:tc>
        <w:tc>
          <w:tcPr>
            <w:tcW w:w="977" w:type="pct"/>
            <w:vAlign w:val="center"/>
          </w:tcPr>
          <w:p w14:paraId="1F545F68"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4 (8.0%)</w:t>
            </w:r>
          </w:p>
        </w:tc>
        <w:tc>
          <w:tcPr>
            <w:tcW w:w="804" w:type="pct"/>
            <w:vMerge/>
            <w:vAlign w:val="center"/>
          </w:tcPr>
          <w:p w14:paraId="02DCDB3F"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613DE733" w14:textId="77777777" w:rsidTr="00C52D85">
        <w:trPr>
          <w:trHeight w:val="139"/>
        </w:trPr>
        <w:tc>
          <w:tcPr>
            <w:tcW w:w="744" w:type="pct"/>
            <w:vMerge w:val="restart"/>
          </w:tcPr>
          <w:p w14:paraId="6E3E60D4"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p w14:paraId="6A15887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Gender</w:t>
            </w:r>
          </w:p>
          <w:p w14:paraId="572058C0"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N (%)</w:t>
            </w:r>
          </w:p>
        </w:tc>
        <w:tc>
          <w:tcPr>
            <w:tcW w:w="807" w:type="pct"/>
            <w:vAlign w:val="center"/>
          </w:tcPr>
          <w:p w14:paraId="0EF9A7B4"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Male</w:t>
            </w:r>
          </w:p>
        </w:tc>
        <w:tc>
          <w:tcPr>
            <w:tcW w:w="761" w:type="pct"/>
            <w:vAlign w:val="center"/>
          </w:tcPr>
          <w:p w14:paraId="1AA351BA"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42 (84.0%)</w:t>
            </w:r>
          </w:p>
        </w:tc>
        <w:tc>
          <w:tcPr>
            <w:tcW w:w="907" w:type="pct"/>
            <w:vAlign w:val="center"/>
          </w:tcPr>
          <w:p w14:paraId="0682FBEE"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18 (36.0%)</w:t>
            </w:r>
          </w:p>
        </w:tc>
        <w:tc>
          <w:tcPr>
            <w:tcW w:w="977" w:type="pct"/>
            <w:vAlign w:val="center"/>
          </w:tcPr>
          <w:p w14:paraId="6A078524"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32 (64.0%)</w:t>
            </w:r>
          </w:p>
        </w:tc>
        <w:tc>
          <w:tcPr>
            <w:tcW w:w="804" w:type="pct"/>
            <w:vMerge w:val="restart"/>
            <w:vAlign w:val="center"/>
          </w:tcPr>
          <w:p w14:paraId="3D8BB24F"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Chi-</w:t>
            </w:r>
            <w:proofErr w:type="spellStart"/>
            <w:r w:rsidRPr="00445AA0">
              <w:rPr>
                <w:rFonts w:ascii="Times New Roman" w:eastAsia="Times New Roman" w:hAnsi="Times New Roman" w:cs="Times New Roman"/>
                <w:sz w:val="20"/>
                <w:szCs w:val="20"/>
              </w:rPr>
              <w:t>sequare</w:t>
            </w:r>
            <w:proofErr w:type="spellEnd"/>
            <w:r w:rsidRPr="00445AA0">
              <w:rPr>
                <w:rFonts w:ascii="Times New Roman" w:eastAsia="Times New Roman" w:hAnsi="Times New Roman" w:cs="Times New Roman"/>
                <w:sz w:val="20"/>
                <w:szCs w:val="20"/>
              </w:rPr>
              <w:t>=24.5</w:t>
            </w:r>
          </w:p>
          <w:p w14:paraId="334460AF"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P-value &lt;</w:t>
            </w:r>
            <w:r w:rsidRPr="00445AA0">
              <w:rPr>
                <w:rFonts w:ascii="Times New Roman" w:eastAsia="Times New Roman" w:hAnsi="Times New Roman" w:cs="Times New Roman"/>
                <w:color w:val="000000"/>
                <w:sz w:val="20"/>
                <w:szCs w:val="20"/>
                <w:lang w:bidi="ar-IQ"/>
              </w:rPr>
              <w:t>0.001</w:t>
            </w:r>
            <w:r w:rsidRPr="00445AA0">
              <w:rPr>
                <w:rFonts w:ascii="Times New Roman" w:eastAsia="Times New Roman" w:hAnsi="Times New Roman" w:cs="Times New Roman"/>
                <w:sz w:val="20"/>
                <w:szCs w:val="20"/>
              </w:rPr>
              <w:t xml:space="preserve">  </w:t>
            </w:r>
            <w:proofErr w:type="gramStart"/>
            <w:r w:rsidRPr="00445AA0">
              <w:rPr>
                <w:rFonts w:ascii="Times New Roman" w:eastAsia="Times New Roman" w:hAnsi="Times New Roman" w:cs="Times New Roman"/>
                <w:sz w:val="20"/>
                <w:szCs w:val="20"/>
              </w:rPr>
              <w:t xml:space="preserve">   (</w:t>
            </w:r>
            <w:proofErr w:type="gramEnd"/>
            <w:r w:rsidRPr="00445AA0">
              <w:rPr>
                <w:rFonts w:ascii="Times New Roman" w:eastAsia="Times New Roman" w:hAnsi="Times New Roman" w:cs="Times New Roman"/>
                <w:sz w:val="20"/>
                <w:szCs w:val="20"/>
              </w:rPr>
              <w:t>H.S)</w:t>
            </w:r>
          </w:p>
        </w:tc>
      </w:tr>
      <w:tr w:rsidR="00C52D85" w:rsidRPr="00445AA0" w14:paraId="4E15F90B" w14:textId="77777777" w:rsidTr="00C52D85">
        <w:trPr>
          <w:trHeight w:val="394"/>
        </w:trPr>
        <w:tc>
          <w:tcPr>
            <w:tcW w:w="744" w:type="pct"/>
            <w:vMerge/>
          </w:tcPr>
          <w:p w14:paraId="1EDB7043"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tc>
        <w:tc>
          <w:tcPr>
            <w:tcW w:w="807" w:type="pct"/>
            <w:vAlign w:val="center"/>
          </w:tcPr>
          <w:p w14:paraId="636E80EC"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Female</w:t>
            </w:r>
          </w:p>
        </w:tc>
        <w:tc>
          <w:tcPr>
            <w:tcW w:w="761" w:type="pct"/>
            <w:vAlign w:val="center"/>
          </w:tcPr>
          <w:p w14:paraId="2154BB9F"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8 (16.0%)</w:t>
            </w:r>
          </w:p>
        </w:tc>
        <w:tc>
          <w:tcPr>
            <w:tcW w:w="907" w:type="pct"/>
            <w:vAlign w:val="center"/>
          </w:tcPr>
          <w:p w14:paraId="4AAE8D17"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32(64.0%)</w:t>
            </w:r>
          </w:p>
          <w:p w14:paraId="25678C64"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tc>
        <w:tc>
          <w:tcPr>
            <w:tcW w:w="977" w:type="pct"/>
            <w:vAlign w:val="center"/>
          </w:tcPr>
          <w:p w14:paraId="1081946D"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18 (36.0%)</w:t>
            </w:r>
          </w:p>
        </w:tc>
        <w:tc>
          <w:tcPr>
            <w:tcW w:w="804" w:type="pct"/>
            <w:vMerge/>
            <w:vAlign w:val="center"/>
          </w:tcPr>
          <w:p w14:paraId="5627C0A2"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5C2C7581" w14:textId="77777777" w:rsidTr="00C52D85">
        <w:trPr>
          <w:trHeight w:val="201"/>
        </w:trPr>
        <w:tc>
          <w:tcPr>
            <w:tcW w:w="744" w:type="pct"/>
            <w:vMerge w:val="restart"/>
          </w:tcPr>
          <w:p w14:paraId="3BFFEDF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p w14:paraId="6458134F"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BMI (Kg/m</w:t>
            </w:r>
            <w:r w:rsidRPr="00445AA0">
              <w:rPr>
                <w:rFonts w:ascii="Times New Roman" w:eastAsia="Times New Roman" w:hAnsi="Times New Roman" w:cs="Times New Roman"/>
                <w:color w:val="000000"/>
                <w:sz w:val="20"/>
                <w:szCs w:val="20"/>
                <w:vertAlign w:val="superscript"/>
              </w:rPr>
              <w:t>2</w:t>
            </w:r>
            <w:r w:rsidRPr="00445AA0">
              <w:rPr>
                <w:rFonts w:ascii="Times New Roman" w:eastAsia="Times New Roman" w:hAnsi="Times New Roman" w:cs="Times New Roman"/>
                <w:color w:val="000000"/>
                <w:sz w:val="20"/>
                <w:szCs w:val="20"/>
              </w:rPr>
              <w:t>)</w:t>
            </w:r>
          </w:p>
        </w:tc>
        <w:tc>
          <w:tcPr>
            <w:tcW w:w="807" w:type="pct"/>
            <w:vAlign w:val="center"/>
          </w:tcPr>
          <w:p w14:paraId="21E9B8F5"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Normal weight</w:t>
            </w:r>
          </w:p>
        </w:tc>
        <w:tc>
          <w:tcPr>
            <w:tcW w:w="761" w:type="pct"/>
            <w:vAlign w:val="center"/>
          </w:tcPr>
          <w:p w14:paraId="1E69612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 (6.0%)</w:t>
            </w:r>
          </w:p>
        </w:tc>
        <w:tc>
          <w:tcPr>
            <w:tcW w:w="907" w:type="pct"/>
            <w:vAlign w:val="center"/>
          </w:tcPr>
          <w:p w14:paraId="4BBFE576"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2(4.0%)</w:t>
            </w:r>
          </w:p>
        </w:tc>
        <w:tc>
          <w:tcPr>
            <w:tcW w:w="977" w:type="pct"/>
            <w:vAlign w:val="center"/>
          </w:tcPr>
          <w:p w14:paraId="1BD2BBBB"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4 (8.0%)</w:t>
            </w:r>
          </w:p>
        </w:tc>
        <w:tc>
          <w:tcPr>
            <w:tcW w:w="804" w:type="pct"/>
            <w:vMerge w:val="restart"/>
            <w:vAlign w:val="center"/>
          </w:tcPr>
          <w:p w14:paraId="7E78C2EE"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 xml:space="preserve"> Chi-</w:t>
            </w:r>
            <w:proofErr w:type="spellStart"/>
            <w:r w:rsidRPr="00445AA0">
              <w:rPr>
                <w:rFonts w:ascii="Times New Roman" w:eastAsia="Times New Roman" w:hAnsi="Times New Roman" w:cs="Times New Roman"/>
                <w:sz w:val="20"/>
                <w:szCs w:val="20"/>
              </w:rPr>
              <w:t>sequare</w:t>
            </w:r>
            <w:proofErr w:type="spellEnd"/>
            <w:r w:rsidRPr="00445AA0">
              <w:rPr>
                <w:rFonts w:ascii="Times New Roman" w:eastAsia="Times New Roman" w:hAnsi="Times New Roman" w:cs="Times New Roman"/>
                <w:sz w:val="20"/>
                <w:szCs w:val="20"/>
              </w:rPr>
              <w:t>=3.6</w:t>
            </w:r>
          </w:p>
          <w:p w14:paraId="79DB2808"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P-value= 0.4</w:t>
            </w:r>
          </w:p>
          <w:p w14:paraId="679BB99C"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(N.S)</w:t>
            </w:r>
          </w:p>
        </w:tc>
      </w:tr>
      <w:tr w:rsidR="00C52D85" w:rsidRPr="00445AA0" w14:paraId="3FAB33E5" w14:textId="77777777" w:rsidTr="00C52D85">
        <w:trPr>
          <w:trHeight w:val="86"/>
        </w:trPr>
        <w:tc>
          <w:tcPr>
            <w:tcW w:w="744" w:type="pct"/>
            <w:vMerge/>
          </w:tcPr>
          <w:p w14:paraId="30A4BBEB"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tc>
        <w:tc>
          <w:tcPr>
            <w:tcW w:w="807" w:type="pct"/>
            <w:vAlign w:val="center"/>
          </w:tcPr>
          <w:p w14:paraId="3AC9E8FC"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Overweight</w:t>
            </w:r>
          </w:p>
        </w:tc>
        <w:tc>
          <w:tcPr>
            <w:tcW w:w="761" w:type="pct"/>
            <w:vAlign w:val="center"/>
          </w:tcPr>
          <w:p w14:paraId="6EFBD16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23 (46.0%)</w:t>
            </w:r>
          </w:p>
        </w:tc>
        <w:tc>
          <w:tcPr>
            <w:tcW w:w="907" w:type="pct"/>
            <w:vAlign w:val="center"/>
          </w:tcPr>
          <w:p w14:paraId="4D9C5B2B"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16 (32.0%)</w:t>
            </w:r>
          </w:p>
        </w:tc>
        <w:tc>
          <w:tcPr>
            <w:tcW w:w="977" w:type="pct"/>
            <w:vAlign w:val="center"/>
          </w:tcPr>
          <w:p w14:paraId="02624DE0"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16 (32.0%)</w:t>
            </w:r>
          </w:p>
        </w:tc>
        <w:tc>
          <w:tcPr>
            <w:tcW w:w="804" w:type="pct"/>
            <w:vMerge/>
            <w:vAlign w:val="center"/>
          </w:tcPr>
          <w:p w14:paraId="10524845"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5110CFD7" w14:textId="77777777" w:rsidTr="00C52D85">
        <w:trPr>
          <w:trHeight w:val="86"/>
        </w:trPr>
        <w:tc>
          <w:tcPr>
            <w:tcW w:w="744" w:type="pct"/>
            <w:vMerge/>
          </w:tcPr>
          <w:p w14:paraId="25F2A4D8"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tc>
        <w:tc>
          <w:tcPr>
            <w:tcW w:w="807" w:type="pct"/>
            <w:vAlign w:val="center"/>
          </w:tcPr>
          <w:p w14:paraId="68AAC556"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Obese</w:t>
            </w:r>
          </w:p>
        </w:tc>
        <w:tc>
          <w:tcPr>
            <w:tcW w:w="761" w:type="pct"/>
            <w:vAlign w:val="center"/>
          </w:tcPr>
          <w:p w14:paraId="7A617065"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24 (48.0%)</w:t>
            </w:r>
          </w:p>
        </w:tc>
        <w:tc>
          <w:tcPr>
            <w:tcW w:w="907" w:type="pct"/>
            <w:vAlign w:val="center"/>
          </w:tcPr>
          <w:p w14:paraId="0721D213"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32 (64.0%)</w:t>
            </w:r>
          </w:p>
        </w:tc>
        <w:tc>
          <w:tcPr>
            <w:tcW w:w="977" w:type="pct"/>
            <w:vAlign w:val="center"/>
          </w:tcPr>
          <w:p w14:paraId="3784CE49"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30 (60.0%)</w:t>
            </w:r>
          </w:p>
        </w:tc>
        <w:tc>
          <w:tcPr>
            <w:tcW w:w="804" w:type="pct"/>
            <w:vMerge/>
            <w:vAlign w:val="center"/>
          </w:tcPr>
          <w:p w14:paraId="7CEAA6E0"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4FE4041F" w14:textId="77777777" w:rsidTr="00C52D85">
        <w:trPr>
          <w:trHeight w:val="278"/>
        </w:trPr>
        <w:tc>
          <w:tcPr>
            <w:tcW w:w="744" w:type="pct"/>
            <w:vMerge w:val="restart"/>
          </w:tcPr>
          <w:p w14:paraId="0D025DAD"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p w14:paraId="2ED05EE9"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 xml:space="preserve"> Blood pressure</w:t>
            </w:r>
          </w:p>
        </w:tc>
        <w:tc>
          <w:tcPr>
            <w:tcW w:w="807" w:type="pct"/>
            <w:vAlign w:val="center"/>
          </w:tcPr>
          <w:p w14:paraId="0AD5D8CE"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Normal</w:t>
            </w:r>
          </w:p>
        </w:tc>
        <w:tc>
          <w:tcPr>
            <w:tcW w:w="761" w:type="pct"/>
            <w:vAlign w:val="center"/>
          </w:tcPr>
          <w:p w14:paraId="48EB073D"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10 (20.0%)</w:t>
            </w:r>
          </w:p>
        </w:tc>
        <w:tc>
          <w:tcPr>
            <w:tcW w:w="907" w:type="pct"/>
            <w:vAlign w:val="center"/>
          </w:tcPr>
          <w:p w14:paraId="7B819609"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 xml:space="preserve">16 </w:t>
            </w:r>
          </w:p>
          <w:p w14:paraId="3565C02C"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(32.0%)</w:t>
            </w:r>
          </w:p>
        </w:tc>
        <w:tc>
          <w:tcPr>
            <w:tcW w:w="977" w:type="pct"/>
            <w:vAlign w:val="center"/>
          </w:tcPr>
          <w:p w14:paraId="1B8A16DA"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 xml:space="preserve">11 </w:t>
            </w:r>
          </w:p>
          <w:p w14:paraId="1B9B6BE2"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(22.0%)</w:t>
            </w:r>
          </w:p>
        </w:tc>
        <w:tc>
          <w:tcPr>
            <w:tcW w:w="804" w:type="pct"/>
            <w:vMerge w:val="restart"/>
            <w:vAlign w:val="center"/>
          </w:tcPr>
          <w:p w14:paraId="348689E7"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Chi-</w:t>
            </w:r>
            <w:proofErr w:type="spellStart"/>
            <w:r w:rsidRPr="00445AA0">
              <w:rPr>
                <w:rFonts w:ascii="Times New Roman" w:eastAsia="Times New Roman" w:hAnsi="Times New Roman" w:cs="Times New Roman"/>
                <w:sz w:val="20"/>
                <w:szCs w:val="20"/>
              </w:rPr>
              <w:t>sequare</w:t>
            </w:r>
            <w:proofErr w:type="spellEnd"/>
            <w:r w:rsidRPr="00445AA0">
              <w:rPr>
                <w:rFonts w:ascii="Times New Roman" w:eastAsia="Times New Roman" w:hAnsi="Times New Roman" w:cs="Times New Roman"/>
                <w:sz w:val="20"/>
                <w:szCs w:val="20"/>
              </w:rPr>
              <w:t>=3.7</w:t>
            </w:r>
          </w:p>
          <w:p w14:paraId="286543BA"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P-value= 0.4 (N.S)</w:t>
            </w:r>
          </w:p>
        </w:tc>
      </w:tr>
      <w:tr w:rsidR="00C52D85" w:rsidRPr="00445AA0" w14:paraId="3ECEDCDF" w14:textId="77777777" w:rsidTr="00C52D85">
        <w:trPr>
          <w:trHeight w:val="86"/>
        </w:trPr>
        <w:tc>
          <w:tcPr>
            <w:tcW w:w="744" w:type="pct"/>
            <w:vMerge/>
          </w:tcPr>
          <w:p w14:paraId="797EF306"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tc>
        <w:tc>
          <w:tcPr>
            <w:tcW w:w="807" w:type="pct"/>
            <w:vAlign w:val="center"/>
          </w:tcPr>
          <w:p w14:paraId="163E1E40"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Hypotensio</w:t>
            </w:r>
            <w:r>
              <w:rPr>
                <w:rFonts w:ascii="Times New Roman" w:eastAsia="Times New Roman" w:hAnsi="Times New Roman" w:cs="Times New Roman"/>
                <w:sz w:val="20"/>
                <w:szCs w:val="20"/>
              </w:rPr>
              <w:t>n</w:t>
            </w:r>
          </w:p>
        </w:tc>
        <w:tc>
          <w:tcPr>
            <w:tcW w:w="761" w:type="pct"/>
            <w:vAlign w:val="center"/>
          </w:tcPr>
          <w:p w14:paraId="681B3478"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7 (14.0%)</w:t>
            </w:r>
          </w:p>
        </w:tc>
        <w:tc>
          <w:tcPr>
            <w:tcW w:w="907" w:type="pct"/>
            <w:vAlign w:val="center"/>
          </w:tcPr>
          <w:p w14:paraId="76B8DAC6"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9 (18.0%)</w:t>
            </w:r>
          </w:p>
        </w:tc>
        <w:tc>
          <w:tcPr>
            <w:tcW w:w="977" w:type="pct"/>
            <w:vAlign w:val="center"/>
          </w:tcPr>
          <w:p w14:paraId="2CADCF73"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6 (12.0%)</w:t>
            </w:r>
          </w:p>
        </w:tc>
        <w:tc>
          <w:tcPr>
            <w:tcW w:w="804" w:type="pct"/>
            <w:vMerge/>
            <w:vAlign w:val="center"/>
          </w:tcPr>
          <w:p w14:paraId="22FC2973"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r w:rsidR="00C52D85" w:rsidRPr="00445AA0" w14:paraId="15F253E6" w14:textId="77777777" w:rsidTr="00C52D85">
        <w:trPr>
          <w:trHeight w:val="86"/>
        </w:trPr>
        <w:tc>
          <w:tcPr>
            <w:tcW w:w="744" w:type="pct"/>
            <w:vMerge/>
          </w:tcPr>
          <w:p w14:paraId="20FC246A"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p>
        </w:tc>
        <w:tc>
          <w:tcPr>
            <w:tcW w:w="807" w:type="pct"/>
            <w:vAlign w:val="center"/>
          </w:tcPr>
          <w:p w14:paraId="040DC257"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r w:rsidRPr="00445AA0">
              <w:rPr>
                <w:rFonts w:ascii="Times New Roman" w:eastAsia="Times New Roman" w:hAnsi="Times New Roman" w:cs="Times New Roman"/>
                <w:sz w:val="20"/>
                <w:szCs w:val="20"/>
              </w:rPr>
              <w:t>Hypertension</w:t>
            </w:r>
          </w:p>
        </w:tc>
        <w:tc>
          <w:tcPr>
            <w:tcW w:w="761" w:type="pct"/>
            <w:vAlign w:val="center"/>
          </w:tcPr>
          <w:p w14:paraId="1EE53031"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33 (66.0%)</w:t>
            </w:r>
          </w:p>
        </w:tc>
        <w:tc>
          <w:tcPr>
            <w:tcW w:w="907" w:type="pct"/>
            <w:vAlign w:val="center"/>
          </w:tcPr>
          <w:p w14:paraId="59767E33"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25 (50.0%)</w:t>
            </w:r>
          </w:p>
        </w:tc>
        <w:tc>
          <w:tcPr>
            <w:tcW w:w="977" w:type="pct"/>
            <w:vAlign w:val="center"/>
          </w:tcPr>
          <w:p w14:paraId="31D43F6C" w14:textId="77777777" w:rsidR="00C52D85" w:rsidRPr="00445AA0" w:rsidRDefault="00C52D85" w:rsidP="00C52D85">
            <w:pPr>
              <w:autoSpaceDE w:val="0"/>
              <w:autoSpaceDN w:val="0"/>
              <w:adjustRightInd w:val="0"/>
              <w:jc w:val="center"/>
              <w:rPr>
                <w:rFonts w:ascii="Times New Roman" w:eastAsia="Times New Roman" w:hAnsi="Times New Roman" w:cs="Times New Roman"/>
                <w:color w:val="000000"/>
                <w:sz w:val="20"/>
                <w:szCs w:val="20"/>
              </w:rPr>
            </w:pPr>
            <w:r w:rsidRPr="00445AA0">
              <w:rPr>
                <w:rFonts w:ascii="Times New Roman" w:eastAsia="Times New Roman" w:hAnsi="Times New Roman" w:cs="Times New Roman"/>
                <w:color w:val="000000"/>
                <w:sz w:val="20"/>
                <w:szCs w:val="20"/>
              </w:rPr>
              <w:t>33 (66.0%)</w:t>
            </w:r>
          </w:p>
        </w:tc>
        <w:tc>
          <w:tcPr>
            <w:tcW w:w="804" w:type="pct"/>
            <w:vMerge/>
            <w:vAlign w:val="center"/>
          </w:tcPr>
          <w:p w14:paraId="3691E45B" w14:textId="77777777" w:rsidR="00C52D85" w:rsidRPr="00445AA0" w:rsidRDefault="00C52D85" w:rsidP="00C52D85">
            <w:pPr>
              <w:autoSpaceDE w:val="0"/>
              <w:autoSpaceDN w:val="0"/>
              <w:adjustRightInd w:val="0"/>
              <w:jc w:val="center"/>
              <w:rPr>
                <w:rFonts w:ascii="Times New Roman" w:eastAsia="Times New Roman" w:hAnsi="Times New Roman" w:cs="Times New Roman"/>
                <w:sz w:val="20"/>
                <w:szCs w:val="20"/>
              </w:rPr>
            </w:pPr>
          </w:p>
        </w:tc>
      </w:tr>
    </w:tbl>
    <w:p w14:paraId="3F3A2C41" w14:textId="35C08D02" w:rsidR="00C52D85" w:rsidRDefault="00C52D85" w:rsidP="007B47CE">
      <w:pPr>
        <w:autoSpaceDE w:val="0"/>
        <w:autoSpaceDN w:val="0"/>
        <w:adjustRightInd w:val="0"/>
        <w:spacing w:after="120" w:line="276" w:lineRule="auto"/>
        <w:jc w:val="both"/>
        <w:rPr>
          <w:rFonts w:ascii="Times New Roman" w:hAnsi="Times New Roman" w:cs="Times New Roman"/>
          <w:b/>
          <w:lang w:val="en-GB"/>
        </w:rPr>
      </w:pPr>
    </w:p>
    <w:p w14:paraId="36EE65EF" w14:textId="77777777" w:rsidR="00C52D85" w:rsidRDefault="00C52D85" w:rsidP="007B47CE">
      <w:pPr>
        <w:autoSpaceDE w:val="0"/>
        <w:autoSpaceDN w:val="0"/>
        <w:adjustRightInd w:val="0"/>
        <w:spacing w:after="120" w:line="276" w:lineRule="auto"/>
        <w:jc w:val="both"/>
        <w:rPr>
          <w:rFonts w:ascii="Times New Roman" w:hAnsi="Times New Roman" w:cs="Times New Roman"/>
          <w:b/>
          <w:lang w:val="en-GB"/>
        </w:rPr>
      </w:pPr>
    </w:p>
    <w:p w14:paraId="3A182147" w14:textId="77777777" w:rsidR="005F7FD2" w:rsidRDefault="005F7FD2" w:rsidP="007B47CE">
      <w:pPr>
        <w:autoSpaceDE w:val="0"/>
        <w:autoSpaceDN w:val="0"/>
        <w:adjustRightInd w:val="0"/>
        <w:spacing w:after="120" w:line="276" w:lineRule="auto"/>
        <w:jc w:val="both"/>
        <w:rPr>
          <w:rFonts w:ascii="Times New Roman" w:hAnsi="Times New Roman" w:cs="Times New Roman"/>
          <w:b/>
          <w:lang w:val="en-GB"/>
        </w:rPr>
      </w:pPr>
    </w:p>
    <w:p w14:paraId="4C1D3125"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0A588BC8"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01D70DAF"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27FE72F7"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2F227EB1"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482BCDBF"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1515CA07"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57FFDAFD"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2B71299C"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10D971C1" w14:textId="77777777" w:rsidR="00781E13" w:rsidRDefault="00781E13" w:rsidP="007B47CE">
      <w:pPr>
        <w:autoSpaceDE w:val="0"/>
        <w:autoSpaceDN w:val="0"/>
        <w:adjustRightInd w:val="0"/>
        <w:spacing w:after="120" w:line="276" w:lineRule="auto"/>
        <w:jc w:val="both"/>
        <w:rPr>
          <w:rFonts w:ascii="Times New Roman" w:hAnsi="Times New Roman" w:cs="Times New Roman"/>
          <w:b/>
          <w:lang w:val="en-GB"/>
        </w:rPr>
      </w:pPr>
    </w:p>
    <w:p w14:paraId="4FF696FC" w14:textId="77777777" w:rsidR="002E0228" w:rsidRDefault="002E0228" w:rsidP="00034B73">
      <w:pPr>
        <w:autoSpaceDE w:val="0"/>
        <w:autoSpaceDN w:val="0"/>
        <w:adjustRightInd w:val="0"/>
        <w:spacing w:after="120" w:line="276" w:lineRule="auto"/>
        <w:jc w:val="both"/>
        <w:rPr>
          <w:rFonts w:ascii="Times New Roman" w:hAnsi="Times New Roman" w:cs="Times New Roman"/>
          <w:bCs/>
        </w:rPr>
      </w:pPr>
    </w:p>
    <w:p w14:paraId="1CB1929A" w14:textId="3EEAC78F" w:rsidR="00034B73" w:rsidRDefault="00034B73" w:rsidP="00034B73">
      <w:pPr>
        <w:autoSpaceDE w:val="0"/>
        <w:autoSpaceDN w:val="0"/>
        <w:adjustRightInd w:val="0"/>
        <w:spacing w:after="120" w:line="276" w:lineRule="auto"/>
        <w:jc w:val="both"/>
        <w:rPr>
          <w:rFonts w:ascii="Times New Roman" w:hAnsi="Times New Roman" w:cs="Times New Roman"/>
          <w:bCs/>
        </w:rPr>
      </w:pPr>
      <w:r w:rsidRPr="00034B73">
        <w:rPr>
          <w:rFonts w:ascii="Times New Roman" w:hAnsi="Times New Roman" w:cs="Times New Roman"/>
          <w:bCs/>
        </w:rPr>
        <w:t xml:space="preserve">Table </w:t>
      </w:r>
      <w:r>
        <w:rPr>
          <w:rFonts w:ascii="Times New Roman" w:hAnsi="Times New Roman" w:cs="Times New Roman"/>
          <w:bCs/>
        </w:rPr>
        <w:t>2</w:t>
      </w:r>
      <w:r w:rsidRPr="00034B73">
        <w:rPr>
          <w:rFonts w:ascii="Times New Roman" w:hAnsi="Times New Roman" w:cs="Times New Roman"/>
          <w:bCs/>
        </w:rPr>
        <w:t xml:space="preserve"> demonstrated that there was increased in serum glucose levels in the three groups (&lt;110 mg/dL) Ischemic group, Thromboembolism group and Cardiovascular under control with means and standard deviation (S.Ds) value (209.04±133.20, 140.20±73.22, 197.22±89.38) respectively, with this highly significant differences (P= </w:t>
      </w:r>
      <w:r w:rsidRPr="00034B73">
        <w:rPr>
          <w:rFonts w:ascii="Times New Roman" w:hAnsi="Times New Roman" w:cs="Times New Roman"/>
          <w:bCs/>
        </w:rPr>
        <w:lastRenderedPageBreak/>
        <w:t xml:space="preserve">0.001).In regard to cholesterol (mg/dL) and triglyceride (mg/dL) levels, there was an increase in their levels among the three groups above the normal value of both indicated by the increase in their mean and (S.Ds) value </w:t>
      </w:r>
    </w:p>
    <w:p w14:paraId="710BBB68" w14:textId="1F109A50" w:rsidR="00034B73" w:rsidRDefault="00034B73" w:rsidP="00034B73">
      <w:pPr>
        <w:pStyle w:val="Caption"/>
        <w:keepNext/>
      </w:pPr>
      <w:r>
        <w:t xml:space="preserve">Table 2. </w:t>
      </w:r>
      <w:r w:rsidRPr="00034B73">
        <w:rPr>
          <w:b w:val="0"/>
          <w:bCs w:val="0"/>
        </w:rPr>
        <w:t>Means of biochemical parameters among the studied groups (N=150).</w:t>
      </w:r>
    </w:p>
    <w:tbl>
      <w:tblPr>
        <w:tblStyle w:val="TableGrid"/>
        <w:tblW w:w="4858" w:type="pct"/>
        <w:jc w:val="center"/>
        <w:tblLayout w:type="fixed"/>
        <w:tblLook w:val="04A0" w:firstRow="1" w:lastRow="0" w:firstColumn="1" w:lastColumn="0" w:noHBand="0" w:noVBand="1"/>
      </w:tblPr>
      <w:tblGrid>
        <w:gridCol w:w="1304"/>
        <w:gridCol w:w="4069"/>
        <w:gridCol w:w="2750"/>
        <w:gridCol w:w="1451"/>
      </w:tblGrid>
      <w:tr w:rsidR="00034B73" w:rsidRPr="000B2CB8" w14:paraId="0E97466F" w14:textId="77777777" w:rsidTr="006B55EA">
        <w:trPr>
          <w:trHeight w:val="182"/>
          <w:jc w:val="center"/>
        </w:trPr>
        <w:tc>
          <w:tcPr>
            <w:tcW w:w="681" w:type="pct"/>
            <w:tcBorders>
              <w:top w:val="single" w:sz="4" w:space="0" w:color="auto"/>
              <w:left w:val="single" w:sz="4" w:space="0" w:color="auto"/>
              <w:bottom w:val="single" w:sz="4" w:space="0" w:color="auto"/>
              <w:right w:val="single" w:sz="4" w:space="0" w:color="auto"/>
            </w:tcBorders>
            <w:hideMark/>
          </w:tcPr>
          <w:p w14:paraId="5B4F73C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Parameter</w:t>
            </w:r>
          </w:p>
        </w:tc>
        <w:tc>
          <w:tcPr>
            <w:tcW w:w="2125" w:type="pct"/>
            <w:tcBorders>
              <w:top w:val="single" w:sz="4" w:space="0" w:color="auto"/>
              <w:left w:val="single" w:sz="4" w:space="0" w:color="auto"/>
              <w:bottom w:val="single" w:sz="4" w:space="0" w:color="auto"/>
              <w:right w:val="single" w:sz="4" w:space="0" w:color="auto"/>
            </w:tcBorders>
            <w:vAlign w:val="center"/>
            <w:hideMark/>
          </w:tcPr>
          <w:p w14:paraId="1218790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Studied group</w:t>
            </w:r>
          </w:p>
        </w:tc>
        <w:tc>
          <w:tcPr>
            <w:tcW w:w="1436" w:type="pct"/>
            <w:tcBorders>
              <w:top w:val="single" w:sz="4" w:space="0" w:color="auto"/>
              <w:left w:val="single" w:sz="4" w:space="0" w:color="auto"/>
              <w:bottom w:val="single" w:sz="4" w:space="0" w:color="auto"/>
              <w:right w:val="single" w:sz="4" w:space="0" w:color="auto"/>
            </w:tcBorders>
            <w:vAlign w:val="center"/>
            <w:hideMark/>
          </w:tcPr>
          <w:p w14:paraId="4FE7A0B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roofErr w:type="spellStart"/>
            <w:r w:rsidRPr="000B2CB8">
              <w:rPr>
                <w:rFonts w:ascii="Times New Roman" w:eastAsia="Times New Roman" w:hAnsi="Times New Roman" w:cs="Times New Roman"/>
                <w:color w:val="000000" w:themeColor="text1"/>
                <w:sz w:val="20"/>
                <w:szCs w:val="20"/>
              </w:rPr>
              <w:t>Mean+SD</w:t>
            </w:r>
            <w:proofErr w:type="spellEnd"/>
          </w:p>
        </w:tc>
        <w:tc>
          <w:tcPr>
            <w:tcW w:w="758" w:type="pct"/>
            <w:tcBorders>
              <w:top w:val="single" w:sz="4" w:space="0" w:color="auto"/>
              <w:left w:val="single" w:sz="4" w:space="0" w:color="auto"/>
              <w:bottom w:val="single" w:sz="4" w:space="0" w:color="auto"/>
              <w:right w:val="single" w:sz="4" w:space="0" w:color="auto"/>
            </w:tcBorders>
            <w:vAlign w:val="center"/>
            <w:hideMark/>
          </w:tcPr>
          <w:p w14:paraId="040D558A"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*P value</w:t>
            </w:r>
          </w:p>
        </w:tc>
      </w:tr>
      <w:tr w:rsidR="00034B73" w:rsidRPr="000B2CB8" w14:paraId="78091B26" w14:textId="77777777" w:rsidTr="006B55EA">
        <w:trPr>
          <w:trHeight w:val="348"/>
          <w:jc w:val="center"/>
        </w:trPr>
        <w:tc>
          <w:tcPr>
            <w:tcW w:w="681" w:type="pct"/>
            <w:vMerge w:val="restart"/>
            <w:tcBorders>
              <w:top w:val="single" w:sz="4" w:space="0" w:color="auto"/>
              <w:left w:val="single" w:sz="4" w:space="0" w:color="auto"/>
              <w:bottom w:val="single" w:sz="4" w:space="0" w:color="auto"/>
              <w:right w:val="single" w:sz="4" w:space="0" w:color="auto"/>
            </w:tcBorders>
          </w:tcPr>
          <w:p w14:paraId="5C75C5BF"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p w14:paraId="2D301DC9"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Glucose</w:t>
            </w:r>
          </w:p>
        </w:tc>
        <w:tc>
          <w:tcPr>
            <w:tcW w:w="2125" w:type="pct"/>
            <w:tcBorders>
              <w:top w:val="single" w:sz="4" w:space="0" w:color="auto"/>
              <w:left w:val="single" w:sz="4" w:space="0" w:color="auto"/>
              <w:bottom w:val="single" w:sz="4" w:space="0" w:color="auto"/>
              <w:right w:val="single" w:sz="4" w:space="0" w:color="auto"/>
            </w:tcBorders>
            <w:vAlign w:val="center"/>
          </w:tcPr>
          <w:p w14:paraId="29F362FD"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79295BDF"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209.04±133.20</w:t>
            </w:r>
          </w:p>
        </w:tc>
        <w:tc>
          <w:tcPr>
            <w:tcW w:w="758" w:type="pct"/>
            <w:vMerge w:val="restart"/>
            <w:tcBorders>
              <w:top w:val="single" w:sz="4" w:space="0" w:color="auto"/>
              <w:left w:val="single" w:sz="4" w:space="0" w:color="auto"/>
              <w:bottom w:val="single" w:sz="4" w:space="0" w:color="auto"/>
              <w:right w:val="single" w:sz="4" w:space="0" w:color="auto"/>
            </w:tcBorders>
          </w:tcPr>
          <w:p w14:paraId="42B683A8"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0.002</w:t>
            </w:r>
          </w:p>
          <w:p w14:paraId="6EE5916E"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(H.S)</w:t>
            </w:r>
          </w:p>
        </w:tc>
      </w:tr>
      <w:tr w:rsidR="00034B73" w:rsidRPr="000B2CB8" w14:paraId="7D375995"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10637A1E"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5350875F"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 (N=50)</w:t>
            </w:r>
          </w:p>
        </w:tc>
        <w:tc>
          <w:tcPr>
            <w:tcW w:w="1436" w:type="pct"/>
            <w:tcBorders>
              <w:top w:val="single" w:sz="4" w:space="0" w:color="auto"/>
              <w:left w:val="single" w:sz="4" w:space="0" w:color="auto"/>
              <w:bottom w:val="single" w:sz="4" w:space="0" w:color="auto"/>
              <w:right w:val="single" w:sz="4" w:space="0" w:color="auto"/>
            </w:tcBorders>
            <w:vAlign w:val="center"/>
          </w:tcPr>
          <w:p w14:paraId="5366235F"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140.20±73.22</w:t>
            </w:r>
          </w:p>
        </w:tc>
        <w:tc>
          <w:tcPr>
            <w:tcW w:w="758" w:type="pct"/>
            <w:vMerge/>
            <w:tcBorders>
              <w:top w:val="single" w:sz="4" w:space="0" w:color="auto"/>
              <w:left w:val="single" w:sz="4" w:space="0" w:color="auto"/>
              <w:bottom w:val="single" w:sz="4" w:space="0" w:color="auto"/>
              <w:right w:val="single" w:sz="4" w:space="0" w:color="auto"/>
            </w:tcBorders>
            <w:vAlign w:val="center"/>
          </w:tcPr>
          <w:p w14:paraId="1067E7E1"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r>
      <w:tr w:rsidR="00034B73" w:rsidRPr="000B2CB8" w14:paraId="3A8F3CEA" w14:textId="77777777" w:rsidTr="006B55EA">
        <w:trPr>
          <w:trHeight w:val="387"/>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4F74A7D5"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4957763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3B5EDBAC"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197.22±89.38</w:t>
            </w:r>
          </w:p>
        </w:tc>
        <w:tc>
          <w:tcPr>
            <w:tcW w:w="758" w:type="pct"/>
            <w:vMerge/>
            <w:tcBorders>
              <w:top w:val="single" w:sz="4" w:space="0" w:color="auto"/>
              <w:left w:val="single" w:sz="4" w:space="0" w:color="auto"/>
              <w:bottom w:val="single" w:sz="4" w:space="0" w:color="auto"/>
              <w:right w:val="single" w:sz="4" w:space="0" w:color="auto"/>
            </w:tcBorders>
            <w:vAlign w:val="center"/>
          </w:tcPr>
          <w:p w14:paraId="411E1819"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r>
      <w:tr w:rsidR="00034B73" w:rsidRPr="000B2CB8" w14:paraId="5A514A4C" w14:textId="77777777" w:rsidTr="006B55EA">
        <w:trPr>
          <w:trHeight w:val="182"/>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tcPr>
          <w:p w14:paraId="2420C1F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Cholesterol</w:t>
            </w:r>
          </w:p>
        </w:tc>
        <w:tc>
          <w:tcPr>
            <w:tcW w:w="2125" w:type="pct"/>
            <w:tcBorders>
              <w:top w:val="single" w:sz="4" w:space="0" w:color="auto"/>
              <w:left w:val="single" w:sz="4" w:space="0" w:color="auto"/>
              <w:bottom w:val="single" w:sz="4" w:space="0" w:color="auto"/>
              <w:right w:val="single" w:sz="4" w:space="0" w:color="auto"/>
            </w:tcBorders>
            <w:vAlign w:val="center"/>
          </w:tcPr>
          <w:p w14:paraId="17BCE15E"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441E8A12"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199.74±49.56</w:t>
            </w:r>
          </w:p>
        </w:tc>
        <w:tc>
          <w:tcPr>
            <w:tcW w:w="758" w:type="pct"/>
            <w:vMerge w:val="restart"/>
            <w:tcBorders>
              <w:top w:val="single" w:sz="4" w:space="0" w:color="auto"/>
              <w:left w:val="single" w:sz="4" w:space="0" w:color="auto"/>
              <w:bottom w:val="single" w:sz="4" w:space="0" w:color="auto"/>
              <w:right w:val="single" w:sz="4" w:space="0" w:color="auto"/>
            </w:tcBorders>
          </w:tcPr>
          <w:p w14:paraId="62A3B3D9"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p w14:paraId="3D376778"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0.009</w:t>
            </w:r>
          </w:p>
          <w:p w14:paraId="1189460E"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lang w:bidi="ar-IQ"/>
              </w:rPr>
              <w:t>(H.S)</w:t>
            </w:r>
          </w:p>
        </w:tc>
      </w:tr>
      <w:tr w:rsidR="00034B73" w:rsidRPr="000B2CB8" w14:paraId="519A388F"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7B9C1CD3"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2F0AB4FA"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48CDAB11"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162.24±55.21</w:t>
            </w:r>
          </w:p>
        </w:tc>
        <w:tc>
          <w:tcPr>
            <w:tcW w:w="758" w:type="pct"/>
            <w:vMerge/>
            <w:tcBorders>
              <w:top w:val="single" w:sz="4" w:space="0" w:color="auto"/>
              <w:left w:val="single" w:sz="4" w:space="0" w:color="auto"/>
              <w:bottom w:val="single" w:sz="4" w:space="0" w:color="auto"/>
              <w:right w:val="single" w:sz="4" w:space="0" w:color="auto"/>
            </w:tcBorders>
            <w:vAlign w:val="center"/>
          </w:tcPr>
          <w:p w14:paraId="1528999F"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r>
      <w:tr w:rsidR="00034B73" w:rsidRPr="000B2CB8" w14:paraId="2B39B01D"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2478B0F3"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45291C7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5534DD70"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184.82±74.73</w:t>
            </w:r>
          </w:p>
        </w:tc>
        <w:tc>
          <w:tcPr>
            <w:tcW w:w="758" w:type="pct"/>
            <w:vMerge/>
            <w:tcBorders>
              <w:top w:val="single" w:sz="4" w:space="0" w:color="auto"/>
              <w:left w:val="single" w:sz="4" w:space="0" w:color="auto"/>
              <w:bottom w:val="single" w:sz="4" w:space="0" w:color="auto"/>
              <w:right w:val="single" w:sz="4" w:space="0" w:color="auto"/>
            </w:tcBorders>
            <w:vAlign w:val="center"/>
          </w:tcPr>
          <w:p w14:paraId="681FE8FA"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r>
      <w:tr w:rsidR="00034B73" w:rsidRPr="000B2CB8" w14:paraId="57732712" w14:textId="77777777" w:rsidTr="006B55EA">
        <w:trPr>
          <w:trHeight w:val="182"/>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tcPr>
          <w:p w14:paraId="5F26149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roofErr w:type="spellStart"/>
            <w:r w:rsidRPr="000B2CB8">
              <w:rPr>
                <w:rFonts w:ascii="Times New Roman" w:eastAsia="Times New Roman" w:hAnsi="Times New Roman" w:cs="Times New Roman"/>
                <w:color w:val="000000" w:themeColor="text1"/>
                <w:sz w:val="20"/>
                <w:szCs w:val="20"/>
              </w:rPr>
              <w:t>Triglycerdie</w:t>
            </w:r>
            <w:proofErr w:type="spellEnd"/>
          </w:p>
        </w:tc>
        <w:tc>
          <w:tcPr>
            <w:tcW w:w="2125" w:type="pct"/>
            <w:tcBorders>
              <w:top w:val="single" w:sz="4" w:space="0" w:color="auto"/>
              <w:left w:val="single" w:sz="4" w:space="0" w:color="auto"/>
              <w:bottom w:val="single" w:sz="4" w:space="0" w:color="auto"/>
              <w:right w:val="single" w:sz="4" w:space="0" w:color="auto"/>
            </w:tcBorders>
            <w:vAlign w:val="center"/>
          </w:tcPr>
          <w:p w14:paraId="52F0A658"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752A4E5D"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183.74±101.60</w:t>
            </w:r>
          </w:p>
        </w:tc>
        <w:tc>
          <w:tcPr>
            <w:tcW w:w="758" w:type="pct"/>
            <w:vMerge w:val="restart"/>
            <w:tcBorders>
              <w:top w:val="single" w:sz="4" w:space="0" w:color="auto"/>
              <w:left w:val="single" w:sz="4" w:space="0" w:color="auto"/>
              <w:bottom w:val="single" w:sz="4" w:space="0" w:color="auto"/>
              <w:right w:val="single" w:sz="4" w:space="0" w:color="auto"/>
            </w:tcBorders>
          </w:tcPr>
          <w:p w14:paraId="730D422A"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p w14:paraId="5EB0332D"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0.04</w:t>
            </w:r>
          </w:p>
          <w:p w14:paraId="28A8312C"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lang w:bidi="ar-IQ"/>
              </w:rPr>
              <w:t>(S)</w:t>
            </w:r>
          </w:p>
        </w:tc>
      </w:tr>
      <w:tr w:rsidR="00034B73" w:rsidRPr="000B2CB8" w14:paraId="14F93901"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77AEBF51"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05EE8835"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2AEBFD72"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176.40±97.67</w:t>
            </w:r>
          </w:p>
        </w:tc>
        <w:tc>
          <w:tcPr>
            <w:tcW w:w="758" w:type="pct"/>
            <w:vMerge/>
            <w:tcBorders>
              <w:top w:val="single" w:sz="4" w:space="0" w:color="auto"/>
              <w:left w:val="single" w:sz="4" w:space="0" w:color="auto"/>
              <w:bottom w:val="single" w:sz="4" w:space="0" w:color="auto"/>
              <w:right w:val="single" w:sz="4" w:space="0" w:color="auto"/>
            </w:tcBorders>
            <w:vAlign w:val="center"/>
          </w:tcPr>
          <w:p w14:paraId="3A66CDFD"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r>
      <w:tr w:rsidR="00034B73" w:rsidRPr="000B2CB8" w14:paraId="373D216F"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380CA9E4"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58DE5117"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63D9C136"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243.78±206.04</w:t>
            </w:r>
          </w:p>
        </w:tc>
        <w:tc>
          <w:tcPr>
            <w:tcW w:w="758" w:type="pct"/>
            <w:vMerge/>
            <w:tcBorders>
              <w:top w:val="single" w:sz="4" w:space="0" w:color="auto"/>
              <w:left w:val="single" w:sz="4" w:space="0" w:color="auto"/>
              <w:bottom w:val="single" w:sz="4" w:space="0" w:color="auto"/>
              <w:right w:val="single" w:sz="4" w:space="0" w:color="auto"/>
            </w:tcBorders>
            <w:vAlign w:val="center"/>
          </w:tcPr>
          <w:p w14:paraId="33D6170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r>
      <w:tr w:rsidR="00034B73" w:rsidRPr="000B2CB8" w14:paraId="3234392A" w14:textId="77777777" w:rsidTr="006B55EA">
        <w:trPr>
          <w:trHeight w:val="182"/>
          <w:jc w:val="center"/>
        </w:trPr>
        <w:tc>
          <w:tcPr>
            <w:tcW w:w="681" w:type="pct"/>
            <w:vMerge w:val="restart"/>
            <w:tcBorders>
              <w:top w:val="single" w:sz="4" w:space="0" w:color="auto"/>
              <w:left w:val="single" w:sz="4" w:space="0" w:color="auto"/>
              <w:bottom w:val="single" w:sz="4" w:space="0" w:color="auto"/>
              <w:right w:val="single" w:sz="4" w:space="0" w:color="auto"/>
            </w:tcBorders>
            <w:vAlign w:val="center"/>
          </w:tcPr>
          <w:p w14:paraId="3F386F4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H</w:t>
            </w:r>
            <w:r>
              <w:rPr>
                <w:rFonts w:ascii="Times New Roman" w:eastAsia="Times New Roman" w:hAnsi="Times New Roman" w:cs="Times New Roman"/>
                <w:color w:val="000000" w:themeColor="text1"/>
                <w:sz w:val="20"/>
                <w:szCs w:val="20"/>
              </w:rPr>
              <w:t>DL</w:t>
            </w:r>
          </w:p>
        </w:tc>
        <w:tc>
          <w:tcPr>
            <w:tcW w:w="2125" w:type="pct"/>
            <w:tcBorders>
              <w:top w:val="single" w:sz="4" w:space="0" w:color="auto"/>
              <w:left w:val="single" w:sz="4" w:space="0" w:color="auto"/>
              <w:bottom w:val="single" w:sz="4" w:space="0" w:color="auto"/>
              <w:right w:val="single" w:sz="4" w:space="0" w:color="auto"/>
            </w:tcBorders>
            <w:vAlign w:val="center"/>
          </w:tcPr>
          <w:p w14:paraId="7311A2FF"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06A71749"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46.64±15.86, 43.84±10.93</w:t>
            </w:r>
          </w:p>
        </w:tc>
        <w:tc>
          <w:tcPr>
            <w:tcW w:w="758" w:type="pct"/>
            <w:vMerge w:val="restart"/>
            <w:tcBorders>
              <w:top w:val="single" w:sz="4" w:space="0" w:color="auto"/>
              <w:left w:val="single" w:sz="4" w:space="0" w:color="auto"/>
              <w:bottom w:val="single" w:sz="4" w:space="0" w:color="auto"/>
              <w:right w:val="single" w:sz="4" w:space="0" w:color="auto"/>
            </w:tcBorders>
          </w:tcPr>
          <w:p w14:paraId="53350EBB"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p w14:paraId="3582F327"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0.01</w:t>
            </w:r>
          </w:p>
          <w:p w14:paraId="7BB6E320"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(S)</w:t>
            </w:r>
          </w:p>
        </w:tc>
      </w:tr>
      <w:tr w:rsidR="00034B73" w:rsidRPr="000B2CB8" w14:paraId="0AA37B15"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1881C18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44E9ED2C"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5D3C935D"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38.68±14.07</w:t>
            </w:r>
          </w:p>
        </w:tc>
        <w:tc>
          <w:tcPr>
            <w:tcW w:w="758" w:type="pct"/>
            <w:vMerge/>
            <w:tcBorders>
              <w:top w:val="single" w:sz="4" w:space="0" w:color="auto"/>
              <w:left w:val="single" w:sz="4" w:space="0" w:color="auto"/>
              <w:bottom w:val="single" w:sz="4" w:space="0" w:color="auto"/>
              <w:right w:val="single" w:sz="4" w:space="0" w:color="auto"/>
            </w:tcBorders>
            <w:vAlign w:val="center"/>
          </w:tcPr>
          <w:p w14:paraId="77EE4394"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56DA8651"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3CB580E9"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1A1F51E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3E95A392"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43.84±10.93</w:t>
            </w:r>
          </w:p>
        </w:tc>
        <w:tc>
          <w:tcPr>
            <w:tcW w:w="758" w:type="pct"/>
            <w:vMerge/>
            <w:tcBorders>
              <w:top w:val="single" w:sz="4" w:space="0" w:color="auto"/>
              <w:left w:val="single" w:sz="4" w:space="0" w:color="auto"/>
              <w:bottom w:val="single" w:sz="4" w:space="0" w:color="auto"/>
              <w:right w:val="single" w:sz="4" w:space="0" w:color="auto"/>
            </w:tcBorders>
            <w:vAlign w:val="center"/>
          </w:tcPr>
          <w:p w14:paraId="0DB0E8AA"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198E2439" w14:textId="77777777" w:rsidTr="006B55EA">
        <w:trPr>
          <w:trHeight w:val="182"/>
          <w:jc w:val="center"/>
        </w:trPr>
        <w:tc>
          <w:tcPr>
            <w:tcW w:w="681" w:type="pct"/>
            <w:vMerge w:val="restart"/>
            <w:tcBorders>
              <w:top w:val="single" w:sz="4" w:space="0" w:color="auto"/>
              <w:left w:val="single" w:sz="4" w:space="0" w:color="auto"/>
              <w:bottom w:val="single" w:sz="4" w:space="0" w:color="auto"/>
              <w:right w:val="single" w:sz="4" w:space="0" w:color="auto"/>
            </w:tcBorders>
          </w:tcPr>
          <w:p w14:paraId="185FB2FC"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Tn-I</w:t>
            </w:r>
          </w:p>
        </w:tc>
        <w:tc>
          <w:tcPr>
            <w:tcW w:w="2125" w:type="pct"/>
            <w:tcBorders>
              <w:top w:val="single" w:sz="4" w:space="0" w:color="auto"/>
              <w:left w:val="single" w:sz="4" w:space="0" w:color="auto"/>
              <w:bottom w:val="single" w:sz="4" w:space="0" w:color="auto"/>
              <w:right w:val="single" w:sz="4" w:space="0" w:color="auto"/>
            </w:tcBorders>
            <w:vAlign w:val="center"/>
          </w:tcPr>
          <w:p w14:paraId="2A62340E"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1473D401"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7.62±7.09,</w:t>
            </w:r>
          </w:p>
        </w:tc>
        <w:tc>
          <w:tcPr>
            <w:tcW w:w="758" w:type="pct"/>
            <w:vMerge w:val="restart"/>
            <w:tcBorders>
              <w:top w:val="single" w:sz="4" w:space="0" w:color="auto"/>
              <w:left w:val="single" w:sz="4" w:space="0" w:color="auto"/>
              <w:bottom w:val="single" w:sz="4" w:space="0" w:color="auto"/>
              <w:right w:val="single" w:sz="4" w:space="0" w:color="auto"/>
            </w:tcBorders>
          </w:tcPr>
          <w:p w14:paraId="3A98F8D0"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&lt;0.001</w:t>
            </w:r>
            <w:r w:rsidRPr="000B2CB8">
              <w:rPr>
                <w:rFonts w:ascii="Times New Roman" w:eastAsia="Times New Roman" w:hAnsi="Times New Roman" w:cs="Times New Roman"/>
                <w:color w:val="000000" w:themeColor="text1"/>
                <w:sz w:val="20"/>
                <w:szCs w:val="20"/>
              </w:rPr>
              <w:t xml:space="preserve"> (H.S)</w:t>
            </w:r>
          </w:p>
        </w:tc>
      </w:tr>
      <w:tr w:rsidR="00034B73" w:rsidRPr="000B2CB8" w14:paraId="42E379B8"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7D105E51"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77FF51CB"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18F1C911"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0.034±0.03</w:t>
            </w:r>
          </w:p>
        </w:tc>
        <w:tc>
          <w:tcPr>
            <w:tcW w:w="758" w:type="pct"/>
            <w:vMerge/>
            <w:tcBorders>
              <w:top w:val="single" w:sz="4" w:space="0" w:color="auto"/>
              <w:left w:val="single" w:sz="4" w:space="0" w:color="auto"/>
              <w:bottom w:val="single" w:sz="4" w:space="0" w:color="auto"/>
              <w:right w:val="single" w:sz="4" w:space="0" w:color="auto"/>
            </w:tcBorders>
            <w:vAlign w:val="center"/>
          </w:tcPr>
          <w:p w14:paraId="0EBB4F72"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3E5382CC" w14:textId="77777777" w:rsidTr="006B55EA">
        <w:trPr>
          <w:trHeight w:val="112"/>
          <w:jc w:val="center"/>
        </w:trPr>
        <w:tc>
          <w:tcPr>
            <w:tcW w:w="681" w:type="pct"/>
            <w:vMerge/>
            <w:tcBorders>
              <w:top w:val="single" w:sz="4" w:space="0" w:color="auto"/>
              <w:left w:val="single" w:sz="4" w:space="0" w:color="auto"/>
              <w:bottom w:val="single" w:sz="4" w:space="0" w:color="auto"/>
              <w:right w:val="single" w:sz="4" w:space="0" w:color="auto"/>
            </w:tcBorders>
            <w:vAlign w:val="center"/>
          </w:tcPr>
          <w:p w14:paraId="2BC14F41"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320A281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4AAFB12C"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0.026±0.03</w:t>
            </w:r>
          </w:p>
        </w:tc>
        <w:tc>
          <w:tcPr>
            <w:tcW w:w="758" w:type="pct"/>
            <w:vMerge/>
            <w:tcBorders>
              <w:top w:val="single" w:sz="4" w:space="0" w:color="auto"/>
              <w:left w:val="single" w:sz="4" w:space="0" w:color="auto"/>
              <w:bottom w:val="single" w:sz="4" w:space="0" w:color="auto"/>
              <w:right w:val="single" w:sz="4" w:space="0" w:color="auto"/>
            </w:tcBorders>
            <w:vAlign w:val="center"/>
          </w:tcPr>
          <w:p w14:paraId="512CCA23"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551F31EA" w14:textId="77777777" w:rsidTr="006B55EA">
        <w:trPr>
          <w:trHeight w:val="182"/>
          <w:jc w:val="center"/>
        </w:trPr>
        <w:tc>
          <w:tcPr>
            <w:tcW w:w="681" w:type="pct"/>
            <w:vMerge w:val="restart"/>
            <w:tcBorders>
              <w:top w:val="single" w:sz="4" w:space="0" w:color="auto"/>
              <w:left w:val="single" w:sz="4" w:space="0" w:color="auto"/>
              <w:right w:val="single" w:sz="4" w:space="0" w:color="auto"/>
            </w:tcBorders>
          </w:tcPr>
          <w:p w14:paraId="24CD9D09"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D-Dimer</w:t>
            </w:r>
          </w:p>
        </w:tc>
        <w:tc>
          <w:tcPr>
            <w:tcW w:w="2125" w:type="pct"/>
            <w:tcBorders>
              <w:top w:val="single" w:sz="4" w:space="0" w:color="auto"/>
              <w:left w:val="single" w:sz="4" w:space="0" w:color="auto"/>
              <w:bottom w:val="single" w:sz="4" w:space="0" w:color="auto"/>
              <w:right w:val="single" w:sz="4" w:space="0" w:color="auto"/>
            </w:tcBorders>
            <w:vAlign w:val="center"/>
          </w:tcPr>
          <w:p w14:paraId="7F0E1C5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5B6206AD"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318.10±78.95</w:t>
            </w:r>
          </w:p>
        </w:tc>
        <w:tc>
          <w:tcPr>
            <w:tcW w:w="758" w:type="pct"/>
            <w:vMerge w:val="restart"/>
            <w:tcBorders>
              <w:top w:val="single" w:sz="4" w:space="0" w:color="auto"/>
              <w:left w:val="single" w:sz="4" w:space="0" w:color="auto"/>
              <w:right w:val="single" w:sz="4" w:space="0" w:color="auto"/>
            </w:tcBorders>
            <w:vAlign w:val="center"/>
          </w:tcPr>
          <w:p w14:paraId="5AA7095E"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rtl/>
                <w:lang w:bidi="ar-IQ"/>
              </w:rPr>
              <w:t>&lt;</w:t>
            </w:r>
            <w:r w:rsidRPr="000B2CB8">
              <w:rPr>
                <w:rFonts w:ascii="Times New Roman" w:eastAsia="Times New Roman" w:hAnsi="Times New Roman" w:cs="Times New Roman"/>
                <w:color w:val="000000" w:themeColor="text1"/>
                <w:sz w:val="20"/>
                <w:szCs w:val="20"/>
                <w:lang w:bidi="ar-IQ"/>
              </w:rPr>
              <w:t xml:space="preserve">0.001 </w:t>
            </w:r>
            <w:r w:rsidRPr="000B2CB8">
              <w:rPr>
                <w:rFonts w:ascii="Times New Roman" w:eastAsia="Times New Roman" w:hAnsi="Times New Roman" w:cs="Times New Roman"/>
                <w:color w:val="000000" w:themeColor="text1"/>
                <w:sz w:val="20"/>
                <w:szCs w:val="20"/>
              </w:rPr>
              <w:t xml:space="preserve"> (H.S)</w:t>
            </w:r>
          </w:p>
        </w:tc>
      </w:tr>
      <w:tr w:rsidR="00034B73" w:rsidRPr="000B2CB8" w14:paraId="3EBF1810" w14:textId="77777777" w:rsidTr="006B55EA">
        <w:trPr>
          <w:trHeight w:val="112"/>
          <w:jc w:val="center"/>
        </w:trPr>
        <w:tc>
          <w:tcPr>
            <w:tcW w:w="681" w:type="pct"/>
            <w:vMerge/>
            <w:tcBorders>
              <w:left w:val="single" w:sz="4" w:space="0" w:color="auto"/>
              <w:right w:val="single" w:sz="4" w:space="0" w:color="auto"/>
            </w:tcBorders>
            <w:vAlign w:val="center"/>
          </w:tcPr>
          <w:p w14:paraId="28CAC4E3"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05EFFB01"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 (N=50)</w:t>
            </w:r>
          </w:p>
        </w:tc>
        <w:tc>
          <w:tcPr>
            <w:tcW w:w="1436" w:type="pct"/>
            <w:tcBorders>
              <w:top w:val="single" w:sz="4" w:space="0" w:color="auto"/>
              <w:left w:val="single" w:sz="4" w:space="0" w:color="auto"/>
              <w:bottom w:val="single" w:sz="4" w:space="0" w:color="auto"/>
              <w:right w:val="single" w:sz="4" w:space="0" w:color="auto"/>
            </w:tcBorders>
            <w:vAlign w:val="center"/>
          </w:tcPr>
          <w:p w14:paraId="627D143A"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2089.76±1560.34</w:t>
            </w:r>
          </w:p>
        </w:tc>
        <w:tc>
          <w:tcPr>
            <w:tcW w:w="758" w:type="pct"/>
            <w:vMerge/>
            <w:tcBorders>
              <w:left w:val="single" w:sz="4" w:space="0" w:color="auto"/>
              <w:right w:val="single" w:sz="4" w:space="0" w:color="auto"/>
            </w:tcBorders>
            <w:vAlign w:val="center"/>
          </w:tcPr>
          <w:p w14:paraId="737DDE1E"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765EA397" w14:textId="77777777" w:rsidTr="006B55EA">
        <w:trPr>
          <w:trHeight w:val="176"/>
          <w:jc w:val="center"/>
        </w:trPr>
        <w:tc>
          <w:tcPr>
            <w:tcW w:w="681" w:type="pct"/>
            <w:vMerge/>
            <w:tcBorders>
              <w:left w:val="single" w:sz="4" w:space="0" w:color="auto"/>
              <w:bottom w:val="single" w:sz="4" w:space="0" w:color="auto"/>
              <w:right w:val="single" w:sz="4" w:space="0" w:color="auto"/>
            </w:tcBorders>
            <w:vAlign w:val="center"/>
          </w:tcPr>
          <w:p w14:paraId="440AFEB2"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74D9C72E"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61BB2BB7"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307.82±85.88</w:t>
            </w:r>
          </w:p>
        </w:tc>
        <w:tc>
          <w:tcPr>
            <w:tcW w:w="758" w:type="pct"/>
            <w:vMerge/>
            <w:tcBorders>
              <w:left w:val="single" w:sz="4" w:space="0" w:color="auto"/>
              <w:bottom w:val="single" w:sz="4" w:space="0" w:color="auto"/>
              <w:right w:val="single" w:sz="4" w:space="0" w:color="auto"/>
            </w:tcBorders>
            <w:vAlign w:val="center"/>
          </w:tcPr>
          <w:p w14:paraId="6488FCFF"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50EC7626" w14:textId="77777777" w:rsidTr="006B55EA">
        <w:trPr>
          <w:trHeight w:val="182"/>
          <w:jc w:val="center"/>
        </w:trPr>
        <w:tc>
          <w:tcPr>
            <w:tcW w:w="681" w:type="pct"/>
            <w:vMerge w:val="restart"/>
            <w:tcBorders>
              <w:top w:val="single" w:sz="4" w:space="0" w:color="auto"/>
              <w:left w:val="single" w:sz="4" w:space="0" w:color="auto"/>
              <w:right w:val="single" w:sz="4" w:space="0" w:color="auto"/>
            </w:tcBorders>
          </w:tcPr>
          <w:p w14:paraId="27B6D9B5"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Uric acid</w:t>
            </w:r>
          </w:p>
        </w:tc>
        <w:tc>
          <w:tcPr>
            <w:tcW w:w="2125" w:type="pct"/>
            <w:tcBorders>
              <w:top w:val="single" w:sz="4" w:space="0" w:color="auto"/>
              <w:left w:val="single" w:sz="4" w:space="0" w:color="auto"/>
              <w:bottom w:val="single" w:sz="4" w:space="0" w:color="auto"/>
              <w:right w:val="single" w:sz="4" w:space="0" w:color="auto"/>
            </w:tcBorders>
            <w:vAlign w:val="center"/>
          </w:tcPr>
          <w:p w14:paraId="2CCAC65A"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7A283D1D"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6.42±2.06</w:t>
            </w:r>
          </w:p>
        </w:tc>
        <w:tc>
          <w:tcPr>
            <w:tcW w:w="758" w:type="pct"/>
            <w:vMerge w:val="restart"/>
            <w:tcBorders>
              <w:top w:val="single" w:sz="4" w:space="0" w:color="auto"/>
              <w:left w:val="single" w:sz="4" w:space="0" w:color="auto"/>
              <w:right w:val="single" w:sz="4" w:space="0" w:color="auto"/>
            </w:tcBorders>
            <w:vAlign w:val="center"/>
          </w:tcPr>
          <w:p w14:paraId="74BD7A3E"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0.1</w:t>
            </w:r>
          </w:p>
          <w:p w14:paraId="24078E57"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lang w:bidi="ar-IQ"/>
              </w:rPr>
              <w:t>(N.S)</w:t>
            </w:r>
          </w:p>
        </w:tc>
      </w:tr>
      <w:tr w:rsidR="00034B73" w:rsidRPr="000B2CB8" w14:paraId="7D609BA8" w14:textId="77777777" w:rsidTr="006B55EA">
        <w:trPr>
          <w:trHeight w:val="112"/>
          <w:jc w:val="center"/>
        </w:trPr>
        <w:tc>
          <w:tcPr>
            <w:tcW w:w="681" w:type="pct"/>
            <w:vMerge/>
            <w:tcBorders>
              <w:left w:val="single" w:sz="4" w:space="0" w:color="auto"/>
              <w:right w:val="single" w:sz="4" w:space="0" w:color="auto"/>
            </w:tcBorders>
            <w:vAlign w:val="center"/>
          </w:tcPr>
          <w:p w14:paraId="1A7D61C7"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571CDE31"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0984E1E9"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5.71±1.98</w:t>
            </w:r>
          </w:p>
        </w:tc>
        <w:tc>
          <w:tcPr>
            <w:tcW w:w="758" w:type="pct"/>
            <w:vMerge/>
            <w:tcBorders>
              <w:left w:val="single" w:sz="4" w:space="0" w:color="auto"/>
              <w:right w:val="single" w:sz="4" w:space="0" w:color="auto"/>
            </w:tcBorders>
            <w:vAlign w:val="center"/>
          </w:tcPr>
          <w:p w14:paraId="49DB4E88"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5357BE6B" w14:textId="77777777" w:rsidTr="006B55EA">
        <w:trPr>
          <w:trHeight w:val="112"/>
          <w:jc w:val="center"/>
        </w:trPr>
        <w:tc>
          <w:tcPr>
            <w:tcW w:w="681" w:type="pct"/>
            <w:vMerge/>
            <w:tcBorders>
              <w:left w:val="single" w:sz="4" w:space="0" w:color="auto"/>
              <w:bottom w:val="single" w:sz="4" w:space="0" w:color="auto"/>
              <w:right w:val="single" w:sz="4" w:space="0" w:color="auto"/>
            </w:tcBorders>
            <w:vAlign w:val="center"/>
          </w:tcPr>
          <w:p w14:paraId="7E407D94"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0B1E9938"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2FE8B5F6"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5.66±2.11</w:t>
            </w:r>
          </w:p>
        </w:tc>
        <w:tc>
          <w:tcPr>
            <w:tcW w:w="758" w:type="pct"/>
            <w:vMerge/>
            <w:tcBorders>
              <w:left w:val="single" w:sz="4" w:space="0" w:color="auto"/>
              <w:bottom w:val="single" w:sz="4" w:space="0" w:color="auto"/>
              <w:right w:val="single" w:sz="4" w:space="0" w:color="auto"/>
            </w:tcBorders>
            <w:vAlign w:val="center"/>
          </w:tcPr>
          <w:p w14:paraId="0D997630"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4845EDB8" w14:textId="77777777" w:rsidTr="006B55EA">
        <w:trPr>
          <w:trHeight w:val="182"/>
          <w:jc w:val="center"/>
        </w:trPr>
        <w:tc>
          <w:tcPr>
            <w:tcW w:w="681" w:type="pct"/>
            <w:vMerge w:val="restart"/>
            <w:tcBorders>
              <w:top w:val="single" w:sz="4" w:space="0" w:color="auto"/>
              <w:left w:val="single" w:sz="4" w:space="0" w:color="auto"/>
              <w:right w:val="single" w:sz="4" w:space="0" w:color="auto"/>
            </w:tcBorders>
          </w:tcPr>
          <w:p w14:paraId="6830E47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p w14:paraId="36B88729"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Urea</w:t>
            </w:r>
          </w:p>
        </w:tc>
        <w:tc>
          <w:tcPr>
            <w:tcW w:w="2125" w:type="pct"/>
            <w:tcBorders>
              <w:top w:val="single" w:sz="4" w:space="0" w:color="auto"/>
              <w:left w:val="single" w:sz="4" w:space="0" w:color="auto"/>
              <w:bottom w:val="single" w:sz="4" w:space="0" w:color="auto"/>
              <w:right w:val="single" w:sz="4" w:space="0" w:color="auto"/>
            </w:tcBorders>
            <w:vAlign w:val="center"/>
          </w:tcPr>
          <w:p w14:paraId="60260E01"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2EF41B99"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51.24±25.06</w:t>
            </w:r>
          </w:p>
        </w:tc>
        <w:tc>
          <w:tcPr>
            <w:tcW w:w="758" w:type="pct"/>
            <w:vMerge w:val="restart"/>
            <w:tcBorders>
              <w:top w:val="single" w:sz="4" w:space="0" w:color="auto"/>
              <w:left w:val="single" w:sz="4" w:space="0" w:color="auto"/>
              <w:right w:val="single" w:sz="4" w:space="0" w:color="auto"/>
            </w:tcBorders>
            <w:vAlign w:val="center"/>
          </w:tcPr>
          <w:p w14:paraId="65D3914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p w14:paraId="007827D5"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0.3</w:t>
            </w:r>
          </w:p>
          <w:p w14:paraId="1C9CD938"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rPr>
              <w:t>(N.S)</w:t>
            </w:r>
          </w:p>
        </w:tc>
      </w:tr>
      <w:tr w:rsidR="00034B73" w:rsidRPr="000B2CB8" w14:paraId="05548957" w14:textId="77777777" w:rsidTr="006B55EA">
        <w:trPr>
          <w:trHeight w:val="112"/>
          <w:jc w:val="center"/>
        </w:trPr>
        <w:tc>
          <w:tcPr>
            <w:tcW w:w="681" w:type="pct"/>
            <w:vMerge/>
            <w:tcBorders>
              <w:left w:val="single" w:sz="4" w:space="0" w:color="auto"/>
              <w:right w:val="single" w:sz="4" w:space="0" w:color="auto"/>
            </w:tcBorders>
            <w:vAlign w:val="center"/>
          </w:tcPr>
          <w:p w14:paraId="3DBD8FE9"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2C46BA8F"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306FBC6B"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49.56±20.91</w:t>
            </w:r>
          </w:p>
        </w:tc>
        <w:tc>
          <w:tcPr>
            <w:tcW w:w="758" w:type="pct"/>
            <w:vMerge/>
            <w:tcBorders>
              <w:left w:val="single" w:sz="4" w:space="0" w:color="auto"/>
              <w:right w:val="single" w:sz="4" w:space="0" w:color="auto"/>
            </w:tcBorders>
            <w:vAlign w:val="center"/>
          </w:tcPr>
          <w:p w14:paraId="499C1EC0"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2651971F" w14:textId="77777777" w:rsidTr="006B55EA">
        <w:trPr>
          <w:trHeight w:val="112"/>
          <w:jc w:val="center"/>
        </w:trPr>
        <w:tc>
          <w:tcPr>
            <w:tcW w:w="681" w:type="pct"/>
            <w:vMerge/>
            <w:tcBorders>
              <w:left w:val="single" w:sz="4" w:space="0" w:color="auto"/>
              <w:right w:val="single" w:sz="4" w:space="0" w:color="auto"/>
            </w:tcBorders>
            <w:vAlign w:val="center"/>
          </w:tcPr>
          <w:p w14:paraId="17257D10"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143B99F8"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4D8E79B0"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43.80±18.95</w:t>
            </w:r>
          </w:p>
        </w:tc>
        <w:tc>
          <w:tcPr>
            <w:tcW w:w="758" w:type="pct"/>
            <w:vMerge/>
            <w:tcBorders>
              <w:left w:val="single" w:sz="4" w:space="0" w:color="auto"/>
              <w:bottom w:val="single" w:sz="4" w:space="0" w:color="auto"/>
              <w:right w:val="single" w:sz="4" w:space="0" w:color="auto"/>
            </w:tcBorders>
            <w:vAlign w:val="center"/>
          </w:tcPr>
          <w:p w14:paraId="6DDF306C"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75F9C155" w14:textId="77777777" w:rsidTr="006B55EA">
        <w:trPr>
          <w:trHeight w:val="182"/>
          <w:jc w:val="center"/>
        </w:trPr>
        <w:tc>
          <w:tcPr>
            <w:tcW w:w="681" w:type="pct"/>
            <w:vMerge w:val="restart"/>
            <w:tcBorders>
              <w:left w:val="single" w:sz="4" w:space="0" w:color="auto"/>
              <w:right w:val="single" w:sz="4" w:space="0" w:color="auto"/>
            </w:tcBorders>
          </w:tcPr>
          <w:p w14:paraId="231F4BB7"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 xml:space="preserve">Creatinine </w:t>
            </w:r>
          </w:p>
        </w:tc>
        <w:tc>
          <w:tcPr>
            <w:tcW w:w="2125" w:type="pct"/>
            <w:tcBorders>
              <w:top w:val="single" w:sz="4" w:space="0" w:color="auto"/>
              <w:left w:val="single" w:sz="4" w:space="0" w:color="auto"/>
              <w:bottom w:val="single" w:sz="4" w:space="0" w:color="auto"/>
              <w:right w:val="single" w:sz="4" w:space="0" w:color="auto"/>
            </w:tcBorders>
            <w:vAlign w:val="center"/>
          </w:tcPr>
          <w:p w14:paraId="02A881F4"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1436" w:type="pct"/>
            <w:tcBorders>
              <w:top w:val="single" w:sz="4" w:space="0" w:color="auto"/>
              <w:left w:val="single" w:sz="4" w:space="0" w:color="auto"/>
              <w:bottom w:val="single" w:sz="4" w:space="0" w:color="auto"/>
              <w:right w:val="single" w:sz="4" w:space="0" w:color="auto"/>
            </w:tcBorders>
            <w:vAlign w:val="center"/>
          </w:tcPr>
          <w:p w14:paraId="158E1249"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1.17±0.9, 1.14±0.54, 1.13±0.59</w:t>
            </w:r>
          </w:p>
        </w:tc>
        <w:tc>
          <w:tcPr>
            <w:tcW w:w="758" w:type="pct"/>
            <w:vMerge w:val="restart"/>
            <w:tcBorders>
              <w:top w:val="single" w:sz="4" w:space="0" w:color="auto"/>
              <w:left w:val="single" w:sz="4" w:space="0" w:color="auto"/>
              <w:right w:val="single" w:sz="4" w:space="0" w:color="auto"/>
            </w:tcBorders>
            <w:vAlign w:val="center"/>
          </w:tcPr>
          <w:p w14:paraId="0660272F"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0.2</w:t>
            </w:r>
          </w:p>
          <w:p w14:paraId="31CBE415"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r w:rsidRPr="000B2CB8">
              <w:rPr>
                <w:rFonts w:ascii="Times New Roman" w:eastAsia="Times New Roman" w:hAnsi="Times New Roman" w:cs="Times New Roman"/>
                <w:color w:val="000000" w:themeColor="text1"/>
                <w:sz w:val="20"/>
                <w:szCs w:val="20"/>
              </w:rPr>
              <w:t>(N.S)</w:t>
            </w:r>
          </w:p>
        </w:tc>
      </w:tr>
      <w:tr w:rsidR="00034B73" w:rsidRPr="000B2CB8" w14:paraId="4FD59BBD" w14:textId="77777777" w:rsidTr="006B55EA">
        <w:trPr>
          <w:trHeight w:val="112"/>
          <w:jc w:val="center"/>
        </w:trPr>
        <w:tc>
          <w:tcPr>
            <w:tcW w:w="681" w:type="pct"/>
            <w:vMerge/>
            <w:tcBorders>
              <w:left w:val="single" w:sz="4" w:space="0" w:color="auto"/>
              <w:right w:val="single" w:sz="4" w:space="0" w:color="auto"/>
            </w:tcBorders>
            <w:vAlign w:val="center"/>
          </w:tcPr>
          <w:p w14:paraId="097AD391"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4813148D"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proofErr w:type="gram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w:t>
            </w:r>
            <w:proofErr w:type="gramEnd"/>
            <w:r w:rsidRPr="000B2CB8">
              <w:rPr>
                <w:rFonts w:ascii="Times New Roman" w:eastAsia="Times New Roman" w:hAnsi="Times New Roman" w:cs="Times New Roman"/>
                <w:color w:val="000000" w:themeColor="text1"/>
                <w:sz w:val="20"/>
                <w:szCs w:val="20"/>
              </w:rPr>
              <w:t xml:space="preserve"> (N=50)</w:t>
            </w:r>
          </w:p>
        </w:tc>
        <w:tc>
          <w:tcPr>
            <w:tcW w:w="1436" w:type="pct"/>
            <w:tcBorders>
              <w:top w:val="single" w:sz="4" w:space="0" w:color="auto"/>
              <w:left w:val="single" w:sz="4" w:space="0" w:color="auto"/>
              <w:bottom w:val="single" w:sz="4" w:space="0" w:color="auto"/>
              <w:right w:val="single" w:sz="4" w:space="0" w:color="auto"/>
            </w:tcBorders>
            <w:vAlign w:val="center"/>
          </w:tcPr>
          <w:p w14:paraId="1F084BE0"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1.14±0.54</w:t>
            </w:r>
          </w:p>
        </w:tc>
        <w:tc>
          <w:tcPr>
            <w:tcW w:w="758" w:type="pct"/>
            <w:vMerge/>
            <w:tcBorders>
              <w:left w:val="single" w:sz="4" w:space="0" w:color="auto"/>
              <w:right w:val="single" w:sz="4" w:space="0" w:color="auto"/>
            </w:tcBorders>
            <w:vAlign w:val="center"/>
          </w:tcPr>
          <w:p w14:paraId="1C53A45F"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r w:rsidR="00034B73" w:rsidRPr="000B2CB8" w14:paraId="2C8BCB92" w14:textId="77777777" w:rsidTr="006B55EA">
        <w:trPr>
          <w:trHeight w:val="112"/>
          <w:jc w:val="center"/>
        </w:trPr>
        <w:tc>
          <w:tcPr>
            <w:tcW w:w="681" w:type="pct"/>
            <w:vMerge/>
            <w:tcBorders>
              <w:left w:val="single" w:sz="4" w:space="0" w:color="auto"/>
              <w:right w:val="single" w:sz="4" w:space="0" w:color="auto"/>
            </w:tcBorders>
            <w:vAlign w:val="center"/>
          </w:tcPr>
          <w:p w14:paraId="50C48996" w14:textId="77777777" w:rsidR="00034B73" w:rsidRPr="000B2CB8" w:rsidRDefault="00034B73" w:rsidP="006B55EA">
            <w:pPr>
              <w:jc w:val="center"/>
              <w:rPr>
                <w:rFonts w:ascii="Times New Roman" w:eastAsia="Times New Roman" w:hAnsi="Times New Roman" w:cs="Times New Roman"/>
                <w:color w:val="000000" w:themeColor="text1"/>
                <w:sz w:val="20"/>
                <w:szCs w:val="20"/>
              </w:rPr>
            </w:pPr>
          </w:p>
        </w:tc>
        <w:tc>
          <w:tcPr>
            <w:tcW w:w="2125" w:type="pct"/>
            <w:tcBorders>
              <w:top w:val="single" w:sz="4" w:space="0" w:color="auto"/>
              <w:left w:val="single" w:sz="4" w:space="0" w:color="auto"/>
              <w:bottom w:val="single" w:sz="4" w:space="0" w:color="auto"/>
              <w:right w:val="single" w:sz="4" w:space="0" w:color="auto"/>
            </w:tcBorders>
            <w:vAlign w:val="center"/>
          </w:tcPr>
          <w:p w14:paraId="1EDF16DC" w14:textId="77777777" w:rsidR="00034B73" w:rsidRPr="000B2CB8" w:rsidRDefault="00034B73" w:rsidP="006B55EA">
            <w:pPr>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 (N=50)</w:t>
            </w:r>
          </w:p>
        </w:tc>
        <w:tc>
          <w:tcPr>
            <w:tcW w:w="1436" w:type="pct"/>
            <w:tcBorders>
              <w:top w:val="single" w:sz="4" w:space="0" w:color="auto"/>
              <w:left w:val="single" w:sz="4" w:space="0" w:color="auto"/>
              <w:bottom w:val="single" w:sz="4" w:space="0" w:color="auto"/>
              <w:right w:val="single" w:sz="4" w:space="0" w:color="auto"/>
            </w:tcBorders>
            <w:vAlign w:val="center"/>
          </w:tcPr>
          <w:p w14:paraId="6F7CC7D1" w14:textId="77777777" w:rsidR="00034B73" w:rsidRPr="000B2CB8" w:rsidRDefault="00034B73"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1.13±0.59</w:t>
            </w:r>
          </w:p>
        </w:tc>
        <w:tc>
          <w:tcPr>
            <w:tcW w:w="758" w:type="pct"/>
            <w:vMerge/>
            <w:tcBorders>
              <w:left w:val="single" w:sz="4" w:space="0" w:color="auto"/>
              <w:right w:val="single" w:sz="4" w:space="0" w:color="auto"/>
            </w:tcBorders>
            <w:vAlign w:val="center"/>
          </w:tcPr>
          <w:p w14:paraId="210A8B39" w14:textId="77777777" w:rsidR="00034B73" w:rsidRPr="000B2CB8" w:rsidRDefault="00034B73" w:rsidP="006B55EA">
            <w:pPr>
              <w:jc w:val="center"/>
              <w:rPr>
                <w:rFonts w:ascii="Times New Roman" w:eastAsia="Times New Roman" w:hAnsi="Times New Roman" w:cs="Times New Roman"/>
                <w:color w:val="000000" w:themeColor="text1"/>
                <w:sz w:val="20"/>
                <w:szCs w:val="20"/>
                <w:lang w:bidi="ar-IQ"/>
              </w:rPr>
            </w:pPr>
          </w:p>
        </w:tc>
      </w:tr>
    </w:tbl>
    <w:p w14:paraId="55C4C36E" w14:textId="77777777" w:rsidR="00034B73" w:rsidRDefault="00034B73" w:rsidP="00034B73">
      <w:pPr>
        <w:autoSpaceDE w:val="0"/>
        <w:autoSpaceDN w:val="0"/>
        <w:adjustRightInd w:val="0"/>
        <w:spacing w:after="120" w:line="276" w:lineRule="auto"/>
        <w:jc w:val="both"/>
        <w:rPr>
          <w:rFonts w:ascii="Times New Roman" w:hAnsi="Times New Roman" w:cs="Times New Roman"/>
          <w:bCs/>
        </w:rPr>
      </w:pPr>
    </w:p>
    <w:p w14:paraId="686CC8B9" w14:textId="4F183E12" w:rsidR="00034B73" w:rsidRDefault="00034B73" w:rsidP="00034B73">
      <w:pPr>
        <w:autoSpaceDE w:val="0"/>
        <w:autoSpaceDN w:val="0"/>
        <w:adjustRightInd w:val="0"/>
        <w:spacing w:after="120" w:line="276" w:lineRule="auto"/>
        <w:jc w:val="both"/>
        <w:rPr>
          <w:rFonts w:ascii="Times New Roman" w:hAnsi="Times New Roman" w:cs="Times New Roman"/>
          <w:bCs/>
        </w:rPr>
      </w:pPr>
      <w:r w:rsidRPr="00034B73">
        <w:rPr>
          <w:rFonts w:ascii="Times New Roman" w:hAnsi="Times New Roman" w:cs="Times New Roman"/>
          <w:bCs/>
        </w:rPr>
        <w:t>(199.74±49.56, 162.24±55.21, 184.82±74.73) , (183.74±101.60, 176.40±97.67, 243.78±206.04) respectively, and these differences ranged from highly significant to significant (P= 0.009, P= 0.04) respectively. On the other hand, the levels of HDL were normal (40-60) mg/dL among the Ischemic and Cardiovascular under control groups with means and (S.Ds) values  (46.64±15.86, 43.84±10.93) respectively versus lower levels of of HDL (&gt; 40  mg/dL) with mean and (S.Ds) (38.68±14.07) among thromboembolism group, with a statistically significant difference (P= 0.01). The results of the current study also showed that the levels of Tn-I were increased among the Ischemic groups (&lt; 0.3 ng/mL) compared to normal levels up to 0.3 ng/mL among the  thromboembolism and cardiovascular under control groups with mean and (S.Ds) values (7.62±7.09, 0.034±0.03, 0.026±0.03) respectively, with highly significant differences (P= 0.001).     It was found that the levels of D-dimer were highly elevated (&lt;400 mg/dL) among patients attacked with Thromboembolism and Covid-19 with means and (S.Ds) values of (2089.76±1560.34), while the levels among the Ischemic and cardiovascular under control group were within the normal range (up to 500 mg/dL), with a highly significant difference (P= 0.01). The results of this table also revealed that the levels of uric acid were within normal among the three groups (&gt; 7.2 mg/dL) with different range of means and (S.Ds), with non-significant differences (P= 0.1). In regard to renal function tests including urea, there was an increase in urea levels among ischemic and Thromboembolism group with means and (SDs) values (51.24±25.06, 49.56±20.91) versus  the cardiovascular under control group (43.80±18.95), with non-significant difference (P=0.3). While the levels of the creatinine were found to be normal among the three groups with different means and (SDs) values (1.17±0.9, 1.14±0.54, 1.13±0.59) respectively, with non-significant differences (P=0.2).</w:t>
      </w:r>
    </w:p>
    <w:p w14:paraId="5FAA5F93" w14:textId="753BE715" w:rsidR="00151DA4" w:rsidRPr="00151DA4" w:rsidRDefault="00151DA4" w:rsidP="00151DA4">
      <w:pPr>
        <w:autoSpaceDE w:val="0"/>
        <w:autoSpaceDN w:val="0"/>
        <w:adjustRightInd w:val="0"/>
        <w:spacing w:after="120" w:line="276" w:lineRule="auto"/>
        <w:jc w:val="both"/>
        <w:rPr>
          <w:rFonts w:ascii="Times New Roman" w:hAnsi="Times New Roman" w:cs="Times New Roman"/>
          <w:bCs/>
        </w:rPr>
      </w:pPr>
      <w:r w:rsidRPr="00151DA4">
        <w:rPr>
          <w:rFonts w:ascii="Times New Roman" w:hAnsi="Times New Roman" w:cs="Times New Roman"/>
          <w:bCs/>
        </w:rPr>
        <w:lastRenderedPageBreak/>
        <w:t xml:space="preserve">Results in Table </w:t>
      </w:r>
      <w:r>
        <w:rPr>
          <w:rFonts w:ascii="Times New Roman" w:hAnsi="Times New Roman" w:cs="Times New Roman"/>
          <w:bCs/>
        </w:rPr>
        <w:t>3</w:t>
      </w:r>
      <w:r w:rsidRPr="00151DA4">
        <w:rPr>
          <w:rFonts w:ascii="Times New Roman" w:hAnsi="Times New Roman" w:cs="Times New Roman"/>
          <w:bCs/>
        </w:rPr>
        <w:t xml:space="preserve"> showed that 21(42.0%) cases out of 50 cases of Ischemic group suffered from hyperuricemia versus 29(58.0%) had normal uric acid, and lower cases of hyperuricemia were found among cardiovascular under control group 11(22.0%) out of 50, while the rest cases 39(78.0%) under the same group were having normal uric acids, and only 15(30.0%) cases out of  50 of Thromboembolism group had hyperuricemia versus 35(70.0%) were having normal uric acid, with non–significant differences (Chi-square= 4.7, P= 0.09).</w:t>
      </w:r>
    </w:p>
    <w:p w14:paraId="126FF8D9" w14:textId="77777777" w:rsidR="00151DA4" w:rsidRPr="00151DA4" w:rsidRDefault="00151DA4" w:rsidP="00151DA4">
      <w:pPr>
        <w:pStyle w:val="Caption"/>
        <w:keepNext/>
      </w:pPr>
      <w:r>
        <w:t xml:space="preserve">Table 3. </w:t>
      </w:r>
      <w:r w:rsidRPr="00151DA4">
        <w:rPr>
          <w:b w:val="0"/>
          <w:bCs w:val="0"/>
        </w:rPr>
        <w:t>Comparison of serum uric acid according to cutoff point among studied groups (N=150).</w:t>
      </w:r>
    </w:p>
    <w:tbl>
      <w:tblPr>
        <w:tblStyle w:val="TableGrid"/>
        <w:tblW w:w="4848" w:type="pct"/>
        <w:jc w:val="center"/>
        <w:tblLook w:val="04A0" w:firstRow="1" w:lastRow="0" w:firstColumn="1" w:lastColumn="0" w:noHBand="0" w:noVBand="1"/>
      </w:tblPr>
      <w:tblGrid>
        <w:gridCol w:w="1494"/>
        <w:gridCol w:w="1011"/>
        <w:gridCol w:w="1567"/>
        <w:gridCol w:w="1844"/>
        <w:gridCol w:w="2352"/>
        <w:gridCol w:w="1286"/>
      </w:tblGrid>
      <w:tr w:rsidR="00151DA4" w:rsidRPr="000B2CB8" w14:paraId="5C9751F7" w14:textId="77777777" w:rsidTr="00151DA4">
        <w:trPr>
          <w:trHeight w:val="218"/>
          <w:jc w:val="center"/>
        </w:trPr>
        <w:tc>
          <w:tcPr>
            <w:tcW w:w="782" w:type="pct"/>
            <w:vMerge w:val="restart"/>
            <w:vAlign w:val="center"/>
          </w:tcPr>
          <w:p w14:paraId="3419F1AE"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Categorial uric acid levels (mg/</w:t>
            </w:r>
            <w:r>
              <w:rPr>
                <w:rFonts w:ascii="Times New Roman" w:eastAsia="Times New Roman" w:hAnsi="Times New Roman" w:cs="Times New Roman"/>
                <w:color w:val="000000" w:themeColor="text1"/>
                <w:sz w:val="20"/>
                <w:szCs w:val="20"/>
              </w:rPr>
              <w:t>dL</w:t>
            </w:r>
            <w:r w:rsidRPr="000B2CB8">
              <w:rPr>
                <w:rFonts w:ascii="Times New Roman" w:eastAsia="Times New Roman" w:hAnsi="Times New Roman" w:cs="Times New Roman"/>
                <w:color w:val="000000" w:themeColor="text1"/>
                <w:sz w:val="20"/>
                <w:szCs w:val="20"/>
              </w:rPr>
              <w:t>)</w:t>
            </w:r>
          </w:p>
        </w:tc>
        <w:tc>
          <w:tcPr>
            <w:tcW w:w="529" w:type="pct"/>
            <w:vMerge w:val="restart"/>
            <w:vAlign w:val="center"/>
          </w:tcPr>
          <w:p w14:paraId="62596884"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N (%)</w:t>
            </w:r>
          </w:p>
        </w:tc>
        <w:tc>
          <w:tcPr>
            <w:tcW w:w="3016" w:type="pct"/>
            <w:gridSpan w:val="3"/>
            <w:vAlign w:val="center"/>
          </w:tcPr>
          <w:p w14:paraId="1B0B74A9"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 xml:space="preserve">Study </w:t>
            </w:r>
            <w:proofErr w:type="gramStart"/>
            <w:r w:rsidRPr="000B2CB8">
              <w:rPr>
                <w:rFonts w:ascii="Times New Roman" w:eastAsia="Times New Roman" w:hAnsi="Times New Roman" w:cs="Times New Roman"/>
                <w:color w:val="000000" w:themeColor="text1"/>
                <w:sz w:val="20"/>
                <w:szCs w:val="20"/>
              </w:rPr>
              <w:t>Groups  (</w:t>
            </w:r>
            <w:proofErr w:type="gramEnd"/>
            <w:r w:rsidRPr="000B2CB8">
              <w:rPr>
                <w:rFonts w:ascii="Times New Roman" w:eastAsia="Times New Roman" w:hAnsi="Times New Roman" w:cs="Times New Roman"/>
                <w:color w:val="000000" w:themeColor="text1"/>
                <w:sz w:val="20"/>
                <w:szCs w:val="20"/>
              </w:rPr>
              <w:t>N=150)</w:t>
            </w:r>
          </w:p>
        </w:tc>
        <w:tc>
          <w:tcPr>
            <w:tcW w:w="673" w:type="pct"/>
            <w:vMerge w:val="restart"/>
          </w:tcPr>
          <w:p w14:paraId="21872FAB"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p>
          <w:p w14:paraId="5A3C7668"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Total</w:t>
            </w:r>
          </w:p>
        </w:tc>
      </w:tr>
      <w:tr w:rsidR="00151DA4" w:rsidRPr="000B2CB8" w14:paraId="4DF6F6F6" w14:textId="77777777" w:rsidTr="00151DA4">
        <w:trPr>
          <w:trHeight w:val="134"/>
          <w:jc w:val="center"/>
        </w:trPr>
        <w:tc>
          <w:tcPr>
            <w:tcW w:w="782" w:type="pct"/>
            <w:vMerge/>
            <w:vAlign w:val="center"/>
          </w:tcPr>
          <w:p w14:paraId="343056EF"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p>
        </w:tc>
        <w:tc>
          <w:tcPr>
            <w:tcW w:w="529" w:type="pct"/>
            <w:vMerge/>
            <w:vAlign w:val="center"/>
          </w:tcPr>
          <w:p w14:paraId="3D83DF5F"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p>
        </w:tc>
        <w:tc>
          <w:tcPr>
            <w:tcW w:w="820" w:type="pct"/>
            <w:vAlign w:val="center"/>
          </w:tcPr>
          <w:p w14:paraId="071D2378"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Ischemic group (N=50)</w:t>
            </w:r>
          </w:p>
        </w:tc>
        <w:tc>
          <w:tcPr>
            <w:tcW w:w="965" w:type="pct"/>
            <w:vAlign w:val="center"/>
          </w:tcPr>
          <w:p w14:paraId="03E671EA"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proofErr w:type="spellStart"/>
            <w:r w:rsidRPr="000B2CB8">
              <w:rPr>
                <w:rFonts w:ascii="Times New Roman" w:eastAsia="Times New Roman" w:hAnsi="Times New Roman" w:cs="Times New Roman"/>
                <w:color w:val="000000" w:themeColor="text1"/>
                <w:sz w:val="20"/>
                <w:szCs w:val="20"/>
              </w:rPr>
              <w:t>Thrombolisim</w:t>
            </w:r>
            <w:proofErr w:type="spellEnd"/>
            <w:r w:rsidRPr="000B2CB8">
              <w:rPr>
                <w:rFonts w:ascii="Times New Roman" w:eastAsia="Times New Roman" w:hAnsi="Times New Roman" w:cs="Times New Roman"/>
                <w:color w:val="000000" w:themeColor="text1"/>
                <w:sz w:val="20"/>
                <w:szCs w:val="20"/>
              </w:rPr>
              <w:t xml:space="preserve"> group </w:t>
            </w:r>
          </w:p>
          <w:p w14:paraId="3AACBDC7"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(N=50)</w:t>
            </w:r>
          </w:p>
        </w:tc>
        <w:tc>
          <w:tcPr>
            <w:tcW w:w="1231" w:type="pct"/>
          </w:tcPr>
          <w:p w14:paraId="0FF955BC"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Cardiovascular under Control</w:t>
            </w:r>
          </w:p>
          <w:p w14:paraId="6B5AC9FD"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(N=50)</w:t>
            </w:r>
          </w:p>
        </w:tc>
        <w:tc>
          <w:tcPr>
            <w:tcW w:w="673" w:type="pct"/>
            <w:vMerge/>
          </w:tcPr>
          <w:p w14:paraId="1503CDB3"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p>
        </w:tc>
      </w:tr>
      <w:tr w:rsidR="00151DA4" w:rsidRPr="000B2CB8" w14:paraId="076481A2" w14:textId="77777777" w:rsidTr="00151DA4">
        <w:trPr>
          <w:trHeight w:val="434"/>
          <w:jc w:val="center"/>
        </w:trPr>
        <w:tc>
          <w:tcPr>
            <w:tcW w:w="782" w:type="pct"/>
          </w:tcPr>
          <w:p w14:paraId="166D1848"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2.5-7.2 Normal</w:t>
            </w:r>
          </w:p>
        </w:tc>
        <w:tc>
          <w:tcPr>
            <w:tcW w:w="529" w:type="pct"/>
            <w:vAlign w:val="center"/>
          </w:tcPr>
          <w:p w14:paraId="72493E9F"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N (%)</w:t>
            </w:r>
          </w:p>
        </w:tc>
        <w:tc>
          <w:tcPr>
            <w:tcW w:w="820" w:type="pct"/>
            <w:vAlign w:val="center"/>
          </w:tcPr>
          <w:p w14:paraId="7EF44A00"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 xml:space="preserve">29 </w:t>
            </w:r>
          </w:p>
          <w:p w14:paraId="7CC7E618"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(58.0%)</w:t>
            </w:r>
          </w:p>
        </w:tc>
        <w:tc>
          <w:tcPr>
            <w:tcW w:w="965" w:type="pct"/>
            <w:vAlign w:val="center"/>
          </w:tcPr>
          <w:p w14:paraId="1BD32FEA"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35</w:t>
            </w:r>
          </w:p>
          <w:p w14:paraId="0FE1EDF7"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(70.0%)</w:t>
            </w:r>
          </w:p>
        </w:tc>
        <w:tc>
          <w:tcPr>
            <w:tcW w:w="1231" w:type="pct"/>
            <w:vAlign w:val="center"/>
          </w:tcPr>
          <w:p w14:paraId="6972DAEB"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39</w:t>
            </w:r>
          </w:p>
          <w:p w14:paraId="7645606E"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(78.0%)</w:t>
            </w:r>
          </w:p>
        </w:tc>
        <w:tc>
          <w:tcPr>
            <w:tcW w:w="673" w:type="pct"/>
            <w:vAlign w:val="center"/>
          </w:tcPr>
          <w:p w14:paraId="5E914DDA"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103 (68.7%)</w:t>
            </w:r>
          </w:p>
        </w:tc>
      </w:tr>
      <w:tr w:rsidR="00151DA4" w:rsidRPr="000B2CB8" w14:paraId="72CE26D7" w14:textId="77777777" w:rsidTr="00151DA4">
        <w:trPr>
          <w:trHeight w:val="434"/>
          <w:jc w:val="center"/>
        </w:trPr>
        <w:tc>
          <w:tcPr>
            <w:tcW w:w="782" w:type="pct"/>
          </w:tcPr>
          <w:p w14:paraId="35CDEABC"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 xml:space="preserve">&gt;7.2 </w:t>
            </w:r>
          </w:p>
          <w:p w14:paraId="37B301B1"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Hyper</w:t>
            </w:r>
          </w:p>
        </w:tc>
        <w:tc>
          <w:tcPr>
            <w:tcW w:w="529" w:type="pct"/>
            <w:vAlign w:val="center"/>
          </w:tcPr>
          <w:p w14:paraId="6954C382"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N (%)</w:t>
            </w:r>
          </w:p>
        </w:tc>
        <w:tc>
          <w:tcPr>
            <w:tcW w:w="820" w:type="pct"/>
            <w:vAlign w:val="center"/>
          </w:tcPr>
          <w:p w14:paraId="73DD34C1"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 xml:space="preserve">21 </w:t>
            </w:r>
          </w:p>
          <w:p w14:paraId="083DCAD9"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(42.0%)</w:t>
            </w:r>
          </w:p>
        </w:tc>
        <w:tc>
          <w:tcPr>
            <w:tcW w:w="965" w:type="pct"/>
            <w:vAlign w:val="center"/>
          </w:tcPr>
          <w:p w14:paraId="459BAEB0"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15</w:t>
            </w:r>
          </w:p>
          <w:p w14:paraId="00897733"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(30.0%)</w:t>
            </w:r>
          </w:p>
        </w:tc>
        <w:tc>
          <w:tcPr>
            <w:tcW w:w="1231" w:type="pct"/>
          </w:tcPr>
          <w:p w14:paraId="34AE8A2A"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11</w:t>
            </w:r>
          </w:p>
          <w:p w14:paraId="26F72E4C"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(22.0%)</w:t>
            </w:r>
          </w:p>
        </w:tc>
        <w:tc>
          <w:tcPr>
            <w:tcW w:w="673" w:type="pct"/>
            <w:vAlign w:val="center"/>
          </w:tcPr>
          <w:p w14:paraId="73B7F20F"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47 (31.3%)</w:t>
            </w:r>
          </w:p>
        </w:tc>
      </w:tr>
      <w:tr w:rsidR="00151DA4" w:rsidRPr="000B2CB8" w14:paraId="6D2927A3" w14:textId="77777777" w:rsidTr="00151DA4">
        <w:trPr>
          <w:trHeight w:val="428"/>
          <w:jc w:val="center"/>
        </w:trPr>
        <w:tc>
          <w:tcPr>
            <w:tcW w:w="782" w:type="pct"/>
          </w:tcPr>
          <w:p w14:paraId="69B4F23A"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Total</w:t>
            </w:r>
          </w:p>
        </w:tc>
        <w:tc>
          <w:tcPr>
            <w:tcW w:w="529" w:type="pct"/>
            <w:vAlign w:val="center"/>
          </w:tcPr>
          <w:p w14:paraId="5DBD791B"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N (%)</w:t>
            </w:r>
          </w:p>
        </w:tc>
        <w:tc>
          <w:tcPr>
            <w:tcW w:w="820" w:type="pct"/>
            <w:vAlign w:val="center"/>
          </w:tcPr>
          <w:p w14:paraId="48DBD913"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 xml:space="preserve">50 </w:t>
            </w:r>
          </w:p>
          <w:p w14:paraId="352386B1"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(100.0%)</w:t>
            </w:r>
          </w:p>
        </w:tc>
        <w:tc>
          <w:tcPr>
            <w:tcW w:w="965" w:type="pct"/>
            <w:vAlign w:val="center"/>
          </w:tcPr>
          <w:p w14:paraId="2EF31782"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50</w:t>
            </w:r>
          </w:p>
          <w:p w14:paraId="3ED99C96"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(100.0%)</w:t>
            </w:r>
          </w:p>
        </w:tc>
        <w:tc>
          <w:tcPr>
            <w:tcW w:w="1231" w:type="pct"/>
          </w:tcPr>
          <w:p w14:paraId="3D58EF79"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50</w:t>
            </w:r>
          </w:p>
          <w:p w14:paraId="17E7CBA7"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(100.0%)</w:t>
            </w:r>
          </w:p>
        </w:tc>
        <w:tc>
          <w:tcPr>
            <w:tcW w:w="673" w:type="pct"/>
            <w:vAlign w:val="center"/>
          </w:tcPr>
          <w:p w14:paraId="327C7F37"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150 (100.0%)</w:t>
            </w:r>
          </w:p>
        </w:tc>
      </w:tr>
      <w:tr w:rsidR="00151DA4" w:rsidRPr="000B2CB8" w14:paraId="34BAFD89" w14:textId="77777777" w:rsidTr="006B55EA">
        <w:trPr>
          <w:trHeight w:val="218"/>
          <w:jc w:val="center"/>
        </w:trPr>
        <w:tc>
          <w:tcPr>
            <w:tcW w:w="782" w:type="pct"/>
          </w:tcPr>
          <w:p w14:paraId="5EE27D11"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Chi-</w:t>
            </w:r>
            <w:proofErr w:type="spellStart"/>
            <w:r w:rsidRPr="000B2CB8">
              <w:rPr>
                <w:rFonts w:ascii="Times New Roman" w:eastAsia="Times New Roman" w:hAnsi="Times New Roman" w:cs="Times New Roman"/>
                <w:color w:val="000000" w:themeColor="text1"/>
                <w:sz w:val="20"/>
                <w:szCs w:val="20"/>
              </w:rPr>
              <w:t>sequare</w:t>
            </w:r>
            <w:proofErr w:type="spellEnd"/>
          </w:p>
        </w:tc>
        <w:tc>
          <w:tcPr>
            <w:tcW w:w="4218" w:type="pct"/>
            <w:gridSpan w:val="5"/>
            <w:vAlign w:val="center"/>
          </w:tcPr>
          <w:p w14:paraId="31E4E1E6"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4.7</w:t>
            </w:r>
          </w:p>
        </w:tc>
      </w:tr>
      <w:tr w:rsidR="00151DA4" w:rsidRPr="000B2CB8" w14:paraId="343FEDF4" w14:textId="77777777" w:rsidTr="006B55EA">
        <w:trPr>
          <w:trHeight w:val="224"/>
          <w:jc w:val="center"/>
        </w:trPr>
        <w:tc>
          <w:tcPr>
            <w:tcW w:w="782" w:type="pct"/>
          </w:tcPr>
          <w:p w14:paraId="049D4777"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P-value</w:t>
            </w:r>
          </w:p>
        </w:tc>
        <w:tc>
          <w:tcPr>
            <w:tcW w:w="4218" w:type="pct"/>
            <w:gridSpan w:val="5"/>
            <w:vAlign w:val="center"/>
          </w:tcPr>
          <w:p w14:paraId="20CB59C7" w14:textId="77777777" w:rsidR="00151DA4" w:rsidRPr="000B2CB8" w:rsidRDefault="00151DA4" w:rsidP="006B55EA">
            <w:pPr>
              <w:autoSpaceDE w:val="0"/>
              <w:autoSpaceDN w:val="0"/>
              <w:adjustRightInd w:val="0"/>
              <w:jc w:val="center"/>
              <w:rPr>
                <w:rFonts w:ascii="Times New Roman" w:eastAsia="Times New Roman" w:hAnsi="Times New Roman" w:cs="Times New Roman"/>
                <w:color w:val="000000" w:themeColor="text1"/>
                <w:sz w:val="20"/>
                <w:szCs w:val="20"/>
              </w:rPr>
            </w:pPr>
            <w:r w:rsidRPr="000B2CB8">
              <w:rPr>
                <w:rFonts w:ascii="Times New Roman" w:eastAsia="Times New Roman" w:hAnsi="Times New Roman" w:cs="Times New Roman"/>
                <w:color w:val="000000" w:themeColor="text1"/>
                <w:sz w:val="20"/>
                <w:szCs w:val="20"/>
              </w:rPr>
              <w:t>0.09 (N.S)</w:t>
            </w:r>
          </w:p>
        </w:tc>
      </w:tr>
    </w:tbl>
    <w:p w14:paraId="2C926868" w14:textId="05B26617" w:rsidR="00240060" w:rsidRDefault="00240060" w:rsidP="007B47CE">
      <w:pPr>
        <w:autoSpaceDE w:val="0"/>
        <w:autoSpaceDN w:val="0"/>
        <w:adjustRightInd w:val="0"/>
        <w:spacing w:after="120" w:line="276" w:lineRule="auto"/>
        <w:jc w:val="both"/>
        <w:rPr>
          <w:rFonts w:ascii="Times New Roman" w:hAnsi="Times New Roman" w:cs="Times New Roman"/>
          <w:b/>
          <w:lang w:val="en-GB"/>
        </w:rPr>
      </w:pPr>
    </w:p>
    <w:p w14:paraId="2F6EEFCE" w14:textId="31E8EFA9" w:rsidR="00151DA4" w:rsidRDefault="00E4544C" w:rsidP="007B47CE">
      <w:pPr>
        <w:autoSpaceDE w:val="0"/>
        <w:autoSpaceDN w:val="0"/>
        <w:adjustRightInd w:val="0"/>
        <w:spacing w:after="120" w:line="276" w:lineRule="auto"/>
        <w:jc w:val="both"/>
        <w:rPr>
          <w:rFonts w:ascii="Times New Roman" w:hAnsi="Times New Roman" w:cs="Times New Roman"/>
          <w:bCs/>
          <w:lang w:val="en-GB"/>
        </w:rPr>
      </w:pPr>
      <w:r w:rsidRPr="00E4544C">
        <w:rPr>
          <w:rFonts w:ascii="Times New Roman" w:hAnsi="Times New Roman" w:cs="Times New Roman"/>
          <w:bCs/>
          <w:lang w:val="en-GB"/>
        </w:rPr>
        <w:t>In logistic regression analysis, the assessment of ischemic risk was based on three models, in crude analysis we assessed the effect of hyperuricemia as predictor of ischemia in unadjusted analysis hyperuricemia considerable as a risk factor in model 1 and 2 with 1.165% and 1.16% respectively, in model 3 after removing most of the confounder there was significant association with 1.36.6% increased risk of ischemic</w:t>
      </w:r>
      <w:r w:rsidRPr="00E4544C">
        <w:rPr>
          <w:rFonts w:ascii="Times New Roman" w:hAnsi="Times New Roman" w:cs="Times New Roman"/>
          <w:bCs/>
          <w:lang w:val="en-GB"/>
        </w:rPr>
        <w:t xml:space="preserve"> </w:t>
      </w:r>
      <w:r w:rsidRPr="00E4544C">
        <w:rPr>
          <w:rFonts w:ascii="Times New Roman" w:hAnsi="Times New Roman" w:cs="Times New Roman"/>
          <w:bCs/>
          <w:lang w:val="en-GB"/>
        </w:rPr>
        <w:t xml:space="preserve">with hyperuricemia which indicate that hyperuricemia is dependent predictor of ischemia, as illustrated in Table </w:t>
      </w:r>
      <w:r w:rsidRPr="00E4544C">
        <w:rPr>
          <w:rFonts w:ascii="Times New Roman" w:hAnsi="Times New Roman" w:cs="Times New Roman"/>
          <w:bCs/>
          <w:cs/>
          <w:lang w:val="en-GB"/>
        </w:rPr>
        <w:t>‎</w:t>
      </w:r>
      <w:r w:rsidRPr="00E4544C">
        <w:rPr>
          <w:rFonts w:ascii="Times New Roman" w:hAnsi="Times New Roman" w:cs="Times New Roman"/>
          <w:bCs/>
          <w:lang w:val="en-GB"/>
        </w:rPr>
        <w:t>4.</w:t>
      </w:r>
      <w:r>
        <w:rPr>
          <w:rFonts w:ascii="Times New Roman" w:hAnsi="Times New Roman" w:cs="Times New Roman"/>
          <w:bCs/>
          <w:lang w:val="en-GB"/>
        </w:rPr>
        <w:t xml:space="preserve"> </w:t>
      </w:r>
      <w:r w:rsidRPr="00E4544C">
        <w:rPr>
          <w:rFonts w:ascii="Times New Roman" w:hAnsi="Times New Roman" w:cs="Times New Roman"/>
          <w:bCs/>
          <w:lang w:val="en-GB"/>
        </w:rPr>
        <w:t xml:space="preserve">In all models including crude analysis, there was no significant association between hyperuricemia and increased risk of thrombotic events, as illustrated in Table </w:t>
      </w:r>
      <w:r w:rsidRPr="00E4544C">
        <w:rPr>
          <w:rFonts w:ascii="Times New Roman" w:hAnsi="Times New Roman" w:cs="Times New Roman"/>
          <w:bCs/>
          <w:cs/>
          <w:lang w:val="en-GB"/>
        </w:rPr>
        <w:t>‎</w:t>
      </w:r>
      <w:r w:rsidRPr="00E4544C">
        <w:rPr>
          <w:rFonts w:ascii="Times New Roman" w:hAnsi="Times New Roman" w:cs="Times New Roman"/>
          <w:bCs/>
          <w:lang w:val="en-GB"/>
        </w:rPr>
        <w:t>4.</w:t>
      </w:r>
    </w:p>
    <w:p w14:paraId="17E36593" w14:textId="5B4B9C21" w:rsidR="002E0228" w:rsidRPr="002E0228" w:rsidRDefault="002E0228" w:rsidP="002E0228">
      <w:pPr>
        <w:pStyle w:val="Caption"/>
        <w:keepNext/>
      </w:pPr>
      <w:r>
        <w:t xml:space="preserve">Table 4. </w:t>
      </w:r>
      <w:r w:rsidRPr="002E0228">
        <w:rPr>
          <w:b w:val="0"/>
          <w:bCs w:val="0"/>
        </w:rPr>
        <w:t>Logistic regression analysis and its 95% confidence intervals for both ischemic and thromboembolic groups according to uric acid levels</w:t>
      </w:r>
      <w:r>
        <w:rPr>
          <w:b w:val="0"/>
          <w:bCs w:val="0"/>
        </w:rPr>
        <w:t>.</w:t>
      </w:r>
    </w:p>
    <w:tbl>
      <w:tblPr>
        <w:tblStyle w:val="GridTable1Light1"/>
        <w:tblW w:w="0" w:type="auto"/>
        <w:jc w:val="center"/>
        <w:tblLook w:val="04A0" w:firstRow="1" w:lastRow="0" w:firstColumn="1" w:lastColumn="0" w:noHBand="0" w:noVBand="1"/>
      </w:tblPr>
      <w:tblGrid>
        <w:gridCol w:w="2052"/>
        <w:gridCol w:w="2112"/>
        <w:gridCol w:w="2132"/>
        <w:gridCol w:w="2113"/>
      </w:tblGrid>
      <w:tr w:rsidR="00E4544C" w:rsidRPr="003C685E" w14:paraId="00FDFEBB" w14:textId="77777777" w:rsidTr="006B55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52" w:type="dxa"/>
          </w:tcPr>
          <w:p w14:paraId="4196DB5C" w14:textId="77777777" w:rsidR="00E4544C" w:rsidRPr="003C685E" w:rsidRDefault="00E4544C" w:rsidP="006B55EA">
            <w:pPr>
              <w:jc w:val="center"/>
              <w:rPr>
                <w:rFonts w:ascii="Times New Roman" w:hAnsi="Times New Roman" w:cs="Times New Roman"/>
                <w:b w:val="0"/>
                <w:bCs w:val="0"/>
                <w:color w:val="000000" w:themeColor="text1"/>
                <w:sz w:val="20"/>
                <w:szCs w:val="20"/>
              </w:rPr>
            </w:pPr>
          </w:p>
        </w:tc>
        <w:tc>
          <w:tcPr>
            <w:tcW w:w="2112" w:type="dxa"/>
          </w:tcPr>
          <w:p w14:paraId="536A381B" w14:textId="77777777" w:rsidR="00E4544C" w:rsidRPr="003C685E" w:rsidRDefault="00E4544C" w:rsidP="006B55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OR</w:t>
            </w:r>
          </w:p>
        </w:tc>
        <w:tc>
          <w:tcPr>
            <w:tcW w:w="2132" w:type="dxa"/>
          </w:tcPr>
          <w:p w14:paraId="2CF73BED" w14:textId="77777777" w:rsidR="00E4544C" w:rsidRPr="003C685E" w:rsidRDefault="00E4544C" w:rsidP="006B55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95%CI</w:t>
            </w:r>
          </w:p>
        </w:tc>
        <w:tc>
          <w:tcPr>
            <w:tcW w:w="2113" w:type="dxa"/>
          </w:tcPr>
          <w:p w14:paraId="23C2BDF4" w14:textId="77777777" w:rsidR="00E4544C" w:rsidRPr="003C685E" w:rsidRDefault="00E4544C" w:rsidP="006B55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p-value</w:t>
            </w:r>
          </w:p>
        </w:tc>
      </w:tr>
      <w:tr w:rsidR="00E4544C" w:rsidRPr="003C685E" w14:paraId="4F4813BC"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8409" w:type="dxa"/>
            <w:gridSpan w:val="4"/>
          </w:tcPr>
          <w:p w14:paraId="2B21EB2E"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Ischemic group risk assessment </w:t>
            </w:r>
          </w:p>
        </w:tc>
      </w:tr>
      <w:tr w:rsidR="00E4544C" w:rsidRPr="003C685E" w14:paraId="4A6BEB0A"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1B29F857"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Crude analysis</w:t>
            </w:r>
          </w:p>
        </w:tc>
        <w:tc>
          <w:tcPr>
            <w:tcW w:w="2112" w:type="dxa"/>
          </w:tcPr>
          <w:p w14:paraId="3428E617"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1.197</w:t>
            </w:r>
          </w:p>
        </w:tc>
        <w:tc>
          <w:tcPr>
            <w:tcW w:w="2132" w:type="dxa"/>
          </w:tcPr>
          <w:p w14:paraId="200FDAF2"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0.983 – 1.457</w:t>
            </w:r>
          </w:p>
        </w:tc>
        <w:tc>
          <w:tcPr>
            <w:tcW w:w="2113" w:type="dxa"/>
          </w:tcPr>
          <w:p w14:paraId="1B4F408C"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0.074</w:t>
            </w:r>
          </w:p>
        </w:tc>
      </w:tr>
      <w:tr w:rsidR="00E4544C" w:rsidRPr="003C685E" w14:paraId="692F42BC"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2924B09B"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   Model 1</w:t>
            </w:r>
          </w:p>
        </w:tc>
        <w:tc>
          <w:tcPr>
            <w:tcW w:w="2112" w:type="dxa"/>
          </w:tcPr>
          <w:p w14:paraId="7F97F934"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1.165</w:t>
            </w:r>
          </w:p>
        </w:tc>
        <w:tc>
          <w:tcPr>
            <w:tcW w:w="2132" w:type="dxa"/>
          </w:tcPr>
          <w:p w14:paraId="04404A5D"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0.951 – 1.428</w:t>
            </w:r>
          </w:p>
        </w:tc>
        <w:tc>
          <w:tcPr>
            <w:tcW w:w="2113" w:type="dxa"/>
          </w:tcPr>
          <w:p w14:paraId="317178AD"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0.141</w:t>
            </w:r>
          </w:p>
        </w:tc>
      </w:tr>
      <w:tr w:rsidR="00E4544C" w:rsidRPr="003C685E" w14:paraId="166061D8"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552027D9"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   Model 2</w:t>
            </w:r>
          </w:p>
        </w:tc>
        <w:tc>
          <w:tcPr>
            <w:tcW w:w="2112" w:type="dxa"/>
          </w:tcPr>
          <w:p w14:paraId="4DA58BD8"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1.16</w:t>
            </w:r>
          </w:p>
        </w:tc>
        <w:tc>
          <w:tcPr>
            <w:tcW w:w="2132" w:type="dxa"/>
          </w:tcPr>
          <w:p w14:paraId="62F2B967"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0.916 – 1.468</w:t>
            </w:r>
          </w:p>
        </w:tc>
        <w:tc>
          <w:tcPr>
            <w:tcW w:w="2113" w:type="dxa"/>
          </w:tcPr>
          <w:p w14:paraId="14BF9FC1"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0.219</w:t>
            </w:r>
          </w:p>
        </w:tc>
      </w:tr>
      <w:tr w:rsidR="00E4544C" w:rsidRPr="003C685E" w14:paraId="62A181BB"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0A964DD3"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   Model 3</w:t>
            </w:r>
          </w:p>
        </w:tc>
        <w:tc>
          <w:tcPr>
            <w:tcW w:w="2112" w:type="dxa"/>
          </w:tcPr>
          <w:p w14:paraId="43344D87"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1.366</w:t>
            </w:r>
          </w:p>
        </w:tc>
        <w:tc>
          <w:tcPr>
            <w:tcW w:w="2132" w:type="dxa"/>
          </w:tcPr>
          <w:p w14:paraId="488EFE86"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1.013 – 1.841</w:t>
            </w:r>
          </w:p>
        </w:tc>
        <w:tc>
          <w:tcPr>
            <w:tcW w:w="2113" w:type="dxa"/>
          </w:tcPr>
          <w:p w14:paraId="30C72349"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0.041</w:t>
            </w:r>
          </w:p>
        </w:tc>
      </w:tr>
      <w:tr w:rsidR="00E4544C" w:rsidRPr="003C685E" w14:paraId="7A281B8F"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8409" w:type="dxa"/>
            <w:gridSpan w:val="4"/>
          </w:tcPr>
          <w:p w14:paraId="68FAD772"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Thromboembolic group risk assessment </w:t>
            </w:r>
          </w:p>
        </w:tc>
      </w:tr>
      <w:tr w:rsidR="00E4544C" w:rsidRPr="003C685E" w14:paraId="1AFC48AA"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6FB63369"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Crude analysis</w:t>
            </w:r>
          </w:p>
        </w:tc>
        <w:tc>
          <w:tcPr>
            <w:tcW w:w="2112" w:type="dxa"/>
          </w:tcPr>
          <w:p w14:paraId="3BDF23BA"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1.013</w:t>
            </w:r>
          </w:p>
        </w:tc>
        <w:tc>
          <w:tcPr>
            <w:tcW w:w="2132" w:type="dxa"/>
          </w:tcPr>
          <w:p w14:paraId="7A6A75A7"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0.835 – 1.229</w:t>
            </w:r>
          </w:p>
        </w:tc>
        <w:tc>
          <w:tcPr>
            <w:tcW w:w="2113" w:type="dxa"/>
          </w:tcPr>
          <w:p w14:paraId="613074C3"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0.898</w:t>
            </w:r>
          </w:p>
        </w:tc>
      </w:tr>
      <w:tr w:rsidR="00E4544C" w:rsidRPr="003C685E" w14:paraId="492515A3"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5B7C63D8"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   Model 1</w:t>
            </w:r>
          </w:p>
        </w:tc>
        <w:tc>
          <w:tcPr>
            <w:tcW w:w="2112" w:type="dxa"/>
          </w:tcPr>
          <w:p w14:paraId="4E0F3740"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1.023</w:t>
            </w:r>
          </w:p>
        </w:tc>
        <w:tc>
          <w:tcPr>
            <w:tcW w:w="2132" w:type="dxa"/>
          </w:tcPr>
          <w:p w14:paraId="38C76DAA"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0.835 – 1.253</w:t>
            </w:r>
          </w:p>
        </w:tc>
        <w:tc>
          <w:tcPr>
            <w:tcW w:w="2113" w:type="dxa"/>
          </w:tcPr>
          <w:p w14:paraId="55C6DD4F"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0.829</w:t>
            </w:r>
          </w:p>
        </w:tc>
      </w:tr>
      <w:tr w:rsidR="00E4544C" w:rsidRPr="003C685E" w14:paraId="6F73338C"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2EBBE44F"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   Model 2</w:t>
            </w:r>
          </w:p>
        </w:tc>
        <w:tc>
          <w:tcPr>
            <w:tcW w:w="2112" w:type="dxa"/>
          </w:tcPr>
          <w:p w14:paraId="79327939"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0.908</w:t>
            </w:r>
          </w:p>
        </w:tc>
        <w:tc>
          <w:tcPr>
            <w:tcW w:w="2132" w:type="dxa"/>
          </w:tcPr>
          <w:p w14:paraId="20616756"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0.712 – 1.159</w:t>
            </w:r>
          </w:p>
        </w:tc>
        <w:tc>
          <w:tcPr>
            <w:tcW w:w="2113" w:type="dxa"/>
          </w:tcPr>
          <w:p w14:paraId="53C609CF"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0.440</w:t>
            </w:r>
          </w:p>
        </w:tc>
      </w:tr>
      <w:tr w:rsidR="00E4544C" w:rsidRPr="003C685E" w14:paraId="3034141A"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2052" w:type="dxa"/>
          </w:tcPr>
          <w:p w14:paraId="318D6A89"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   Model 3</w:t>
            </w:r>
          </w:p>
        </w:tc>
        <w:tc>
          <w:tcPr>
            <w:tcW w:w="2112" w:type="dxa"/>
          </w:tcPr>
          <w:p w14:paraId="193CDA2C"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0.846</w:t>
            </w:r>
          </w:p>
        </w:tc>
        <w:tc>
          <w:tcPr>
            <w:tcW w:w="2132" w:type="dxa"/>
          </w:tcPr>
          <w:p w14:paraId="4E8A79A3"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0.636 – 1.129</w:t>
            </w:r>
          </w:p>
        </w:tc>
        <w:tc>
          <w:tcPr>
            <w:tcW w:w="2113" w:type="dxa"/>
          </w:tcPr>
          <w:p w14:paraId="31695023" w14:textId="77777777" w:rsidR="00E4544C" w:rsidRPr="003C685E" w:rsidRDefault="00E4544C" w:rsidP="006B55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3C685E">
              <w:rPr>
                <w:rFonts w:ascii="Times New Roman" w:hAnsi="Times New Roman" w:cs="Times New Roman"/>
                <w:color w:val="000000" w:themeColor="text1"/>
                <w:sz w:val="20"/>
                <w:szCs w:val="20"/>
              </w:rPr>
              <w:t>0.256</w:t>
            </w:r>
          </w:p>
        </w:tc>
      </w:tr>
      <w:tr w:rsidR="00E4544C" w:rsidRPr="003C685E" w14:paraId="3A8373F2" w14:textId="77777777" w:rsidTr="006B55EA">
        <w:trPr>
          <w:jc w:val="center"/>
        </w:trPr>
        <w:tc>
          <w:tcPr>
            <w:cnfStyle w:val="001000000000" w:firstRow="0" w:lastRow="0" w:firstColumn="1" w:lastColumn="0" w:oddVBand="0" w:evenVBand="0" w:oddHBand="0" w:evenHBand="0" w:firstRowFirstColumn="0" w:firstRowLastColumn="0" w:lastRowFirstColumn="0" w:lastRowLastColumn="0"/>
            <w:tcW w:w="8409" w:type="dxa"/>
            <w:gridSpan w:val="4"/>
          </w:tcPr>
          <w:p w14:paraId="58F3E490"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Model 1: age and gender</w:t>
            </w:r>
          </w:p>
          <w:p w14:paraId="1F944E38"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Model 2: Model 1 + BMI, urea, and creatinine</w:t>
            </w:r>
          </w:p>
          <w:p w14:paraId="17896F05"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Model 3: Model 2 + H</w:t>
            </w:r>
            <w:r>
              <w:rPr>
                <w:rFonts w:ascii="Times New Roman" w:hAnsi="Times New Roman" w:cs="Times New Roman"/>
                <w:b w:val="0"/>
                <w:bCs w:val="0"/>
                <w:color w:val="000000" w:themeColor="text1"/>
                <w:sz w:val="20"/>
                <w:szCs w:val="20"/>
              </w:rPr>
              <w:t>DL</w:t>
            </w:r>
            <w:r w:rsidRPr="003C685E">
              <w:rPr>
                <w:rFonts w:ascii="Times New Roman" w:hAnsi="Times New Roman" w:cs="Times New Roman"/>
                <w:b w:val="0"/>
                <w:bCs w:val="0"/>
                <w:color w:val="000000" w:themeColor="text1"/>
                <w:sz w:val="20"/>
                <w:szCs w:val="20"/>
              </w:rPr>
              <w:t>, TG, cholesterol, glucose, D-Dimer (were excluded in the second group)</w:t>
            </w:r>
          </w:p>
          <w:p w14:paraId="0E74E0E5" w14:textId="77777777" w:rsidR="00E4544C" w:rsidRPr="003C685E" w:rsidRDefault="00E4544C" w:rsidP="006B55EA">
            <w:pPr>
              <w:jc w:val="center"/>
              <w:rPr>
                <w:rFonts w:ascii="Times New Roman" w:hAnsi="Times New Roman" w:cs="Times New Roman"/>
                <w:b w:val="0"/>
                <w:bCs w:val="0"/>
                <w:color w:val="000000" w:themeColor="text1"/>
                <w:sz w:val="20"/>
                <w:szCs w:val="20"/>
              </w:rPr>
            </w:pPr>
            <w:r w:rsidRPr="003C685E">
              <w:rPr>
                <w:rFonts w:ascii="Times New Roman" w:hAnsi="Times New Roman" w:cs="Times New Roman"/>
                <w:b w:val="0"/>
                <w:bCs w:val="0"/>
                <w:color w:val="000000" w:themeColor="text1"/>
                <w:sz w:val="20"/>
                <w:szCs w:val="20"/>
              </w:rPr>
              <w:t xml:space="preserve">OR: odd ratio, CI: confidence interval </w:t>
            </w:r>
          </w:p>
          <w:p w14:paraId="34E46F02" w14:textId="77777777" w:rsidR="00E4544C" w:rsidRPr="003C685E" w:rsidRDefault="00E4544C" w:rsidP="006B55EA">
            <w:pPr>
              <w:jc w:val="center"/>
              <w:rPr>
                <w:rFonts w:ascii="Times New Roman" w:hAnsi="Times New Roman" w:cs="Times New Roman"/>
                <w:b w:val="0"/>
                <w:bCs w:val="0"/>
                <w:color w:val="000000" w:themeColor="text1"/>
                <w:sz w:val="20"/>
                <w:szCs w:val="20"/>
              </w:rPr>
            </w:pPr>
          </w:p>
        </w:tc>
      </w:tr>
    </w:tbl>
    <w:p w14:paraId="503F016F" w14:textId="77777777" w:rsidR="00E4544C" w:rsidRPr="00E4544C" w:rsidRDefault="00E4544C" w:rsidP="007B47CE">
      <w:pPr>
        <w:autoSpaceDE w:val="0"/>
        <w:autoSpaceDN w:val="0"/>
        <w:adjustRightInd w:val="0"/>
        <w:spacing w:after="120" w:line="276" w:lineRule="auto"/>
        <w:jc w:val="both"/>
        <w:rPr>
          <w:rFonts w:ascii="Times New Roman" w:hAnsi="Times New Roman" w:cs="Times New Roman"/>
          <w:bCs/>
        </w:rPr>
      </w:pPr>
    </w:p>
    <w:p w14:paraId="049A3F76" w14:textId="2A5CA320" w:rsidR="007B47CE" w:rsidRPr="00A87B23" w:rsidRDefault="007B47CE" w:rsidP="007B47CE">
      <w:pPr>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b/>
          <w:lang w:val="en-GB"/>
        </w:rPr>
        <w:t xml:space="preserve">3.2. </w:t>
      </w:r>
      <w:r w:rsidR="002E0228">
        <w:rPr>
          <w:rFonts w:ascii="Times New Roman" w:hAnsi="Times New Roman" w:cs="Times New Roman"/>
          <w:b/>
          <w:lang w:val="en-GB"/>
        </w:rPr>
        <w:t>Discussion</w:t>
      </w:r>
    </w:p>
    <w:p w14:paraId="01A3D27D" w14:textId="6D314DD5" w:rsidR="00E07BAB" w:rsidRDefault="00E07BAB" w:rsidP="00E07BAB">
      <w:pPr>
        <w:autoSpaceDE w:val="0"/>
        <w:autoSpaceDN w:val="0"/>
        <w:adjustRightInd w:val="0"/>
        <w:spacing w:after="0"/>
        <w:jc w:val="both"/>
        <w:rPr>
          <w:rFonts w:ascii="Times New Roman" w:hAnsi="Times New Roman" w:cs="Times New Roman"/>
        </w:rPr>
      </w:pPr>
      <w:r w:rsidRPr="00E07BAB">
        <w:rPr>
          <w:rFonts w:ascii="Times New Roman" w:hAnsi="Times New Roman" w:cs="Times New Roman"/>
        </w:rPr>
        <w:t>The average age of the patients evaluated</w:t>
      </w:r>
      <w:r>
        <w:rPr>
          <w:rFonts w:ascii="Times New Roman" w:hAnsi="Times New Roman" w:cs="Times New Roman"/>
        </w:rPr>
        <w:t xml:space="preserve"> of our study</w:t>
      </w:r>
      <w:r w:rsidRPr="00E07BAB">
        <w:rPr>
          <w:rFonts w:ascii="Times New Roman" w:hAnsi="Times New Roman" w:cs="Times New Roman"/>
        </w:rPr>
        <w:t xml:space="preserve"> was found to be between the fifth and sixth decades. There were more instances of thromboembolism in patients with Covid-Positive in women than men, which further supports the notion that males are more likely to suffer from ischemic heart disease and have their cardiovascular systems under control.</w:t>
      </w:r>
      <w:r>
        <w:rPr>
          <w:rFonts w:ascii="Times New Roman" w:hAnsi="Times New Roman" w:cs="Times New Roman"/>
        </w:rPr>
        <w:t xml:space="preserve"> </w:t>
      </w:r>
    </w:p>
    <w:p w14:paraId="3516B13A" w14:textId="686CC46A" w:rsidR="00E07BAB" w:rsidRDefault="00E07BAB" w:rsidP="003039C1">
      <w:pPr>
        <w:autoSpaceDE w:val="0"/>
        <w:autoSpaceDN w:val="0"/>
        <w:adjustRightInd w:val="0"/>
        <w:spacing w:after="0"/>
        <w:jc w:val="both"/>
        <w:rPr>
          <w:rFonts w:ascii="Times New Roman" w:hAnsi="Times New Roman" w:cs="Times New Roman"/>
        </w:rPr>
      </w:pPr>
      <w:r w:rsidRPr="00E07BAB">
        <w:rPr>
          <w:rFonts w:ascii="Times New Roman" w:hAnsi="Times New Roman" w:cs="Times New Roman"/>
        </w:rPr>
        <w:lastRenderedPageBreak/>
        <w:t xml:space="preserve">AHA reports that the incidence of cardiovascular disease (CVD) among men and women in the United States is approximately 40% between the ages of 40 and 59, and approximately 75% between the ages of 60 and 79 </w:t>
      </w:r>
      <w:r w:rsidR="00DC5797">
        <w:rPr>
          <w:rFonts w:ascii="Times New Roman" w:hAnsi="Times New Roman" w:cs="Times New Roman"/>
        </w:rPr>
        <w:t>[12]</w:t>
      </w:r>
      <w:r w:rsidRPr="00E07BAB">
        <w:rPr>
          <w:rFonts w:ascii="Times New Roman" w:hAnsi="Times New Roman" w:cs="Times New Roman"/>
        </w:rPr>
        <w:t>. Most cardiovascular disease (CVD) fatalities occur between the ages of 60 and 79, according to the AHA's 2019 Heart Disease and Stroke Statistical Update</w:t>
      </w:r>
      <w:r w:rsidR="003039C1">
        <w:rPr>
          <w:rFonts w:ascii="Times New Roman" w:hAnsi="Times New Roman" w:cs="Times New Roman"/>
        </w:rPr>
        <w:t xml:space="preserve">, </w:t>
      </w:r>
      <w:r w:rsidR="003039C1" w:rsidRPr="003039C1">
        <w:rPr>
          <w:rFonts w:ascii="Times New Roman" w:hAnsi="Times New Roman" w:cs="Times New Roman"/>
        </w:rPr>
        <w:t>which is conduct with our study</w:t>
      </w:r>
      <w:r w:rsidRPr="00E07BAB">
        <w:rPr>
          <w:rFonts w:ascii="Times New Roman" w:hAnsi="Times New Roman" w:cs="Times New Roman"/>
        </w:rPr>
        <w:t xml:space="preserve"> </w:t>
      </w:r>
      <w:r w:rsidR="00DC5797">
        <w:rPr>
          <w:rFonts w:ascii="Times New Roman" w:hAnsi="Times New Roman" w:cs="Times New Roman"/>
        </w:rPr>
        <w:t>[</w:t>
      </w:r>
      <w:r w:rsidR="00A53599">
        <w:rPr>
          <w:rFonts w:ascii="Times New Roman" w:hAnsi="Times New Roman" w:cs="Times New Roman"/>
        </w:rPr>
        <w:t>11</w:t>
      </w:r>
      <w:r w:rsidR="00DC5797">
        <w:rPr>
          <w:rFonts w:ascii="Times New Roman" w:hAnsi="Times New Roman" w:cs="Times New Roman"/>
        </w:rPr>
        <w:t>,1</w:t>
      </w:r>
      <w:r w:rsidR="00A53599">
        <w:rPr>
          <w:rFonts w:ascii="Times New Roman" w:hAnsi="Times New Roman" w:cs="Times New Roman"/>
        </w:rPr>
        <w:t>2</w:t>
      </w:r>
      <w:r w:rsidR="00DC5797">
        <w:rPr>
          <w:rFonts w:ascii="Times New Roman" w:hAnsi="Times New Roman" w:cs="Times New Roman"/>
        </w:rPr>
        <w:t>]</w:t>
      </w:r>
      <w:r w:rsidRPr="00E07BAB">
        <w:rPr>
          <w:rFonts w:ascii="Times New Roman" w:hAnsi="Times New Roman" w:cs="Times New Roman"/>
        </w:rPr>
        <w:t>.</w:t>
      </w:r>
    </w:p>
    <w:p w14:paraId="2F1B7CB9" w14:textId="54417ECA" w:rsidR="00F61492" w:rsidRDefault="00F61492" w:rsidP="00F61492">
      <w:pPr>
        <w:autoSpaceDE w:val="0"/>
        <w:autoSpaceDN w:val="0"/>
        <w:adjustRightInd w:val="0"/>
        <w:spacing w:after="0"/>
        <w:jc w:val="both"/>
        <w:rPr>
          <w:rFonts w:ascii="Times New Roman" w:hAnsi="Times New Roman" w:cs="Times New Roman"/>
        </w:rPr>
      </w:pPr>
      <w:r w:rsidRPr="00F61492">
        <w:rPr>
          <w:rFonts w:ascii="Times New Roman" w:hAnsi="Times New Roman" w:cs="Times New Roman"/>
        </w:rPr>
        <w:t>In the three groups we analyzed, thromboembolism, ischemic heart disease, and cardiovascular disease under control, we found an increase in glucose, cholesterol, triglycerides, troponin, and urea, while HDL levels were normal in the aforementioned categories and dropped in the thromboembolism cases.</w:t>
      </w:r>
    </w:p>
    <w:p w14:paraId="0900D01D" w14:textId="77777777" w:rsidR="003039C1" w:rsidRPr="003039C1" w:rsidRDefault="003039C1" w:rsidP="003039C1">
      <w:pPr>
        <w:autoSpaceDE w:val="0"/>
        <w:autoSpaceDN w:val="0"/>
        <w:adjustRightInd w:val="0"/>
        <w:spacing w:after="0"/>
        <w:jc w:val="both"/>
        <w:rPr>
          <w:rFonts w:ascii="Times New Roman" w:hAnsi="Times New Roman" w:cs="Times New Roman"/>
        </w:rPr>
      </w:pPr>
      <w:r w:rsidRPr="003039C1">
        <w:rPr>
          <w:rFonts w:ascii="Times New Roman" w:hAnsi="Times New Roman" w:cs="Times New Roman"/>
        </w:rPr>
        <w:t>In thromboembolism, D-dimer levels were shown to be elevated, but they were unaltered in CVD and ischemic heart disease. However, creatinine levels were found to be within the normal range in all three groups investigated.</w:t>
      </w:r>
    </w:p>
    <w:p w14:paraId="0CE9C558" w14:textId="0D56C0CA" w:rsidR="00B4576F" w:rsidRDefault="006920AD" w:rsidP="006920AD">
      <w:pPr>
        <w:autoSpaceDE w:val="0"/>
        <w:autoSpaceDN w:val="0"/>
        <w:adjustRightInd w:val="0"/>
        <w:spacing w:after="0"/>
        <w:jc w:val="both"/>
        <w:rPr>
          <w:rFonts w:ascii="Times New Roman" w:hAnsi="Times New Roman" w:cs="Times New Roman"/>
        </w:rPr>
      </w:pPr>
      <w:r w:rsidRPr="006920AD">
        <w:rPr>
          <w:rFonts w:ascii="Times New Roman" w:hAnsi="Times New Roman" w:cs="Times New Roman"/>
        </w:rPr>
        <w:t xml:space="preserve">T2DM patients have a greater risk of cardiovascular disease (CVD) and a still remarkable cardiovascular mortality, despite advancements in many risk factors targeting T2DM patients </w:t>
      </w:r>
      <w:r>
        <w:rPr>
          <w:rFonts w:ascii="Times New Roman" w:hAnsi="Times New Roman" w:cs="Times New Roman"/>
        </w:rPr>
        <w:t>[1</w:t>
      </w:r>
      <w:r w:rsidR="00A53599">
        <w:rPr>
          <w:rFonts w:ascii="Times New Roman" w:hAnsi="Times New Roman" w:cs="Times New Roman"/>
        </w:rPr>
        <w:t>3</w:t>
      </w:r>
      <w:r>
        <w:rPr>
          <w:rFonts w:ascii="Times New Roman" w:hAnsi="Times New Roman" w:cs="Times New Roman"/>
        </w:rPr>
        <w:t>]</w:t>
      </w:r>
      <w:r w:rsidRPr="006920AD">
        <w:rPr>
          <w:rFonts w:ascii="Times New Roman" w:hAnsi="Times New Roman" w:cs="Times New Roman"/>
        </w:rPr>
        <w:t>.</w:t>
      </w:r>
      <w:r>
        <w:rPr>
          <w:rFonts w:ascii="Times New Roman" w:hAnsi="Times New Roman" w:cs="Times New Roman"/>
        </w:rPr>
        <w:t xml:space="preserve"> </w:t>
      </w:r>
      <w:r w:rsidRPr="006920AD">
        <w:rPr>
          <w:rFonts w:ascii="Times New Roman" w:hAnsi="Times New Roman" w:cs="Times New Roman"/>
        </w:rPr>
        <w:t>People with diabetes have a two to three times greater risk of developing cardiovascular disease and mortality than those without the condition. People with diabetes over the age of 40 have a shortened life expectancy of 6–7 years, and this decrease is compounded in individuals with chronic cardiovascular disease</w:t>
      </w:r>
      <w:r w:rsidR="00B4576F">
        <w:rPr>
          <w:rFonts w:ascii="Times New Roman" w:hAnsi="Times New Roman" w:cs="Times New Roman"/>
        </w:rPr>
        <w:t>, which is identical to our study finding</w:t>
      </w:r>
      <w:r>
        <w:rPr>
          <w:rFonts w:ascii="Times New Roman" w:hAnsi="Times New Roman" w:cs="Times New Roman"/>
        </w:rPr>
        <w:t xml:space="preserve"> [1</w:t>
      </w:r>
      <w:r w:rsidR="00A53599">
        <w:rPr>
          <w:rFonts w:ascii="Times New Roman" w:hAnsi="Times New Roman" w:cs="Times New Roman"/>
        </w:rPr>
        <w:t>4</w:t>
      </w:r>
      <w:r>
        <w:rPr>
          <w:rFonts w:ascii="Times New Roman" w:hAnsi="Times New Roman" w:cs="Times New Roman"/>
        </w:rPr>
        <w:t xml:space="preserve">]. </w:t>
      </w:r>
    </w:p>
    <w:p w14:paraId="2CA0C031" w14:textId="0DD60574" w:rsidR="002D085B" w:rsidRDefault="00B4576F" w:rsidP="005B366F">
      <w:pPr>
        <w:autoSpaceDE w:val="0"/>
        <w:autoSpaceDN w:val="0"/>
        <w:adjustRightInd w:val="0"/>
        <w:spacing w:after="0"/>
        <w:jc w:val="both"/>
        <w:rPr>
          <w:rFonts w:ascii="Times New Roman" w:hAnsi="Times New Roman" w:cs="Times New Roman"/>
        </w:rPr>
      </w:pPr>
      <w:r w:rsidRPr="00B4576F">
        <w:rPr>
          <w:rFonts w:ascii="Times New Roman" w:hAnsi="Times New Roman" w:cs="Times New Roman"/>
        </w:rPr>
        <w:t>Dyslipidemia is now well recognized as a risk factor for heart disease (CVD). Lowering LDL-C levels with statins reduces one's chance of developing a life-threatening cardiovascular illness</w:t>
      </w:r>
      <w:r>
        <w:rPr>
          <w:rFonts w:ascii="Times New Roman" w:hAnsi="Times New Roman" w:cs="Times New Roman"/>
        </w:rPr>
        <w:t xml:space="preserve"> [1</w:t>
      </w:r>
      <w:r w:rsidR="00A53599">
        <w:rPr>
          <w:rFonts w:ascii="Times New Roman" w:hAnsi="Times New Roman" w:cs="Times New Roman"/>
        </w:rPr>
        <w:t>5</w:t>
      </w:r>
      <w:r>
        <w:rPr>
          <w:rFonts w:ascii="Times New Roman" w:hAnsi="Times New Roman" w:cs="Times New Roman"/>
        </w:rPr>
        <w:t>].</w:t>
      </w:r>
      <w:r w:rsidR="005B366F">
        <w:rPr>
          <w:rFonts w:ascii="Times New Roman" w:hAnsi="Times New Roman" w:cs="Times New Roman"/>
        </w:rPr>
        <w:t xml:space="preserve"> </w:t>
      </w:r>
      <w:r w:rsidR="005B366F" w:rsidRPr="005B366F">
        <w:rPr>
          <w:rFonts w:ascii="Times New Roman" w:hAnsi="Times New Roman" w:cs="Times New Roman"/>
        </w:rPr>
        <w:t>In epidemiological studies, elevated triglyceride levels have been related to a greater risk of cardiovascular disease (CV)</w:t>
      </w:r>
      <w:r w:rsidR="005B366F">
        <w:rPr>
          <w:rFonts w:ascii="Times New Roman" w:hAnsi="Times New Roman" w:cs="Times New Roman"/>
        </w:rPr>
        <w:t xml:space="preserve"> [1</w:t>
      </w:r>
      <w:r w:rsidR="00A53599">
        <w:rPr>
          <w:rFonts w:ascii="Times New Roman" w:hAnsi="Times New Roman" w:cs="Times New Roman"/>
        </w:rPr>
        <w:t>6</w:t>
      </w:r>
      <w:r w:rsidR="005B366F">
        <w:rPr>
          <w:rFonts w:ascii="Times New Roman" w:hAnsi="Times New Roman" w:cs="Times New Roman"/>
        </w:rPr>
        <w:t xml:space="preserve">]. </w:t>
      </w:r>
      <w:r w:rsidR="005B366F" w:rsidRPr="005B366F">
        <w:rPr>
          <w:rFonts w:ascii="Times New Roman" w:hAnsi="Times New Roman" w:cs="Times New Roman"/>
        </w:rPr>
        <w:t xml:space="preserve">According to scientific investigations, persons with high triglyceride levels are less likely to develop cardiovascular disease (CVD) </w:t>
      </w:r>
      <w:r w:rsidR="005B366F">
        <w:rPr>
          <w:rFonts w:ascii="Times New Roman" w:hAnsi="Times New Roman" w:cs="Times New Roman"/>
        </w:rPr>
        <w:t>[1</w:t>
      </w:r>
      <w:r w:rsidR="00A53599">
        <w:rPr>
          <w:rFonts w:ascii="Times New Roman" w:hAnsi="Times New Roman" w:cs="Times New Roman"/>
        </w:rPr>
        <w:t>7</w:t>
      </w:r>
      <w:r w:rsidR="005B366F">
        <w:rPr>
          <w:rFonts w:ascii="Times New Roman" w:hAnsi="Times New Roman" w:cs="Times New Roman"/>
        </w:rPr>
        <w:t>].</w:t>
      </w:r>
    </w:p>
    <w:p w14:paraId="7C83B3B0" w14:textId="2ECDFD03" w:rsidR="00B71000" w:rsidRDefault="00B71000" w:rsidP="00B71000">
      <w:pPr>
        <w:autoSpaceDE w:val="0"/>
        <w:autoSpaceDN w:val="0"/>
        <w:adjustRightInd w:val="0"/>
        <w:spacing w:after="0"/>
        <w:jc w:val="both"/>
        <w:rPr>
          <w:rFonts w:ascii="Times New Roman" w:hAnsi="Times New Roman" w:cs="Times New Roman"/>
        </w:rPr>
      </w:pPr>
      <w:r w:rsidRPr="00B71000">
        <w:rPr>
          <w:rFonts w:ascii="Times New Roman" w:hAnsi="Times New Roman" w:cs="Times New Roman"/>
        </w:rPr>
        <w:t>Biochemical indicators such as glucose, cholesterol, triglyceride</w:t>
      </w:r>
      <w:r>
        <w:rPr>
          <w:rFonts w:ascii="Times New Roman" w:hAnsi="Times New Roman" w:cs="Times New Roman"/>
        </w:rPr>
        <w:t>, D-Dimer</w:t>
      </w:r>
      <w:r w:rsidRPr="00B71000">
        <w:rPr>
          <w:rFonts w:ascii="Times New Roman" w:hAnsi="Times New Roman" w:cs="Times New Roman"/>
        </w:rPr>
        <w:t xml:space="preserve"> and T</w:t>
      </w:r>
      <w:r>
        <w:rPr>
          <w:rFonts w:ascii="Times New Roman" w:hAnsi="Times New Roman" w:cs="Times New Roman"/>
        </w:rPr>
        <w:t>roponin</w:t>
      </w:r>
      <w:r w:rsidRPr="00B71000">
        <w:rPr>
          <w:rFonts w:ascii="Times New Roman" w:hAnsi="Times New Roman" w:cs="Times New Roman"/>
        </w:rPr>
        <w:t xml:space="preserve"> are important biomarkers for the identification of cardiovascular diseases, according to our study</w:t>
      </w:r>
      <w:r>
        <w:rPr>
          <w:rFonts w:ascii="Times New Roman" w:hAnsi="Times New Roman" w:cs="Times New Roman"/>
        </w:rPr>
        <w:t>.</w:t>
      </w:r>
    </w:p>
    <w:p w14:paraId="6DB7BDDD" w14:textId="75A37A69" w:rsidR="002D085B" w:rsidRDefault="00B4576F" w:rsidP="002D085B">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002D085B" w:rsidRPr="002D085B">
        <w:rPr>
          <w:rFonts w:ascii="Times New Roman" w:hAnsi="Times New Roman" w:cs="Times New Roman"/>
        </w:rPr>
        <w:t xml:space="preserve">fibrin breakdown product that has been cross-linked Solvent degradation generates D-dimer, which is a soluble by-product. D-dimer levels are associated with thrombosis-related illnesses </w:t>
      </w:r>
      <w:r w:rsidR="00CB4646">
        <w:rPr>
          <w:rFonts w:ascii="Times New Roman" w:hAnsi="Times New Roman" w:cs="Times New Roman"/>
        </w:rPr>
        <w:t>[1</w:t>
      </w:r>
      <w:r w:rsidR="00A53599">
        <w:rPr>
          <w:rFonts w:ascii="Times New Roman" w:hAnsi="Times New Roman" w:cs="Times New Roman"/>
        </w:rPr>
        <w:t>8</w:t>
      </w:r>
      <w:r w:rsidR="00CB4646">
        <w:rPr>
          <w:rFonts w:ascii="Times New Roman" w:hAnsi="Times New Roman" w:cs="Times New Roman"/>
        </w:rPr>
        <w:t>]</w:t>
      </w:r>
      <w:r w:rsidR="002D085B" w:rsidRPr="002D085B">
        <w:rPr>
          <w:rFonts w:ascii="Times New Roman" w:hAnsi="Times New Roman" w:cs="Times New Roman"/>
        </w:rPr>
        <w:t xml:space="preserve">. D-dimer is often used to diagnose and monitor thrombosis, pulmonary embolism, and blood clots </w:t>
      </w:r>
      <w:r w:rsidR="00CB4646">
        <w:rPr>
          <w:rFonts w:ascii="Times New Roman" w:hAnsi="Times New Roman" w:cs="Times New Roman"/>
        </w:rPr>
        <w:t>[</w:t>
      </w:r>
      <w:r w:rsidR="00A53599">
        <w:rPr>
          <w:rFonts w:ascii="Times New Roman" w:hAnsi="Times New Roman" w:cs="Times New Roman"/>
        </w:rPr>
        <w:t>19</w:t>
      </w:r>
      <w:r w:rsidR="00CB4646">
        <w:rPr>
          <w:rFonts w:ascii="Times New Roman" w:hAnsi="Times New Roman" w:cs="Times New Roman"/>
        </w:rPr>
        <w:t>]</w:t>
      </w:r>
      <w:r w:rsidR="002D085B" w:rsidRPr="002D085B">
        <w:rPr>
          <w:rFonts w:ascii="Times New Roman" w:hAnsi="Times New Roman" w:cs="Times New Roman"/>
        </w:rPr>
        <w:t xml:space="preserve">. People with coronary artery disease have been shown to have an elevated risk of cardiovascular disease and an even worse prognosis if their D-dimer levels are high </w:t>
      </w:r>
      <w:r w:rsidR="00CB4646">
        <w:rPr>
          <w:rFonts w:ascii="Times New Roman" w:hAnsi="Times New Roman" w:cs="Times New Roman"/>
        </w:rPr>
        <w:t>[2</w:t>
      </w:r>
      <w:r w:rsidR="00A53599">
        <w:rPr>
          <w:rFonts w:ascii="Times New Roman" w:hAnsi="Times New Roman" w:cs="Times New Roman"/>
        </w:rPr>
        <w:t>0</w:t>
      </w:r>
      <w:r w:rsidR="00CB4646">
        <w:rPr>
          <w:rFonts w:ascii="Times New Roman" w:hAnsi="Times New Roman" w:cs="Times New Roman"/>
        </w:rPr>
        <w:t>]</w:t>
      </w:r>
      <w:r w:rsidR="002D085B" w:rsidRPr="002D085B">
        <w:rPr>
          <w:rFonts w:ascii="Times New Roman" w:hAnsi="Times New Roman" w:cs="Times New Roman"/>
        </w:rPr>
        <w:t>.</w:t>
      </w:r>
    </w:p>
    <w:p w14:paraId="1305C5A8" w14:textId="1C47A92E" w:rsidR="00153153" w:rsidRDefault="00CB4646" w:rsidP="00153153">
      <w:pPr>
        <w:autoSpaceDE w:val="0"/>
        <w:autoSpaceDN w:val="0"/>
        <w:adjustRightInd w:val="0"/>
        <w:spacing w:after="0"/>
        <w:jc w:val="both"/>
        <w:rPr>
          <w:rFonts w:ascii="Times New Roman" w:hAnsi="Times New Roman" w:cs="Times New Roman"/>
        </w:rPr>
      </w:pPr>
      <w:r w:rsidRPr="00CB4646">
        <w:rPr>
          <w:rFonts w:ascii="Times New Roman" w:hAnsi="Times New Roman" w:cs="Times New Roman"/>
        </w:rPr>
        <w:t xml:space="preserve">Using cardiac troponin is the gold standard for diagnosing acute coronary syndrome or acute myocardial infarction </w:t>
      </w:r>
      <w:r>
        <w:rPr>
          <w:rFonts w:ascii="Times New Roman" w:hAnsi="Times New Roman" w:cs="Times New Roman"/>
        </w:rPr>
        <w:t>[2</w:t>
      </w:r>
      <w:r w:rsidR="00A53599">
        <w:rPr>
          <w:rFonts w:ascii="Times New Roman" w:hAnsi="Times New Roman" w:cs="Times New Roman"/>
        </w:rPr>
        <w:t>1</w:t>
      </w:r>
      <w:r>
        <w:rPr>
          <w:rFonts w:ascii="Times New Roman" w:hAnsi="Times New Roman" w:cs="Times New Roman"/>
        </w:rPr>
        <w:t>]</w:t>
      </w:r>
      <w:r w:rsidRPr="00CB4646">
        <w:rPr>
          <w:rFonts w:ascii="Times New Roman" w:hAnsi="Times New Roman" w:cs="Times New Roman"/>
        </w:rPr>
        <w:t xml:space="preserve">. As more cardiac troponin testing is available and used, more people are showing elevated cardiac troponin levels that may be clinically relevant </w:t>
      </w:r>
      <w:r>
        <w:rPr>
          <w:rFonts w:ascii="Times New Roman" w:hAnsi="Times New Roman" w:cs="Times New Roman"/>
        </w:rPr>
        <w:t>[2</w:t>
      </w:r>
      <w:r w:rsidR="002A5758">
        <w:rPr>
          <w:rFonts w:ascii="Times New Roman" w:hAnsi="Times New Roman" w:cs="Times New Roman"/>
        </w:rPr>
        <w:t>2</w:t>
      </w:r>
      <w:r>
        <w:rPr>
          <w:rFonts w:ascii="Times New Roman" w:hAnsi="Times New Roman" w:cs="Times New Roman"/>
        </w:rPr>
        <w:t>]</w:t>
      </w:r>
      <w:r w:rsidRPr="00CB4646">
        <w:rPr>
          <w:rFonts w:ascii="Times New Roman" w:hAnsi="Times New Roman" w:cs="Times New Roman"/>
        </w:rPr>
        <w:t>.</w:t>
      </w:r>
      <w:r w:rsidR="00153153">
        <w:rPr>
          <w:rFonts w:ascii="Times New Roman" w:hAnsi="Times New Roman" w:cs="Times New Roman"/>
        </w:rPr>
        <w:t xml:space="preserve"> </w:t>
      </w:r>
      <w:r w:rsidR="00153153" w:rsidRPr="00153153">
        <w:rPr>
          <w:rFonts w:ascii="Times New Roman" w:hAnsi="Times New Roman" w:cs="Times New Roman"/>
        </w:rPr>
        <w:t xml:space="preserve">Greater troponin levels in the early and mid-stages after a heart attack are now shown in retrospective clinical trial populations to be related with a higher risk of recurrent cardiovascular events </w:t>
      </w:r>
      <w:r w:rsidR="00153153">
        <w:rPr>
          <w:rFonts w:ascii="Times New Roman" w:hAnsi="Times New Roman" w:cs="Times New Roman"/>
        </w:rPr>
        <w:t>[2</w:t>
      </w:r>
      <w:r w:rsidR="002A5758">
        <w:rPr>
          <w:rFonts w:ascii="Times New Roman" w:hAnsi="Times New Roman" w:cs="Times New Roman"/>
        </w:rPr>
        <w:t>3</w:t>
      </w:r>
      <w:r w:rsidR="00153153">
        <w:rPr>
          <w:rFonts w:ascii="Times New Roman" w:hAnsi="Times New Roman" w:cs="Times New Roman"/>
        </w:rPr>
        <w:t>]</w:t>
      </w:r>
      <w:r w:rsidR="00153153" w:rsidRPr="00153153">
        <w:rPr>
          <w:rFonts w:ascii="Times New Roman" w:hAnsi="Times New Roman" w:cs="Times New Roman"/>
        </w:rPr>
        <w:t>.</w:t>
      </w:r>
    </w:p>
    <w:p w14:paraId="56EACD18" w14:textId="77777777" w:rsidR="00A930DE" w:rsidRPr="00A930DE" w:rsidRDefault="00A930DE" w:rsidP="00A930DE">
      <w:pPr>
        <w:autoSpaceDE w:val="0"/>
        <w:autoSpaceDN w:val="0"/>
        <w:adjustRightInd w:val="0"/>
        <w:spacing w:after="0"/>
        <w:jc w:val="both"/>
        <w:rPr>
          <w:rFonts w:ascii="Times New Roman" w:hAnsi="Times New Roman" w:cs="Times New Roman"/>
        </w:rPr>
      </w:pPr>
      <w:r w:rsidRPr="00A930DE">
        <w:rPr>
          <w:rFonts w:ascii="Times New Roman" w:hAnsi="Times New Roman" w:cs="Times New Roman"/>
        </w:rPr>
        <w:t>The findings showed a rise in uric acid in most instances of cardiovascular disease (CVD) under management, IHD and thromboembolism, as well as associated risk factors, as serum uric acid levels were significantly connected.</w:t>
      </w:r>
    </w:p>
    <w:p w14:paraId="5E29B384" w14:textId="10D08B42" w:rsidR="003B6E79" w:rsidRDefault="00A930DE" w:rsidP="003B6E79">
      <w:pPr>
        <w:autoSpaceDE w:val="0"/>
        <w:autoSpaceDN w:val="0"/>
        <w:adjustRightInd w:val="0"/>
        <w:spacing w:after="0"/>
        <w:jc w:val="both"/>
        <w:rPr>
          <w:rFonts w:ascii="Times New Roman" w:hAnsi="Times New Roman" w:cs="Times New Roman"/>
        </w:rPr>
      </w:pPr>
      <w:r w:rsidRPr="00A930DE">
        <w:rPr>
          <w:rFonts w:ascii="Times New Roman" w:hAnsi="Times New Roman" w:cs="Times New Roman"/>
        </w:rPr>
        <w:t>After hypertension, high blood sugar, and high cholesterol, it is currently the "fourth highest" risk factor for cardiovascular disease. There are around 170 million Chinese and 32,5 million Americans who are affected by hyperuricemia, according to these estimates</w:t>
      </w:r>
      <w:r>
        <w:rPr>
          <w:rFonts w:ascii="Times New Roman" w:hAnsi="Times New Roman" w:cs="Times New Roman"/>
        </w:rPr>
        <w:t>, which is conduct with our study [</w:t>
      </w:r>
      <w:r w:rsidR="002A5758">
        <w:rPr>
          <w:rFonts w:ascii="Times New Roman" w:hAnsi="Times New Roman" w:cs="Times New Roman"/>
        </w:rPr>
        <w:t>1</w:t>
      </w:r>
      <w:r>
        <w:rPr>
          <w:rFonts w:ascii="Times New Roman" w:hAnsi="Times New Roman" w:cs="Times New Roman"/>
        </w:rPr>
        <w:t>,</w:t>
      </w:r>
      <w:r w:rsidR="00B86911">
        <w:rPr>
          <w:rFonts w:ascii="Times New Roman" w:hAnsi="Times New Roman" w:cs="Times New Roman"/>
        </w:rPr>
        <w:t>3</w:t>
      </w:r>
      <w:r>
        <w:rPr>
          <w:rFonts w:ascii="Times New Roman" w:hAnsi="Times New Roman" w:cs="Times New Roman"/>
        </w:rPr>
        <w:t>].</w:t>
      </w:r>
    </w:p>
    <w:p w14:paraId="1241F685" w14:textId="77777777" w:rsidR="003B6E79" w:rsidRPr="003B6E79" w:rsidRDefault="003B6E79" w:rsidP="003B6E79">
      <w:pPr>
        <w:autoSpaceDE w:val="0"/>
        <w:autoSpaceDN w:val="0"/>
        <w:adjustRightInd w:val="0"/>
        <w:spacing w:after="0"/>
        <w:jc w:val="both"/>
        <w:rPr>
          <w:rFonts w:ascii="Times New Roman" w:hAnsi="Times New Roman" w:cs="Times New Roman"/>
        </w:rPr>
      </w:pPr>
      <w:r w:rsidRPr="003B6E79">
        <w:rPr>
          <w:rFonts w:ascii="Times New Roman" w:hAnsi="Times New Roman" w:cs="Times New Roman"/>
        </w:rPr>
        <w:t>According to our results from an analysis using logistic regression, excessive levels of uric acid (hyperuricemia) are linked to a higher risk of ischemic heart disease (IHD).</w:t>
      </w:r>
    </w:p>
    <w:p w14:paraId="04881C5B" w14:textId="6DC4547E" w:rsidR="00BE4D8B" w:rsidRDefault="003B6E79" w:rsidP="00BE4D8B">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w:t>
      </w:r>
      <w:r w:rsidRPr="003B6E79">
        <w:rPr>
          <w:rFonts w:ascii="Times New Roman" w:hAnsi="Times New Roman" w:cs="Times New Roman"/>
        </w:rPr>
        <w:t>Several long-term investigations have shown an association between increased levels of uric acid in the blood and various cardiovascular diseases, strokes included</w:t>
      </w:r>
      <w:r>
        <w:rPr>
          <w:rFonts w:ascii="Times New Roman" w:hAnsi="Times New Roman" w:cs="Times New Roman"/>
        </w:rPr>
        <w:t>[2</w:t>
      </w:r>
      <w:r w:rsidR="00B86911">
        <w:rPr>
          <w:rFonts w:ascii="Times New Roman" w:hAnsi="Times New Roman" w:cs="Times New Roman"/>
        </w:rPr>
        <w:t>4</w:t>
      </w:r>
      <w:r>
        <w:rPr>
          <w:rFonts w:ascii="Times New Roman" w:hAnsi="Times New Roman" w:cs="Times New Roman"/>
        </w:rPr>
        <w:t>].</w:t>
      </w:r>
      <w:r w:rsidR="00BE4D8B">
        <w:rPr>
          <w:rFonts w:ascii="Times New Roman" w:hAnsi="Times New Roman" w:cs="Times New Roman"/>
        </w:rPr>
        <w:t xml:space="preserve"> </w:t>
      </w:r>
      <w:r w:rsidR="00BE4D8B" w:rsidRPr="00BE4D8B">
        <w:rPr>
          <w:rFonts w:ascii="Times New Roman" w:hAnsi="Times New Roman" w:cs="Times New Roman"/>
        </w:rPr>
        <w:t xml:space="preserve">According to current studies, a high SUA level may worsen cardiovascular disease, such as heart attacks and strokes </w:t>
      </w:r>
      <w:r w:rsidR="00BE4D8B">
        <w:rPr>
          <w:rFonts w:ascii="Times New Roman" w:hAnsi="Times New Roman" w:cs="Times New Roman"/>
        </w:rPr>
        <w:t>[2</w:t>
      </w:r>
      <w:r w:rsidR="00B86911">
        <w:rPr>
          <w:rFonts w:ascii="Times New Roman" w:hAnsi="Times New Roman" w:cs="Times New Roman"/>
        </w:rPr>
        <w:t>5</w:t>
      </w:r>
      <w:r w:rsidR="00BE4D8B">
        <w:rPr>
          <w:rFonts w:ascii="Times New Roman" w:hAnsi="Times New Roman" w:cs="Times New Roman"/>
        </w:rPr>
        <w:t>,2</w:t>
      </w:r>
      <w:r w:rsidR="00B86911">
        <w:rPr>
          <w:rFonts w:ascii="Times New Roman" w:hAnsi="Times New Roman" w:cs="Times New Roman"/>
        </w:rPr>
        <w:t>6</w:t>
      </w:r>
      <w:r w:rsidR="00BE4D8B">
        <w:rPr>
          <w:rFonts w:ascii="Times New Roman" w:hAnsi="Times New Roman" w:cs="Times New Roman"/>
        </w:rPr>
        <w:t>]</w:t>
      </w:r>
      <w:r w:rsidR="00BE4D8B" w:rsidRPr="00BE4D8B">
        <w:rPr>
          <w:rFonts w:ascii="Times New Roman" w:hAnsi="Times New Roman" w:cs="Times New Roman"/>
        </w:rPr>
        <w:t xml:space="preserve"> According to a recent study </w:t>
      </w:r>
      <w:r w:rsidR="00BE4D8B">
        <w:rPr>
          <w:rFonts w:ascii="Times New Roman" w:hAnsi="Times New Roman" w:cs="Times New Roman"/>
        </w:rPr>
        <w:t>[</w:t>
      </w:r>
      <w:r w:rsidR="00B86911">
        <w:rPr>
          <w:rFonts w:ascii="Times New Roman" w:hAnsi="Times New Roman" w:cs="Times New Roman"/>
        </w:rPr>
        <w:t>27</w:t>
      </w:r>
      <w:r w:rsidR="00BE4D8B">
        <w:rPr>
          <w:rFonts w:ascii="Times New Roman" w:hAnsi="Times New Roman" w:cs="Times New Roman"/>
        </w:rPr>
        <w:t>,</w:t>
      </w:r>
      <w:r w:rsidR="00B86911">
        <w:rPr>
          <w:rFonts w:ascii="Times New Roman" w:hAnsi="Times New Roman" w:cs="Times New Roman"/>
        </w:rPr>
        <w:t>28</w:t>
      </w:r>
      <w:r w:rsidR="00BE4D8B">
        <w:rPr>
          <w:rFonts w:ascii="Times New Roman" w:hAnsi="Times New Roman" w:cs="Times New Roman"/>
        </w:rPr>
        <w:t>]</w:t>
      </w:r>
      <w:r w:rsidR="00BE4D8B" w:rsidRPr="00BE4D8B">
        <w:rPr>
          <w:rFonts w:ascii="Times New Roman" w:hAnsi="Times New Roman" w:cs="Times New Roman"/>
        </w:rPr>
        <w:t>, hyperuricemia has been linked to an increase in intracellular oxidative stress, inflammation, vascular constriction, and an endothelial dysfunction that leads to atherosclerosis and cardiovascular disease</w:t>
      </w:r>
      <w:r w:rsidR="003F4C4C">
        <w:rPr>
          <w:rFonts w:ascii="Times New Roman" w:hAnsi="Times New Roman" w:cs="Times New Roman"/>
        </w:rPr>
        <w:t>[9]</w:t>
      </w:r>
      <w:r w:rsidR="00BE4D8B" w:rsidRPr="00BE4D8B">
        <w:rPr>
          <w:rFonts w:ascii="Times New Roman" w:hAnsi="Times New Roman" w:cs="Times New Roman"/>
        </w:rPr>
        <w:t>.</w:t>
      </w:r>
    </w:p>
    <w:p w14:paraId="630F556A" w14:textId="493E6558" w:rsidR="00295E08" w:rsidRDefault="00295E08" w:rsidP="00295E08">
      <w:pPr>
        <w:autoSpaceDE w:val="0"/>
        <w:autoSpaceDN w:val="0"/>
        <w:adjustRightInd w:val="0"/>
        <w:spacing w:after="0"/>
        <w:jc w:val="both"/>
        <w:rPr>
          <w:rFonts w:ascii="Times New Roman" w:hAnsi="Times New Roman" w:cs="Times New Roman"/>
        </w:rPr>
      </w:pPr>
      <w:r w:rsidRPr="00295E08">
        <w:rPr>
          <w:rFonts w:ascii="Times New Roman" w:hAnsi="Times New Roman" w:cs="Times New Roman"/>
        </w:rPr>
        <w:t>For future studies, we recommend</w:t>
      </w:r>
      <w:r>
        <w:rPr>
          <w:rFonts w:ascii="Times New Roman" w:hAnsi="Times New Roman" w:cs="Times New Roman"/>
        </w:rPr>
        <w:t xml:space="preserve"> i</w:t>
      </w:r>
      <w:r w:rsidRPr="00295E08">
        <w:rPr>
          <w:rFonts w:ascii="Times New Roman" w:hAnsi="Times New Roman" w:cs="Times New Roman"/>
        </w:rPr>
        <w:t>ncrease the sample size of the study patients to obtain more precise results.</w:t>
      </w:r>
      <w:r>
        <w:rPr>
          <w:rFonts w:ascii="Times New Roman" w:hAnsi="Times New Roman" w:cs="Times New Roman"/>
        </w:rPr>
        <w:t xml:space="preserve"> </w:t>
      </w:r>
      <w:r w:rsidRPr="00295E08">
        <w:rPr>
          <w:rFonts w:ascii="Times New Roman" w:hAnsi="Times New Roman" w:cs="Times New Roman"/>
        </w:rPr>
        <w:t>Include other types of cardiovascular types and complication within the study a several health issues like excessive blood pressure and coronary artery disease as well as congenital and heart failure are addressed.</w:t>
      </w:r>
    </w:p>
    <w:p w14:paraId="4C639434" w14:textId="77777777" w:rsidR="00337C37" w:rsidRDefault="00337C37" w:rsidP="00F803B1">
      <w:pPr>
        <w:jc w:val="both"/>
        <w:rPr>
          <w:rFonts w:ascii="Times New Roman" w:hAnsi="Times New Roman" w:cs="Times New Roman"/>
          <w:b/>
          <w:sz w:val="24"/>
          <w:szCs w:val="24"/>
          <w:highlight w:val="yellow"/>
          <w:lang w:val="en-US" w:eastAsia="tr-TR"/>
        </w:rPr>
      </w:pPr>
    </w:p>
    <w:p w14:paraId="4E4B187E" w14:textId="16CDB633" w:rsidR="00F803B1" w:rsidRPr="00006D19" w:rsidRDefault="00F803B1" w:rsidP="00F803B1">
      <w:pPr>
        <w:jc w:val="both"/>
        <w:rPr>
          <w:rFonts w:ascii="Times New Roman" w:hAnsi="Times New Roman" w:cs="Times New Roman"/>
          <w:b/>
          <w:sz w:val="24"/>
          <w:szCs w:val="24"/>
          <w:lang w:val="en-US" w:eastAsia="tr-TR"/>
        </w:rPr>
      </w:pPr>
      <w:r w:rsidRPr="00006D19">
        <w:rPr>
          <w:rFonts w:ascii="Times New Roman" w:hAnsi="Times New Roman" w:cs="Times New Roman"/>
          <w:b/>
          <w:sz w:val="24"/>
          <w:szCs w:val="24"/>
          <w:lang w:val="en-US" w:eastAsia="tr-TR"/>
        </w:rPr>
        <w:t>Acknowledgment</w:t>
      </w:r>
    </w:p>
    <w:p w14:paraId="78AFF951" w14:textId="7A9239DE" w:rsidR="00F803B1" w:rsidRDefault="00F82C0C" w:rsidP="00006D19">
      <w:pPr>
        <w:jc w:val="both"/>
        <w:rPr>
          <w:rFonts w:ascii="Times New Roman" w:hAnsi="Times New Roman" w:cs="Times New Roman"/>
          <w:b/>
          <w:sz w:val="24"/>
          <w:szCs w:val="24"/>
          <w:highlight w:val="yellow"/>
          <w:lang w:eastAsia="tr-TR"/>
        </w:rPr>
      </w:pPr>
      <w:r w:rsidRPr="00F82C0C">
        <w:rPr>
          <w:rFonts w:ascii="Times New Roman" w:hAnsi="Times New Roman" w:cs="Times New Roman"/>
          <w:sz w:val="24"/>
          <w:szCs w:val="24"/>
        </w:rPr>
        <w:t xml:space="preserve">The author would like to </w:t>
      </w:r>
      <w:r w:rsidR="00006D19" w:rsidRPr="00006D19">
        <w:rPr>
          <w:rFonts w:ascii="Times New Roman" w:hAnsi="Times New Roman" w:cs="Times New Roman"/>
          <w:sz w:val="24"/>
          <w:szCs w:val="24"/>
        </w:rPr>
        <w:t>dedicate this research to the soul of the martyr</w:t>
      </w:r>
      <w:r w:rsidR="00006D19">
        <w:rPr>
          <w:rFonts w:ascii="Times New Roman" w:hAnsi="Times New Roman" w:cs="Times New Roman"/>
          <w:sz w:val="24"/>
          <w:szCs w:val="24"/>
        </w:rPr>
        <w:t xml:space="preserve"> Bassam AL-KHALIDI.</w:t>
      </w:r>
    </w:p>
    <w:p w14:paraId="56C2E4DF" w14:textId="7204D188" w:rsidR="00006D19" w:rsidRDefault="00006D19" w:rsidP="00006D19">
      <w:pPr>
        <w:jc w:val="both"/>
        <w:rPr>
          <w:rFonts w:ascii="Times New Roman" w:hAnsi="Times New Roman" w:cs="Times New Roman"/>
          <w:b/>
          <w:sz w:val="24"/>
          <w:szCs w:val="24"/>
          <w:highlight w:val="yellow"/>
          <w:lang w:eastAsia="tr-TR"/>
        </w:rPr>
      </w:pPr>
    </w:p>
    <w:p w14:paraId="3DE74A30" w14:textId="598B607E" w:rsidR="009A13C7" w:rsidRDefault="009A13C7" w:rsidP="00006D19">
      <w:pPr>
        <w:jc w:val="both"/>
        <w:rPr>
          <w:rFonts w:ascii="Times New Roman" w:hAnsi="Times New Roman" w:cs="Times New Roman"/>
          <w:b/>
          <w:sz w:val="24"/>
          <w:szCs w:val="24"/>
          <w:highlight w:val="yellow"/>
          <w:lang w:eastAsia="tr-TR"/>
        </w:rPr>
      </w:pPr>
    </w:p>
    <w:p w14:paraId="5301AE7E" w14:textId="439A194E" w:rsidR="00D01D40" w:rsidRDefault="00D01D40" w:rsidP="00006D19">
      <w:pPr>
        <w:jc w:val="both"/>
        <w:rPr>
          <w:rFonts w:ascii="Times New Roman" w:hAnsi="Times New Roman" w:cs="Times New Roman"/>
          <w:b/>
          <w:sz w:val="24"/>
          <w:szCs w:val="24"/>
          <w:highlight w:val="yellow"/>
          <w:lang w:eastAsia="tr-TR"/>
        </w:rPr>
      </w:pPr>
    </w:p>
    <w:p w14:paraId="09C9A59F" w14:textId="77777777" w:rsidR="00B86480" w:rsidRPr="00006D19" w:rsidRDefault="00B86480" w:rsidP="00006D19">
      <w:pPr>
        <w:jc w:val="both"/>
        <w:rPr>
          <w:rFonts w:ascii="Times New Roman" w:hAnsi="Times New Roman" w:cs="Times New Roman"/>
          <w:b/>
          <w:sz w:val="24"/>
          <w:szCs w:val="24"/>
          <w:highlight w:val="yellow"/>
          <w:lang w:eastAsia="tr-TR"/>
        </w:rPr>
      </w:pPr>
    </w:p>
    <w:p w14:paraId="6A70E17A" w14:textId="2FD24531"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0128D7">
        <w:rPr>
          <w:rFonts w:ascii="Times New Roman" w:hAnsi="Times New Roman" w:cs="Times New Roman"/>
          <w:b/>
          <w:sz w:val="24"/>
          <w:szCs w:val="24"/>
          <w:lang w:val="en-US" w:eastAsia="tr-TR"/>
        </w:rPr>
        <w:t>References</w:t>
      </w:r>
      <w:r w:rsidR="00B976E8" w:rsidRPr="000128D7">
        <w:rPr>
          <w:rFonts w:ascii="Times New Roman" w:hAnsi="Times New Roman" w:cs="Times New Roman"/>
          <w:b/>
          <w:sz w:val="24"/>
          <w:szCs w:val="24"/>
          <w:lang w:val="en-US" w:eastAsia="tr-TR"/>
        </w:rPr>
        <w:t xml:space="preserve"> </w:t>
      </w:r>
    </w:p>
    <w:p w14:paraId="677D4304" w14:textId="77777777" w:rsidR="00842E06" w:rsidRDefault="00842E06" w:rsidP="00252028">
      <w:pPr>
        <w:spacing w:after="0" w:line="23" w:lineRule="atLeast"/>
        <w:jc w:val="both"/>
        <w:rPr>
          <w:rFonts w:ascii="Times New Roman" w:eastAsia="Times New Roman" w:hAnsi="Times New Roman" w:cs="Times New Roman"/>
          <w:color w:val="FF0000"/>
          <w:shd w:val="clear" w:color="auto" w:fill="FFFFFF"/>
          <w:lang w:val="en-US" w:eastAsia="tr-TR"/>
        </w:rPr>
      </w:pP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5F56A50" w14:textId="4031FB48" w:rsidR="00F82C0C" w:rsidRDefault="00842E06"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bookmarkStart w:id="2" w:name="_Hlk112718472"/>
      <w:r w:rsidRPr="00842E06">
        <w:rPr>
          <w:rFonts w:ascii="Times New Roman" w:hAnsi="Times New Roman" w:cs="Times New Roman"/>
          <w:color w:val="222222"/>
          <w:shd w:val="clear" w:color="auto" w:fill="FFFFFF"/>
        </w:rPr>
        <w:t xml:space="preserve">Hao, Y., Li, H., Cao, Y., Chen, Y., Lei, M., Zhang, T. and Qian, Z. 2019. Uricase and horseradish peroxidase hybrid CaHPO4 nanoflower integrated with transcutaneous patches for treatment of hyperuricemia. </w:t>
      </w:r>
      <w:r w:rsidRPr="00842E06">
        <w:rPr>
          <w:rFonts w:ascii="Times New Roman" w:hAnsi="Times New Roman" w:cs="Times New Roman"/>
          <w:i/>
          <w:iCs/>
          <w:color w:val="222222"/>
          <w:shd w:val="clear" w:color="auto" w:fill="FFFFFF"/>
        </w:rPr>
        <w:t>Journal of Biomedical Nanotechnology,</w:t>
      </w:r>
      <w:r w:rsidRPr="00842E06">
        <w:rPr>
          <w:rFonts w:ascii="Times New Roman" w:hAnsi="Times New Roman" w:cs="Times New Roman"/>
          <w:color w:val="222222"/>
          <w:shd w:val="clear" w:color="auto" w:fill="FFFFFF"/>
        </w:rPr>
        <w:t xml:space="preserve"> 15(5): 951-965.</w:t>
      </w:r>
      <w:r w:rsidR="00F82C0C" w:rsidRPr="00F85871">
        <w:rPr>
          <w:rFonts w:ascii="Times New Roman" w:hAnsi="Times New Roman" w:cs="Times New Roman"/>
          <w:color w:val="222222"/>
          <w:shd w:val="clear" w:color="auto" w:fill="FFFFFF"/>
        </w:rPr>
        <w:t>342.</w:t>
      </w:r>
      <w:r w:rsidR="00F82C0C" w:rsidRPr="00F85871">
        <w:rPr>
          <w:rFonts w:ascii="Times New Roman" w:hAnsi="Times New Roman" w:cs="Times New Roman"/>
          <w:color w:val="333333"/>
          <w:shd w:val="clear" w:color="auto" w:fill="F9F9F9"/>
        </w:rPr>
        <w:t xml:space="preserve"> </w:t>
      </w:r>
    </w:p>
    <w:bookmarkEnd w:id="2"/>
    <w:p w14:paraId="23912126" w14:textId="613904E9" w:rsidR="00842E06" w:rsidRDefault="00842E06"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42E06">
        <w:rPr>
          <w:rFonts w:ascii="Times New Roman" w:eastAsia="Times New Roman" w:hAnsi="Times New Roman" w:cs="Times New Roman"/>
          <w:color w:val="333333"/>
          <w:lang w:eastAsia="tr-TR"/>
        </w:rPr>
        <w:t xml:space="preserve">Virdis, A., Masi, S., Casiglia, E., Tikhonoff, V., Cicero, A. F. G. and Ungar, A. 2020. Identification of the Uric Acid Thresholds Predicting an Increased Total and Cardiovascular Mortality Over 20 Years. </w:t>
      </w:r>
      <w:r w:rsidRPr="00842E06">
        <w:rPr>
          <w:rFonts w:ascii="Times New Roman" w:eastAsia="Times New Roman" w:hAnsi="Times New Roman" w:cs="Times New Roman"/>
          <w:i/>
          <w:iCs/>
          <w:color w:val="333333"/>
          <w:lang w:eastAsia="tr-TR"/>
        </w:rPr>
        <w:t>Hypertension,</w:t>
      </w:r>
      <w:r w:rsidRPr="00842E06">
        <w:rPr>
          <w:rFonts w:ascii="Times New Roman" w:eastAsia="Times New Roman" w:hAnsi="Times New Roman" w:cs="Times New Roman"/>
          <w:color w:val="333333"/>
          <w:lang w:eastAsia="tr-TR"/>
        </w:rPr>
        <w:t xml:space="preserve"> 75 (2): 302–308.</w:t>
      </w:r>
    </w:p>
    <w:p w14:paraId="7CD830A0" w14:textId="36FA46B6" w:rsidR="00D34808" w:rsidRDefault="00D34808"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D34808">
        <w:rPr>
          <w:rFonts w:ascii="Times New Roman" w:eastAsia="Times New Roman" w:hAnsi="Times New Roman" w:cs="Times New Roman"/>
          <w:color w:val="333333"/>
          <w:lang w:eastAsia="tr-TR"/>
        </w:rPr>
        <w:t xml:space="preserve">Singh, G., Lingala, B. and Mithal, A. 2019. Gout and hyperuricaemia in the USA: prevalence and trends. </w:t>
      </w:r>
      <w:r w:rsidRPr="00D34808">
        <w:rPr>
          <w:rFonts w:ascii="Times New Roman" w:eastAsia="Times New Roman" w:hAnsi="Times New Roman" w:cs="Times New Roman"/>
          <w:i/>
          <w:iCs/>
          <w:color w:val="333333"/>
          <w:lang w:eastAsia="tr-TR"/>
        </w:rPr>
        <w:t>Rheumatol. (Oxford).,</w:t>
      </w:r>
      <w:r w:rsidRPr="00D34808">
        <w:rPr>
          <w:rFonts w:ascii="Times New Roman" w:eastAsia="Times New Roman" w:hAnsi="Times New Roman" w:cs="Times New Roman"/>
          <w:color w:val="333333"/>
          <w:lang w:eastAsia="tr-TR"/>
        </w:rPr>
        <w:t xml:space="preserve"> 58 (12): 2177–2180.</w:t>
      </w:r>
    </w:p>
    <w:p w14:paraId="3A778EDB" w14:textId="43DE5403" w:rsidR="00D34808" w:rsidRDefault="00AF324F"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AF324F">
        <w:rPr>
          <w:rFonts w:ascii="Times New Roman" w:eastAsia="Times New Roman" w:hAnsi="Times New Roman" w:cs="Times New Roman"/>
          <w:color w:val="333333"/>
          <w:lang w:eastAsia="tr-TR"/>
        </w:rPr>
        <w:t xml:space="preserve">Kuwabara, M., Niwa, K., Hisatome, I., Nakagawa, T., Roncal-Jimenez, C. A. andres-Hernando, A. and Johnson, R. J. 2017. Asymptomatic hyperuricemia without comorbidities predicts cardiometabolic diseases: five-year Japanese cohort study. </w:t>
      </w:r>
      <w:r w:rsidRPr="00AF324F">
        <w:rPr>
          <w:rFonts w:ascii="Times New Roman" w:eastAsia="Times New Roman" w:hAnsi="Times New Roman" w:cs="Times New Roman"/>
          <w:i/>
          <w:iCs/>
          <w:color w:val="333333"/>
          <w:lang w:eastAsia="tr-TR"/>
        </w:rPr>
        <w:t>Hypertension.,</w:t>
      </w:r>
      <w:r w:rsidRPr="00AF324F">
        <w:rPr>
          <w:rFonts w:ascii="Times New Roman" w:eastAsia="Times New Roman" w:hAnsi="Times New Roman" w:cs="Times New Roman"/>
          <w:color w:val="333333"/>
          <w:lang w:eastAsia="tr-TR"/>
        </w:rPr>
        <w:t xml:space="preserve"> 69(6): 1036-1044.</w:t>
      </w:r>
    </w:p>
    <w:p w14:paraId="4349D9D8" w14:textId="35F72A53" w:rsidR="00AF324F" w:rsidRDefault="00AF324F"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AF324F">
        <w:rPr>
          <w:rFonts w:ascii="Times New Roman" w:eastAsia="Times New Roman" w:hAnsi="Times New Roman" w:cs="Times New Roman"/>
          <w:color w:val="333333"/>
          <w:lang w:eastAsia="tr-TR"/>
        </w:rPr>
        <w:t>Maruhashi, T., Hisatome, I., Kihara, Y. and Higashi, Y. 2018. Hyperuricemia and endothelial function: from molecular background to clinical perspectives</w:t>
      </w:r>
      <w:r w:rsidRPr="00AF324F">
        <w:rPr>
          <w:rFonts w:ascii="Times New Roman" w:eastAsia="Times New Roman" w:hAnsi="Times New Roman" w:cs="Times New Roman"/>
          <w:i/>
          <w:iCs/>
          <w:color w:val="333333"/>
          <w:lang w:eastAsia="tr-TR"/>
        </w:rPr>
        <w:t>. Atherosclerosis.,</w:t>
      </w:r>
      <w:r w:rsidRPr="00AF324F">
        <w:rPr>
          <w:rFonts w:ascii="Times New Roman" w:eastAsia="Times New Roman" w:hAnsi="Times New Roman" w:cs="Times New Roman"/>
          <w:color w:val="333333"/>
          <w:lang w:eastAsia="tr-TR"/>
        </w:rPr>
        <w:t xml:space="preserve"> 278: 226-231.</w:t>
      </w:r>
    </w:p>
    <w:p w14:paraId="661F93C8" w14:textId="56406185" w:rsidR="00AF324F" w:rsidRDefault="00A606B0"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A606B0">
        <w:rPr>
          <w:rFonts w:ascii="Times New Roman" w:eastAsia="Times New Roman" w:hAnsi="Times New Roman" w:cs="Times New Roman"/>
          <w:color w:val="333333"/>
          <w:lang w:eastAsia="tr-TR"/>
        </w:rPr>
        <w:t xml:space="preserve">Fujimoto, T. and Parton, R. G. 2011. Not just fat: the structure and function of the lipid droplet. </w:t>
      </w:r>
      <w:r w:rsidRPr="00A606B0">
        <w:rPr>
          <w:rFonts w:ascii="Times New Roman" w:eastAsia="Times New Roman" w:hAnsi="Times New Roman" w:cs="Times New Roman"/>
          <w:i/>
          <w:iCs/>
          <w:color w:val="333333"/>
          <w:lang w:eastAsia="tr-TR"/>
        </w:rPr>
        <w:t>Cold Spring Harbor perspectives in biology.,</w:t>
      </w:r>
      <w:r w:rsidRPr="00A606B0">
        <w:rPr>
          <w:rFonts w:ascii="Times New Roman" w:eastAsia="Times New Roman" w:hAnsi="Times New Roman" w:cs="Times New Roman"/>
          <w:color w:val="333333"/>
          <w:lang w:eastAsia="tr-TR"/>
        </w:rPr>
        <w:t xml:space="preserve"> 3(3): a004838.</w:t>
      </w:r>
    </w:p>
    <w:p w14:paraId="7EEA14A9" w14:textId="5BB03EEA" w:rsidR="00A606B0" w:rsidRDefault="00C2723A"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C2723A">
        <w:rPr>
          <w:rFonts w:ascii="Times New Roman" w:eastAsia="Times New Roman" w:hAnsi="Times New Roman" w:cs="Times New Roman"/>
          <w:color w:val="333333"/>
          <w:lang w:eastAsia="tr-TR"/>
        </w:rPr>
        <w:t xml:space="preserve">Rana, J. S., Liu, J. Y., Moffet, H. H., Boklage, S. H., Khan, I. and Karter, A. J. 2018. Risk of incident atherosclerotic cardiovascular DiseaseEvents by achieved Atherogenic lipid levels Among62, 428 statin-treated individuals with diabetes mellitus. </w:t>
      </w:r>
      <w:r w:rsidRPr="00C2723A">
        <w:rPr>
          <w:rFonts w:ascii="Times New Roman" w:eastAsia="Times New Roman" w:hAnsi="Times New Roman" w:cs="Times New Roman"/>
          <w:i/>
          <w:iCs/>
          <w:color w:val="333333"/>
          <w:lang w:eastAsia="tr-TR"/>
        </w:rPr>
        <w:t>The American Journal of Cardiology.,</w:t>
      </w:r>
      <w:r w:rsidRPr="00C2723A">
        <w:rPr>
          <w:rFonts w:ascii="Times New Roman" w:eastAsia="Times New Roman" w:hAnsi="Times New Roman" w:cs="Times New Roman"/>
          <w:color w:val="333333"/>
          <w:lang w:eastAsia="tr-TR"/>
        </w:rPr>
        <w:t xml:space="preserve"> 122(5): 762-767.</w:t>
      </w:r>
    </w:p>
    <w:p w14:paraId="136A88AD" w14:textId="55BE6B2D" w:rsidR="00C2723A" w:rsidRDefault="00C2723A"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C2723A">
        <w:rPr>
          <w:rFonts w:ascii="Times New Roman" w:eastAsia="Times New Roman" w:hAnsi="Times New Roman" w:cs="Times New Roman"/>
          <w:color w:val="333333"/>
          <w:lang w:eastAsia="tr-TR"/>
        </w:rPr>
        <w:t xml:space="preserve">Go, A. S., Mozaffarian, D., Roger, V. L., Benjamin, E. J., Berry, J. D., Borden, W. B. and Turner, M. B. 2013. Heart disease and stroke statistics—2013 update: a report from the American Heart Association. </w:t>
      </w:r>
      <w:r w:rsidRPr="00C2723A">
        <w:rPr>
          <w:rFonts w:ascii="Times New Roman" w:eastAsia="Times New Roman" w:hAnsi="Times New Roman" w:cs="Times New Roman"/>
          <w:i/>
          <w:iCs/>
          <w:color w:val="333333"/>
          <w:lang w:eastAsia="tr-TR"/>
        </w:rPr>
        <w:t>Circulation.,</w:t>
      </w:r>
      <w:r w:rsidRPr="00C2723A">
        <w:rPr>
          <w:rFonts w:ascii="Times New Roman" w:eastAsia="Times New Roman" w:hAnsi="Times New Roman" w:cs="Times New Roman"/>
          <w:color w:val="333333"/>
          <w:lang w:eastAsia="tr-TR"/>
        </w:rPr>
        <w:t xml:space="preserve"> 127(1): e6-e245.</w:t>
      </w:r>
    </w:p>
    <w:p w14:paraId="05227A30" w14:textId="66BAF5F8" w:rsidR="00C2723A" w:rsidRDefault="00C2723A"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C2723A">
        <w:rPr>
          <w:rFonts w:ascii="Times New Roman" w:eastAsia="Times New Roman" w:hAnsi="Times New Roman" w:cs="Times New Roman"/>
          <w:color w:val="333333"/>
          <w:lang w:eastAsia="tr-TR"/>
        </w:rPr>
        <w:t xml:space="preserve">Zhao, G., Huang, L., Song, M. and Song, Y. 2013. Baseline serum uric acid level as a predictor of cardiovascular disease related mortality and all-cause mortality: a meta-analysis of prospective studies. </w:t>
      </w:r>
      <w:r w:rsidRPr="00C2723A">
        <w:rPr>
          <w:rFonts w:ascii="Times New Roman" w:eastAsia="Times New Roman" w:hAnsi="Times New Roman" w:cs="Times New Roman"/>
          <w:i/>
          <w:iCs/>
          <w:color w:val="333333"/>
          <w:lang w:eastAsia="tr-TR"/>
        </w:rPr>
        <w:t>Atherosclerosis.,</w:t>
      </w:r>
      <w:r w:rsidRPr="00C2723A">
        <w:rPr>
          <w:rFonts w:ascii="Times New Roman" w:eastAsia="Times New Roman" w:hAnsi="Times New Roman" w:cs="Times New Roman"/>
          <w:color w:val="333333"/>
          <w:lang w:eastAsia="tr-TR"/>
        </w:rPr>
        <w:t xml:space="preserve"> 231(1): 61-68.</w:t>
      </w:r>
    </w:p>
    <w:p w14:paraId="2D7B2959" w14:textId="1030F215" w:rsidR="00C2723A" w:rsidRDefault="001659DC"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 xml:space="preserve">American </w:t>
      </w:r>
      <w:r w:rsidR="00C3191E">
        <w:rPr>
          <w:rFonts w:ascii="Times New Roman" w:eastAsia="Times New Roman" w:hAnsi="Times New Roman" w:cs="Times New Roman"/>
          <w:color w:val="333333"/>
          <w:lang w:eastAsia="tr-TR"/>
        </w:rPr>
        <w:t>H</w:t>
      </w:r>
      <w:r>
        <w:rPr>
          <w:rFonts w:ascii="Times New Roman" w:eastAsia="Times New Roman" w:hAnsi="Times New Roman" w:cs="Times New Roman"/>
          <w:color w:val="333333"/>
          <w:lang w:eastAsia="tr-TR"/>
        </w:rPr>
        <w:t xml:space="preserve">eart </w:t>
      </w:r>
      <w:r w:rsidR="00C3191E">
        <w:rPr>
          <w:rFonts w:ascii="Times New Roman" w:eastAsia="Times New Roman" w:hAnsi="Times New Roman" w:cs="Times New Roman"/>
          <w:color w:val="333333"/>
          <w:lang w:eastAsia="tr-TR"/>
        </w:rPr>
        <w:t>A</w:t>
      </w:r>
      <w:r>
        <w:rPr>
          <w:rFonts w:ascii="Times New Roman" w:eastAsia="Times New Roman" w:hAnsi="Times New Roman" w:cs="Times New Roman"/>
          <w:color w:val="333333"/>
          <w:lang w:eastAsia="tr-TR"/>
        </w:rPr>
        <w:t>ssociation</w:t>
      </w:r>
      <w:r w:rsidR="00775792">
        <w:rPr>
          <w:rFonts w:ascii="Times New Roman" w:eastAsia="Times New Roman" w:hAnsi="Times New Roman" w:cs="Times New Roman"/>
          <w:color w:val="333333"/>
          <w:lang w:eastAsia="tr-TR"/>
        </w:rPr>
        <w:t>. 2014. Heart Attack and Strocke Symtomps.</w:t>
      </w:r>
      <w:r>
        <w:rPr>
          <w:rFonts w:ascii="Times New Roman" w:eastAsia="Times New Roman" w:hAnsi="Times New Roman" w:cs="Times New Roman"/>
          <w:color w:val="333333"/>
          <w:lang w:eastAsia="tr-TR"/>
        </w:rPr>
        <w:t xml:space="preserve"> </w:t>
      </w:r>
    </w:p>
    <w:p w14:paraId="6417DD49" w14:textId="1DCE0BFF" w:rsidR="001659DC" w:rsidRDefault="00795A8F" w:rsidP="000823EB">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795A8F">
        <w:rPr>
          <w:rFonts w:ascii="Times New Roman" w:eastAsia="Times New Roman" w:hAnsi="Times New Roman" w:cs="Times New Roman"/>
          <w:color w:val="333333"/>
          <w:lang w:eastAsia="tr-TR"/>
        </w:rPr>
        <w:t>Yazdanyar, A. and Newman, A. B. 2009. The burden of cardiovascular disease in the elderly: morbidity, mortality, and costs</w:t>
      </w:r>
      <w:r w:rsidRPr="00795A8F">
        <w:rPr>
          <w:rFonts w:ascii="Times New Roman" w:eastAsia="Times New Roman" w:hAnsi="Times New Roman" w:cs="Times New Roman"/>
          <w:i/>
          <w:iCs/>
          <w:color w:val="333333"/>
          <w:lang w:eastAsia="tr-TR"/>
        </w:rPr>
        <w:t>. Clinics in geriatric medicine.,</w:t>
      </w:r>
      <w:r w:rsidRPr="00795A8F">
        <w:rPr>
          <w:rFonts w:ascii="Times New Roman" w:eastAsia="Times New Roman" w:hAnsi="Times New Roman" w:cs="Times New Roman"/>
          <w:color w:val="333333"/>
          <w:lang w:eastAsia="tr-TR"/>
        </w:rPr>
        <w:t xml:space="preserve"> 25(4): 563-577.</w:t>
      </w:r>
    </w:p>
    <w:p w14:paraId="04AEFBB3" w14:textId="21F9E12A" w:rsidR="00795A8F" w:rsidRDefault="00795A8F"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795A8F">
        <w:rPr>
          <w:rFonts w:ascii="Times New Roman" w:eastAsia="Times New Roman" w:hAnsi="Times New Roman" w:cs="Times New Roman"/>
          <w:color w:val="333333"/>
          <w:lang w:eastAsia="tr-TR"/>
        </w:rPr>
        <w:t xml:space="preserve">Benjamin, E. J., Muntner, P., Alonso, A., Bittencourt, M. S., Callaway, C. W., Carson, A. P. and American Heart Association Council on Epidemiology and Prevention Statistics Committee and Stroke Statistics Subcommittee. 2019. Heart disease and stroke statistics—2019 update: </w:t>
      </w:r>
      <w:r w:rsidRPr="00795A8F">
        <w:rPr>
          <w:rFonts w:ascii="Times New Roman" w:eastAsia="Times New Roman" w:hAnsi="Times New Roman" w:cs="Times New Roman"/>
          <w:i/>
          <w:iCs/>
          <w:color w:val="333333"/>
          <w:lang w:eastAsia="tr-TR"/>
        </w:rPr>
        <w:t>a report from the American Heart Association. Circulation., </w:t>
      </w:r>
      <w:r w:rsidRPr="00795A8F">
        <w:rPr>
          <w:rFonts w:ascii="Times New Roman" w:eastAsia="Times New Roman" w:hAnsi="Times New Roman" w:cs="Times New Roman"/>
          <w:color w:val="333333"/>
          <w:lang w:eastAsia="tr-TR"/>
        </w:rPr>
        <w:t>139(10): e56-e528.</w:t>
      </w:r>
    </w:p>
    <w:p w14:paraId="0A3FBD03" w14:textId="2C3DA4EC" w:rsidR="00795A8F" w:rsidRDefault="00795A8F"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795A8F">
        <w:rPr>
          <w:rFonts w:ascii="Times New Roman" w:eastAsia="Times New Roman" w:hAnsi="Times New Roman" w:cs="Times New Roman"/>
          <w:color w:val="333333"/>
          <w:lang w:eastAsia="tr-TR"/>
        </w:rPr>
        <w:t xml:space="preserve">Rawshani, A., Rawshani, A., Franzén, S., Eliasson, B., Svensson, A. M., Miftaraj, M. and Gudbjörnsdottir, S. 2017. Mortality and cardiovascular disease in type 1 and type 2 diabetes. </w:t>
      </w:r>
      <w:r w:rsidRPr="00795A8F">
        <w:rPr>
          <w:rFonts w:ascii="Times New Roman" w:eastAsia="Times New Roman" w:hAnsi="Times New Roman" w:cs="Times New Roman"/>
          <w:i/>
          <w:iCs/>
          <w:color w:val="333333"/>
          <w:lang w:eastAsia="tr-TR"/>
        </w:rPr>
        <w:t>New England journal of medicine.,</w:t>
      </w:r>
      <w:r w:rsidRPr="00795A8F">
        <w:rPr>
          <w:rFonts w:ascii="Times New Roman" w:eastAsia="Times New Roman" w:hAnsi="Times New Roman" w:cs="Times New Roman"/>
          <w:color w:val="333333"/>
          <w:lang w:eastAsia="tr-TR"/>
        </w:rPr>
        <w:t xml:space="preserve"> 376(15): 1407-1418.</w:t>
      </w:r>
    </w:p>
    <w:p w14:paraId="53ECC607" w14:textId="31A6BADB" w:rsidR="00795A8F" w:rsidRDefault="00795A8F"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795A8F">
        <w:rPr>
          <w:rFonts w:ascii="Times New Roman" w:eastAsia="Times New Roman" w:hAnsi="Times New Roman" w:cs="Times New Roman"/>
          <w:color w:val="333333"/>
          <w:lang w:eastAsia="tr-TR"/>
        </w:rPr>
        <w:t xml:space="preserve">Menotti, A., Lanti, M., Kromhout, D., Kafatos, A., Nedeljkovic, S. and Nissinen, A. 2005. Short and long term association of a single serum cholesterol measurement in middLe-aged men in prediction of fatal coronary and other cardiovascular events: a cross-cultural comparison through Europe. </w:t>
      </w:r>
      <w:r w:rsidRPr="00795A8F">
        <w:rPr>
          <w:rFonts w:ascii="Times New Roman" w:eastAsia="Times New Roman" w:hAnsi="Times New Roman" w:cs="Times New Roman"/>
          <w:i/>
          <w:iCs/>
          <w:color w:val="333333"/>
          <w:lang w:eastAsia="tr-TR"/>
        </w:rPr>
        <w:t xml:space="preserve">European journal of epidemiology., </w:t>
      </w:r>
      <w:r w:rsidRPr="00795A8F">
        <w:rPr>
          <w:rFonts w:ascii="Times New Roman" w:eastAsia="Times New Roman" w:hAnsi="Times New Roman" w:cs="Times New Roman"/>
          <w:color w:val="333333"/>
          <w:lang w:eastAsia="tr-TR"/>
        </w:rPr>
        <w:t>20(7): 597-604.</w:t>
      </w:r>
    </w:p>
    <w:p w14:paraId="645B4078" w14:textId="0360C159" w:rsidR="00795A8F" w:rsidRDefault="00B53541"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B53541">
        <w:rPr>
          <w:rFonts w:ascii="Times New Roman" w:eastAsia="Times New Roman" w:hAnsi="Times New Roman" w:cs="Times New Roman"/>
          <w:color w:val="333333"/>
          <w:lang w:eastAsia="tr-TR"/>
        </w:rPr>
        <w:t xml:space="preserve">Rana, J. S., Liu, J. Y., Moffet, H. H., Boklage, S. H., Khan, I. and Karter, A. J. 2018. Risk of incident atherosclerotic cardiovascular DiseaseEvents by achieved Atherogenic lipid levels Among62, 428 statin-treated individuals with diabetes mellitus. </w:t>
      </w:r>
      <w:r w:rsidRPr="00B53541">
        <w:rPr>
          <w:rFonts w:ascii="Times New Roman" w:eastAsia="Times New Roman" w:hAnsi="Times New Roman" w:cs="Times New Roman"/>
          <w:i/>
          <w:iCs/>
          <w:color w:val="333333"/>
          <w:lang w:eastAsia="tr-TR"/>
        </w:rPr>
        <w:t>The American Journal of Cardiology.,</w:t>
      </w:r>
      <w:r w:rsidRPr="00B53541">
        <w:rPr>
          <w:rFonts w:ascii="Times New Roman" w:eastAsia="Times New Roman" w:hAnsi="Times New Roman" w:cs="Times New Roman"/>
          <w:color w:val="333333"/>
          <w:lang w:eastAsia="tr-TR"/>
        </w:rPr>
        <w:t xml:space="preserve"> 122(5): 762-767.</w:t>
      </w:r>
    </w:p>
    <w:p w14:paraId="31E630A0" w14:textId="6EDAC45B" w:rsidR="00B53541" w:rsidRDefault="00B53541"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B53541">
        <w:rPr>
          <w:rFonts w:ascii="Times New Roman" w:eastAsia="Times New Roman" w:hAnsi="Times New Roman" w:cs="Times New Roman"/>
          <w:color w:val="333333"/>
          <w:lang w:eastAsia="tr-TR"/>
        </w:rPr>
        <w:t xml:space="preserve">Boullart, A. C. I., De Graaf, J. and Stalenhoef, A. F. 2012. Serum triglycerides and risk of cardiovascular disease. </w:t>
      </w:r>
      <w:r w:rsidRPr="00B53541">
        <w:rPr>
          <w:rFonts w:ascii="Times New Roman" w:eastAsia="Times New Roman" w:hAnsi="Times New Roman" w:cs="Times New Roman"/>
          <w:i/>
          <w:iCs/>
          <w:color w:val="333333"/>
          <w:lang w:eastAsia="tr-TR"/>
        </w:rPr>
        <w:t>Biochimica et Biophysica Acta (BBA)-Molecular and Cell Biology of Lipids.,</w:t>
      </w:r>
      <w:r w:rsidRPr="00B53541">
        <w:rPr>
          <w:rFonts w:ascii="Times New Roman" w:eastAsia="Times New Roman" w:hAnsi="Times New Roman" w:cs="Times New Roman"/>
          <w:color w:val="333333"/>
          <w:lang w:eastAsia="tr-TR"/>
        </w:rPr>
        <w:t xml:space="preserve"> 1821(5): 867-875.</w:t>
      </w:r>
    </w:p>
    <w:p w14:paraId="59ABB94A" w14:textId="31729814" w:rsidR="00B53541" w:rsidRDefault="00B53541"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B53541">
        <w:rPr>
          <w:rFonts w:ascii="Times New Roman" w:eastAsia="Times New Roman" w:hAnsi="Times New Roman" w:cs="Times New Roman"/>
          <w:color w:val="333333"/>
          <w:lang w:eastAsia="tr-TR"/>
        </w:rPr>
        <w:t xml:space="preserve">Miller, M., Stone, N. J., Ballantyne, C., Bittner, V., Criqui, M. H., Ginsberg, H. N. and Pennathur, S. 2011. Triglycerides and cardiovascular disease: </w:t>
      </w:r>
      <w:r w:rsidRPr="00B53541">
        <w:rPr>
          <w:rFonts w:ascii="Times New Roman" w:eastAsia="Times New Roman" w:hAnsi="Times New Roman" w:cs="Times New Roman"/>
          <w:i/>
          <w:iCs/>
          <w:color w:val="333333"/>
          <w:lang w:eastAsia="tr-TR"/>
        </w:rPr>
        <w:t>a scientific statement from the American Heart Association.</w:t>
      </w:r>
      <w:r w:rsidRPr="00B53541">
        <w:rPr>
          <w:rFonts w:ascii="Times New Roman" w:eastAsia="Times New Roman" w:hAnsi="Times New Roman" w:cs="Times New Roman"/>
          <w:color w:val="333333"/>
          <w:lang w:eastAsia="tr-TR"/>
        </w:rPr>
        <w:t xml:space="preserve"> </w:t>
      </w:r>
      <w:r w:rsidRPr="00B53541">
        <w:rPr>
          <w:rFonts w:ascii="Times New Roman" w:eastAsia="Times New Roman" w:hAnsi="Times New Roman" w:cs="Times New Roman"/>
          <w:i/>
          <w:iCs/>
          <w:color w:val="333333"/>
          <w:lang w:eastAsia="tr-TR"/>
        </w:rPr>
        <w:t>Circulation.,</w:t>
      </w:r>
      <w:r w:rsidRPr="00B53541">
        <w:rPr>
          <w:rFonts w:ascii="Times New Roman" w:eastAsia="Times New Roman" w:hAnsi="Times New Roman" w:cs="Times New Roman"/>
          <w:color w:val="333333"/>
          <w:lang w:eastAsia="tr-TR"/>
        </w:rPr>
        <w:t xml:space="preserve"> 123(20): 2292-2333.</w:t>
      </w:r>
    </w:p>
    <w:p w14:paraId="1440FF46" w14:textId="4E50E3EF" w:rsidR="00B53541" w:rsidRDefault="008C6DBC"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C6DBC">
        <w:rPr>
          <w:rFonts w:ascii="Times New Roman" w:eastAsia="Times New Roman" w:hAnsi="Times New Roman" w:cs="Times New Roman"/>
          <w:color w:val="333333"/>
          <w:lang w:eastAsia="tr-TR"/>
        </w:rPr>
        <w:t xml:space="preserve">DeFilippis, A. P., Young, R., Carrubba, C. J., McEvoy, J. W., Budoff, M. J., Blumenthal, R. S. and Blaha, M. J. 2015. An analysis of calibration and discrimination among multiple cardiovascular risk scores in a modern multiethnic cohort. </w:t>
      </w:r>
      <w:r w:rsidRPr="008C6DBC">
        <w:rPr>
          <w:rFonts w:ascii="Times New Roman" w:eastAsia="Times New Roman" w:hAnsi="Times New Roman" w:cs="Times New Roman"/>
          <w:i/>
          <w:iCs/>
          <w:color w:val="333333"/>
          <w:lang w:eastAsia="tr-TR"/>
        </w:rPr>
        <w:t>Annals of internal medicine.,</w:t>
      </w:r>
      <w:r w:rsidRPr="008C6DBC">
        <w:rPr>
          <w:rFonts w:ascii="Times New Roman" w:eastAsia="Times New Roman" w:hAnsi="Times New Roman" w:cs="Times New Roman"/>
          <w:color w:val="333333"/>
          <w:lang w:eastAsia="tr-TR"/>
        </w:rPr>
        <w:t xml:space="preserve"> 162(4): 266-275.</w:t>
      </w:r>
    </w:p>
    <w:p w14:paraId="104521F7" w14:textId="27235F0E" w:rsidR="008C6DBC" w:rsidRDefault="008C6DBC"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C6DBC">
        <w:rPr>
          <w:rFonts w:ascii="Times New Roman" w:eastAsia="Times New Roman" w:hAnsi="Times New Roman" w:cs="Times New Roman"/>
          <w:color w:val="333333"/>
          <w:lang w:eastAsia="tr-TR"/>
        </w:rPr>
        <w:lastRenderedPageBreak/>
        <w:t xml:space="preserve">Lu, W., Resnick, H. E., Jablonski, K. A., Jones, K. L., Jain, A. K., Howard, W. J. and Howard, B. V. 2003. Non-HDL cholesterol as a predictor of cardiovascular disease in type 2 diabetes: </w:t>
      </w:r>
      <w:r w:rsidRPr="008C6DBC">
        <w:rPr>
          <w:rFonts w:ascii="Times New Roman" w:eastAsia="Times New Roman" w:hAnsi="Times New Roman" w:cs="Times New Roman"/>
          <w:i/>
          <w:iCs/>
          <w:color w:val="333333"/>
          <w:lang w:eastAsia="tr-TR"/>
        </w:rPr>
        <w:t>the strong heart study. Diabetes care.,</w:t>
      </w:r>
      <w:r w:rsidRPr="008C6DBC">
        <w:rPr>
          <w:rFonts w:ascii="Times New Roman" w:eastAsia="Times New Roman" w:hAnsi="Times New Roman" w:cs="Times New Roman"/>
          <w:color w:val="333333"/>
          <w:lang w:eastAsia="tr-TR"/>
        </w:rPr>
        <w:t xml:space="preserve"> 26(1): 16-23.</w:t>
      </w:r>
    </w:p>
    <w:p w14:paraId="13026658" w14:textId="7F545692" w:rsidR="008C6DBC" w:rsidRDefault="008C6DBC"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C6DBC">
        <w:rPr>
          <w:rFonts w:ascii="Times New Roman" w:eastAsia="Times New Roman" w:hAnsi="Times New Roman" w:cs="Times New Roman"/>
          <w:color w:val="333333"/>
          <w:lang w:eastAsia="tr-TR"/>
        </w:rPr>
        <w:t xml:space="preserve">Laakso, M. 1999. Hyperglycemia and cardiovascular disease in type 2 diabetes. </w:t>
      </w:r>
      <w:r w:rsidRPr="008C6DBC">
        <w:rPr>
          <w:rFonts w:ascii="Times New Roman" w:eastAsia="Times New Roman" w:hAnsi="Times New Roman" w:cs="Times New Roman"/>
          <w:i/>
          <w:iCs/>
          <w:color w:val="333333"/>
          <w:lang w:eastAsia="tr-TR"/>
        </w:rPr>
        <w:t>Diabetes.,</w:t>
      </w:r>
      <w:r w:rsidRPr="008C6DBC">
        <w:rPr>
          <w:rFonts w:ascii="Times New Roman" w:eastAsia="Times New Roman" w:hAnsi="Times New Roman" w:cs="Times New Roman"/>
          <w:color w:val="333333"/>
          <w:lang w:eastAsia="tr-TR"/>
        </w:rPr>
        <w:t xml:space="preserve"> 48(5): 937-942.</w:t>
      </w:r>
    </w:p>
    <w:p w14:paraId="618A2E26" w14:textId="1963BE71" w:rsidR="008C6DBC" w:rsidRDefault="008C6DBC"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C6DBC">
        <w:rPr>
          <w:rFonts w:ascii="Times New Roman" w:eastAsia="Times New Roman" w:hAnsi="Times New Roman" w:cs="Times New Roman"/>
          <w:color w:val="333333"/>
          <w:lang w:eastAsia="tr-TR"/>
        </w:rPr>
        <w:t xml:space="preserve">Park, K. C., Gaze, D. C., Collinson, P. O. and Marber, M. S. 2017. Cardiac troponins: from myocardial infarction to chronic disease. </w:t>
      </w:r>
      <w:r w:rsidRPr="008C6DBC">
        <w:rPr>
          <w:rFonts w:ascii="Times New Roman" w:eastAsia="Times New Roman" w:hAnsi="Times New Roman" w:cs="Times New Roman"/>
          <w:i/>
          <w:iCs/>
          <w:color w:val="333333"/>
          <w:lang w:eastAsia="tr-TR"/>
        </w:rPr>
        <w:t>Cardiovascular research.,</w:t>
      </w:r>
      <w:r w:rsidRPr="008C6DBC">
        <w:rPr>
          <w:rFonts w:ascii="Times New Roman" w:eastAsia="Times New Roman" w:hAnsi="Times New Roman" w:cs="Times New Roman"/>
          <w:color w:val="333333"/>
          <w:lang w:eastAsia="tr-TR"/>
        </w:rPr>
        <w:t xml:space="preserve"> 113(14): 1708-1718.</w:t>
      </w:r>
    </w:p>
    <w:p w14:paraId="228DB99D" w14:textId="6C1D3DE4" w:rsidR="008C6DBC" w:rsidRDefault="008C6DBC"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C6DBC">
        <w:rPr>
          <w:rFonts w:ascii="Times New Roman" w:eastAsia="Times New Roman" w:hAnsi="Times New Roman" w:cs="Times New Roman"/>
          <w:color w:val="333333"/>
          <w:lang w:eastAsia="tr-TR"/>
        </w:rPr>
        <w:t>Anand, A. and Mills, N. L. 2019. A look back: diagnosing myocardial infarction in the era of high-sensitivity troponin after the High-STEACS trial</w:t>
      </w:r>
      <w:r w:rsidRPr="008E0304">
        <w:rPr>
          <w:rFonts w:ascii="Times New Roman" w:eastAsia="Times New Roman" w:hAnsi="Times New Roman" w:cs="Times New Roman"/>
          <w:i/>
          <w:iCs/>
          <w:color w:val="333333"/>
          <w:lang w:eastAsia="tr-TR"/>
        </w:rPr>
        <w:t>. Cardiovascular Research.,</w:t>
      </w:r>
      <w:r w:rsidRPr="008C6DBC">
        <w:rPr>
          <w:rFonts w:ascii="Times New Roman" w:eastAsia="Times New Roman" w:hAnsi="Times New Roman" w:cs="Times New Roman"/>
          <w:color w:val="333333"/>
          <w:lang w:eastAsia="tr-TR"/>
        </w:rPr>
        <w:t xml:space="preserve"> 115(14): e158-e160.</w:t>
      </w:r>
    </w:p>
    <w:p w14:paraId="38DC3636" w14:textId="2E35C64E" w:rsidR="008E0304" w:rsidRDefault="008E0304"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8E0304">
        <w:rPr>
          <w:rFonts w:ascii="Times New Roman" w:eastAsia="Times New Roman" w:hAnsi="Times New Roman" w:cs="Times New Roman"/>
          <w:color w:val="333333"/>
          <w:lang w:eastAsia="tr-TR"/>
        </w:rPr>
        <w:t xml:space="preserve">Bonaca, M. P., O’Malley, R. G., Jarolim, P., Scirica, B. M., Murphy, S. A., Conrad, M. J. and Sabatine, M. S. 2016. Serial cardiac troponin measured using a high-sensitivity assay in stable patients with ischemic heart disease. </w:t>
      </w:r>
      <w:r w:rsidRPr="008E0304">
        <w:rPr>
          <w:rFonts w:ascii="Times New Roman" w:eastAsia="Times New Roman" w:hAnsi="Times New Roman" w:cs="Times New Roman"/>
          <w:i/>
          <w:iCs/>
          <w:color w:val="333333"/>
          <w:lang w:eastAsia="tr-TR"/>
        </w:rPr>
        <w:t>Journal of the American College of Cardiology.,</w:t>
      </w:r>
      <w:r w:rsidRPr="008E0304">
        <w:rPr>
          <w:rFonts w:ascii="Times New Roman" w:eastAsia="Times New Roman" w:hAnsi="Times New Roman" w:cs="Times New Roman"/>
          <w:color w:val="333333"/>
          <w:lang w:eastAsia="tr-TR"/>
        </w:rPr>
        <w:t xml:space="preserve"> 68(3): 322-323.</w:t>
      </w:r>
    </w:p>
    <w:p w14:paraId="5A38EE11" w14:textId="4FC72D80" w:rsidR="00DF60E9" w:rsidRDefault="00DF60E9"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DF60E9">
        <w:rPr>
          <w:rFonts w:ascii="Times New Roman" w:eastAsia="Times New Roman" w:hAnsi="Times New Roman" w:cs="Times New Roman"/>
          <w:color w:val="333333"/>
          <w:lang w:eastAsia="tr-TR"/>
        </w:rPr>
        <w:t xml:space="preserve">Jayachandran, M. and Qu, S. 2021. Harnessing hyperuricemia to atherosclerosis and understanding its mechanistic dependence. </w:t>
      </w:r>
      <w:r w:rsidRPr="00DF60E9">
        <w:rPr>
          <w:rFonts w:ascii="Times New Roman" w:eastAsia="Times New Roman" w:hAnsi="Times New Roman" w:cs="Times New Roman"/>
          <w:i/>
          <w:iCs/>
          <w:color w:val="333333"/>
          <w:lang w:eastAsia="tr-TR"/>
        </w:rPr>
        <w:t>Medicinal Research Reviews.,</w:t>
      </w:r>
      <w:r w:rsidRPr="00DF60E9">
        <w:rPr>
          <w:rFonts w:ascii="Times New Roman" w:eastAsia="Times New Roman" w:hAnsi="Times New Roman" w:cs="Times New Roman"/>
          <w:color w:val="333333"/>
          <w:lang w:eastAsia="tr-TR"/>
        </w:rPr>
        <w:t xml:space="preserve"> 41(1): 616-629.</w:t>
      </w:r>
    </w:p>
    <w:p w14:paraId="27295E7E" w14:textId="07F586FA" w:rsidR="00DF60E9" w:rsidRDefault="00DF60E9"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DF60E9">
        <w:rPr>
          <w:rFonts w:ascii="Times New Roman" w:eastAsia="Times New Roman" w:hAnsi="Times New Roman" w:cs="Times New Roman"/>
          <w:color w:val="333333"/>
          <w:lang w:eastAsia="tr-TR"/>
        </w:rPr>
        <w:t xml:space="preserve">Gaubert, M., Bardin, T., Cohen-Solal, A., Diévart, F., Fauvel, J. P., Guieu, R. and Paganelli, F. 2020. Hyperuricemia and hypertension, coronary artery disease, kidney disease: from concept to practice. </w:t>
      </w:r>
      <w:r w:rsidRPr="00DF60E9">
        <w:rPr>
          <w:rFonts w:ascii="Times New Roman" w:eastAsia="Times New Roman" w:hAnsi="Times New Roman" w:cs="Times New Roman"/>
          <w:i/>
          <w:iCs/>
          <w:color w:val="333333"/>
          <w:lang w:eastAsia="tr-TR"/>
        </w:rPr>
        <w:t>International Journal of Molecular Sciences.,</w:t>
      </w:r>
      <w:r w:rsidRPr="00DF60E9">
        <w:rPr>
          <w:rFonts w:ascii="Times New Roman" w:eastAsia="Times New Roman" w:hAnsi="Times New Roman" w:cs="Times New Roman"/>
          <w:color w:val="333333"/>
          <w:lang w:eastAsia="tr-TR"/>
        </w:rPr>
        <w:t xml:space="preserve"> 21(11): 4066.</w:t>
      </w:r>
    </w:p>
    <w:p w14:paraId="7147D4FF" w14:textId="4A4C6E0C" w:rsidR="00DF60E9" w:rsidRDefault="00DF60E9"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DF60E9">
        <w:rPr>
          <w:rFonts w:ascii="Times New Roman" w:eastAsia="Times New Roman" w:hAnsi="Times New Roman" w:cs="Times New Roman"/>
          <w:color w:val="333333"/>
          <w:lang w:eastAsia="tr-TR"/>
        </w:rPr>
        <w:t xml:space="preserve">Borghi, C., Rosei, E. A., Bardin, T., Dawson, J., Dominiczak, A., Kielstein, J. T. and Mancia, G. 2015. Serum uric acid and the risk of cardiovascular and renal disease. </w:t>
      </w:r>
      <w:r w:rsidRPr="00C3191E">
        <w:rPr>
          <w:rFonts w:ascii="Times New Roman" w:eastAsia="Times New Roman" w:hAnsi="Times New Roman" w:cs="Times New Roman"/>
          <w:i/>
          <w:iCs/>
          <w:color w:val="333333"/>
          <w:lang w:eastAsia="tr-TR"/>
        </w:rPr>
        <w:t>Journal of hypertension.,</w:t>
      </w:r>
      <w:r w:rsidRPr="00DF60E9">
        <w:rPr>
          <w:rFonts w:ascii="Times New Roman" w:eastAsia="Times New Roman" w:hAnsi="Times New Roman" w:cs="Times New Roman"/>
          <w:color w:val="333333"/>
          <w:lang w:eastAsia="tr-TR"/>
        </w:rPr>
        <w:t xml:space="preserve"> 33(9): 1729-1741.</w:t>
      </w:r>
    </w:p>
    <w:p w14:paraId="71268D83" w14:textId="083D855F" w:rsidR="00C3191E" w:rsidRDefault="00C3191E"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C3191E">
        <w:rPr>
          <w:rFonts w:ascii="Times New Roman" w:eastAsia="Times New Roman" w:hAnsi="Times New Roman" w:cs="Times New Roman"/>
          <w:color w:val="333333"/>
          <w:lang w:eastAsia="tr-TR"/>
        </w:rPr>
        <w:t xml:space="preserve">Kanbay, M., Segal, M., Afsar, B., Kang, D. H., Rodriguez-Iturbe, B. and Johnson, R. J. 2013. The role of uric acid in the pathogenesis of human cardiovascular disease. </w:t>
      </w:r>
      <w:r w:rsidRPr="00C3191E">
        <w:rPr>
          <w:rFonts w:ascii="Times New Roman" w:eastAsia="Times New Roman" w:hAnsi="Times New Roman" w:cs="Times New Roman"/>
          <w:i/>
          <w:iCs/>
          <w:color w:val="333333"/>
          <w:lang w:eastAsia="tr-TR"/>
        </w:rPr>
        <w:t>Heart.,</w:t>
      </w:r>
      <w:r w:rsidRPr="00C3191E">
        <w:rPr>
          <w:rFonts w:ascii="Times New Roman" w:eastAsia="Times New Roman" w:hAnsi="Times New Roman" w:cs="Times New Roman"/>
          <w:color w:val="333333"/>
          <w:lang w:eastAsia="tr-TR"/>
        </w:rPr>
        <w:t xml:space="preserve"> 99(11): 759-766.</w:t>
      </w:r>
    </w:p>
    <w:p w14:paraId="3B32457C" w14:textId="5E9B0D16" w:rsidR="003F4C4C" w:rsidRDefault="003F4C4C" w:rsidP="00795A8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3F4C4C">
        <w:rPr>
          <w:rFonts w:ascii="Times New Roman" w:eastAsia="Times New Roman" w:hAnsi="Times New Roman" w:cs="Times New Roman"/>
          <w:color w:val="333333"/>
          <w:lang w:eastAsia="tr-TR"/>
        </w:rPr>
        <w:t xml:space="preserve">Jayachandran, M. and Qu, S. 2021. Harnessing hyperuricemia to atherosclerosis and understanding its mechanistic dependence. </w:t>
      </w:r>
      <w:r w:rsidRPr="003F4C4C">
        <w:rPr>
          <w:rFonts w:ascii="Times New Roman" w:eastAsia="Times New Roman" w:hAnsi="Times New Roman" w:cs="Times New Roman"/>
          <w:i/>
          <w:iCs/>
          <w:color w:val="333333"/>
          <w:lang w:eastAsia="tr-TR"/>
        </w:rPr>
        <w:t>Medicinal Research Reviews.,</w:t>
      </w:r>
      <w:r w:rsidRPr="003F4C4C">
        <w:rPr>
          <w:rFonts w:ascii="Times New Roman" w:eastAsia="Times New Roman" w:hAnsi="Times New Roman" w:cs="Times New Roman"/>
          <w:color w:val="333333"/>
          <w:lang w:eastAsia="tr-TR"/>
        </w:rPr>
        <w:t xml:space="preserve"> 41(1): 616-629.</w:t>
      </w:r>
    </w:p>
    <w:p w14:paraId="2BED4F5A" w14:textId="63C92373" w:rsidR="005A4189" w:rsidRPr="000128D7" w:rsidRDefault="005A4189" w:rsidP="000128D7">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sectPr w:rsidR="005A4189" w:rsidRPr="000128D7"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pPr>
    </w:p>
    <w:p w14:paraId="6AA59324" w14:textId="434A96EA" w:rsidR="00842E06" w:rsidRPr="000128D7" w:rsidRDefault="00842E06" w:rsidP="000128D7">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FBD5" w14:textId="77777777" w:rsidR="00A95F74" w:rsidRDefault="00A95F74" w:rsidP="00A86FE2">
      <w:pPr>
        <w:spacing w:after="0"/>
      </w:pPr>
      <w:r>
        <w:separator/>
      </w:r>
    </w:p>
  </w:endnote>
  <w:endnote w:type="continuationSeparator" w:id="0">
    <w:p w14:paraId="539A1C3B" w14:textId="77777777" w:rsidR="00A95F74" w:rsidRDefault="00A95F7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Footer"/>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Content>
      <w:p w14:paraId="3BD0FCEB" w14:textId="67EB9097" w:rsidR="0007224B" w:rsidRDefault="0007224B">
        <w:pPr>
          <w:pStyle w:val="Footer"/>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574404AE"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EE0497">
            <w:rPr>
              <w:rFonts w:ascii="Times New Roman" w:hAnsi="Times New Roman" w:cs="Times New Roman"/>
              <w:i/>
              <w:color w:val="000000" w:themeColor="text1"/>
              <w:sz w:val="16"/>
              <w:szCs w:val="16"/>
            </w:rPr>
            <w:t>haydarjassim5</w:t>
          </w:r>
          <w:r w:rsidRPr="0061355D">
            <w:rPr>
              <w:rFonts w:ascii="Times New Roman" w:hAnsi="Times New Roman" w:cs="Times New Roman"/>
              <w:i/>
              <w:color w:val="000000" w:themeColor="text1"/>
              <w:sz w:val="16"/>
              <w:szCs w:val="16"/>
            </w:rPr>
            <w:t>@</w:t>
          </w:r>
          <w:r w:rsidR="00EE0497">
            <w:rPr>
              <w:rFonts w:ascii="Times New Roman" w:hAnsi="Times New Roman" w:cs="Times New Roman"/>
              <w:i/>
              <w:color w:val="000000" w:themeColor="text1"/>
              <w:sz w:val="16"/>
              <w:szCs w:val="16"/>
            </w:rPr>
            <w:t>gmail.com</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Footer"/>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9D455" w14:textId="77777777" w:rsidR="00A95F74" w:rsidRDefault="00A95F74" w:rsidP="00A86FE2">
      <w:pPr>
        <w:spacing w:after="0"/>
      </w:pPr>
      <w:r>
        <w:separator/>
      </w:r>
    </w:p>
  </w:footnote>
  <w:footnote w:type="continuationSeparator" w:id="0">
    <w:p w14:paraId="58C3FE67" w14:textId="77777777" w:rsidR="00A95F74" w:rsidRDefault="00A95F74"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Header"/>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4FC70E14"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0128D7">
                            <w:rPr>
                              <w:rFonts w:ascii="Times New Roman" w:hAnsi="Times New Roman" w:cs="Times New Roman"/>
                              <w:bCs/>
                              <w:i/>
                              <w:color w:val="000000" w:themeColor="text1"/>
                              <w:sz w:val="20"/>
                              <w:szCs w:val="16"/>
                            </w:rPr>
                            <w:t>2</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775792">
                            <w:rPr>
                              <w:rFonts w:ascii="Times New Roman" w:hAnsi="Times New Roman" w:cs="Times New Roman"/>
                              <w:bCs/>
                              <w:i/>
                              <w:color w:val="000000" w:themeColor="text1"/>
                              <w:sz w:val="20"/>
                              <w:szCs w:val="16"/>
                            </w:rPr>
                            <w:t>1</w:t>
                          </w:r>
                          <w:r w:rsidR="00AF3424">
                            <w:rPr>
                              <w:rFonts w:ascii="Times New Roman" w:hAnsi="Times New Roman" w:cs="Times New Roman"/>
                              <w:bCs/>
                              <w:i/>
                              <w:color w:val="000000" w:themeColor="text1"/>
                              <w:sz w:val="20"/>
                              <w:szCs w:val="16"/>
                            </w:rPr>
                            <w:t>-</w:t>
                          </w:r>
                          <w:r w:rsidR="00775792">
                            <w:rPr>
                              <w:rFonts w:ascii="Times New Roman" w:hAnsi="Times New Roman" w:cs="Times New Roman"/>
                              <w:bCs/>
                              <w:i/>
                              <w:color w:val="000000" w:themeColor="text1"/>
                              <w:sz w:val="20"/>
                              <w:szCs w:val="16"/>
                            </w:rPr>
                            <w:t>7</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4FC70E14"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0128D7">
                      <w:rPr>
                        <w:rFonts w:ascii="Times New Roman" w:hAnsi="Times New Roman" w:cs="Times New Roman"/>
                        <w:bCs/>
                        <w:i/>
                        <w:color w:val="000000" w:themeColor="text1"/>
                        <w:sz w:val="20"/>
                        <w:szCs w:val="16"/>
                      </w:rPr>
                      <w:t>2</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775792">
                      <w:rPr>
                        <w:rFonts w:ascii="Times New Roman" w:hAnsi="Times New Roman" w:cs="Times New Roman"/>
                        <w:bCs/>
                        <w:i/>
                        <w:color w:val="000000" w:themeColor="text1"/>
                        <w:sz w:val="20"/>
                        <w:szCs w:val="16"/>
                      </w:rPr>
                      <w:t>1</w:t>
                    </w:r>
                    <w:r w:rsidR="00AF3424">
                      <w:rPr>
                        <w:rFonts w:ascii="Times New Roman" w:hAnsi="Times New Roman" w:cs="Times New Roman"/>
                        <w:bCs/>
                        <w:i/>
                        <w:color w:val="000000" w:themeColor="text1"/>
                        <w:sz w:val="20"/>
                        <w:szCs w:val="16"/>
                      </w:rPr>
                      <w:t>-</w:t>
                    </w:r>
                    <w:r w:rsidR="00775792">
                      <w:rPr>
                        <w:rFonts w:ascii="Times New Roman" w:hAnsi="Times New Roman" w:cs="Times New Roman"/>
                        <w:bCs/>
                        <w:i/>
                        <w:color w:val="000000" w:themeColor="text1"/>
                        <w:sz w:val="20"/>
                        <w:szCs w:val="16"/>
                      </w:rPr>
                      <w:t>7</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AE1" w14:textId="3295682F" w:rsidR="00825BB9" w:rsidRPr="00B04BE4" w:rsidRDefault="00986F68" w:rsidP="000823EB">
    <w:pPr>
      <w:jc w:val="center"/>
      <w:rPr>
        <w:rFonts w:cs="Arial"/>
        <w:b/>
        <w:color w:val="4F81BD" w:themeColor="accent1"/>
        <w:sz w:val="20"/>
        <w:szCs w:val="20"/>
      </w:rPr>
    </w:pPr>
    <w:r>
      <w:rPr>
        <w:noProof/>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Proceedings of ıkstc 2022 -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8C2236"/>
    <w:multiLevelType w:val="hybridMultilevel"/>
    <w:tmpl w:val="650E6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8"/>
  </w:num>
  <w:num w:numId="2" w16cid:durableId="474219552">
    <w:abstractNumId w:val="12"/>
  </w:num>
  <w:num w:numId="3" w16cid:durableId="1257179381">
    <w:abstractNumId w:val="9"/>
  </w:num>
  <w:num w:numId="4" w16cid:durableId="1074157985">
    <w:abstractNumId w:val="0"/>
  </w:num>
  <w:num w:numId="5" w16cid:durableId="74284078">
    <w:abstractNumId w:val="32"/>
  </w:num>
  <w:num w:numId="6" w16cid:durableId="1162114418">
    <w:abstractNumId w:val="11"/>
  </w:num>
  <w:num w:numId="7" w16cid:durableId="229772071">
    <w:abstractNumId w:val="5"/>
  </w:num>
  <w:num w:numId="8" w16cid:durableId="1756782369">
    <w:abstractNumId w:val="19"/>
  </w:num>
  <w:num w:numId="9" w16cid:durableId="1651711021">
    <w:abstractNumId w:val="27"/>
  </w:num>
  <w:num w:numId="10" w16cid:durableId="786041502">
    <w:abstractNumId w:val="23"/>
  </w:num>
  <w:num w:numId="11" w16cid:durableId="1992128163">
    <w:abstractNumId w:val="13"/>
  </w:num>
  <w:num w:numId="12" w16cid:durableId="1767581237">
    <w:abstractNumId w:val="4"/>
  </w:num>
  <w:num w:numId="13" w16cid:durableId="649478269">
    <w:abstractNumId w:val="24"/>
  </w:num>
  <w:num w:numId="14" w16cid:durableId="1589655195">
    <w:abstractNumId w:val="33"/>
  </w:num>
  <w:num w:numId="15" w16cid:durableId="6561958">
    <w:abstractNumId w:val="35"/>
  </w:num>
  <w:num w:numId="16" w16cid:durableId="2141027553">
    <w:abstractNumId w:val="36"/>
  </w:num>
  <w:num w:numId="17" w16cid:durableId="1521580915">
    <w:abstractNumId w:val="14"/>
  </w:num>
  <w:num w:numId="18" w16cid:durableId="946231226">
    <w:abstractNumId w:val="29"/>
  </w:num>
  <w:num w:numId="19" w16cid:durableId="366684207">
    <w:abstractNumId w:val="31"/>
  </w:num>
  <w:num w:numId="20" w16cid:durableId="1125925859">
    <w:abstractNumId w:val="10"/>
  </w:num>
  <w:num w:numId="21" w16cid:durableId="1106004170">
    <w:abstractNumId w:val="20"/>
  </w:num>
  <w:num w:numId="22" w16cid:durableId="1785536823">
    <w:abstractNumId w:val="7"/>
  </w:num>
  <w:num w:numId="23" w16cid:durableId="22020936">
    <w:abstractNumId w:val="26"/>
  </w:num>
  <w:num w:numId="24" w16cid:durableId="631404207">
    <w:abstractNumId w:val="3"/>
  </w:num>
  <w:num w:numId="25" w16cid:durableId="1016350349">
    <w:abstractNumId w:val="8"/>
  </w:num>
  <w:num w:numId="26" w16cid:durableId="1848862265">
    <w:abstractNumId w:val="17"/>
  </w:num>
  <w:num w:numId="27" w16cid:durableId="1098908270">
    <w:abstractNumId w:val="16"/>
  </w:num>
  <w:num w:numId="28" w16cid:durableId="78793884">
    <w:abstractNumId w:val="30"/>
  </w:num>
  <w:num w:numId="29" w16cid:durableId="963196006">
    <w:abstractNumId w:val="34"/>
  </w:num>
  <w:num w:numId="30" w16cid:durableId="1775175202">
    <w:abstractNumId w:val="21"/>
  </w:num>
  <w:num w:numId="31" w16cid:durableId="24016649">
    <w:abstractNumId w:val="22"/>
  </w:num>
  <w:num w:numId="32" w16cid:durableId="1803427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8"/>
  </w:num>
  <w:num w:numId="34" w16cid:durableId="1328093569">
    <w:abstractNumId w:val="6"/>
  </w:num>
  <w:num w:numId="35" w16cid:durableId="356194901">
    <w:abstractNumId w:val="25"/>
  </w:num>
  <w:num w:numId="36" w16cid:durableId="10966363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6D19"/>
    <w:rsid w:val="000128D7"/>
    <w:rsid w:val="00012A16"/>
    <w:rsid w:val="00013D56"/>
    <w:rsid w:val="00016F9D"/>
    <w:rsid w:val="000176AC"/>
    <w:rsid w:val="000226CA"/>
    <w:rsid w:val="0002363F"/>
    <w:rsid w:val="00023EFE"/>
    <w:rsid w:val="000261CE"/>
    <w:rsid w:val="000305BF"/>
    <w:rsid w:val="00032FFA"/>
    <w:rsid w:val="0003318E"/>
    <w:rsid w:val="00034B73"/>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5857"/>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E703B"/>
    <w:rsid w:val="000F16E6"/>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1DA4"/>
    <w:rsid w:val="00153153"/>
    <w:rsid w:val="001558FC"/>
    <w:rsid w:val="00156DA2"/>
    <w:rsid w:val="00161B9E"/>
    <w:rsid w:val="001634B1"/>
    <w:rsid w:val="001659DC"/>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6AB2"/>
    <w:rsid w:val="001A7F43"/>
    <w:rsid w:val="001B04BC"/>
    <w:rsid w:val="001B0B76"/>
    <w:rsid w:val="001B1186"/>
    <w:rsid w:val="001B16A1"/>
    <w:rsid w:val="001B1726"/>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5B6C"/>
    <w:rsid w:val="001F62CD"/>
    <w:rsid w:val="001F740F"/>
    <w:rsid w:val="002017F8"/>
    <w:rsid w:val="00206EBB"/>
    <w:rsid w:val="002139A7"/>
    <w:rsid w:val="00217ABE"/>
    <w:rsid w:val="00220893"/>
    <w:rsid w:val="002219E7"/>
    <w:rsid w:val="0023543B"/>
    <w:rsid w:val="00235FE5"/>
    <w:rsid w:val="002373CF"/>
    <w:rsid w:val="00240060"/>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5E08"/>
    <w:rsid w:val="0029647A"/>
    <w:rsid w:val="002A041C"/>
    <w:rsid w:val="002A0598"/>
    <w:rsid w:val="002A198A"/>
    <w:rsid w:val="002A49B9"/>
    <w:rsid w:val="002A5758"/>
    <w:rsid w:val="002A5C3A"/>
    <w:rsid w:val="002B0527"/>
    <w:rsid w:val="002B1A50"/>
    <w:rsid w:val="002B2A8A"/>
    <w:rsid w:val="002B3A67"/>
    <w:rsid w:val="002B5660"/>
    <w:rsid w:val="002B5B23"/>
    <w:rsid w:val="002B6939"/>
    <w:rsid w:val="002C018E"/>
    <w:rsid w:val="002C223B"/>
    <w:rsid w:val="002C2A1B"/>
    <w:rsid w:val="002C5284"/>
    <w:rsid w:val="002C7A08"/>
    <w:rsid w:val="002D085B"/>
    <w:rsid w:val="002D563D"/>
    <w:rsid w:val="002D5AFE"/>
    <w:rsid w:val="002D6005"/>
    <w:rsid w:val="002E0228"/>
    <w:rsid w:val="002E0A62"/>
    <w:rsid w:val="002E3230"/>
    <w:rsid w:val="002E45FC"/>
    <w:rsid w:val="002E5C5B"/>
    <w:rsid w:val="002E7AA4"/>
    <w:rsid w:val="002F35B5"/>
    <w:rsid w:val="002F4D18"/>
    <w:rsid w:val="002F4EF5"/>
    <w:rsid w:val="002F5562"/>
    <w:rsid w:val="002F6ACD"/>
    <w:rsid w:val="003039C1"/>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3AF3"/>
    <w:rsid w:val="003842B0"/>
    <w:rsid w:val="003853F8"/>
    <w:rsid w:val="00386535"/>
    <w:rsid w:val="00390CFF"/>
    <w:rsid w:val="0039131A"/>
    <w:rsid w:val="00394F02"/>
    <w:rsid w:val="00395ECD"/>
    <w:rsid w:val="003A09DA"/>
    <w:rsid w:val="003A283B"/>
    <w:rsid w:val="003A3D9A"/>
    <w:rsid w:val="003A567B"/>
    <w:rsid w:val="003A59A7"/>
    <w:rsid w:val="003B1029"/>
    <w:rsid w:val="003B1C96"/>
    <w:rsid w:val="003B41DF"/>
    <w:rsid w:val="003B6E79"/>
    <w:rsid w:val="003C3FDC"/>
    <w:rsid w:val="003C74B9"/>
    <w:rsid w:val="003C7CC2"/>
    <w:rsid w:val="003D304F"/>
    <w:rsid w:val="003D3818"/>
    <w:rsid w:val="003E3010"/>
    <w:rsid w:val="003E5758"/>
    <w:rsid w:val="003E70C9"/>
    <w:rsid w:val="003F1FCB"/>
    <w:rsid w:val="003F4C4C"/>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182D"/>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E2C"/>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47A4"/>
    <w:rsid w:val="004E5A55"/>
    <w:rsid w:val="004E5E59"/>
    <w:rsid w:val="004E7E58"/>
    <w:rsid w:val="004F1277"/>
    <w:rsid w:val="004F253D"/>
    <w:rsid w:val="004F2FA0"/>
    <w:rsid w:val="004F5B28"/>
    <w:rsid w:val="004F6821"/>
    <w:rsid w:val="004F6A3A"/>
    <w:rsid w:val="004F7DBB"/>
    <w:rsid w:val="00500F83"/>
    <w:rsid w:val="005039EC"/>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0EF6"/>
    <w:rsid w:val="005B1FE7"/>
    <w:rsid w:val="005B366F"/>
    <w:rsid w:val="005B38AD"/>
    <w:rsid w:val="005C08A1"/>
    <w:rsid w:val="005C23CF"/>
    <w:rsid w:val="005D4955"/>
    <w:rsid w:val="005E0BA1"/>
    <w:rsid w:val="005E2170"/>
    <w:rsid w:val="005E4273"/>
    <w:rsid w:val="005E509C"/>
    <w:rsid w:val="005E5971"/>
    <w:rsid w:val="005E6455"/>
    <w:rsid w:val="005E6690"/>
    <w:rsid w:val="005E6C0B"/>
    <w:rsid w:val="005F0644"/>
    <w:rsid w:val="005F3CE3"/>
    <w:rsid w:val="005F4BC4"/>
    <w:rsid w:val="005F7FD2"/>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2FA8"/>
    <w:rsid w:val="006469F5"/>
    <w:rsid w:val="00646AB3"/>
    <w:rsid w:val="00651CE0"/>
    <w:rsid w:val="00652B2B"/>
    <w:rsid w:val="00653E62"/>
    <w:rsid w:val="006578D9"/>
    <w:rsid w:val="006637E4"/>
    <w:rsid w:val="0066401F"/>
    <w:rsid w:val="00667071"/>
    <w:rsid w:val="00667C07"/>
    <w:rsid w:val="006716E0"/>
    <w:rsid w:val="00673F24"/>
    <w:rsid w:val="0067546F"/>
    <w:rsid w:val="00676032"/>
    <w:rsid w:val="006762DF"/>
    <w:rsid w:val="00685B8B"/>
    <w:rsid w:val="00685C58"/>
    <w:rsid w:val="006920AD"/>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52F3"/>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5792"/>
    <w:rsid w:val="00781E13"/>
    <w:rsid w:val="00781E30"/>
    <w:rsid w:val="00782AC3"/>
    <w:rsid w:val="00790946"/>
    <w:rsid w:val="007920CE"/>
    <w:rsid w:val="0079379D"/>
    <w:rsid w:val="00794F14"/>
    <w:rsid w:val="00795576"/>
    <w:rsid w:val="00795A8F"/>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343C0"/>
    <w:rsid w:val="008407DF"/>
    <w:rsid w:val="0084219B"/>
    <w:rsid w:val="008421FA"/>
    <w:rsid w:val="00842581"/>
    <w:rsid w:val="00842E06"/>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BC5"/>
    <w:rsid w:val="008A6108"/>
    <w:rsid w:val="008A7AFF"/>
    <w:rsid w:val="008B3D1C"/>
    <w:rsid w:val="008C2AD1"/>
    <w:rsid w:val="008C347E"/>
    <w:rsid w:val="008C355E"/>
    <w:rsid w:val="008C5FCE"/>
    <w:rsid w:val="008C6DBC"/>
    <w:rsid w:val="008D1B4F"/>
    <w:rsid w:val="008D2A6D"/>
    <w:rsid w:val="008D62E7"/>
    <w:rsid w:val="008E0304"/>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2DA2"/>
    <w:rsid w:val="00923187"/>
    <w:rsid w:val="009243C1"/>
    <w:rsid w:val="00924A9A"/>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13C7"/>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3599"/>
    <w:rsid w:val="00A56606"/>
    <w:rsid w:val="00A57AAA"/>
    <w:rsid w:val="00A57E35"/>
    <w:rsid w:val="00A606B0"/>
    <w:rsid w:val="00A60C92"/>
    <w:rsid w:val="00A6301E"/>
    <w:rsid w:val="00A6332F"/>
    <w:rsid w:val="00A64ADC"/>
    <w:rsid w:val="00A65C64"/>
    <w:rsid w:val="00A6615E"/>
    <w:rsid w:val="00A66F08"/>
    <w:rsid w:val="00A67DDD"/>
    <w:rsid w:val="00A71ABA"/>
    <w:rsid w:val="00A74F8F"/>
    <w:rsid w:val="00A7544C"/>
    <w:rsid w:val="00A76A4A"/>
    <w:rsid w:val="00A82329"/>
    <w:rsid w:val="00A84577"/>
    <w:rsid w:val="00A85A31"/>
    <w:rsid w:val="00A85D6A"/>
    <w:rsid w:val="00A86FE2"/>
    <w:rsid w:val="00A930DE"/>
    <w:rsid w:val="00A937C1"/>
    <w:rsid w:val="00A93FBE"/>
    <w:rsid w:val="00A94A60"/>
    <w:rsid w:val="00A95134"/>
    <w:rsid w:val="00A95F74"/>
    <w:rsid w:val="00AA0698"/>
    <w:rsid w:val="00AA160C"/>
    <w:rsid w:val="00AA17C3"/>
    <w:rsid w:val="00AA1980"/>
    <w:rsid w:val="00AA4126"/>
    <w:rsid w:val="00AA57DE"/>
    <w:rsid w:val="00AA712A"/>
    <w:rsid w:val="00AA7B67"/>
    <w:rsid w:val="00AB0FE8"/>
    <w:rsid w:val="00AB2C51"/>
    <w:rsid w:val="00AC1177"/>
    <w:rsid w:val="00AC167A"/>
    <w:rsid w:val="00AC1FBA"/>
    <w:rsid w:val="00AC248A"/>
    <w:rsid w:val="00AC30C2"/>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24F"/>
    <w:rsid w:val="00AF3424"/>
    <w:rsid w:val="00AF3867"/>
    <w:rsid w:val="00B00E26"/>
    <w:rsid w:val="00B04156"/>
    <w:rsid w:val="00B04BE4"/>
    <w:rsid w:val="00B05A6F"/>
    <w:rsid w:val="00B06340"/>
    <w:rsid w:val="00B104E4"/>
    <w:rsid w:val="00B12E42"/>
    <w:rsid w:val="00B12F60"/>
    <w:rsid w:val="00B14BC6"/>
    <w:rsid w:val="00B14D9B"/>
    <w:rsid w:val="00B16D35"/>
    <w:rsid w:val="00B16D97"/>
    <w:rsid w:val="00B2099A"/>
    <w:rsid w:val="00B21F96"/>
    <w:rsid w:val="00B24197"/>
    <w:rsid w:val="00B27341"/>
    <w:rsid w:val="00B27E4D"/>
    <w:rsid w:val="00B3077F"/>
    <w:rsid w:val="00B37277"/>
    <w:rsid w:val="00B37677"/>
    <w:rsid w:val="00B407D3"/>
    <w:rsid w:val="00B4576F"/>
    <w:rsid w:val="00B52B8D"/>
    <w:rsid w:val="00B53541"/>
    <w:rsid w:val="00B605CD"/>
    <w:rsid w:val="00B61528"/>
    <w:rsid w:val="00B65BCA"/>
    <w:rsid w:val="00B65F5C"/>
    <w:rsid w:val="00B6606C"/>
    <w:rsid w:val="00B66322"/>
    <w:rsid w:val="00B6722F"/>
    <w:rsid w:val="00B67892"/>
    <w:rsid w:val="00B7076A"/>
    <w:rsid w:val="00B71000"/>
    <w:rsid w:val="00B72052"/>
    <w:rsid w:val="00B74918"/>
    <w:rsid w:val="00B7551F"/>
    <w:rsid w:val="00B816E3"/>
    <w:rsid w:val="00B8440E"/>
    <w:rsid w:val="00B85FEA"/>
    <w:rsid w:val="00B86480"/>
    <w:rsid w:val="00B86911"/>
    <w:rsid w:val="00B86F73"/>
    <w:rsid w:val="00B87247"/>
    <w:rsid w:val="00B9116C"/>
    <w:rsid w:val="00B96939"/>
    <w:rsid w:val="00B976E8"/>
    <w:rsid w:val="00B97B18"/>
    <w:rsid w:val="00BA06D4"/>
    <w:rsid w:val="00BA29D0"/>
    <w:rsid w:val="00BA37CA"/>
    <w:rsid w:val="00BA40BF"/>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D8B"/>
    <w:rsid w:val="00BE4EDD"/>
    <w:rsid w:val="00BE6CEC"/>
    <w:rsid w:val="00BE6EF9"/>
    <w:rsid w:val="00BF36AC"/>
    <w:rsid w:val="00BF44F4"/>
    <w:rsid w:val="00BF4832"/>
    <w:rsid w:val="00BF4DBC"/>
    <w:rsid w:val="00BF5D90"/>
    <w:rsid w:val="00BF6FE4"/>
    <w:rsid w:val="00C01014"/>
    <w:rsid w:val="00C02A5C"/>
    <w:rsid w:val="00C05C4B"/>
    <w:rsid w:val="00C1086C"/>
    <w:rsid w:val="00C112CA"/>
    <w:rsid w:val="00C17BD4"/>
    <w:rsid w:val="00C17FB7"/>
    <w:rsid w:val="00C20C4B"/>
    <w:rsid w:val="00C23118"/>
    <w:rsid w:val="00C245B2"/>
    <w:rsid w:val="00C26595"/>
    <w:rsid w:val="00C26C86"/>
    <w:rsid w:val="00C2723A"/>
    <w:rsid w:val="00C3080E"/>
    <w:rsid w:val="00C3191E"/>
    <w:rsid w:val="00C375BC"/>
    <w:rsid w:val="00C40CDB"/>
    <w:rsid w:val="00C41B53"/>
    <w:rsid w:val="00C41F2E"/>
    <w:rsid w:val="00C421E6"/>
    <w:rsid w:val="00C42E90"/>
    <w:rsid w:val="00C4392E"/>
    <w:rsid w:val="00C46127"/>
    <w:rsid w:val="00C47142"/>
    <w:rsid w:val="00C50E9D"/>
    <w:rsid w:val="00C52D85"/>
    <w:rsid w:val="00C53D14"/>
    <w:rsid w:val="00C6215A"/>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B4646"/>
    <w:rsid w:val="00CC2F7E"/>
    <w:rsid w:val="00CC6076"/>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13B4"/>
    <w:rsid w:val="00D01D40"/>
    <w:rsid w:val="00D04677"/>
    <w:rsid w:val="00D05762"/>
    <w:rsid w:val="00D109BE"/>
    <w:rsid w:val="00D137BB"/>
    <w:rsid w:val="00D228CB"/>
    <w:rsid w:val="00D23ED3"/>
    <w:rsid w:val="00D26B60"/>
    <w:rsid w:val="00D33D98"/>
    <w:rsid w:val="00D3480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97299"/>
    <w:rsid w:val="00DA63AC"/>
    <w:rsid w:val="00DA73CC"/>
    <w:rsid w:val="00DA75A6"/>
    <w:rsid w:val="00DA7F5D"/>
    <w:rsid w:val="00DB2F69"/>
    <w:rsid w:val="00DB6529"/>
    <w:rsid w:val="00DC125E"/>
    <w:rsid w:val="00DC14F4"/>
    <w:rsid w:val="00DC22B1"/>
    <w:rsid w:val="00DC257E"/>
    <w:rsid w:val="00DC4A22"/>
    <w:rsid w:val="00DC5524"/>
    <w:rsid w:val="00DC5797"/>
    <w:rsid w:val="00DD278A"/>
    <w:rsid w:val="00DE3666"/>
    <w:rsid w:val="00DE6D3F"/>
    <w:rsid w:val="00DF60E9"/>
    <w:rsid w:val="00E00261"/>
    <w:rsid w:val="00E00BDA"/>
    <w:rsid w:val="00E01158"/>
    <w:rsid w:val="00E0309D"/>
    <w:rsid w:val="00E03299"/>
    <w:rsid w:val="00E04391"/>
    <w:rsid w:val="00E05BB6"/>
    <w:rsid w:val="00E07BAB"/>
    <w:rsid w:val="00E21D99"/>
    <w:rsid w:val="00E235CD"/>
    <w:rsid w:val="00E26969"/>
    <w:rsid w:val="00E313E3"/>
    <w:rsid w:val="00E328AD"/>
    <w:rsid w:val="00E34448"/>
    <w:rsid w:val="00E35991"/>
    <w:rsid w:val="00E376B5"/>
    <w:rsid w:val="00E37BAA"/>
    <w:rsid w:val="00E41248"/>
    <w:rsid w:val="00E4195A"/>
    <w:rsid w:val="00E43183"/>
    <w:rsid w:val="00E43496"/>
    <w:rsid w:val="00E4544C"/>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25D"/>
    <w:rsid w:val="00ED153C"/>
    <w:rsid w:val="00EE0497"/>
    <w:rsid w:val="00EE374D"/>
    <w:rsid w:val="00EE526A"/>
    <w:rsid w:val="00EE7B0B"/>
    <w:rsid w:val="00EF4E9E"/>
    <w:rsid w:val="00EF4F57"/>
    <w:rsid w:val="00EF68D7"/>
    <w:rsid w:val="00F01FCA"/>
    <w:rsid w:val="00F035A5"/>
    <w:rsid w:val="00F05A47"/>
    <w:rsid w:val="00F05AF0"/>
    <w:rsid w:val="00F05D7E"/>
    <w:rsid w:val="00F1021D"/>
    <w:rsid w:val="00F10805"/>
    <w:rsid w:val="00F16963"/>
    <w:rsid w:val="00F30776"/>
    <w:rsid w:val="00F30DDD"/>
    <w:rsid w:val="00F31B01"/>
    <w:rsid w:val="00F31B8F"/>
    <w:rsid w:val="00F33455"/>
    <w:rsid w:val="00F34D25"/>
    <w:rsid w:val="00F362F2"/>
    <w:rsid w:val="00F428BC"/>
    <w:rsid w:val="00F42A83"/>
    <w:rsid w:val="00F4316D"/>
    <w:rsid w:val="00F45CA1"/>
    <w:rsid w:val="00F47322"/>
    <w:rsid w:val="00F50CC2"/>
    <w:rsid w:val="00F53EC5"/>
    <w:rsid w:val="00F56331"/>
    <w:rsid w:val="00F5748B"/>
    <w:rsid w:val="00F574B3"/>
    <w:rsid w:val="00F601E5"/>
    <w:rsid w:val="00F60CCC"/>
    <w:rsid w:val="00F61492"/>
    <w:rsid w:val="00F63979"/>
    <w:rsid w:val="00F67EAC"/>
    <w:rsid w:val="00F70A1D"/>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 w:val="00FF67D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GridTable1Light1">
    <w:name w:val="Grid Table 1 Light1"/>
    <w:basedOn w:val="TableNormal"/>
    <w:uiPriority w:val="46"/>
    <w:rsid w:val="00E4544C"/>
    <w:pPr>
      <w:spacing w:after="0"/>
    </w:pPr>
    <w:rPr>
      <w:rFonts w:eastAsia="Calibri"/>
      <w:lang w:val="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10005</TotalTime>
  <Pages>7</Pages>
  <Words>3617</Words>
  <Characters>20617</Characters>
  <Application>Microsoft Office Word</Application>
  <DocSecurity>0</DocSecurity>
  <Lines>171</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hp</cp:lastModifiedBy>
  <cp:revision>39</cp:revision>
  <cp:lastPrinted>2020-01-30T11:06:00Z</cp:lastPrinted>
  <dcterms:created xsi:type="dcterms:W3CDTF">2021-04-02T09:32:00Z</dcterms:created>
  <dcterms:modified xsi:type="dcterms:W3CDTF">2022-08-30T03:35:00Z</dcterms:modified>
</cp:coreProperties>
</file>