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546D3" w14:textId="77777777" w:rsidR="00915241" w:rsidRPr="000D160E" w:rsidRDefault="00915241" w:rsidP="00F716B5">
      <w:pPr>
        <w:autoSpaceDE w:val="0"/>
        <w:autoSpaceDN w:val="0"/>
        <w:adjustRightInd w:val="0"/>
        <w:spacing w:after="0" w:line="360" w:lineRule="auto"/>
        <w:jc w:val="both"/>
        <w:rPr>
          <w:rFonts w:ascii="Times New Roman" w:hAnsi="Times New Roman" w:cs="Times New Roman"/>
          <w:b/>
          <w:sz w:val="24"/>
          <w:szCs w:val="24"/>
        </w:rPr>
      </w:pPr>
    </w:p>
    <w:p w14:paraId="712EF12E" w14:textId="77777777" w:rsidR="009624F8" w:rsidRPr="00261889" w:rsidRDefault="009624F8" w:rsidP="009624F8">
      <w:pPr>
        <w:jc w:val="center"/>
        <w:rPr>
          <w:rFonts w:ascii="Times New Roman" w:hAnsi="Times New Roman" w:cs="Times New Roman"/>
          <w:b/>
          <w:color w:val="000000" w:themeColor="text1"/>
          <w:sz w:val="28"/>
          <w:szCs w:val="28"/>
        </w:rPr>
      </w:pPr>
      <w:r w:rsidRPr="00261889">
        <w:rPr>
          <w:rFonts w:ascii="Times New Roman" w:hAnsi="Times New Roman" w:cs="Times New Roman"/>
          <w:b/>
          <w:color w:val="000000" w:themeColor="text1"/>
          <w:sz w:val="28"/>
          <w:szCs w:val="28"/>
        </w:rPr>
        <w:t>In Vitro Effects of Clindamycin Antibiotic on Glucose-6-Phosphate Dehydrogenase Enzyme Purified from Sheep Spleen Tissue</w:t>
      </w:r>
    </w:p>
    <w:p w14:paraId="7B6815C9" w14:textId="77777777" w:rsidR="006102A2" w:rsidRDefault="006102A2" w:rsidP="00F716B5">
      <w:pPr>
        <w:spacing w:line="360" w:lineRule="auto"/>
        <w:jc w:val="both"/>
        <w:rPr>
          <w:rFonts w:ascii="Times New Roman" w:hAnsi="Times New Roman" w:cs="Times New Roman"/>
          <w:b/>
          <w:color w:val="000000" w:themeColor="text1"/>
          <w:sz w:val="28"/>
          <w:szCs w:val="28"/>
        </w:rPr>
      </w:pPr>
    </w:p>
    <w:p w14:paraId="30E77450" w14:textId="19CA27DD" w:rsidR="008F52BF" w:rsidRPr="00591973" w:rsidRDefault="008F52BF" w:rsidP="006102A2">
      <w:pPr>
        <w:spacing w:after="0" w:line="360" w:lineRule="auto"/>
        <w:jc w:val="both"/>
        <w:rPr>
          <w:rFonts w:ascii="Times New Roman" w:hAnsi="Times New Roman" w:cs="Times New Roman"/>
          <w:b/>
          <w:color w:val="000000" w:themeColor="text1"/>
          <w:sz w:val="28"/>
          <w:szCs w:val="28"/>
        </w:rPr>
      </w:pPr>
      <w:r w:rsidRPr="00591973">
        <w:rPr>
          <w:rFonts w:ascii="Times New Roman" w:hAnsi="Times New Roman" w:cs="Times New Roman"/>
          <w:b/>
          <w:color w:val="000000" w:themeColor="text1"/>
          <w:sz w:val="28"/>
          <w:szCs w:val="28"/>
        </w:rPr>
        <w:t>Abstract</w:t>
      </w:r>
    </w:p>
    <w:p w14:paraId="03428BF4" w14:textId="50A68B11" w:rsidR="00261889" w:rsidRPr="00261889" w:rsidRDefault="00606B05" w:rsidP="006102A2">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lang w:eastAsia="tr-TR"/>
        </w:rPr>
      </w:pPr>
      <w:r w:rsidRPr="005E4C4A">
        <w:rPr>
          <w:rFonts w:ascii="Times New Roman" w:eastAsia="Times New Roman" w:hAnsi="Times New Roman" w:cs="Times New Roman"/>
          <w:color w:val="202124"/>
          <w:sz w:val="24"/>
          <w:szCs w:val="24"/>
          <w:lang w:val="en" w:eastAsia="tr-TR"/>
        </w:rPr>
        <w:t>In our study, the in vitro effects of clindamycin an</w:t>
      </w:r>
      <w:r>
        <w:rPr>
          <w:rFonts w:ascii="Times New Roman" w:eastAsia="Times New Roman" w:hAnsi="Times New Roman" w:cs="Times New Roman"/>
          <w:color w:val="202124"/>
          <w:sz w:val="24"/>
          <w:szCs w:val="24"/>
          <w:lang w:val="en" w:eastAsia="tr-TR"/>
        </w:rPr>
        <w:t xml:space="preserve">tibiotic on glucose-6-phosphate </w:t>
      </w:r>
      <w:r w:rsidRPr="005E4C4A">
        <w:rPr>
          <w:rFonts w:ascii="Times New Roman" w:eastAsia="Times New Roman" w:hAnsi="Times New Roman" w:cs="Times New Roman"/>
          <w:color w:val="202124"/>
          <w:sz w:val="24"/>
          <w:szCs w:val="24"/>
          <w:lang w:val="en" w:eastAsia="tr-TR"/>
        </w:rPr>
        <w:t>dehydrogenase enzyme (G6PD; E.C. 1.1.1.49) purifie</w:t>
      </w:r>
      <w:r>
        <w:rPr>
          <w:rFonts w:ascii="Times New Roman" w:eastAsia="Times New Roman" w:hAnsi="Times New Roman" w:cs="Times New Roman"/>
          <w:color w:val="202124"/>
          <w:sz w:val="24"/>
          <w:szCs w:val="24"/>
          <w:lang w:val="en" w:eastAsia="tr-TR"/>
        </w:rPr>
        <w:t xml:space="preserve">d from sheep spleen tissue were </w:t>
      </w:r>
      <w:r w:rsidRPr="005E4C4A">
        <w:rPr>
          <w:rFonts w:ascii="Times New Roman" w:eastAsia="Times New Roman" w:hAnsi="Times New Roman" w:cs="Times New Roman"/>
          <w:color w:val="202124"/>
          <w:sz w:val="24"/>
          <w:szCs w:val="24"/>
          <w:lang w:val="en" w:eastAsia="tr-TR"/>
        </w:rPr>
        <w:t>investigated. First</w:t>
      </w:r>
      <w:r>
        <w:rPr>
          <w:rFonts w:ascii="Times New Roman" w:eastAsia="Times New Roman" w:hAnsi="Times New Roman" w:cs="Times New Roman"/>
          <w:color w:val="202124"/>
          <w:sz w:val="24"/>
          <w:szCs w:val="24"/>
          <w:lang w:val="en" w:eastAsia="tr-TR"/>
        </w:rPr>
        <w:t>y</w:t>
      </w:r>
      <w:r w:rsidRPr="005E4C4A">
        <w:rPr>
          <w:rFonts w:ascii="Times New Roman" w:eastAsia="Times New Roman" w:hAnsi="Times New Roman" w:cs="Times New Roman"/>
          <w:color w:val="202124"/>
          <w:sz w:val="24"/>
          <w:szCs w:val="24"/>
          <w:lang w:val="en" w:eastAsia="tr-TR"/>
        </w:rPr>
        <w:t>, G6PD enzyme was partially purif</w:t>
      </w:r>
      <w:r>
        <w:rPr>
          <w:rFonts w:ascii="Times New Roman" w:eastAsia="Times New Roman" w:hAnsi="Times New Roman" w:cs="Times New Roman"/>
          <w:color w:val="202124"/>
          <w:sz w:val="24"/>
          <w:szCs w:val="24"/>
          <w:lang w:val="en" w:eastAsia="tr-TR"/>
        </w:rPr>
        <w:t xml:space="preserve">ied from sheep spleen tissue by </w:t>
      </w:r>
      <w:r w:rsidRPr="005E4C4A">
        <w:rPr>
          <w:rFonts w:ascii="Times New Roman" w:eastAsia="Times New Roman" w:hAnsi="Times New Roman" w:cs="Times New Roman"/>
          <w:color w:val="202124"/>
          <w:sz w:val="24"/>
          <w:szCs w:val="24"/>
          <w:lang w:val="en" w:eastAsia="tr-TR"/>
        </w:rPr>
        <w:t>ammonium sulfate precipitation. The enzyme sample o</w:t>
      </w:r>
      <w:r>
        <w:rPr>
          <w:rFonts w:ascii="Times New Roman" w:eastAsia="Times New Roman" w:hAnsi="Times New Roman" w:cs="Times New Roman"/>
          <w:color w:val="202124"/>
          <w:sz w:val="24"/>
          <w:szCs w:val="24"/>
          <w:lang w:val="en" w:eastAsia="tr-TR"/>
        </w:rPr>
        <w:t xml:space="preserve">btained as a result of ammonium </w:t>
      </w:r>
      <w:r w:rsidRPr="005E4C4A">
        <w:rPr>
          <w:rFonts w:ascii="Times New Roman" w:eastAsia="Times New Roman" w:hAnsi="Times New Roman" w:cs="Times New Roman"/>
          <w:color w:val="202124"/>
          <w:sz w:val="24"/>
          <w:szCs w:val="24"/>
          <w:lang w:val="en" w:eastAsia="tr-TR"/>
        </w:rPr>
        <w:t>sulfate precipitation was purified by 2', 5' ADP-Sepharose</w:t>
      </w:r>
      <w:r>
        <w:rPr>
          <w:rFonts w:ascii="Times New Roman" w:eastAsia="Times New Roman" w:hAnsi="Times New Roman" w:cs="Times New Roman"/>
          <w:color w:val="202124"/>
          <w:sz w:val="24"/>
          <w:szCs w:val="24"/>
          <w:lang w:val="en" w:eastAsia="tr-TR"/>
        </w:rPr>
        <w:t xml:space="preserve"> 4B gel affinity chromatography </w:t>
      </w:r>
      <w:r w:rsidRPr="005E4C4A">
        <w:rPr>
          <w:rFonts w:ascii="Times New Roman" w:eastAsia="Times New Roman" w:hAnsi="Times New Roman" w:cs="Times New Roman"/>
          <w:color w:val="202124"/>
          <w:sz w:val="24"/>
          <w:szCs w:val="24"/>
          <w:lang w:val="en" w:eastAsia="tr-TR"/>
        </w:rPr>
        <w:t>and the purity of the enzyme was controlled by sodium do</w:t>
      </w:r>
      <w:r>
        <w:rPr>
          <w:rFonts w:ascii="Times New Roman" w:eastAsia="Times New Roman" w:hAnsi="Times New Roman" w:cs="Times New Roman"/>
          <w:color w:val="202124"/>
          <w:sz w:val="24"/>
          <w:szCs w:val="24"/>
          <w:lang w:val="en" w:eastAsia="tr-TR"/>
        </w:rPr>
        <w:t xml:space="preserve">decylsulfate polyacrylamide gel </w:t>
      </w:r>
      <w:r w:rsidRPr="005E4C4A">
        <w:rPr>
          <w:rFonts w:ascii="Times New Roman" w:eastAsia="Times New Roman" w:hAnsi="Times New Roman" w:cs="Times New Roman"/>
          <w:color w:val="202124"/>
          <w:sz w:val="24"/>
          <w:szCs w:val="24"/>
          <w:lang w:val="en" w:eastAsia="tr-TR"/>
        </w:rPr>
        <w:t>electrophoresis (SDS-PAGE). Then, the effects of clindamyci</w:t>
      </w:r>
      <w:r>
        <w:rPr>
          <w:rFonts w:ascii="Times New Roman" w:eastAsia="Times New Roman" w:hAnsi="Times New Roman" w:cs="Times New Roman"/>
          <w:color w:val="202124"/>
          <w:sz w:val="24"/>
          <w:szCs w:val="24"/>
          <w:lang w:val="en" w:eastAsia="tr-TR"/>
        </w:rPr>
        <w:t xml:space="preserve">n antibiotic on enzyme activity </w:t>
      </w:r>
      <w:r w:rsidRPr="005E4C4A">
        <w:rPr>
          <w:rFonts w:ascii="Times New Roman" w:eastAsia="Times New Roman" w:hAnsi="Times New Roman" w:cs="Times New Roman"/>
          <w:color w:val="202124"/>
          <w:sz w:val="24"/>
          <w:szCs w:val="24"/>
          <w:lang w:val="en" w:eastAsia="tr-TR"/>
        </w:rPr>
        <w:t>were investigated. The IC</w:t>
      </w:r>
      <w:r w:rsidRPr="005E4C4A">
        <w:rPr>
          <w:rFonts w:ascii="Times New Roman" w:eastAsia="Times New Roman" w:hAnsi="Times New Roman" w:cs="Times New Roman"/>
          <w:color w:val="202124"/>
          <w:sz w:val="24"/>
          <w:szCs w:val="24"/>
          <w:vertAlign w:val="subscript"/>
          <w:lang w:val="en" w:eastAsia="tr-TR"/>
        </w:rPr>
        <w:t>50</w:t>
      </w:r>
      <w:r w:rsidRPr="005E4C4A">
        <w:rPr>
          <w:rFonts w:ascii="Times New Roman" w:eastAsia="Times New Roman" w:hAnsi="Times New Roman" w:cs="Times New Roman"/>
          <w:color w:val="202124"/>
          <w:sz w:val="24"/>
          <w:szCs w:val="24"/>
          <w:lang w:val="en" w:eastAsia="tr-TR"/>
        </w:rPr>
        <w:t xml:space="preserve"> value was calculated as 28.75 mM</w:t>
      </w:r>
      <w:r>
        <w:rPr>
          <w:rFonts w:ascii="Times New Roman" w:eastAsia="Times New Roman" w:hAnsi="Times New Roman" w:cs="Times New Roman"/>
          <w:color w:val="202124"/>
          <w:sz w:val="24"/>
          <w:szCs w:val="24"/>
          <w:lang w:val="en" w:eastAsia="tr-TR"/>
        </w:rPr>
        <w:t xml:space="preserve"> by plotting the % Activity-[I] </w:t>
      </w:r>
      <w:r w:rsidRPr="005E4C4A">
        <w:rPr>
          <w:rFonts w:ascii="Times New Roman" w:eastAsia="Times New Roman" w:hAnsi="Times New Roman" w:cs="Times New Roman"/>
          <w:color w:val="202124"/>
          <w:sz w:val="24"/>
          <w:szCs w:val="24"/>
          <w:lang w:val="en" w:eastAsia="tr-TR"/>
        </w:rPr>
        <w:t>graph for the clindamycin antibiotic, which showed an inhibitory effect on</w:t>
      </w:r>
      <w:r>
        <w:rPr>
          <w:rFonts w:ascii="Times New Roman" w:eastAsia="Times New Roman" w:hAnsi="Times New Roman" w:cs="Times New Roman"/>
          <w:color w:val="202124"/>
          <w:sz w:val="24"/>
          <w:szCs w:val="24"/>
          <w:lang w:val="en" w:eastAsia="tr-TR"/>
        </w:rPr>
        <w:t xml:space="preserve"> the enzyme </w:t>
      </w:r>
      <w:r w:rsidRPr="005E4C4A">
        <w:rPr>
          <w:rFonts w:ascii="Times New Roman" w:eastAsia="Times New Roman" w:hAnsi="Times New Roman" w:cs="Times New Roman"/>
          <w:color w:val="202124"/>
          <w:sz w:val="24"/>
          <w:szCs w:val="24"/>
          <w:lang w:val="en" w:eastAsia="tr-TR"/>
        </w:rPr>
        <w:t>activity. In addition, in order to determine the Ki constant a</w:t>
      </w:r>
      <w:r>
        <w:rPr>
          <w:rFonts w:ascii="Times New Roman" w:eastAsia="Times New Roman" w:hAnsi="Times New Roman" w:cs="Times New Roman"/>
          <w:color w:val="202124"/>
          <w:sz w:val="24"/>
          <w:szCs w:val="24"/>
          <w:lang w:val="en" w:eastAsia="tr-TR"/>
        </w:rPr>
        <w:t xml:space="preserve">nd inhibition type, preliminary </w:t>
      </w:r>
      <w:r w:rsidRPr="005E4C4A">
        <w:rPr>
          <w:rFonts w:ascii="Times New Roman" w:eastAsia="Times New Roman" w:hAnsi="Times New Roman" w:cs="Times New Roman"/>
          <w:color w:val="202124"/>
          <w:sz w:val="24"/>
          <w:szCs w:val="24"/>
          <w:lang w:val="en" w:eastAsia="tr-TR"/>
        </w:rPr>
        <w:t>experiments were carried out to determine the most su</w:t>
      </w:r>
      <w:r>
        <w:rPr>
          <w:rFonts w:ascii="Times New Roman" w:eastAsia="Times New Roman" w:hAnsi="Times New Roman" w:cs="Times New Roman"/>
          <w:color w:val="202124"/>
          <w:sz w:val="24"/>
          <w:szCs w:val="24"/>
          <w:lang w:val="en" w:eastAsia="tr-TR"/>
        </w:rPr>
        <w:t xml:space="preserve">itable five different substrate </w:t>
      </w:r>
      <w:r w:rsidRPr="005E4C4A">
        <w:rPr>
          <w:rFonts w:ascii="Times New Roman" w:eastAsia="Times New Roman" w:hAnsi="Times New Roman" w:cs="Times New Roman"/>
          <w:color w:val="202124"/>
          <w:sz w:val="24"/>
          <w:szCs w:val="24"/>
          <w:lang w:val="en" w:eastAsia="tr-TR"/>
        </w:rPr>
        <w:t>concentrations and Lineweaver-Burk graphs were drawn by making me</w:t>
      </w:r>
      <w:r>
        <w:rPr>
          <w:rFonts w:ascii="Times New Roman" w:eastAsia="Times New Roman" w:hAnsi="Times New Roman" w:cs="Times New Roman"/>
          <w:color w:val="202124"/>
          <w:sz w:val="24"/>
          <w:szCs w:val="24"/>
          <w:lang w:val="en" w:eastAsia="tr-TR"/>
        </w:rPr>
        <w:t xml:space="preserve">asurements for each </w:t>
      </w:r>
      <w:r w:rsidRPr="005E4C4A">
        <w:rPr>
          <w:rFonts w:ascii="Times New Roman" w:eastAsia="Times New Roman" w:hAnsi="Times New Roman" w:cs="Times New Roman"/>
          <w:color w:val="202124"/>
          <w:sz w:val="24"/>
          <w:szCs w:val="24"/>
          <w:lang w:val="en" w:eastAsia="tr-TR"/>
        </w:rPr>
        <w:t>substrate concentration with the three most appropriate inhibito</w:t>
      </w:r>
      <w:r>
        <w:rPr>
          <w:rFonts w:ascii="Times New Roman" w:eastAsia="Times New Roman" w:hAnsi="Times New Roman" w:cs="Times New Roman"/>
          <w:color w:val="202124"/>
          <w:sz w:val="24"/>
          <w:szCs w:val="24"/>
          <w:lang w:val="en" w:eastAsia="tr-TR"/>
        </w:rPr>
        <w:t>r concentrations. With the help of graphic</w:t>
      </w:r>
      <w:r w:rsidRPr="005E4C4A">
        <w:rPr>
          <w:rFonts w:ascii="Times New Roman" w:eastAsia="Times New Roman" w:hAnsi="Times New Roman" w:cs="Times New Roman"/>
          <w:color w:val="202124"/>
          <w:sz w:val="24"/>
          <w:szCs w:val="24"/>
          <w:lang w:val="en" w:eastAsia="tr-TR"/>
        </w:rPr>
        <w:t>, the Ki constant of the clindamycin antibiotic w</w:t>
      </w:r>
      <w:r>
        <w:rPr>
          <w:rFonts w:ascii="Times New Roman" w:eastAsia="Times New Roman" w:hAnsi="Times New Roman" w:cs="Times New Roman"/>
          <w:color w:val="202124"/>
          <w:sz w:val="24"/>
          <w:szCs w:val="24"/>
          <w:lang w:val="en" w:eastAsia="tr-TR"/>
        </w:rPr>
        <w:t xml:space="preserve">as determined as 41.64±11.89 mM </w:t>
      </w:r>
      <w:r w:rsidRPr="005E4C4A">
        <w:rPr>
          <w:rFonts w:ascii="Times New Roman" w:eastAsia="Times New Roman" w:hAnsi="Times New Roman" w:cs="Times New Roman"/>
          <w:color w:val="202124"/>
          <w:sz w:val="24"/>
          <w:szCs w:val="24"/>
          <w:lang w:val="en" w:eastAsia="tr-TR"/>
        </w:rPr>
        <w:t>and the inhibition type was determined competitively.</w:t>
      </w:r>
    </w:p>
    <w:p w14:paraId="329C542D" w14:textId="18AC6ABD" w:rsidR="00261889" w:rsidRDefault="009624F8" w:rsidP="006102A2">
      <w:pPr>
        <w:pStyle w:val="HTMLncedenBiimlendirilmi"/>
        <w:shd w:val="clear" w:color="auto" w:fill="FFFFFF" w:themeFill="background1"/>
        <w:spacing w:line="360" w:lineRule="auto"/>
        <w:rPr>
          <w:rStyle w:val="y2iqfc"/>
          <w:rFonts w:ascii="inherit" w:hAnsi="inherit"/>
          <w:color w:val="202124"/>
          <w:sz w:val="24"/>
          <w:szCs w:val="24"/>
          <w:lang w:val="en"/>
        </w:rPr>
      </w:pPr>
      <w:r w:rsidRPr="00591973">
        <w:rPr>
          <w:rFonts w:ascii="Times New Roman" w:hAnsi="Times New Roman" w:cs="Times New Roman"/>
          <w:b/>
          <w:sz w:val="28"/>
          <w:szCs w:val="28"/>
        </w:rPr>
        <w:t>Keywords</w:t>
      </w:r>
      <w:r w:rsidR="00606B05">
        <w:rPr>
          <w:rFonts w:ascii="Times New Roman" w:hAnsi="Times New Roman" w:cs="Times New Roman"/>
          <w:b/>
          <w:sz w:val="28"/>
          <w:szCs w:val="28"/>
        </w:rPr>
        <w:t>:</w:t>
      </w:r>
      <w:r w:rsidRPr="009624F8">
        <w:rPr>
          <w:rFonts w:ascii="Times New Roman" w:hAnsi="Times New Roman" w:cs="Times New Roman"/>
          <w:sz w:val="24"/>
          <w:szCs w:val="24"/>
        </w:rPr>
        <w:t xml:space="preserve"> </w:t>
      </w:r>
      <w:r w:rsidR="00606B05" w:rsidRPr="00606B05">
        <w:rPr>
          <w:rStyle w:val="y2iqfc"/>
          <w:rFonts w:ascii="inherit" w:hAnsi="inherit"/>
          <w:color w:val="202124"/>
          <w:sz w:val="24"/>
          <w:szCs w:val="24"/>
          <w:lang w:val="en"/>
        </w:rPr>
        <w:t>Glucose 6-phosphate dehydrogenase, clindamycin, inhibition</w:t>
      </w:r>
    </w:p>
    <w:p w14:paraId="29878FDB" w14:textId="77777777" w:rsidR="006102A2" w:rsidRPr="00C33C61" w:rsidRDefault="006102A2" w:rsidP="006102A2">
      <w:pPr>
        <w:pStyle w:val="HTMLncedenBiimlendirilmi"/>
        <w:shd w:val="clear" w:color="auto" w:fill="FFFFFF" w:themeFill="background1"/>
        <w:spacing w:line="360" w:lineRule="auto"/>
        <w:rPr>
          <w:rFonts w:ascii="inherit" w:hAnsi="inherit"/>
          <w:color w:val="202124"/>
          <w:sz w:val="24"/>
          <w:szCs w:val="24"/>
        </w:rPr>
      </w:pPr>
    </w:p>
    <w:p w14:paraId="1BE4B72A" w14:textId="6BA5B6E7" w:rsidR="00C33C61" w:rsidRDefault="00C33C61" w:rsidP="00C33C61">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 </w:t>
      </w:r>
      <w:r w:rsidR="00261889" w:rsidRPr="00C33C61">
        <w:rPr>
          <w:rFonts w:ascii="Times New Roman" w:hAnsi="Times New Roman" w:cs="Times New Roman"/>
          <w:b/>
          <w:color w:val="000000" w:themeColor="text1"/>
          <w:sz w:val="24"/>
          <w:szCs w:val="24"/>
        </w:rPr>
        <w:t>INTRODUCTION</w:t>
      </w:r>
    </w:p>
    <w:p w14:paraId="4F66A185" w14:textId="77777777" w:rsidR="00C33C61" w:rsidRPr="00C33C61" w:rsidRDefault="00C33C61" w:rsidP="00C33C61">
      <w:pPr>
        <w:spacing w:after="0" w:line="360" w:lineRule="auto"/>
        <w:jc w:val="both"/>
        <w:rPr>
          <w:rFonts w:ascii="Times New Roman" w:hAnsi="Times New Roman" w:cs="Times New Roman"/>
          <w:b/>
          <w:color w:val="000000" w:themeColor="text1"/>
          <w:sz w:val="24"/>
          <w:szCs w:val="24"/>
        </w:rPr>
      </w:pPr>
    </w:p>
    <w:p w14:paraId="5476CF54" w14:textId="77777777" w:rsidR="00261889" w:rsidRPr="00261889" w:rsidRDefault="00261889" w:rsidP="006102A2">
      <w:pPr>
        <w:spacing w:after="0" w:line="360" w:lineRule="auto"/>
        <w:jc w:val="both"/>
        <w:rPr>
          <w:rFonts w:ascii="Times New Roman" w:hAnsi="Times New Roman" w:cs="Times New Roman"/>
          <w:sz w:val="24"/>
          <w:szCs w:val="24"/>
        </w:rPr>
      </w:pPr>
      <w:proofErr w:type="gramStart"/>
      <w:r w:rsidRPr="00261889">
        <w:rPr>
          <w:rFonts w:ascii="Times New Roman" w:hAnsi="Times New Roman" w:cs="Times New Roman"/>
          <w:sz w:val="24"/>
          <w:szCs w:val="24"/>
        </w:rPr>
        <w:t xml:space="preserve">Glucose-6-phosphate dehydrogenase enzyme (G6PD; E.C. 1.1.1.49) in the presence of nicotinamide adenine dinucleotide (NAD+) catalyzes the first reaction of the pentose phosphate pathway, producing nicotinamide adenine dinucleotide phosphate (NADPH), as well as synthesizing ribose phosphates (one of the enzymes at the key point of metabolism). </w:t>
      </w:r>
      <w:proofErr w:type="gramEnd"/>
      <w:r w:rsidRPr="00261889">
        <w:rPr>
          <w:rFonts w:ascii="Times New Roman" w:hAnsi="Times New Roman" w:cs="Times New Roman"/>
          <w:sz w:val="24"/>
          <w:szCs w:val="24"/>
        </w:rPr>
        <w:t>Adem et al</w:t>
      </w:r>
      <w:proofErr w:type="gramStart"/>
      <w:r w:rsidRPr="00261889">
        <w:rPr>
          <w:rFonts w:ascii="Times New Roman" w:hAnsi="Times New Roman" w:cs="Times New Roman"/>
          <w:sz w:val="24"/>
          <w:szCs w:val="24"/>
        </w:rPr>
        <w:t>.,</w:t>
      </w:r>
      <w:proofErr w:type="gramEnd"/>
      <w:r w:rsidRPr="00261889">
        <w:rPr>
          <w:rFonts w:ascii="Times New Roman" w:hAnsi="Times New Roman" w:cs="Times New Roman"/>
          <w:sz w:val="24"/>
          <w:szCs w:val="24"/>
        </w:rPr>
        <w:t xml:space="preserve"> 2012). Ribose phosphates are components of vital biomolecules such as NAD+ and deoxyribonucleic acid (DNA) adenosine triphosphate (ATP), flavin adenine dinucleotide (FAD), ribonucleic acid (RNA), acetyl coenzyme A (CoA) (Çiftci et al</w:t>
      </w:r>
      <w:proofErr w:type="gramStart"/>
      <w:r w:rsidRPr="00261889">
        <w:rPr>
          <w:rFonts w:ascii="Times New Roman" w:hAnsi="Times New Roman" w:cs="Times New Roman"/>
          <w:sz w:val="24"/>
          <w:szCs w:val="24"/>
        </w:rPr>
        <w:t>.,</w:t>
      </w:r>
      <w:proofErr w:type="gramEnd"/>
      <w:r w:rsidRPr="00261889">
        <w:rPr>
          <w:rFonts w:ascii="Times New Roman" w:hAnsi="Times New Roman" w:cs="Times New Roman"/>
          <w:sz w:val="24"/>
          <w:szCs w:val="24"/>
        </w:rPr>
        <w:t xml:space="preserve"> 2000; Sevki and Ciftci, 2012). NADPH released during the reaction catalyzed by G6PD functions as the substrate of </w:t>
      </w:r>
      <w:r w:rsidRPr="00261889">
        <w:rPr>
          <w:rFonts w:ascii="Times New Roman" w:hAnsi="Times New Roman" w:cs="Times New Roman"/>
          <w:sz w:val="24"/>
          <w:szCs w:val="24"/>
        </w:rPr>
        <w:lastRenderedPageBreak/>
        <w:t>the Glutathione reductase (GR) enzyme, which is responsible for the synthesis of the glutathione (GSH) molecule, which acts primarily as an antioxidant in cell metabolism. In addition to serving as an antioxidant, the GSH molecule is also involved in DNA and protein synthesis, amino acid transport, detoxification of some antineoplastic drugs and some metabolic end products. As can be understood from here, the G6PD enzyme, which is involved in the production of the GSH molecule, which is the intracellular defense system, acts indirectly in protecting cells against the harmful effects of oxidized molecules (Lu et al</w:t>
      </w:r>
      <w:proofErr w:type="gramStart"/>
      <w:r w:rsidRPr="00261889">
        <w:rPr>
          <w:rFonts w:ascii="Times New Roman" w:hAnsi="Times New Roman" w:cs="Times New Roman"/>
          <w:sz w:val="24"/>
          <w:szCs w:val="24"/>
        </w:rPr>
        <w:t>.,</w:t>
      </w:r>
      <w:proofErr w:type="gramEnd"/>
      <w:r w:rsidRPr="00261889">
        <w:rPr>
          <w:rFonts w:ascii="Times New Roman" w:hAnsi="Times New Roman" w:cs="Times New Roman"/>
          <w:sz w:val="24"/>
          <w:szCs w:val="24"/>
        </w:rPr>
        <w:t xml:space="preserve"> 2014; Akkemik et al., 2011). In addition, NADPH acts as a coenzyme in the reduction of another antioxidant, thioredoxin (Trx) (Kose et al</w:t>
      </w:r>
      <w:proofErr w:type="gramStart"/>
      <w:r w:rsidRPr="00261889">
        <w:rPr>
          <w:rFonts w:ascii="Times New Roman" w:hAnsi="Times New Roman" w:cs="Times New Roman"/>
          <w:sz w:val="24"/>
          <w:szCs w:val="24"/>
        </w:rPr>
        <w:t>.,</w:t>
      </w:r>
      <w:proofErr w:type="gramEnd"/>
      <w:r w:rsidRPr="00261889">
        <w:rPr>
          <w:rFonts w:ascii="Times New Roman" w:hAnsi="Times New Roman" w:cs="Times New Roman"/>
          <w:sz w:val="24"/>
          <w:szCs w:val="24"/>
        </w:rPr>
        <w:t xml:space="preserve"> 2015). The thioredoxin system has an important role in DNA synthesis, prevention of oxidative stress and peroxide damage, apoptosis, cellular growth and stimulation of transcription factor activity (Carlberg and Mannervik</w:t>
      </w:r>
      <w:proofErr w:type="gramStart"/>
      <w:r w:rsidRPr="00261889">
        <w:rPr>
          <w:rFonts w:ascii="Times New Roman" w:hAnsi="Times New Roman" w:cs="Times New Roman"/>
          <w:sz w:val="24"/>
          <w:szCs w:val="24"/>
        </w:rPr>
        <w:t>.,</w:t>
      </w:r>
      <w:proofErr w:type="gramEnd"/>
      <w:r w:rsidRPr="00261889">
        <w:rPr>
          <w:rFonts w:ascii="Times New Roman" w:hAnsi="Times New Roman" w:cs="Times New Roman"/>
          <w:sz w:val="24"/>
          <w:szCs w:val="24"/>
        </w:rPr>
        <w:t xml:space="preserve"> 1981; Çiftci et al., 2000; Altikat et al., 2002; Keha et al., 2002). Küfrevioğlu</w:t>
      </w:r>
      <w:proofErr w:type="gramStart"/>
      <w:r w:rsidRPr="00261889">
        <w:rPr>
          <w:rFonts w:ascii="Times New Roman" w:hAnsi="Times New Roman" w:cs="Times New Roman"/>
          <w:sz w:val="24"/>
          <w:szCs w:val="24"/>
        </w:rPr>
        <w:t>.,</w:t>
      </w:r>
      <w:proofErr w:type="gramEnd"/>
      <w:r w:rsidRPr="00261889">
        <w:rPr>
          <w:rFonts w:ascii="Times New Roman" w:hAnsi="Times New Roman" w:cs="Times New Roman"/>
          <w:sz w:val="24"/>
          <w:szCs w:val="24"/>
        </w:rPr>
        <w:t>2010). Due to this mentioned importance, in this study, it was aimed to investigate the effects of clindamycin antibiotic on G6PD enzyme activity purified from sheep spleen tissue.</w:t>
      </w:r>
    </w:p>
    <w:p w14:paraId="6CFCBD47" w14:textId="77777777" w:rsidR="00261889" w:rsidRPr="00261889" w:rsidRDefault="00261889" w:rsidP="006102A2">
      <w:pPr>
        <w:spacing w:after="0" w:line="360" w:lineRule="auto"/>
        <w:jc w:val="both"/>
        <w:rPr>
          <w:rFonts w:ascii="Times New Roman" w:hAnsi="Times New Roman" w:cs="Times New Roman"/>
          <w:sz w:val="24"/>
          <w:szCs w:val="24"/>
        </w:rPr>
      </w:pPr>
    </w:p>
    <w:p w14:paraId="36F63EFC" w14:textId="77777777" w:rsidR="00261889" w:rsidRPr="00261889" w:rsidRDefault="00261889" w:rsidP="006102A2">
      <w:pPr>
        <w:spacing w:after="0" w:line="360" w:lineRule="auto"/>
        <w:jc w:val="both"/>
        <w:rPr>
          <w:rFonts w:ascii="Times New Roman" w:hAnsi="Times New Roman" w:cs="Times New Roman"/>
          <w:sz w:val="24"/>
          <w:szCs w:val="24"/>
        </w:rPr>
      </w:pPr>
      <w:r w:rsidRPr="00261889">
        <w:rPr>
          <w:rFonts w:ascii="Times New Roman" w:hAnsi="Times New Roman" w:cs="Times New Roman"/>
          <w:sz w:val="24"/>
          <w:szCs w:val="24"/>
        </w:rPr>
        <w:t>Clindamycin, a narrow-spectrum antibiotic, is effective against most gram-positive species and gram-negative anaerobic species of some pathogenic bacteria and inhibits these pathogens by binding to the 50S ribosomal subunits. It is an alternative drug to penicillin used in the treatment of bacterial infections caused by a number of gram-positive odors, including bone or joint infections, strep throat, pneumonia, middle ear infections, pelvic inflammatory disease, and endocarditis (Kayaalp 2002).</w:t>
      </w:r>
    </w:p>
    <w:p w14:paraId="1FDB1C7F" w14:textId="77777777" w:rsidR="00261889" w:rsidRPr="00261889" w:rsidRDefault="00261889" w:rsidP="006102A2">
      <w:pPr>
        <w:spacing w:after="0" w:line="360" w:lineRule="auto"/>
        <w:jc w:val="both"/>
        <w:rPr>
          <w:rFonts w:ascii="Times New Roman" w:hAnsi="Times New Roman" w:cs="Times New Roman"/>
          <w:sz w:val="24"/>
          <w:szCs w:val="24"/>
        </w:rPr>
      </w:pPr>
    </w:p>
    <w:p w14:paraId="3A41767A" w14:textId="484671E1" w:rsidR="009A3877" w:rsidRDefault="00261889" w:rsidP="006102A2">
      <w:pPr>
        <w:spacing w:after="0" w:line="360" w:lineRule="auto"/>
        <w:jc w:val="both"/>
        <w:rPr>
          <w:rFonts w:ascii="Times New Roman" w:hAnsi="Times New Roman" w:cs="Times New Roman"/>
          <w:sz w:val="24"/>
          <w:szCs w:val="24"/>
        </w:rPr>
      </w:pPr>
      <w:r w:rsidRPr="00261889">
        <w:rPr>
          <w:rFonts w:ascii="Times New Roman" w:hAnsi="Times New Roman" w:cs="Times New Roman"/>
          <w:sz w:val="24"/>
          <w:szCs w:val="24"/>
        </w:rPr>
        <w:t>It is known that many antibiotics and drugs are used in human and animal treatment in studies (Dilek et al</w:t>
      </w:r>
      <w:proofErr w:type="gramStart"/>
      <w:r w:rsidRPr="00261889">
        <w:rPr>
          <w:rFonts w:ascii="Times New Roman" w:hAnsi="Times New Roman" w:cs="Times New Roman"/>
          <w:sz w:val="24"/>
          <w:szCs w:val="24"/>
        </w:rPr>
        <w:t>.,</w:t>
      </w:r>
      <w:proofErr w:type="gramEnd"/>
      <w:r w:rsidRPr="00261889">
        <w:rPr>
          <w:rFonts w:ascii="Times New Roman" w:hAnsi="Times New Roman" w:cs="Times New Roman"/>
          <w:sz w:val="24"/>
          <w:szCs w:val="24"/>
        </w:rPr>
        <w:t xml:space="preserve"> 2013). The target of many of these drugs is specifically regulatory enzymes in metabolism. Drug inhibitors are used in the treatment of diseases by binding to enzymes reversibly or irreversibly. Therefore, enzymes constitute an active research area in pharmacology (Kose et al</w:t>
      </w:r>
      <w:proofErr w:type="gramStart"/>
      <w:r w:rsidRPr="00261889">
        <w:rPr>
          <w:rFonts w:ascii="Times New Roman" w:hAnsi="Times New Roman" w:cs="Times New Roman"/>
          <w:sz w:val="24"/>
          <w:szCs w:val="24"/>
        </w:rPr>
        <w:t>.,</w:t>
      </w:r>
      <w:proofErr w:type="gramEnd"/>
      <w:r w:rsidRPr="00261889">
        <w:rPr>
          <w:rFonts w:ascii="Times New Roman" w:hAnsi="Times New Roman" w:cs="Times New Roman"/>
          <w:sz w:val="24"/>
          <w:szCs w:val="24"/>
        </w:rPr>
        <w:t xml:space="preserve"> 2015). It is known that the G6PD enzyme is purified and characterized from many living tissues in the literature searches, and inhibition studies of many drug molecules on enzyme activity are carried out (Çoban and Ciftci</w:t>
      </w:r>
      <w:proofErr w:type="gramStart"/>
      <w:r w:rsidRPr="00261889">
        <w:rPr>
          <w:rFonts w:ascii="Times New Roman" w:hAnsi="Times New Roman" w:cs="Times New Roman"/>
          <w:sz w:val="24"/>
          <w:szCs w:val="24"/>
        </w:rPr>
        <w:t>.,</w:t>
      </w:r>
      <w:proofErr w:type="gramEnd"/>
      <w:r w:rsidRPr="00261889">
        <w:rPr>
          <w:rFonts w:ascii="Times New Roman" w:hAnsi="Times New Roman" w:cs="Times New Roman"/>
          <w:sz w:val="24"/>
          <w:szCs w:val="24"/>
        </w:rPr>
        <w:t xml:space="preserve"> 2022; Çiftci et al., 2000; Sevki and Ciftci., 2012). However, the effects of clindamycin antibiotic on G6PD enzyme purified from sheep spleen tissue have not been investigated.</w:t>
      </w:r>
    </w:p>
    <w:p w14:paraId="518BA193" w14:textId="77777777" w:rsidR="00261889" w:rsidRDefault="00261889" w:rsidP="006102A2">
      <w:pPr>
        <w:spacing w:after="0" w:line="360" w:lineRule="auto"/>
        <w:jc w:val="both"/>
        <w:rPr>
          <w:rFonts w:ascii="Times New Roman" w:hAnsi="Times New Roman" w:cs="Times New Roman"/>
          <w:b/>
          <w:sz w:val="24"/>
          <w:szCs w:val="24"/>
        </w:rPr>
      </w:pPr>
    </w:p>
    <w:p w14:paraId="45CE6690" w14:textId="77777777" w:rsidR="00C33C61" w:rsidRDefault="00C33C61" w:rsidP="006102A2">
      <w:pPr>
        <w:spacing w:after="0" w:line="360" w:lineRule="auto"/>
        <w:jc w:val="both"/>
        <w:rPr>
          <w:rFonts w:ascii="Times New Roman" w:hAnsi="Times New Roman" w:cs="Times New Roman"/>
          <w:b/>
          <w:sz w:val="24"/>
          <w:szCs w:val="24"/>
        </w:rPr>
      </w:pPr>
    </w:p>
    <w:p w14:paraId="7FAECC15" w14:textId="77777777" w:rsidR="00C33C61" w:rsidRDefault="00C33C61" w:rsidP="006102A2">
      <w:pPr>
        <w:spacing w:after="0" w:line="360" w:lineRule="auto"/>
        <w:jc w:val="both"/>
        <w:rPr>
          <w:rFonts w:ascii="Times New Roman" w:hAnsi="Times New Roman" w:cs="Times New Roman"/>
          <w:b/>
          <w:sz w:val="24"/>
          <w:szCs w:val="24"/>
        </w:rPr>
      </w:pPr>
    </w:p>
    <w:p w14:paraId="7C6B0C12" w14:textId="48FF2803" w:rsidR="00260C17" w:rsidRPr="000D160E" w:rsidRDefault="009A3877" w:rsidP="006102A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0D160E">
        <w:rPr>
          <w:rFonts w:ascii="Times New Roman" w:hAnsi="Times New Roman" w:cs="Times New Roman"/>
          <w:b/>
          <w:sz w:val="24"/>
          <w:szCs w:val="24"/>
        </w:rPr>
        <w:t xml:space="preserve">. </w:t>
      </w:r>
      <w:r w:rsidR="00261889" w:rsidRPr="00261889">
        <w:rPr>
          <w:rFonts w:ascii="Times New Roman" w:hAnsi="Times New Roman" w:cs="Times New Roman"/>
          <w:b/>
          <w:sz w:val="24"/>
          <w:szCs w:val="24"/>
        </w:rPr>
        <w:t>MATERIAL AND METHOD</w:t>
      </w:r>
    </w:p>
    <w:p w14:paraId="31BB0201" w14:textId="37272341" w:rsidR="00260C17" w:rsidRDefault="000D160E" w:rsidP="006102A2">
      <w:pPr>
        <w:spacing w:after="0" w:line="360" w:lineRule="auto"/>
        <w:jc w:val="both"/>
        <w:rPr>
          <w:rFonts w:ascii="Times New Roman" w:hAnsi="Times New Roman" w:cs="Times New Roman"/>
          <w:b/>
          <w:sz w:val="24"/>
          <w:szCs w:val="24"/>
        </w:rPr>
      </w:pPr>
      <w:r w:rsidRPr="000D160E">
        <w:rPr>
          <w:rFonts w:ascii="Times New Roman" w:hAnsi="Times New Roman" w:cs="Times New Roman"/>
          <w:b/>
          <w:sz w:val="24"/>
          <w:szCs w:val="24"/>
        </w:rPr>
        <w:t>2.1.</w:t>
      </w:r>
      <w:r w:rsidR="00260C17" w:rsidRPr="000D160E">
        <w:rPr>
          <w:rFonts w:ascii="Times New Roman" w:hAnsi="Times New Roman" w:cs="Times New Roman"/>
          <w:b/>
          <w:sz w:val="24"/>
          <w:szCs w:val="24"/>
        </w:rPr>
        <w:t xml:space="preserve"> Mater</w:t>
      </w:r>
      <w:r w:rsidR="00261889">
        <w:rPr>
          <w:rFonts w:ascii="Times New Roman" w:hAnsi="Times New Roman" w:cs="Times New Roman"/>
          <w:b/>
          <w:sz w:val="24"/>
          <w:szCs w:val="24"/>
        </w:rPr>
        <w:t>ial</w:t>
      </w:r>
    </w:p>
    <w:p w14:paraId="73803D24" w14:textId="77777777" w:rsidR="00C33C61" w:rsidRPr="000D160E" w:rsidRDefault="00C33C61" w:rsidP="006102A2">
      <w:pPr>
        <w:spacing w:after="0" w:line="360" w:lineRule="auto"/>
        <w:jc w:val="both"/>
        <w:rPr>
          <w:rFonts w:ascii="Times New Roman" w:hAnsi="Times New Roman" w:cs="Times New Roman"/>
          <w:b/>
          <w:sz w:val="24"/>
          <w:szCs w:val="24"/>
        </w:rPr>
      </w:pPr>
    </w:p>
    <w:p w14:paraId="0C14C0C6" w14:textId="62802924" w:rsidR="00502CEE" w:rsidRDefault="00502CEE" w:rsidP="006102A2">
      <w:pPr>
        <w:spacing w:after="0" w:line="360" w:lineRule="auto"/>
        <w:jc w:val="both"/>
        <w:rPr>
          <w:rFonts w:ascii="Times New Roman" w:hAnsi="Times New Roman" w:cs="Times New Roman"/>
          <w:sz w:val="24"/>
          <w:szCs w:val="24"/>
        </w:rPr>
      </w:pPr>
      <w:r w:rsidRPr="00502CEE">
        <w:rPr>
          <w:rFonts w:ascii="Times New Roman" w:hAnsi="Times New Roman" w:cs="Times New Roman"/>
          <w:sz w:val="24"/>
          <w:szCs w:val="24"/>
        </w:rPr>
        <w:t>The clindamycin antibiotic used in our study was commercially available, TEMED, EDTA protein standards, ammonium sulfate, Tris, 2', 5' ADP-Sepharose 4B affinity gel G6P, NADP+, electrophoresis chemicals, and other chemicals from Sigma-Aldrich Com. (St. Louis, MO) and Merck (Darmstadt, Germany).</w:t>
      </w:r>
    </w:p>
    <w:p w14:paraId="69B72BDB" w14:textId="77777777" w:rsidR="00C33C61" w:rsidRDefault="00C33C61" w:rsidP="006102A2">
      <w:pPr>
        <w:spacing w:after="0" w:line="360" w:lineRule="auto"/>
        <w:jc w:val="both"/>
        <w:rPr>
          <w:rFonts w:ascii="Times New Roman" w:hAnsi="Times New Roman" w:cs="Times New Roman"/>
          <w:sz w:val="24"/>
          <w:szCs w:val="24"/>
        </w:rPr>
      </w:pPr>
    </w:p>
    <w:p w14:paraId="7697F482" w14:textId="0E4104F5" w:rsidR="00D8626D" w:rsidRDefault="000D160E" w:rsidP="006102A2">
      <w:pPr>
        <w:spacing w:after="0" w:line="360" w:lineRule="auto"/>
        <w:jc w:val="both"/>
        <w:rPr>
          <w:rFonts w:ascii="Times New Roman" w:hAnsi="Times New Roman" w:cs="Times New Roman"/>
          <w:b/>
          <w:sz w:val="24"/>
          <w:szCs w:val="24"/>
        </w:rPr>
      </w:pPr>
      <w:r w:rsidRPr="000D160E">
        <w:rPr>
          <w:rFonts w:ascii="Times New Roman" w:hAnsi="Times New Roman" w:cs="Times New Roman"/>
          <w:b/>
          <w:sz w:val="24"/>
          <w:szCs w:val="24"/>
        </w:rPr>
        <w:t>2.2.</w:t>
      </w:r>
      <w:r>
        <w:rPr>
          <w:rFonts w:ascii="Times New Roman" w:hAnsi="Times New Roman" w:cs="Times New Roman"/>
          <w:b/>
          <w:sz w:val="24"/>
          <w:szCs w:val="24"/>
        </w:rPr>
        <w:t xml:space="preserve"> </w:t>
      </w:r>
      <w:r w:rsidR="00261889" w:rsidRPr="00261889">
        <w:rPr>
          <w:rFonts w:ascii="Times New Roman" w:hAnsi="Times New Roman" w:cs="Times New Roman"/>
          <w:b/>
          <w:sz w:val="24"/>
          <w:szCs w:val="24"/>
        </w:rPr>
        <w:t>Preparation of Homogeneous</w:t>
      </w:r>
    </w:p>
    <w:p w14:paraId="6F67E465" w14:textId="77777777" w:rsidR="00C33C61" w:rsidRDefault="00C33C61" w:rsidP="006102A2">
      <w:pPr>
        <w:spacing w:after="0" w:line="360" w:lineRule="auto"/>
        <w:jc w:val="both"/>
        <w:rPr>
          <w:rFonts w:ascii="Times New Roman" w:hAnsi="Times New Roman" w:cs="Times New Roman"/>
          <w:b/>
          <w:sz w:val="24"/>
          <w:szCs w:val="24"/>
        </w:rPr>
      </w:pPr>
    </w:p>
    <w:p w14:paraId="2037155E" w14:textId="46487D1D" w:rsidR="00303871" w:rsidRDefault="00502CEE" w:rsidP="006102A2">
      <w:pPr>
        <w:autoSpaceDE w:val="0"/>
        <w:autoSpaceDN w:val="0"/>
        <w:adjustRightInd w:val="0"/>
        <w:spacing w:after="0" w:line="360" w:lineRule="auto"/>
        <w:jc w:val="both"/>
        <w:rPr>
          <w:rFonts w:ascii="Times New Roman" w:hAnsi="Times New Roman" w:cs="Times New Roman"/>
          <w:bCs/>
          <w:sz w:val="24"/>
          <w:szCs w:val="24"/>
        </w:rPr>
      </w:pPr>
      <w:r w:rsidRPr="00502CEE">
        <w:rPr>
          <w:rFonts w:ascii="Times New Roman" w:hAnsi="Times New Roman" w:cs="Times New Roman"/>
          <w:bCs/>
          <w:sz w:val="24"/>
          <w:szCs w:val="24"/>
        </w:rPr>
        <w:t>The sheep spleen tissue used in this study was obtained from the Combined Meat and Milk Institution of Bingöl according to the cold chain rules. To prepare G6PD enzyme homogenate, spleen tissue was brought to room temperature and 10 grams of tissue were cut into small pieces and suspended in 30 mL of 1 M Tris-HCl (pH= 8.0) buffer. The tissue, which was thoroughly shredded in the homogenator, was centrifuged for 1 hour at 10,000xg, and the precipitate was discarded and homogenate was formed (Çoban and Ciftci, 2022; Smith, 1987; Keha and Küfrevioğlu, 2010).</w:t>
      </w:r>
    </w:p>
    <w:p w14:paraId="65F4ADF4" w14:textId="77777777" w:rsidR="00C33C61" w:rsidRPr="000D160E" w:rsidRDefault="00C33C61" w:rsidP="006102A2">
      <w:pPr>
        <w:autoSpaceDE w:val="0"/>
        <w:autoSpaceDN w:val="0"/>
        <w:adjustRightInd w:val="0"/>
        <w:spacing w:after="0" w:line="360" w:lineRule="auto"/>
        <w:jc w:val="both"/>
        <w:rPr>
          <w:rFonts w:ascii="Times New Roman" w:hAnsi="Times New Roman" w:cs="Times New Roman"/>
          <w:bCs/>
          <w:sz w:val="24"/>
          <w:szCs w:val="24"/>
        </w:rPr>
      </w:pPr>
    </w:p>
    <w:p w14:paraId="7C3B6C0B" w14:textId="07AE92C5" w:rsidR="00260C17" w:rsidRDefault="000D160E" w:rsidP="006102A2">
      <w:pPr>
        <w:spacing w:after="0" w:line="360" w:lineRule="auto"/>
        <w:jc w:val="both"/>
        <w:rPr>
          <w:rFonts w:ascii="Times New Roman" w:hAnsi="Times New Roman" w:cs="Times New Roman"/>
          <w:b/>
          <w:sz w:val="24"/>
          <w:szCs w:val="24"/>
        </w:rPr>
      </w:pPr>
      <w:r w:rsidRPr="000D160E">
        <w:rPr>
          <w:rFonts w:ascii="Times New Roman" w:hAnsi="Times New Roman" w:cs="Times New Roman"/>
          <w:b/>
          <w:sz w:val="24"/>
          <w:szCs w:val="24"/>
        </w:rPr>
        <w:t>2.3.</w:t>
      </w:r>
      <w:r>
        <w:rPr>
          <w:rFonts w:ascii="Times New Roman" w:hAnsi="Times New Roman" w:cs="Times New Roman"/>
          <w:b/>
          <w:sz w:val="24"/>
          <w:szCs w:val="24"/>
        </w:rPr>
        <w:t xml:space="preserve"> </w:t>
      </w:r>
      <w:r w:rsidR="00261889" w:rsidRPr="00261889">
        <w:rPr>
          <w:rFonts w:ascii="Times New Roman" w:hAnsi="Times New Roman" w:cs="Times New Roman"/>
          <w:b/>
          <w:sz w:val="24"/>
          <w:szCs w:val="24"/>
        </w:rPr>
        <w:t>Ammonium Sulphate Precipitation and Dialysis</w:t>
      </w:r>
    </w:p>
    <w:p w14:paraId="4F414597" w14:textId="77777777" w:rsidR="00C33C61" w:rsidRPr="000D160E" w:rsidRDefault="00C33C61" w:rsidP="006102A2">
      <w:pPr>
        <w:spacing w:after="0" w:line="360" w:lineRule="auto"/>
        <w:jc w:val="both"/>
        <w:rPr>
          <w:rFonts w:ascii="Times New Roman" w:hAnsi="Times New Roman" w:cs="Times New Roman"/>
          <w:b/>
          <w:sz w:val="24"/>
          <w:szCs w:val="24"/>
        </w:rPr>
      </w:pPr>
    </w:p>
    <w:p w14:paraId="29BCDB41" w14:textId="4B526A73" w:rsidR="00502CEE" w:rsidRDefault="00502CEE" w:rsidP="006102A2">
      <w:pPr>
        <w:autoSpaceDE w:val="0"/>
        <w:autoSpaceDN w:val="0"/>
        <w:adjustRightInd w:val="0"/>
        <w:spacing w:after="0" w:line="360" w:lineRule="auto"/>
        <w:jc w:val="both"/>
        <w:rPr>
          <w:rFonts w:ascii="Times New Roman" w:hAnsi="Times New Roman" w:cs="Times New Roman"/>
          <w:sz w:val="24"/>
          <w:szCs w:val="24"/>
        </w:rPr>
      </w:pPr>
      <w:r w:rsidRPr="00502CEE">
        <w:rPr>
          <w:rFonts w:ascii="Times New Roman" w:hAnsi="Times New Roman" w:cs="Times New Roman"/>
          <w:sz w:val="24"/>
          <w:szCs w:val="24"/>
        </w:rPr>
        <w:t>For the prepared homogenate, ammonium sulfate precipitation was performed at 40%-60% saturation concentrations according to the salting-out method. The precipitate in this range was dissolved in 1 M Tris-HCl buffer (pH= 8.0) and the enzyme solution was transferred to dialysis bags and dialyzed against 50 mM K-acetate/ 50 mM K-phosphate (pH= 7.0) buffer for 2 hours (Çoban et al. Ciftci, 2022; Smith, 1987; Keha and Küfrevioğlu, 2010).</w:t>
      </w:r>
    </w:p>
    <w:p w14:paraId="33CA8D34" w14:textId="77777777" w:rsidR="00C33C61" w:rsidRPr="006102A2" w:rsidRDefault="00C33C61" w:rsidP="006102A2">
      <w:pPr>
        <w:autoSpaceDE w:val="0"/>
        <w:autoSpaceDN w:val="0"/>
        <w:adjustRightInd w:val="0"/>
        <w:spacing w:after="0" w:line="360" w:lineRule="auto"/>
        <w:jc w:val="both"/>
        <w:rPr>
          <w:rFonts w:ascii="Times New Roman" w:hAnsi="Times New Roman" w:cs="Times New Roman"/>
          <w:sz w:val="24"/>
          <w:szCs w:val="24"/>
        </w:rPr>
      </w:pPr>
    </w:p>
    <w:p w14:paraId="206599E1" w14:textId="4E6FB2B2" w:rsidR="00502CEE" w:rsidRDefault="000D160E" w:rsidP="006102A2">
      <w:pPr>
        <w:autoSpaceDE w:val="0"/>
        <w:autoSpaceDN w:val="0"/>
        <w:adjustRightInd w:val="0"/>
        <w:spacing w:after="0" w:line="360" w:lineRule="auto"/>
        <w:jc w:val="both"/>
        <w:rPr>
          <w:rFonts w:ascii="Times New Roman" w:eastAsia="Times-Bold" w:hAnsi="Times New Roman" w:cs="Times New Roman"/>
          <w:b/>
          <w:bCs/>
          <w:sz w:val="24"/>
          <w:szCs w:val="24"/>
        </w:rPr>
      </w:pPr>
      <w:r w:rsidRPr="000D160E">
        <w:rPr>
          <w:rFonts w:ascii="Times New Roman" w:eastAsia="Times-Bold" w:hAnsi="Times New Roman" w:cs="Times New Roman"/>
          <w:b/>
          <w:bCs/>
          <w:sz w:val="24"/>
          <w:szCs w:val="24"/>
        </w:rPr>
        <w:t>2.4.</w:t>
      </w:r>
      <w:r>
        <w:rPr>
          <w:rFonts w:ascii="Times New Roman" w:eastAsia="Times-Bold" w:hAnsi="Times New Roman" w:cs="Times New Roman"/>
          <w:b/>
          <w:bCs/>
          <w:sz w:val="24"/>
          <w:szCs w:val="24"/>
        </w:rPr>
        <w:t xml:space="preserve"> </w:t>
      </w:r>
      <w:r w:rsidR="00261889" w:rsidRPr="00261889">
        <w:rPr>
          <w:rFonts w:ascii="Times New Roman" w:eastAsia="Times-Bold" w:hAnsi="Times New Roman" w:cs="Times New Roman"/>
          <w:b/>
          <w:bCs/>
          <w:sz w:val="24"/>
          <w:szCs w:val="24"/>
        </w:rPr>
        <w:t>of 2',5'-ADP Sepharose-4B Affinity Column and Purification of Sheep spleen G6PD Enzyme</w:t>
      </w:r>
    </w:p>
    <w:p w14:paraId="2E272A5C" w14:textId="77777777" w:rsidR="00C33C61" w:rsidRPr="00502CEE" w:rsidRDefault="00C33C61" w:rsidP="006102A2">
      <w:pPr>
        <w:autoSpaceDE w:val="0"/>
        <w:autoSpaceDN w:val="0"/>
        <w:adjustRightInd w:val="0"/>
        <w:spacing w:after="0" w:line="360" w:lineRule="auto"/>
        <w:jc w:val="both"/>
        <w:rPr>
          <w:rFonts w:ascii="Times New Roman" w:eastAsia="Times-Bold" w:hAnsi="Times New Roman" w:cs="Times New Roman"/>
          <w:b/>
          <w:bCs/>
          <w:sz w:val="24"/>
          <w:szCs w:val="24"/>
        </w:rPr>
      </w:pPr>
    </w:p>
    <w:p w14:paraId="28D5DB35" w14:textId="5098687C" w:rsidR="00502CEE" w:rsidRDefault="00502CEE" w:rsidP="006102A2">
      <w:pPr>
        <w:autoSpaceDE w:val="0"/>
        <w:autoSpaceDN w:val="0"/>
        <w:adjustRightInd w:val="0"/>
        <w:spacing w:after="0" w:line="360" w:lineRule="auto"/>
        <w:jc w:val="both"/>
        <w:rPr>
          <w:rFonts w:ascii="Times New Roman" w:hAnsi="Times New Roman" w:cs="Times New Roman"/>
          <w:bCs/>
          <w:sz w:val="24"/>
          <w:szCs w:val="24"/>
        </w:rPr>
      </w:pPr>
      <w:r w:rsidRPr="00502CEE">
        <w:rPr>
          <w:rFonts w:ascii="Times New Roman" w:hAnsi="Times New Roman" w:cs="Times New Roman"/>
          <w:bCs/>
          <w:sz w:val="24"/>
          <w:szCs w:val="24"/>
        </w:rPr>
        <w:t xml:space="preserve">Partially purified enzyme sample after ammonium sulfate precipitation was purified by 2', 5' ADP Sepharose-4B affinity chromatography. First of all, an affinity column was prepared. For a bed volume of 10 mL, 2 g of dry 2', 5'-ADP sepharose 4B gel was weighed and washed several times in 400 mL of distilled water to remove solids. At the same time, the gel was swollen with the washed water. After deaerating the gel with vacuum using a water trumpet, it was suspended </w:t>
      </w:r>
      <w:r w:rsidRPr="00502CEE">
        <w:rPr>
          <w:rFonts w:ascii="Times New Roman" w:hAnsi="Times New Roman" w:cs="Times New Roman"/>
          <w:bCs/>
          <w:sz w:val="24"/>
          <w:szCs w:val="24"/>
        </w:rPr>
        <w:lastRenderedPageBreak/>
        <w:t>with equilibration buffer (0.1M KH2PO4 + 0.1M K-acetate pH= 6.0). The suspended gel was packed into a cooled column consisting of a 1x10 cm closed system. After the gel precipitated, it was washed with wash and equilibration buffer with the help of a peristaltic pump. The equilibration of the column was understood from the approximate equalization of the absorbance and pH of the eluate and buffer at 280 nm. Thus, the affinity column was prepared. 11 mL of G6PD enzyme solution was loaded onto the prepared column. Affinity column 25 mL 0.1M KH2PO4 +0.1M K-acetate (pH= 6.0 ), 25 mL,0.1M KH2PO4 +0.1M K-acetate (pH= 7.85) and 25 mL, respectively It was washed with solutions of 0.1M KH2PO4 + 0.1M KCl (pH= 7.85). The washing process was followed in the spectrophotometer and the absorbance values ​​were determined to be approximately equal to the blank. After washing the column, the G6PD enzyme was eluted from the affinity column with elution buffer (80 mM KH2PO4 + 80 mM KCl + 0.5 mM NADP+ + 10 mM EDTA pH= 7.85) (Çoban and Ciftci, 2022; Bradford, 1976; Smith, 1987). ; Demir et al</w:t>
      </w:r>
      <w:proofErr w:type="gramStart"/>
      <w:r w:rsidRPr="00502CEE">
        <w:rPr>
          <w:rFonts w:ascii="Times New Roman" w:hAnsi="Times New Roman" w:cs="Times New Roman"/>
          <w:bCs/>
          <w:sz w:val="24"/>
          <w:szCs w:val="24"/>
        </w:rPr>
        <w:t>.,</w:t>
      </w:r>
      <w:proofErr w:type="gramEnd"/>
      <w:r w:rsidRPr="00502CEE">
        <w:rPr>
          <w:rFonts w:ascii="Times New Roman" w:hAnsi="Times New Roman" w:cs="Times New Roman"/>
          <w:bCs/>
          <w:sz w:val="24"/>
          <w:szCs w:val="24"/>
        </w:rPr>
        <w:t xml:space="preserve"> 2006; Keha and Küfrevioğlu, 2010, Temel and Taysı, 2019).</w:t>
      </w:r>
    </w:p>
    <w:p w14:paraId="01ED3338" w14:textId="77777777" w:rsidR="00C33C61" w:rsidRPr="006102A2" w:rsidRDefault="00C33C61" w:rsidP="006102A2">
      <w:pPr>
        <w:autoSpaceDE w:val="0"/>
        <w:autoSpaceDN w:val="0"/>
        <w:adjustRightInd w:val="0"/>
        <w:spacing w:after="0" w:line="360" w:lineRule="auto"/>
        <w:jc w:val="both"/>
        <w:rPr>
          <w:rFonts w:ascii="Times New Roman" w:hAnsi="Times New Roman" w:cs="Times New Roman"/>
          <w:bCs/>
          <w:sz w:val="24"/>
          <w:szCs w:val="24"/>
        </w:rPr>
      </w:pPr>
    </w:p>
    <w:p w14:paraId="6CFC813B" w14:textId="24949D01" w:rsidR="00112A93" w:rsidRDefault="000D160E" w:rsidP="006102A2">
      <w:pPr>
        <w:autoSpaceDE w:val="0"/>
        <w:autoSpaceDN w:val="0"/>
        <w:adjustRightInd w:val="0"/>
        <w:spacing w:after="0" w:line="360" w:lineRule="auto"/>
        <w:jc w:val="both"/>
        <w:rPr>
          <w:rFonts w:ascii="Times New Roman" w:hAnsi="Times New Roman" w:cs="Times New Roman"/>
          <w:b/>
          <w:sz w:val="24"/>
          <w:szCs w:val="24"/>
        </w:rPr>
      </w:pPr>
      <w:r w:rsidRPr="000D160E">
        <w:rPr>
          <w:rFonts w:ascii="Times New Roman" w:hAnsi="Times New Roman" w:cs="Times New Roman"/>
          <w:b/>
          <w:sz w:val="24"/>
          <w:szCs w:val="24"/>
        </w:rPr>
        <w:t>2.5.</w:t>
      </w:r>
      <w:r w:rsidR="00260C17" w:rsidRPr="000D160E">
        <w:rPr>
          <w:rFonts w:ascii="Times New Roman" w:hAnsi="Times New Roman" w:cs="Times New Roman"/>
          <w:b/>
          <w:sz w:val="24"/>
          <w:szCs w:val="24"/>
        </w:rPr>
        <w:t xml:space="preserve"> </w:t>
      </w:r>
      <w:r w:rsidR="00261889" w:rsidRPr="00261889">
        <w:rPr>
          <w:rFonts w:ascii="Times New Roman" w:hAnsi="Times New Roman" w:cs="Times New Roman"/>
          <w:b/>
          <w:sz w:val="24"/>
          <w:szCs w:val="24"/>
        </w:rPr>
        <w:t>Measurement of Glucose 6-Phosphate Dehydrogenase Enzyme Activity</w:t>
      </w:r>
    </w:p>
    <w:p w14:paraId="7457E47C" w14:textId="77777777" w:rsidR="00C33C61" w:rsidRPr="006102A2" w:rsidRDefault="00C33C61" w:rsidP="006102A2">
      <w:pPr>
        <w:autoSpaceDE w:val="0"/>
        <w:autoSpaceDN w:val="0"/>
        <w:adjustRightInd w:val="0"/>
        <w:spacing w:after="0" w:line="360" w:lineRule="auto"/>
        <w:jc w:val="both"/>
        <w:rPr>
          <w:rFonts w:ascii="Times New Roman" w:eastAsia="Times-Bold" w:hAnsi="Times New Roman" w:cs="Times New Roman"/>
          <w:b/>
          <w:sz w:val="24"/>
          <w:szCs w:val="24"/>
        </w:rPr>
      </w:pPr>
    </w:p>
    <w:p w14:paraId="6AB0B7A7" w14:textId="15EE4E1F" w:rsidR="00E83D70" w:rsidRDefault="00502CEE" w:rsidP="006102A2">
      <w:pPr>
        <w:spacing w:after="0" w:line="360" w:lineRule="auto"/>
        <w:jc w:val="both"/>
        <w:rPr>
          <w:rFonts w:ascii="Times New Roman" w:hAnsi="Times New Roman" w:cs="Times New Roman"/>
          <w:sz w:val="24"/>
          <w:szCs w:val="24"/>
        </w:rPr>
      </w:pPr>
      <w:r w:rsidRPr="00502CEE">
        <w:rPr>
          <w:rFonts w:ascii="Times New Roman" w:hAnsi="Times New Roman" w:cs="Times New Roman"/>
          <w:sz w:val="24"/>
          <w:szCs w:val="24"/>
        </w:rPr>
        <w:t>G6PD enzyme activity was measured spectrophotometrically according to the Beutler method. This method is based on the principle that NADPH, which is formed as a result of the reduction of coenzyme NADP+ with GSH in the reaction catalyzed by the G6PD enzyme, gives maximum absorbance at 340 nm (Beutler, 1971).</w:t>
      </w:r>
    </w:p>
    <w:p w14:paraId="7237B3D4" w14:textId="77777777" w:rsidR="00C33C61" w:rsidRPr="009129F8" w:rsidRDefault="00C33C61" w:rsidP="006102A2">
      <w:pPr>
        <w:spacing w:after="0" w:line="360" w:lineRule="auto"/>
        <w:jc w:val="both"/>
        <w:rPr>
          <w:rFonts w:ascii="Times New Roman" w:hAnsi="Times New Roman" w:cs="Times New Roman"/>
          <w:b/>
          <w:color w:val="000000" w:themeColor="text1"/>
          <w:sz w:val="24"/>
          <w:szCs w:val="24"/>
        </w:rPr>
      </w:pPr>
    </w:p>
    <w:p w14:paraId="18826939" w14:textId="4D3F3754" w:rsidR="00260C17" w:rsidRDefault="000D160E" w:rsidP="006102A2">
      <w:pPr>
        <w:spacing w:after="0" w:line="360" w:lineRule="auto"/>
        <w:jc w:val="both"/>
        <w:rPr>
          <w:rFonts w:ascii="Times New Roman" w:hAnsi="Times New Roman" w:cs="Times New Roman"/>
          <w:b/>
          <w:sz w:val="24"/>
          <w:szCs w:val="24"/>
        </w:rPr>
      </w:pPr>
      <w:r w:rsidRPr="000D160E">
        <w:rPr>
          <w:rFonts w:ascii="Times New Roman" w:hAnsi="Times New Roman" w:cs="Times New Roman"/>
          <w:b/>
          <w:sz w:val="24"/>
          <w:szCs w:val="24"/>
        </w:rPr>
        <w:t>2.6.</w:t>
      </w:r>
      <w:r w:rsidR="00261889" w:rsidRPr="00261889">
        <w:t xml:space="preserve"> </w:t>
      </w:r>
      <w:r w:rsidR="00261889" w:rsidRPr="00261889">
        <w:rPr>
          <w:rFonts w:ascii="Times New Roman" w:hAnsi="Times New Roman" w:cs="Times New Roman"/>
          <w:b/>
          <w:sz w:val="24"/>
          <w:szCs w:val="24"/>
        </w:rPr>
        <w:t>Protein Determination</w:t>
      </w:r>
    </w:p>
    <w:p w14:paraId="0D3A6C7B" w14:textId="77777777" w:rsidR="00C33C61" w:rsidRPr="000D160E" w:rsidRDefault="00C33C61" w:rsidP="006102A2">
      <w:pPr>
        <w:spacing w:after="0" w:line="360" w:lineRule="auto"/>
        <w:jc w:val="both"/>
        <w:rPr>
          <w:rFonts w:ascii="Times New Roman" w:hAnsi="Times New Roman" w:cs="Times New Roman"/>
          <w:b/>
          <w:sz w:val="24"/>
          <w:szCs w:val="24"/>
        </w:rPr>
      </w:pPr>
    </w:p>
    <w:p w14:paraId="3B47AFBC" w14:textId="1A0B17DD" w:rsidR="00502CEE" w:rsidRDefault="00502CEE" w:rsidP="006102A2">
      <w:pPr>
        <w:autoSpaceDE w:val="0"/>
        <w:autoSpaceDN w:val="0"/>
        <w:adjustRightInd w:val="0"/>
        <w:spacing w:after="0" w:line="360" w:lineRule="auto"/>
        <w:jc w:val="both"/>
        <w:rPr>
          <w:rFonts w:ascii="Times New Roman" w:hAnsi="Times New Roman" w:cs="Times New Roman"/>
          <w:sz w:val="24"/>
          <w:szCs w:val="24"/>
        </w:rPr>
      </w:pPr>
      <w:r w:rsidRPr="00502CEE">
        <w:rPr>
          <w:rFonts w:ascii="Times New Roman" w:hAnsi="Times New Roman" w:cs="Times New Roman"/>
          <w:sz w:val="24"/>
          <w:szCs w:val="24"/>
        </w:rPr>
        <w:t>Quantitative protein amount, enzyme homogenate, ammonium sulfate precipitate and pure enzyme sample were determined spectrophotometrically at 595 nm according to the Bradford method. The standard chart was created using bovine serum albumin protein (Bradford, 1976).</w:t>
      </w:r>
    </w:p>
    <w:p w14:paraId="369F28CA" w14:textId="77777777" w:rsidR="00C33C61" w:rsidRDefault="00C33C61" w:rsidP="006102A2">
      <w:pPr>
        <w:autoSpaceDE w:val="0"/>
        <w:autoSpaceDN w:val="0"/>
        <w:adjustRightInd w:val="0"/>
        <w:spacing w:after="0" w:line="360" w:lineRule="auto"/>
        <w:jc w:val="both"/>
        <w:rPr>
          <w:rFonts w:ascii="Times New Roman" w:hAnsi="Times New Roman" w:cs="Times New Roman"/>
          <w:sz w:val="24"/>
          <w:szCs w:val="24"/>
        </w:rPr>
      </w:pPr>
    </w:p>
    <w:p w14:paraId="554F3E54" w14:textId="1B8E3F64" w:rsidR="00502CEE" w:rsidRDefault="000D160E" w:rsidP="006102A2">
      <w:pPr>
        <w:autoSpaceDE w:val="0"/>
        <w:autoSpaceDN w:val="0"/>
        <w:adjustRightInd w:val="0"/>
        <w:spacing w:after="0" w:line="360" w:lineRule="auto"/>
        <w:jc w:val="both"/>
        <w:rPr>
          <w:rFonts w:ascii="Times New Roman" w:eastAsia="Times-Bold" w:hAnsi="Times New Roman" w:cs="Times New Roman"/>
          <w:b/>
          <w:bCs/>
          <w:sz w:val="24"/>
          <w:szCs w:val="24"/>
        </w:rPr>
      </w:pPr>
      <w:r w:rsidRPr="00606B05">
        <w:rPr>
          <w:rFonts w:ascii="Times New Roman" w:eastAsia="Times-Bold" w:hAnsi="Times New Roman" w:cs="Times New Roman"/>
          <w:b/>
          <w:bCs/>
          <w:sz w:val="24"/>
          <w:szCs w:val="24"/>
        </w:rPr>
        <w:t xml:space="preserve">2.7. </w:t>
      </w:r>
      <w:r w:rsidR="00502CEE" w:rsidRPr="00502CEE">
        <w:rPr>
          <w:rFonts w:ascii="Times New Roman" w:eastAsia="Times-Bold" w:hAnsi="Times New Roman" w:cs="Times New Roman"/>
          <w:b/>
          <w:bCs/>
          <w:sz w:val="24"/>
          <w:szCs w:val="24"/>
        </w:rPr>
        <w:t>Enzyme Purity Control with SDS-PAGE</w:t>
      </w:r>
    </w:p>
    <w:p w14:paraId="3B229B1F" w14:textId="77777777" w:rsidR="00C33C61" w:rsidRPr="00502CEE" w:rsidRDefault="00C33C61" w:rsidP="006102A2">
      <w:pPr>
        <w:autoSpaceDE w:val="0"/>
        <w:autoSpaceDN w:val="0"/>
        <w:adjustRightInd w:val="0"/>
        <w:spacing w:after="0" w:line="360" w:lineRule="auto"/>
        <w:jc w:val="both"/>
        <w:rPr>
          <w:rFonts w:ascii="Times New Roman" w:eastAsia="Times-Bold" w:hAnsi="Times New Roman" w:cs="Times New Roman"/>
          <w:b/>
          <w:bCs/>
          <w:sz w:val="24"/>
          <w:szCs w:val="24"/>
        </w:rPr>
      </w:pPr>
    </w:p>
    <w:p w14:paraId="3ED748AF" w14:textId="77777777" w:rsidR="00502CEE" w:rsidRPr="00502CEE" w:rsidRDefault="00502CEE" w:rsidP="006102A2">
      <w:pPr>
        <w:autoSpaceDE w:val="0"/>
        <w:autoSpaceDN w:val="0"/>
        <w:adjustRightInd w:val="0"/>
        <w:spacing w:after="0" w:line="360" w:lineRule="auto"/>
        <w:jc w:val="both"/>
        <w:rPr>
          <w:rFonts w:ascii="Times New Roman" w:eastAsia="Times-Bold" w:hAnsi="Times New Roman" w:cs="Times New Roman"/>
          <w:sz w:val="24"/>
          <w:szCs w:val="24"/>
        </w:rPr>
      </w:pPr>
      <w:r w:rsidRPr="00502CEE">
        <w:rPr>
          <w:rFonts w:ascii="Times New Roman" w:eastAsia="Times-Bold" w:hAnsi="Times New Roman" w:cs="Times New Roman"/>
          <w:sz w:val="24"/>
          <w:szCs w:val="24"/>
        </w:rPr>
        <w:t>Enzyme purity control 3-8% batch sodium dodecyl sulfate polyacrylamide gel electrophoresis</w:t>
      </w:r>
    </w:p>
    <w:p w14:paraId="078D5E1A" w14:textId="3A78429F" w:rsidR="00260C17" w:rsidRDefault="00502CEE" w:rsidP="006102A2">
      <w:pPr>
        <w:autoSpaceDE w:val="0"/>
        <w:autoSpaceDN w:val="0"/>
        <w:adjustRightInd w:val="0"/>
        <w:spacing w:after="0" w:line="360" w:lineRule="auto"/>
        <w:jc w:val="both"/>
        <w:rPr>
          <w:rFonts w:ascii="Times New Roman" w:eastAsia="Times-Bold" w:hAnsi="Times New Roman" w:cs="Times New Roman"/>
          <w:sz w:val="24"/>
          <w:szCs w:val="24"/>
        </w:rPr>
      </w:pPr>
      <w:r w:rsidRPr="00502CEE">
        <w:rPr>
          <w:rFonts w:ascii="Times New Roman" w:eastAsia="Times-Bold" w:hAnsi="Times New Roman" w:cs="Times New Roman"/>
          <w:sz w:val="24"/>
          <w:szCs w:val="24"/>
        </w:rPr>
        <w:t>(SDS-PAGE) was carried out according to the method of Laemmli (Laemmali, 1970).</w:t>
      </w:r>
    </w:p>
    <w:p w14:paraId="32A09B3D" w14:textId="603890C8" w:rsidR="00C33C61" w:rsidRDefault="00C33C61" w:rsidP="006102A2">
      <w:pPr>
        <w:autoSpaceDE w:val="0"/>
        <w:autoSpaceDN w:val="0"/>
        <w:adjustRightInd w:val="0"/>
        <w:spacing w:after="0" w:line="360" w:lineRule="auto"/>
        <w:jc w:val="both"/>
        <w:rPr>
          <w:rFonts w:ascii="Times New Roman" w:eastAsia="Times-Bold" w:hAnsi="Times New Roman" w:cs="Times New Roman"/>
          <w:sz w:val="24"/>
          <w:szCs w:val="24"/>
        </w:rPr>
      </w:pPr>
    </w:p>
    <w:p w14:paraId="7517202B" w14:textId="24F009F5" w:rsidR="00C33C61" w:rsidRDefault="00C33C61" w:rsidP="006102A2">
      <w:pPr>
        <w:autoSpaceDE w:val="0"/>
        <w:autoSpaceDN w:val="0"/>
        <w:adjustRightInd w:val="0"/>
        <w:spacing w:after="0" w:line="360" w:lineRule="auto"/>
        <w:jc w:val="both"/>
        <w:rPr>
          <w:rFonts w:ascii="Times New Roman" w:eastAsia="Times-Bold" w:hAnsi="Times New Roman" w:cs="Times New Roman"/>
          <w:sz w:val="24"/>
          <w:szCs w:val="24"/>
        </w:rPr>
      </w:pPr>
    </w:p>
    <w:p w14:paraId="27BAB4A7" w14:textId="77777777" w:rsidR="00C33C61" w:rsidRPr="000D160E" w:rsidRDefault="00C33C61" w:rsidP="006102A2">
      <w:pPr>
        <w:autoSpaceDE w:val="0"/>
        <w:autoSpaceDN w:val="0"/>
        <w:adjustRightInd w:val="0"/>
        <w:spacing w:after="0" w:line="360" w:lineRule="auto"/>
        <w:jc w:val="both"/>
        <w:rPr>
          <w:rFonts w:ascii="Times New Roman" w:eastAsia="Times-Bold" w:hAnsi="Times New Roman" w:cs="Times New Roman"/>
          <w:sz w:val="24"/>
          <w:szCs w:val="24"/>
        </w:rPr>
      </w:pPr>
    </w:p>
    <w:p w14:paraId="555FBA33" w14:textId="058741B6" w:rsidR="00260C17" w:rsidRDefault="00CC1BFD" w:rsidP="006102A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2.8</w:t>
      </w:r>
      <w:r w:rsidR="000D160E" w:rsidRPr="000D160E">
        <w:rPr>
          <w:rFonts w:ascii="Times New Roman" w:hAnsi="Times New Roman" w:cs="Times New Roman"/>
          <w:b/>
          <w:sz w:val="24"/>
          <w:szCs w:val="24"/>
        </w:rPr>
        <w:t xml:space="preserve">. </w:t>
      </w:r>
      <w:r w:rsidR="00502CEE" w:rsidRPr="00502CEE">
        <w:rPr>
          <w:rFonts w:ascii="Times New Roman" w:hAnsi="Times New Roman" w:cs="Times New Roman"/>
          <w:b/>
          <w:sz w:val="24"/>
          <w:szCs w:val="24"/>
        </w:rPr>
        <w:t>Kinetic Studies</w:t>
      </w:r>
    </w:p>
    <w:p w14:paraId="30F08968" w14:textId="77777777" w:rsidR="00C33C61" w:rsidRPr="000D160E" w:rsidRDefault="00C33C61" w:rsidP="006102A2">
      <w:pPr>
        <w:spacing w:after="0" w:line="360" w:lineRule="auto"/>
        <w:jc w:val="both"/>
        <w:rPr>
          <w:rFonts w:ascii="Times New Roman" w:hAnsi="Times New Roman" w:cs="Times New Roman"/>
          <w:b/>
          <w:sz w:val="24"/>
          <w:szCs w:val="24"/>
        </w:rPr>
      </w:pPr>
    </w:p>
    <w:p w14:paraId="78B5A10E" w14:textId="2608E310" w:rsidR="00472E9E" w:rsidRDefault="00502CEE" w:rsidP="006102A2">
      <w:pPr>
        <w:spacing w:after="0" w:line="360" w:lineRule="auto"/>
        <w:jc w:val="both"/>
        <w:rPr>
          <w:rFonts w:ascii="Times New Roman" w:hAnsi="Times New Roman" w:cs="Times New Roman"/>
          <w:sz w:val="24"/>
          <w:szCs w:val="24"/>
        </w:rPr>
      </w:pPr>
      <w:r w:rsidRPr="00502CEE">
        <w:rPr>
          <w:rFonts w:ascii="Times New Roman" w:hAnsi="Times New Roman" w:cs="Times New Roman"/>
          <w:sz w:val="24"/>
          <w:szCs w:val="24"/>
        </w:rPr>
        <w:t>Inhibition effects of clindamycin antibiotic on G6PD enzyme activity were investigated in kinetic studies. The % Inhibition-[I] graph was drawn to calculate the IC50 value by measuring the antibiotic, which showed an inhibitory effect as a result of the activity measurements, at different inhibitor concentrations. In addition, preliminary experiments were carried out to determine the Ki constant and inhibition type, and the most suitable five different substrate concentrations were determined. Ki constant and inhibition type were determined from the graph obtained (Smith, 1987; Keha and Küfrevioğlu, 2010).</w:t>
      </w:r>
    </w:p>
    <w:p w14:paraId="3DFB9DED" w14:textId="77777777" w:rsidR="00C33C61" w:rsidRPr="006102A2" w:rsidRDefault="00C33C61" w:rsidP="006102A2">
      <w:pPr>
        <w:spacing w:after="0" w:line="360" w:lineRule="auto"/>
        <w:jc w:val="both"/>
        <w:rPr>
          <w:rFonts w:ascii="Times New Roman" w:hAnsi="Times New Roman" w:cs="Times New Roman"/>
          <w:color w:val="000000" w:themeColor="text1"/>
          <w:sz w:val="24"/>
          <w:szCs w:val="24"/>
        </w:rPr>
      </w:pPr>
    </w:p>
    <w:p w14:paraId="327BBF7D" w14:textId="4083197B" w:rsidR="00C33C61" w:rsidRDefault="000D160E" w:rsidP="00C33C61">
      <w:pPr>
        <w:autoSpaceDE w:val="0"/>
        <w:autoSpaceDN w:val="0"/>
        <w:adjustRightInd w:val="0"/>
        <w:spacing w:after="0" w:line="360" w:lineRule="auto"/>
        <w:jc w:val="both"/>
        <w:rPr>
          <w:rFonts w:ascii="Times New Roman" w:hAnsi="Times New Roman" w:cs="Times New Roman"/>
          <w:b/>
          <w:sz w:val="24"/>
          <w:szCs w:val="24"/>
        </w:rPr>
      </w:pPr>
      <w:r w:rsidRPr="000D160E">
        <w:rPr>
          <w:rFonts w:ascii="Times New Roman" w:hAnsi="Times New Roman" w:cs="Times New Roman"/>
          <w:b/>
          <w:sz w:val="24"/>
          <w:szCs w:val="24"/>
        </w:rPr>
        <w:t xml:space="preserve">3. </w:t>
      </w:r>
      <w:r w:rsidR="00502CEE" w:rsidRPr="00502CEE">
        <w:rPr>
          <w:rFonts w:ascii="Times New Roman" w:hAnsi="Times New Roman" w:cs="Times New Roman"/>
          <w:b/>
          <w:sz w:val="24"/>
          <w:szCs w:val="24"/>
        </w:rPr>
        <w:t>RESULTS</w:t>
      </w:r>
    </w:p>
    <w:p w14:paraId="00755609" w14:textId="77777777" w:rsidR="00C33C61" w:rsidRPr="006102A2" w:rsidRDefault="00C33C61" w:rsidP="00C33C61">
      <w:pPr>
        <w:autoSpaceDE w:val="0"/>
        <w:autoSpaceDN w:val="0"/>
        <w:adjustRightInd w:val="0"/>
        <w:spacing w:after="0" w:line="360" w:lineRule="auto"/>
        <w:jc w:val="both"/>
        <w:rPr>
          <w:rFonts w:ascii="Times New Roman" w:hAnsi="Times New Roman" w:cs="Times New Roman"/>
          <w:b/>
          <w:sz w:val="24"/>
          <w:szCs w:val="24"/>
        </w:rPr>
      </w:pPr>
    </w:p>
    <w:p w14:paraId="16756E55" w14:textId="3072C0AF" w:rsidR="0022351C" w:rsidRPr="000D160E" w:rsidRDefault="00502CEE" w:rsidP="006102A2">
      <w:pPr>
        <w:autoSpaceDE w:val="0"/>
        <w:autoSpaceDN w:val="0"/>
        <w:adjustRightInd w:val="0"/>
        <w:spacing w:after="0" w:line="360" w:lineRule="auto"/>
        <w:jc w:val="both"/>
        <w:rPr>
          <w:rFonts w:ascii="Times New Roman" w:eastAsia="TimesNewRomanPSMT" w:hAnsi="Times New Roman" w:cs="Times New Roman"/>
          <w:sz w:val="24"/>
          <w:szCs w:val="24"/>
        </w:rPr>
      </w:pPr>
      <w:r w:rsidRPr="00502CEE">
        <w:rPr>
          <w:rFonts w:ascii="Times New Roman" w:hAnsi="Times New Roman" w:cs="Times New Roman"/>
          <w:bCs/>
          <w:sz w:val="24"/>
          <w:szCs w:val="24"/>
        </w:rPr>
        <w:t>Using ammonium sulfate precipitation and 2', 5', ADP-Sepharose-4B affinity chromatography, G6PD enzyme, which has 15.24 EU/mg protein specific activity, was purified 1120.5 times with 40% yield and the results are shown in Table 1.</w:t>
      </w:r>
    </w:p>
    <w:tbl>
      <w:tblPr>
        <w:tblStyle w:val="TabloKlavuzu"/>
        <w:tblW w:w="9617" w:type="dxa"/>
        <w:jc w:val="center"/>
        <w:tblLayout w:type="fixed"/>
        <w:tblLook w:val="04A0" w:firstRow="1" w:lastRow="0" w:firstColumn="1" w:lastColumn="0" w:noHBand="0" w:noVBand="1"/>
      </w:tblPr>
      <w:tblGrid>
        <w:gridCol w:w="1419"/>
        <w:gridCol w:w="986"/>
        <w:gridCol w:w="992"/>
        <w:gridCol w:w="998"/>
        <w:gridCol w:w="1134"/>
        <w:gridCol w:w="891"/>
        <w:gridCol w:w="952"/>
        <w:gridCol w:w="992"/>
        <w:gridCol w:w="1253"/>
      </w:tblGrid>
      <w:tr w:rsidR="0022351C" w:rsidRPr="00472E9E" w14:paraId="23761999" w14:textId="77777777" w:rsidTr="00C33C61">
        <w:trPr>
          <w:trHeight w:val="1202"/>
          <w:jc w:val="center"/>
        </w:trPr>
        <w:tc>
          <w:tcPr>
            <w:tcW w:w="1419" w:type="dxa"/>
            <w:vAlign w:val="center"/>
          </w:tcPr>
          <w:p w14:paraId="216CD6B5" w14:textId="31A56D61" w:rsidR="0022351C" w:rsidRPr="00472E9E" w:rsidRDefault="00C33C61" w:rsidP="006102A2">
            <w:pPr>
              <w:autoSpaceDE w:val="0"/>
              <w:autoSpaceDN w:val="0"/>
              <w:adjustRightInd w:val="0"/>
              <w:spacing w:line="360" w:lineRule="auto"/>
              <w:jc w:val="both"/>
              <w:rPr>
                <w:rFonts w:ascii="Times New Roman" w:hAnsi="Times New Roman"/>
                <w:bCs/>
              </w:rPr>
            </w:pPr>
            <w:r>
              <w:rPr>
                <w:rFonts w:ascii="Times New Roman" w:eastAsia="Times-Bold" w:hAnsi="Times New Roman"/>
                <w:bCs/>
              </w:rPr>
              <w:t>P</w:t>
            </w:r>
            <w:r w:rsidRPr="00C33C61">
              <w:rPr>
                <w:rFonts w:ascii="Times New Roman" w:eastAsia="Times-Bold" w:hAnsi="Times New Roman"/>
                <w:bCs/>
              </w:rPr>
              <w:t>urification step</w:t>
            </w:r>
          </w:p>
        </w:tc>
        <w:tc>
          <w:tcPr>
            <w:tcW w:w="986" w:type="dxa"/>
            <w:vAlign w:val="center"/>
          </w:tcPr>
          <w:p w14:paraId="0605AA09" w14:textId="77777777" w:rsidR="00C33C61" w:rsidRPr="00C33C61" w:rsidRDefault="00C33C61" w:rsidP="00C33C61">
            <w:pPr>
              <w:autoSpaceDE w:val="0"/>
              <w:autoSpaceDN w:val="0"/>
              <w:adjustRightInd w:val="0"/>
              <w:spacing w:line="360" w:lineRule="auto"/>
              <w:jc w:val="both"/>
              <w:rPr>
                <w:rFonts w:ascii="Times New Roman" w:hAnsi="Times New Roman"/>
              </w:rPr>
            </w:pPr>
            <w:r w:rsidRPr="00C33C61">
              <w:rPr>
                <w:rFonts w:ascii="Times New Roman" w:hAnsi="Times New Roman"/>
              </w:rPr>
              <w:t>Total</w:t>
            </w:r>
          </w:p>
          <w:p w14:paraId="2258E12E" w14:textId="0A2327AA" w:rsidR="00C33C61" w:rsidRPr="00C33C61" w:rsidRDefault="00C33C61" w:rsidP="00C33C61">
            <w:pPr>
              <w:autoSpaceDE w:val="0"/>
              <w:autoSpaceDN w:val="0"/>
              <w:adjustRightInd w:val="0"/>
              <w:spacing w:line="360" w:lineRule="auto"/>
              <w:jc w:val="both"/>
              <w:rPr>
                <w:rFonts w:ascii="Times New Roman" w:hAnsi="Times New Roman"/>
              </w:rPr>
            </w:pPr>
            <w:r>
              <w:rPr>
                <w:rFonts w:ascii="Times New Roman" w:hAnsi="Times New Roman"/>
              </w:rPr>
              <w:t>Volum</w:t>
            </w:r>
            <w:r w:rsidRPr="00C33C61">
              <w:rPr>
                <w:rFonts w:ascii="Times New Roman" w:hAnsi="Times New Roman"/>
              </w:rPr>
              <w:t>e</w:t>
            </w:r>
          </w:p>
          <w:p w14:paraId="711AB94E" w14:textId="46C3673F" w:rsidR="0022351C" w:rsidRPr="00472E9E" w:rsidRDefault="00C33C61" w:rsidP="00C33C61">
            <w:pPr>
              <w:autoSpaceDE w:val="0"/>
              <w:autoSpaceDN w:val="0"/>
              <w:adjustRightInd w:val="0"/>
              <w:spacing w:line="360" w:lineRule="auto"/>
              <w:jc w:val="both"/>
              <w:rPr>
                <w:rFonts w:ascii="Times New Roman" w:hAnsi="Times New Roman"/>
                <w:bCs/>
              </w:rPr>
            </w:pPr>
            <w:r w:rsidRPr="00C33C61">
              <w:rPr>
                <w:rFonts w:ascii="Times New Roman" w:hAnsi="Times New Roman"/>
              </w:rPr>
              <w:t>(mL)</w:t>
            </w:r>
          </w:p>
        </w:tc>
        <w:tc>
          <w:tcPr>
            <w:tcW w:w="992" w:type="dxa"/>
            <w:vAlign w:val="center"/>
          </w:tcPr>
          <w:p w14:paraId="2AFDC593" w14:textId="0A24430A" w:rsidR="0022351C" w:rsidRPr="00C33C61" w:rsidRDefault="00C33C61" w:rsidP="00C33C61">
            <w:pPr>
              <w:autoSpaceDE w:val="0"/>
              <w:autoSpaceDN w:val="0"/>
              <w:adjustRightInd w:val="0"/>
              <w:spacing w:line="360" w:lineRule="auto"/>
              <w:jc w:val="both"/>
              <w:rPr>
                <w:rFonts w:ascii="Times New Roman" w:hAnsi="Times New Roman"/>
              </w:rPr>
            </w:pPr>
            <w:r>
              <w:rPr>
                <w:rFonts w:ascii="Times New Roman" w:hAnsi="Times New Roman"/>
              </w:rPr>
              <w:t xml:space="preserve">Activity </w:t>
            </w:r>
            <w:r w:rsidRPr="00C33C61">
              <w:rPr>
                <w:rFonts w:ascii="Times New Roman" w:hAnsi="Times New Roman"/>
              </w:rPr>
              <w:t>(EU/mL)</w:t>
            </w:r>
          </w:p>
        </w:tc>
        <w:tc>
          <w:tcPr>
            <w:tcW w:w="998" w:type="dxa"/>
            <w:vAlign w:val="center"/>
          </w:tcPr>
          <w:p w14:paraId="64915997" w14:textId="77777777" w:rsidR="0022351C" w:rsidRPr="00472E9E" w:rsidRDefault="0022351C" w:rsidP="006102A2">
            <w:pPr>
              <w:autoSpaceDE w:val="0"/>
              <w:autoSpaceDN w:val="0"/>
              <w:adjustRightInd w:val="0"/>
              <w:spacing w:line="360" w:lineRule="auto"/>
              <w:jc w:val="both"/>
              <w:rPr>
                <w:rFonts w:ascii="Times New Roman" w:hAnsi="Times New Roman"/>
              </w:rPr>
            </w:pPr>
            <w:r w:rsidRPr="00472E9E">
              <w:rPr>
                <w:rFonts w:ascii="Times New Roman" w:hAnsi="Times New Roman"/>
              </w:rPr>
              <w:t>Protein</w:t>
            </w:r>
          </w:p>
          <w:p w14:paraId="3726D0BF" w14:textId="77777777" w:rsidR="0022351C" w:rsidRPr="00472E9E" w:rsidRDefault="0022351C" w:rsidP="006102A2">
            <w:pPr>
              <w:autoSpaceDE w:val="0"/>
              <w:autoSpaceDN w:val="0"/>
              <w:adjustRightInd w:val="0"/>
              <w:spacing w:line="360" w:lineRule="auto"/>
              <w:jc w:val="both"/>
              <w:rPr>
                <w:rFonts w:ascii="Times New Roman" w:hAnsi="Times New Roman"/>
                <w:bCs/>
              </w:rPr>
            </w:pPr>
            <w:r w:rsidRPr="00472E9E">
              <w:rPr>
                <w:rFonts w:ascii="Times New Roman" w:hAnsi="Times New Roman"/>
              </w:rPr>
              <w:t>(mg/mL)</w:t>
            </w:r>
          </w:p>
        </w:tc>
        <w:tc>
          <w:tcPr>
            <w:tcW w:w="1134" w:type="dxa"/>
            <w:vAlign w:val="center"/>
          </w:tcPr>
          <w:p w14:paraId="69C7DD86" w14:textId="77777777" w:rsidR="00C33C61" w:rsidRPr="00C33C61" w:rsidRDefault="00C33C61" w:rsidP="00C33C61">
            <w:pPr>
              <w:autoSpaceDE w:val="0"/>
              <w:autoSpaceDN w:val="0"/>
              <w:adjustRightInd w:val="0"/>
              <w:spacing w:line="360" w:lineRule="auto"/>
              <w:jc w:val="both"/>
              <w:rPr>
                <w:rFonts w:ascii="Times New Roman" w:hAnsi="Times New Roman"/>
              </w:rPr>
            </w:pPr>
            <w:r w:rsidRPr="00C33C61">
              <w:rPr>
                <w:rFonts w:ascii="Times New Roman" w:hAnsi="Times New Roman"/>
              </w:rPr>
              <w:t>Total</w:t>
            </w:r>
          </w:p>
          <w:p w14:paraId="338A4D8C" w14:textId="77777777" w:rsidR="00C33C61" w:rsidRPr="00C33C61" w:rsidRDefault="00C33C61" w:rsidP="00C33C61">
            <w:pPr>
              <w:autoSpaceDE w:val="0"/>
              <w:autoSpaceDN w:val="0"/>
              <w:adjustRightInd w:val="0"/>
              <w:spacing w:line="360" w:lineRule="auto"/>
              <w:jc w:val="both"/>
              <w:rPr>
                <w:rFonts w:ascii="Times New Roman" w:hAnsi="Times New Roman"/>
              </w:rPr>
            </w:pPr>
            <w:r w:rsidRPr="00C33C61">
              <w:rPr>
                <w:rFonts w:ascii="Times New Roman" w:hAnsi="Times New Roman"/>
              </w:rPr>
              <w:t>Protein</w:t>
            </w:r>
          </w:p>
          <w:p w14:paraId="7214BCEA" w14:textId="5BCDD4F7" w:rsidR="0022351C" w:rsidRPr="00472E9E" w:rsidRDefault="00C33C61" w:rsidP="00C33C61">
            <w:pPr>
              <w:autoSpaceDE w:val="0"/>
              <w:autoSpaceDN w:val="0"/>
              <w:adjustRightInd w:val="0"/>
              <w:spacing w:line="360" w:lineRule="auto"/>
              <w:jc w:val="both"/>
              <w:rPr>
                <w:rFonts w:ascii="Times New Roman" w:hAnsi="Times New Roman"/>
                <w:bCs/>
              </w:rPr>
            </w:pPr>
            <w:r w:rsidRPr="00C33C61">
              <w:rPr>
                <w:rFonts w:ascii="Times New Roman" w:hAnsi="Times New Roman"/>
              </w:rPr>
              <w:t>(mg)</w:t>
            </w:r>
          </w:p>
        </w:tc>
        <w:tc>
          <w:tcPr>
            <w:tcW w:w="891" w:type="dxa"/>
            <w:vAlign w:val="center"/>
          </w:tcPr>
          <w:p w14:paraId="64A41A23" w14:textId="77777777" w:rsidR="00C33C61" w:rsidRPr="00C33C61" w:rsidRDefault="00C33C61" w:rsidP="00C33C61">
            <w:pPr>
              <w:autoSpaceDE w:val="0"/>
              <w:autoSpaceDN w:val="0"/>
              <w:adjustRightInd w:val="0"/>
              <w:spacing w:line="360" w:lineRule="auto"/>
              <w:jc w:val="both"/>
              <w:rPr>
                <w:rFonts w:ascii="Times New Roman" w:hAnsi="Times New Roman"/>
              </w:rPr>
            </w:pPr>
            <w:r w:rsidRPr="00C33C61">
              <w:rPr>
                <w:rFonts w:ascii="Times New Roman" w:hAnsi="Times New Roman"/>
              </w:rPr>
              <w:t>Total</w:t>
            </w:r>
          </w:p>
          <w:p w14:paraId="3F649D8F" w14:textId="068BA755" w:rsidR="0022351C" w:rsidRPr="00472E9E" w:rsidRDefault="00C33C61" w:rsidP="00C33C61">
            <w:pPr>
              <w:autoSpaceDE w:val="0"/>
              <w:autoSpaceDN w:val="0"/>
              <w:adjustRightInd w:val="0"/>
              <w:spacing w:line="360" w:lineRule="auto"/>
              <w:jc w:val="both"/>
              <w:rPr>
                <w:rFonts w:ascii="Times New Roman" w:hAnsi="Times New Roman"/>
                <w:bCs/>
              </w:rPr>
            </w:pPr>
            <w:r w:rsidRPr="00C33C61">
              <w:rPr>
                <w:rFonts w:ascii="Times New Roman" w:hAnsi="Times New Roman"/>
              </w:rPr>
              <w:t>Activity</w:t>
            </w:r>
          </w:p>
        </w:tc>
        <w:tc>
          <w:tcPr>
            <w:tcW w:w="952" w:type="dxa"/>
            <w:vAlign w:val="center"/>
          </w:tcPr>
          <w:p w14:paraId="72F592FC" w14:textId="77777777" w:rsidR="00C33C61" w:rsidRPr="00C33C61" w:rsidRDefault="00C33C61" w:rsidP="00C33C61">
            <w:pPr>
              <w:autoSpaceDE w:val="0"/>
              <w:autoSpaceDN w:val="0"/>
              <w:adjustRightInd w:val="0"/>
              <w:spacing w:line="360" w:lineRule="auto"/>
              <w:jc w:val="both"/>
              <w:rPr>
                <w:rFonts w:ascii="Times New Roman" w:hAnsi="Times New Roman"/>
              </w:rPr>
            </w:pPr>
            <w:r w:rsidRPr="00C33C61">
              <w:rPr>
                <w:rFonts w:ascii="Times New Roman" w:hAnsi="Times New Roman"/>
              </w:rPr>
              <w:t>Specific</w:t>
            </w:r>
          </w:p>
          <w:p w14:paraId="5214BADE" w14:textId="77777777" w:rsidR="00C33C61" w:rsidRPr="00C33C61" w:rsidRDefault="00C33C61" w:rsidP="00C33C61">
            <w:pPr>
              <w:autoSpaceDE w:val="0"/>
              <w:autoSpaceDN w:val="0"/>
              <w:adjustRightInd w:val="0"/>
              <w:spacing w:line="360" w:lineRule="auto"/>
              <w:jc w:val="both"/>
              <w:rPr>
                <w:rFonts w:ascii="Times New Roman" w:hAnsi="Times New Roman"/>
              </w:rPr>
            </w:pPr>
            <w:r w:rsidRPr="00C33C61">
              <w:rPr>
                <w:rFonts w:ascii="Times New Roman" w:hAnsi="Times New Roman"/>
              </w:rPr>
              <w:t>Activity</w:t>
            </w:r>
          </w:p>
          <w:p w14:paraId="77F474BD" w14:textId="0051B117" w:rsidR="0022351C" w:rsidRPr="00472E9E" w:rsidRDefault="00C33C61" w:rsidP="00C33C61">
            <w:pPr>
              <w:autoSpaceDE w:val="0"/>
              <w:autoSpaceDN w:val="0"/>
              <w:adjustRightInd w:val="0"/>
              <w:spacing w:line="360" w:lineRule="auto"/>
              <w:jc w:val="both"/>
              <w:rPr>
                <w:rFonts w:ascii="Times New Roman" w:hAnsi="Times New Roman"/>
                <w:bCs/>
              </w:rPr>
            </w:pPr>
            <w:r w:rsidRPr="00C33C61">
              <w:rPr>
                <w:rFonts w:ascii="Times New Roman" w:hAnsi="Times New Roman"/>
              </w:rPr>
              <w:t>(EU/mg protein)</w:t>
            </w:r>
          </w:p>
        </w:tc>
        <w:tc>
          <w:tcPr>
            <w:tcW w:w="992" w:type="dxa"/>
            <w:vAlign w:val="center"/>
          </w:tcPr>
          <w:p w14:paraId="782F749D" w14:textId="384725EC" w:rsidR="0022351C" w:rsidRPr="00472E9E" w:rsidRDefault="009168AD" w:rsidP="006102A2">
            <w:pPr>
              <w:autoSpaceDE w:val="0"/>
              <w:autoSpaceDN w:val="0"/>
              <w:adjustRightInd w:val="0"/>
              <w:spacing w:line="360" w:lineRule="auto"/>
              <w:jc w:val="both"/>
              <w:rPr>
                <w:rFonts w:ascii="Times New Roman" w:hAnsi="Times New Roman"/>
                <w:bCs/>
              </w:rPr>
            </w:pPr>
            <w:r w:rsidRPr="009168AD">
              <w:rPr>
                <w:rFonts w:ascii="Times New Roman" w:hAnsi="Times New Roman"/>
              </w:rPr>
              <w:t>% Yield</w:t>
            </w:r>
          </w:p>
        </w:tc>
        <w:tc>
          <w:tcPr>
            <w:tcW w:w="1253" w:type="dxa"/>
            <w:vAlign w:val="center"/>
          </w:tcPr>
          <w:p w14:paraId="10CB3F45" w14:textId="77777777" w:rsidR="009168AD" w:rsidRPr="009168AD" w:rsidRDefault="009168AD" w:rsidP="009168AD">
            <w:pPr>
              <w:autoSpaceDE w:val="0"/>
              <w:autoSpaceDN w:val="0"/>
              <w:adjustRightInd w:val="0"/>
              <w:spacing w:line="360" w:lineRule="auto"/>
              <w:jc w:val="both"/>
              <w:rPr>
                <w:rFonts w:ascii="Times New Roman" w:hAnsi="Times New Roman"/>
              </w:rPr>
            </w:pPr>
            <w:r w:rsidRPr="009168AD">
              <w:rPr>
                <w:rFonts w:ascii="Times New Roman" w:hAnsi="Times New Roman"/>
              </w:rPr>
              <w:t>Purification</w:t>
            </w:r>
          </w:p>
          <w:p w14:paraId="517F809E" w14:textId="6047073E" w:rsidR="0022351C" w:rsidRPr="00472E9E" w:rsidRDefault="009168AD" w:rsidP="009168AD">
            <w:pPr>
              <w:autoSpaceDE w:val="0"/>
              <w:autoSpaceDN w:val="0"/>
              <w:adjustRightInd w:val="0"/>
              <w:spacing w:line="360" w:lineRule="auto"/>
              <w:jc w:val="both"/>
              <w:rPr>
                <w:rFonts w:ascii="Times New Roman" w:hAnsi="Times New Roman"/>
                <w:bCs/>
              </w:rPr>
            </w:pPr>
            <w:r w:rsidRPr="009168AD">
              <w:rPr>
                <w:rFonts w:ascii="Times New Roman" w:hAnsi="Times New Roman"/>
              </w:rPr>
              <w:t>Number of floors</w:t>
            </w:r>
          </w:p>
        </w:tc>
      </w:tr>
      <w:tr w:rsidR="00C33C61" w:rsidRPr="00472E9E" w14:paraId="575EF863" w14:textId="77777777" w:rsidTr="00C33C61">
        <w:trPr>
          <w:trHeight w:val="833"/>
          <w:jc w:val="center"/>
        </w:trPr>
        <w:tc>
          <w:tcPr>
            <w:tcW w:w="1419" w:type="dxa"/>
          </w:tcPr>
          <w:p w14:paraId="04C0C127" w14:textId="599F7206" w:rsidR="00C33C61" w:rsidRPr="00472E9E" w:rsidRDefault="00C33C61" w:rsidP="00C33C61">
            <w:pPr>
              <w:autoSpaceDE w:val="0"/>
              <w:autoSpaceDN w:val="0"/>
              <w:adjustRightInd w:val="0"/>
              <w:spacing w:line="360" w:lineRule="auto"/>
              <w:jc w:val="both"/>
              <w:rPr>
                <w:rFonts w:ascii="Times New Roman" w:hAnsi="Times New Roman"/>
                <w:bCs/>
              </w:rPr>
            </w:pPr>
            <w:r>
              <w:t>H</w:t>
            </w:r>
            <w:r w:rsidRPr="00357229">
              <w:t>omogenate</w:t>
            </w:r>
          </w:p>
        </w:tc>
        <w:tc>
          <w:tcPr>
            <w:tcW w:w="986" w:type="dxa"/>
            <w:vAlign w:val="center"/>
          </w:tcPr>
          <w:p w14:paraId="71BE9BFA" w14:textId="77777777" w:rsidR="00C33C61" w:rsidRPr="00472E9E" w:rsidRDefault="00C33C61" w:rsidP="00C33C61">
            <w:pPr>
              <w:autoSpaceDE w:val="0"/>
              <w:autoSpaceDN w:val="0"/>
              <w:adjustRightInd w:val="0"/>
              <w:spacing w:line="360" w:lineRule="auto"/>
              <w:jc w:val="both"/>
              <w:rPr>
                <w:rFonts w:ascii="Times New Roman" w:hAnsi="Times New Roman"/>
                <w:bCs/>
              </w:rPr>
            </w:pPr>
            <w:r w:rsidRPr="00472E9E">
              <w:rPr>
                <w:rFonts w:ascii="Times New Roman" w:hAnsi="Times New Roman"/>
                <w:bCs/>
              </w:rPr>
              <w:t>25</w:t>
            </w:r>
          </w:p>
        </w:tc>
        <w:tc>
          <w:tcPr>
            <w:tcW w:w="992" w:type="dxa"/>
            <w:vAlign w:val="center"/>
          </w:tcPr>
          <w:p w14:paraId="3872C978" w14:textId="77777777" w:rsidR="00C33C61" w:rsidRPr="00472E9E" w:rsidRDefault="00C33C61" w:rsidP="00C33C61">
            <w:pPr>
              <w:autoSpaceDE w:val="0"/>
              <w:autoSpaceDN w:val="0"/>
              <w:adjustRightInd w:val="0"/>
              <w:spacing w:line="360" w:lineRule="auto"/>
              <w:jc w:val="both"/>
              <w:rPr>
                <w:rFonts w:ascii="Times New Roman" w:hAnsi="Times New Roman"/>
                <w:bCs/>
              </w:rPr>
            </w:pPr>
            <w:r>
              <w:rPr>
                <w:rFonts w:ascii="Times New Roman" w:hAnsi="Times New Roman"/>
                <w:bCs/>
              </w:rPr>
              <w:t>0,932</w:t>
            </w:r>
          </w:p>
        </w:tc>
        <w:tc>
          <w:tcPr>
            <w:tcW w:w="998" w:type="dxa"/>
            <w:vAlign w:val="center"/>
          </w:tcPr>
          <w:p w14:paraId="26A7DFFB" w14:textId="77777777" w:rsidR="00C33C61" w:rsidRPr="00472E9E" w:rsidRDefault="00C33C61" w:rsidP="00C33C61">
            <w:pPr>
              <w:autoSpaceDE w:val="0"/>
              <w:autoSpaceDN w:val="0"/>
              <w:adjustRightInd w:val="0"/>
              <w:spacing w:line="360" w:lineRule="auto"/>
              <w:jc w:val="both"/>
              <w:rPr>
                <w:rFonts w:ascii="Times New Roman" w:hAnsi="Times New Roman"/>
                <w:bCs/>
              </w:rPr>
            </w:pPr>
            <w:r>
              <w:rPr>
                <w:rFonts w:ascii="Times New Roman" w:hAnsi="Times New Roman"/>
                <w:bCs/>
              </w:rPr>
              <w:t>97,47</w:t>
            </w:r>
          </w:p>
        </w:tc>
        <w:tc>
          <w:tcPr>
            <w:tcW w:w="1134" w:type="dxa"/>
            <w:vAlign w:val="center"/>
          </w:tcPr>
          <w:p w14:paraId="11485C6E" w14:textId="77777777" w:rsidR="00C33C61" w:rsidRPr="00472E9E" w:rsidRDefault="00C33C61" w:rsidP="00C33C61">
            <w:pPr>
              <w:autoSpaceDE w:val="0"/>
              <w:autoSpaceDN w:val="0"/>
              <w:adjustRightInd w:val="0"/>
              <w:spacing w:line="360" w:lineRule="auto"/>
              <w:jc w:val="both"/>
              <w:rPr>
                <w:rFonts w:ascii="Times New Roman" w:hAnsi="Times New Roman"/>
                <w:bCs/>
              </w:rPr>
            </w:pPr>
            <w:r>
              <w:rPr>
                <w:rFonts w:ascii="Times New Roman" w:hAnsi="Times New Roman"/>
                <w:bCs/>
              </w:rPr>
              <w:t>2437</w:t>
            </w:r>
          </w:p>
        </w:tc>
        <w:tc>
          <w:tcPr>
            <w:tcW w:w="891" w:type="dxa"/>
            <w:vAlign w:val="center"/>
          </w:tcPr>
          <w:p w14:paraId="200E9CF0" w14:textId="77777777" w:rsidR="00C33C61" w:rsidRPr="00472E9E" w:rsidRDefault="00C33C61" w:rsidP="00C33C61">
            <w:pPr>
              <w:autoSpaceDE w:val="0"/>
              <w:autoSpaceDN w:val="0"/>
              <w:adjustRightInd w:val="0"/>
              <w:spacing w:line="360" w:lineRule="auto"/>
              <w:jc w:val="both"/>
              <w:rPr>
                <w:rFonts w:ascii="Times New Roman" w:hAnsi="Times New Roman"/>
                <w:bCs/>
              </w:rPr>
            </w:pPr>
            <w:r>
              <w:rPr>
                <w:rFonts w:ascii="Times New Roman" w:hAnsi="Times New Roman"/>
                <w:bCs/>
              </w:rPr>
              <w:t>23,3</w:t>
            </w:r>
            <w:r w:rsidRPr="00472E9E">
              <w:rPr>
                <w:rFonts w:ascii="Times New Roman" w:hAnsi="Times New Roman"/>
                <w:bCs/>
              </w:rPr>
              <w:t>00</w:t>
            </w:r>
          </w:p>
        </w:tc>
        <w:tc>
          <w:tcPr>
            <w:tcW w:w="952" w:type="dxa"/>
            <w:vAlign w:val="center"/>
          </w:tcPr>
          <w:p w14:paraId="6BA766C5" w14:textId="77777777" w:rsidR="00C33C61" w:rsidRPr="00472E9E" w:rsidRDefault="00C33C61" w:rsidP="00C33C61">
            <w:pPr>
              <w:autoSpaceDE w:val="0"/>
              <w:autoSpaceDN w:val="0"/>
              <w:adjustRightInd w:val="0"/>
              <w:spacing w:line="360" w:lineRule="auto"/>
              <w:jc w:val="both"/>
              <w:rPr>
                <w:rFonts w:ascii="Times New Roman" w:hAnsi="Times New Roman"/>
                <w:bCs/>
              </w:rPr>
            </w:pPr>
            <w:r>
              <w:rPr>
                <w:rFonts w:ascii="Times New Roman" w:hAnsi="Times New Roman"/>
                <w:bCs/>
              </w:rPr>
              <w:t>0,0096</w:t>
            </w:r>
          </w:p>
        </w:tc>
        <w:tc>
          <w:tcPr>
            <w:tcW w:w="992" w:type="dxa"/>
            <w:vAlign w:val="center"/>
          </w:tcPr>
          <w:p w14:paraId="101E8DA1" w14:textId="77777777" w:rsidR="00C33C61" w:rsidRPr="00472E9E" w:rsidRDefault="00C33C61" w:rsidP="00C33C61">
            <w:pPr>
              <w:autoSpaceDE w:val="0"/>
              <w:autoSpaceDN w:val="0"/>
              <w:adjustRightInd w:val="0"/>
              <w:spacing w:line="360" w:lineRule="auto"/>
              <w:jc w:val="both"/>
              <w:rPr>
                <w:rFonts w:ascii="Times New Roman" w:hAnsi="Times New Roman"/>
                <w:bCs/>
              </w:rPr>
            </w:pPr>
            <w:r w:rsidRPr="00472E9E">
              <w:rPr>
                <w:rFonts w:ascii="Times New Roman" w:hAnsi="Times New Roman"/>
                <w:bCs/>
              </w:rPr>
              <w:t>100</w:t>
            </w:r>
          </w:p>
        </w:tc>
        <w:tc>
          <w:tcPr>
            <w:tcW w:w="1253" w:type="dxa"/>
            <w:vAlign w:val="center"/>
          </w:tcPr>
          <w:p w14:paraId="7F2C08EA" w14:textId="77777777" w:rsidR="00C33C61" w:rsidRPr="00472E9E" w:rsidRDefault="00C33C61" w:rsidP="00C33C61">
            <w:pPr>
              <w:autoSpaceDE w:val="0"/>
              <w:autoSpaceDN w:val="0"/>
              <w:adjustRightInd w:val="0"/>
              <w:spacing w:line="360" w:lineRule="auto"/>
              <w:jc w:val="both"/>
              <w:rPr>
                <w:rFonts w:ascii="Times New Roman" w:hAnsi="Times New Roman"/>
                <w:bCs/>
              </w:rPr>
            </w:pPr>
            <w:r w:rsidRPr="00472E9E">
              <w:rPr>
                <w:rFonts w:ascii="Times New Roman" w:hAnsi="Times New Roman"/>
                <w:bCs/>
              </w:rPr>
              <w:t>1</w:t>
            </w:r>
          </w:p>
        </w:tc>
      </w:tr>
      <w:tr w:rsidR="00C33C61" w:rsidRPr="00472E9E" w14:paraId="3BE10743" w14:textId="77777777" w:rsidTr="00C33C61">
        <w:trPr>
          <w:trHeight w:val="769"/>
          <w:jc w:val="center"/>
        </w:trPr>
        <w:tc>
          <w:tcPr>
            <w:tcW w:w="1419" w:type="dxa"/>
          </w:tcPr>
          <w:p w14:paraId="4DA68979" w14:textId="2A5D8EC3" w:rsidR="00C33C61" w:rsidRPr="00472E9E" w:rsidRDefault="00C33C61" w:rsidP="00C33C61">
            <w:pPr>
              <w:autoSpaceDE w:val="0"/>
              <w:autoSpaceDN w:val="0"/>
              <w:adjustRightInd w:val="0"/>
              <w:spacing w:line="360" w:lineRule="auto"/>
              <w:jc w:val="both"/>
              <w:rPr>
                <w:rFonts w:ascii="Times New Roman" w:hAnsi="Times New Roman"/>
              </w:rPr>
            </w:pPr>
            <w:r w:rsidRPr="00357229">
              <w:t>Ammonium sulfate precipitation</w:t>
            </w:r>
            <w:r>
              <w:t xml:space="preserve"> </w:t>
            </w:r>
            <w:r w:rsidRPr="00357229">
              <w:t>(40-70%)</w:t>
            </w:r>
          </w:p>
        </w:tc>
        <w:tc>
          <w:tcPr>
            <w:tcW w:w="986" w:type="dxa"/>
            <w:vAlign w:val="center"/>
          </w:tcPr>
          <w:p w14:paraId="08F4D794" w14:textId="77777777" w:rsidR="00C33C61" w:rsidRPr="00472E9E" w:rsidRDefault="00C33C61" w:rsidP="00C33C61">
            <w:pPr>
              <w:autoSpaceDE w:val="0"/>
              <w:autoSpaceDN w:val="0"/>
              <w:adjustRightInd w:val="0"/>
              <w:spacing w:line="360" w:lineRule="auto"/>
              <w:jc w:val="both"/>
              <w:rPr>
                <w:rFonts w:ascii="Times New Roman" w:hAnsi="Times New Roman"/>
                <w:bCs/>
              </w:rPr>
            </w:pPr>
            <w:r w:rsidRPr="00472E9E">
              <w:rPr>
                <w:rFonts w:ascii="Times New Roman" w:hAnsi="Times New Roman"/>
                <w:bCs/>
              </w:rPr>
              <w:t>11</w:t>
            </w:r>
          </w:p>
        </w:tc>
        <w:tc>
          <w:tcPr>
            <w:tcW w:w="992" w:type="dxa"/>
            <w:vAlign w:val="center"/>
          </w:tcPr>
          <w:p w14:paraId="33FEFC78" w14:textId="77777777" w:rsidR="00C33C61" w:rsidRPr="00472E9E" w:rsidRDefault="00C33C61" w:rsidP="00C33C61">
            <w:pPr>
              <w:autoSpaceDE w:val="0"/>
              <w:autoSpaceDN w:val="0"/>
              <w:adjustRightInd w:val="0"/>
              <w:spacing w:line="360" w:lineRule="auto"/>
              <w:jc w:val="both"/>
              <w:rPr>
                <w:rFonts w:ascii="Times New Roman" w:hAnsi="Times New Roman"/>
                <w:bCs/>
              </w:rPr>
            </w:pPr>
            <w:r w:rsidRPr="00472E9E">
              <w:rPr>
                <w:rFonts w:ascii="Times New Roman" w:hAnsi="Times New Roman"/>
                <w:bCs/>
              </w:rPr>
              <w:t>1,</w:t>
            </w:r>
            <w:r>
              <w:rPr>
                <w:rFonts w:ascii="Times New Roman" w:hAnsi="Times New Roman"/>
                <w:bCs/>
              </w:rPr>
              <w:t>484</w:t>
            </w:r>
          </w:p>
        </w:tc>
        <w:tc>
          <w:tcPr>
            <w:tcW w:w="998" w:type="dxa"/>
            <w:vAlign w:val="center"/>
          </w:tcPr>
          <w:p w14:paraId="582847CE" w14:textId="77777777" w:rsidR="00C33C61" w:rsidRPr="00472E9E" w:rsidRDefault="00C33C61" w:rsidP="00C33C61">
            <w:pPr>
              <w:autoSpaceDE w:val="0"/>
              <w:autoSpaceDN w:val="0"/>
              <w:adjustRightInd w:val="0"/>
              <w:spacing w:line="360" w:lineRule="auto"/>
              <w:jc w:val="both"/>
              <w:rPr>
                <w:rFonts w:ascii="Times New Roman" w:hAnsi="Times New Roman"/>
                <w:bCs/>
              </w:rPr>
            </w:pPr>
            <w:r w:rsidRPr="00472E9E">
              <w:rPr>
                <w:rFonts w:ascii="Times New Roman" w:hAnsi="Times New Roman"/>
                <w:bCs/>
              </w:rPr>
              <w:t>1</w:t>
            </w:r>
            <w:r>
              <w:rPr>
                <w:rFonts w:ascii="Times New Roman" w:hAnsi="Times New Roman"/>
                <w:bCs/>
              </w:rPr>
              <w:t>08,8</w:t>
            </w:r>
            <w:r w:rsidRPr="00472E9E">
              <w:rPr>
                <w:rFonts w:ascii="Times New Roman" w:hAnsi="Times New Roman"/>
                <w:bCs/>
              </w:rPr>
              <w:t>1</w:t>
            </w:r>
          </w:p>
        </w:tc>
        <w:tc>
          <w:tcPr>
            <w:tcW w:w="1134" w:type="dxa"/>
            <w:vAlign w:val="center"/>
          </w:tcPr>
          <w:p w14:paraId="1C579D3A" w14:textId="77777777" w:rsidR="00C33C61" w:rsidRPr="00472E9E" w:rsidRDefault="00C33C61" w:rsidP="00C33C61">
            <w:pPr>
              <w:autoSpaceDE w:val="0"/>
              <w:autoSpaceDN w:val="0"/>
              <w:adjustRightInd w:val="0"/>
              <w:spacing w:line="360" w:lineRule="auto"/>
              <w:jc w:val="both"/>
              <w:rPr>
                <w:rFonts w:ascii="Times New Roman" w:hAnsi="Times New Roman"/>
                <w:bCs/>
              </w:rPr>
            </w:pPr>
            <w:r>
              <w:rPr>
                <w:rFonts w:ascii="Times New Roman" w:hAnsi="Times New Roman"/>
                <w:bCs/>
              </w:rPr>
              <w:t>1197</w:t>
            </w:r>
          </w:p>
        </w:tc>
        <w:tc>
          <w:tcPr>
            <w:tcW w:w="891" w:type="dxa"/>
            <w:vAlign w:val="center"/>
          </w:tcPr>
          <w:p w14:paraId="6837896B" w14:textId="77777777" w:rsidR="00C33C61" w:rsidRPr="00472E9E" w:rsidRDefault="00C33C61" w:rsidP="00C33C61">
            <w:pPr>
              <w:autoSpaceDE w:val="0"/>
              <w:autoSpaceDN w:val="0"/>
              <w:adjustRightInd w:val="0"/>
              <w:spacing w:line="360" w:lineRule="auto"/>
              <w:jc w:val="both"/>
              <w:rPr>
                <w:rFonts w:ascii="Times New Roman" w:hAnsi="Times New Roman"/>
                <w:bCs/>
              </w:rPr>
            </w:pPr>
            <w:r>
              <w:rPr>
                <w:rFonts w:ascii="Times New Roman" w:hAnsi="Times New Roman"/>
                <w:bCs/>
              </w:rPr>
              <w:t>16,324</w:t>
            </w:r>
          </w:p>
        </w:tc>
        <w:tc>
          <w:tcPr>
            <w:tcW w:w="952" w:type="dxa"/>
            <w:vAlign w:val="center"/>
          </w:tcPr>
          <w:p w14:paraId="359FB56C" w14:textId="77777777" w:rsidR="00C33C61" w:rsidRPr="00472E9E" w:rsidRDefault="00C33C61" w:rsidP="00C33C61">
            <w:pPr>
              <w:autoSpaceDE w:val="0"/>
              <w:autoSpaceDN w:val="0"/>
              <w:adjustRightInd w:val="0"/>
              <w:spacing w:line="360" w:lineRule="auto"/>
              <w:jc w:val="both"/>
              <w:rPr>
                <w:rFonts w:ascii="Times New Roman" w:hAnsi="Times New Roman"/>
                <w:bCs/>
              </w:rPr>
            </w:pPr>
            <w:r>
              <w:rPr>
                <w:rFonts w:ascii="Times New Roman" w:hAnsi="Times New Roman"/>
                <w:bCs/>
              </w:rPr>
              <w:t>0,0136</w:t>
            </w:r>
          </w:p>
        </w:tc>
        <w:tc>
          <w:tcPr>
            <w:tcW w:w="992" w:type="dxa"/>
            <w:vAlign w:val="center"/>
          </w:tcPr>
          <w:p w14:paraId="4AFFCB1F" w14:textId="77777777" w:rsidR="00C33C61" w:rsidRPr="00472E9E" w:rsidRDefault="00C33C61" w:rsidP="00C33C61">
            <w:pPr>
              <w:autoSpaceDE w:val="0"/>
              <w:autoSpaceDN w:val="0"/>
              <w:adjustRightInd w:val="0"/>
              <w:spacing w:line="360" w:lineRule="auto"/>
              <w:jc w:val="both"/>
              <w:rPr>
                <w:rFonts w:ascii="Times New Roman" w:hAnsi="Times New Roman"/>
                <w:bCs/>
              </w:rPr>
            </w:pPr>
            <w:r>
              <w:rPr>
                <w:rFonts w:ascii="Times New Roman" w:hAnsi="Times New Roman"/>
                <w:bCs/>
              </w:rPr>
              <w:t>70,06</w:t>
            </w:r>
          </w:p>
        </w:tc>
        <w:tc>
          <w:tcPr>
            <w:tcW w:w="1253" w:type="dxa"/>
            <w:vAlign w:val="center"/>
          </w:tcPr>
          <w:p w14:paraId="52204AC3" w14:textId="77777777" w:rsidR="00C33C61" w:rsidRPr="00472E9E" w:rsidRDefault="00C33C61" w:rsidP="00C33C61">
            <w:pPr>
              <w:autoSpaceDE w:val="0"/>
              <w:autoSpaceDN w:val="0"/>
              <w:adjustRightInd w:val="0"/>
              <w:spacing w:line="360" w:lineRule="auto"/>
              <w:jc w:val="both"/>
              <w:rPr>
                <w:rFonts w:ascii="Times New Roman" w:hAnsi="Times New Roman"/>
                <w:bCs/>
              </w:rPr>
            </w:pPr>
            <w:r>
              <w:rPr>
                <w:rFonts w:ascii="Times New Roman" w:hAnsi="Times New Roman"/>
                <w:bCs/>
              </w:rPr>
              <w:t>1,416</w:t>
            </w:r>
          </w:p>
        </w:tc>
      </w:tr>
      <w:tr w:rsidR="00C33C61" w:rsidRPr="00472E9E" w14:paraId="357D0142" w14:textId="77777777" w:rsidTr="00C33C61">
        <w:trPr>
          <w:trHeight w:val="952"/>
          <w:jc w:val="center"/>
        </w:trPr>
        <w:tc>
          <w:tcPr>
            <w:tcW w:w="1419" w:type="dxa"/>
          </w:tcPr>
          <w:p w14:paraId="5C60437D" w14:textId="6213A092" w:rsidR="00C33C61" w:rsidRDefault="00C33C61" w:rsidP="00C33C61">
            <w:pPr>
              <w:autoSpaceDE w:val="0"/>
              <w:autoSpaceDN w:val="0"/>
              <w:adjustRightInd w:val="0"/>
              <w:spacing w:line="360" w:lineRule="auto"/>
              <w:jc w:val="both"/>
            </w:pPr>
            <w:r>
              <w:t>A</w:t>
            </w:r>
            <w:r>
              <w:t>ffinity</w:t>
            </w:r>
          </w:p>
          <w:p w14:paraId="3621B460" w14:textId="7409F610" w:rsidR="00C33C61" w:rsidRPr="00C33C61" w:rsidRDefault="00C33C61" w:rsidP="00C33C61">
            <w:pPr>
              <w:autoSpaceDE w:val="0"/>
              <w:autoSpaceDN w:val="0"/>
              <w:adjustRightInd w:val="0"/>
              <w:spacing w:line="360" w:lineRule="auto"/>
              <w:jc w:val="both"/>
              <w:rPr>
                <w:rFonts w:ascii="Times New Roman" w:hAnsi="Times New Roman"/>
                <w:bCs/>
              </w:rPr>
            </w:pPr>
            <w:r>
              <w:t>Chromatography</w:t>
            </w:r>
          </w:p>
        </w:tc>
        <w:tc>
          <w:tcPr>
            <w:tcW w:w="986" w:type="dxa"/>
            <w:vAlign w:val="center"/>
          </w:tcPr>
          <w:p w14:paraId="4611A549" w14:textId="77777777" w:rsidR="00C33C61" w:rsidRPr="00472E9E" w:rsidRDefault="00C33C61" w:rsidP="00C33C61">
            <w:pPr>
              <w:autoSpaceDE w:val="0"/>
              <w:autoSpaceDN w:val="0"/>
              <w:adjustRightInd w:val="0"/>
              <w:spacing w:line="360" w:lineRule="auto"/>
              <w:jc w:val="both"/>
              <w:rPr>
                <w:rFonts w:ascii="Times New Roman" w:hAnsi="Times New Roman"/>
                <w:bCs/>
              </w:rPr>
            </w:pPr>
            <w:r w:rsidRPr="00472E9E">
              <w:rPr>
                <w:rFonts w:ascii="Times New Roman" w:hAnsi="Times New Roman"/>
                <w:bCs/>
              </w:rPr>
              <w:t>7,5</w:t>
            </w:r>
          </w:p>
        </w:tc>
        <w:tc>
          <w:tcPr>
            <w:tcW w:w="992" w:type="dxa"/>
            <w:vAlign w:val="center"/>
          </w:tcPr>
          <w:p w14:paraId="2DFEB644" w14:textId="77777777" w:rsidR="00C33C61" w:rsidRPr="00472E9E" w:rsidRDefault="00C33C61" w:rsidP="00C33C61">
            <w:pPr>
              <w:autoSpaceDE w:val="0"/>
              <w:autoSpaceDN w:val="0"/>
              <w:adjustRightInd w:val="0"/>
              <w:spacing w:line="360" w:lineRule="auto"/>
              <w:jc w:val="both"/>
              <w:rPr>
                <w:rFonts w:ascii="Times New Roman" w:hAnsi="Times New Roman"/>
                <w:bCs/>
              </w:rPr>
            </w:pPr>
            <w:r>
              <w:rPr>
                <w:rFonts w:ascii="Times New Roman" w:hAnsi="Times New Roman"/>
                <w:bCs/>
              </w:rPr>
              <w:t xml:space="preserve"> 1,265</w:t>
            </w:r>
          </w:p>
        </w:tc>
        <w:tc>
          <w:tcPr>
            <w:tcW w:w="998" w:type="dxa"/>
            <w:vAlign w:val="center"/>
          </w:tcPr>
          <w:p w14:paraId="1FA312E4" w14:textId="77777777" w:rsidR="00C33C61" w:rsidRPr="00472E9E" w:rsidRDefault="00C33C61" w:rsidP="00C33C61">
            <w:pPr>
              <w:autoSpaceDE w:val="0"/>
              <w:autoSpaceDN w:val="0"/>
              <w:adjustRightInd w:val="0"/>
              <w:spacing w:line="360" w:lineRule="auto"/>
              <w:jc w:val="both"/>
              <w:rPr>
                <w:rFonts w:ascii="Times New Roman" w:hAnsi="Times New Roman"/>
                <w:bCs/>
              </w:rPr>
            </w:pPr>
            <w:r>
              <w:rPr>
                <w:rFonts w:ascii="Times New Roman" w:hAnsi="Times New Roman"/>
                <w:bCs/>
              </w:rPr>
              <w:t>0,083</w:t>
            </w:r>
          </w:p>
        </w:tc>
        <w:tc>
          <w:tcPr>
            <w:tcW w:w="1134" w:type="dxa"/>
            <w:vAlign w:val="center"/>
          </w:tcPr>
          <w:p w14:paraId="4E18738B" w14:textId="77777777" w:rsidR="00C33C61" w:rsidRPr="00472E9E" w:rsidRDefault="00C33C61" w:rsidP="00C33C61">
            <w:pPr>
              <w:autoSpaceDE w:val="0"/>
              <w:autoSpaceDN w:val="0"/>
              <w:adjustRightInd w:val="0"/>
              <w:spacing w:line="360" w:lineRule="auto"/>
              <w:jc w:val="both"/>
              <w:rPr>
                <w:rFonts w:ascii="Times New Roman" w:hAnsi="Times New Roman"/>
                <w:bCs/>
              </w:rPr>
            </w:pPr>
            <w:r>
              <w:rPr>
                <w:rFonts w:ascii="Times New Roman" w:hAnsi="Times New Roman"/>
                <w:bCs/>
              </w:rPr>
              <w:t>0,63</w:t>
            </w:r>
          </w:p>
        </w:tc>
        <w:tc>
          <w:tcPr>
            <w:tcW w:w="891" w:type="dxa"/>
            <w:vAlign w:val="center"/>
          </w:tcPr>
          <w:p w14:paraId="1B15769D" w14:textId="77777777" w:rsidR="00C33C61" w:rsidRPr="00472E9E" w:rsidRDefault="00C33C61" w:rsidP="00C33C61">
            <w:pPr>
              <w:autoSpaceDE w:val="0"/>
              <w:autoSpaceDN w:val="0"/>
              <w:adjustRightInd w:val="0"/>
              <w:spacing w:line="360" w:lineRule="auto"/>
              <w:jc w:val="both"/>
              <w:rPr>
                <w:rFonts w:ascii="Times New Roman" w:hAnsi="Times New Roman"/>
                <w:bCs/>
              </w:rPr>
            </w:pPr>
            <w:r>
              <w:rPr>
                <w:rFonts w:ascii="Times New Roman" w:hAnsi="Times New Roman"/>
                <w:bCs/>
              </w:rPr>
              <w:t xml:space="preserve"> 9,4875</w:t>
            </w:r>
          </w:p>
        </w:tc>
        <w:tc>
          <w:tcPr>
            <w:tcW w:w="952" w:type="dxa"/>
            <w:vAlign w:val="center"/>
          </w:tcPr>
          <w:p w14:paraId="217413B8" w14:textId="77777777" w:rsidR="00C33C61" w:rsidRPr="00472E9E" w:rsidRDefault="00C33C61" w:rsidP="00C33C61">
            <w:pPr>
              <w:autoSpaceDE w:val="0"/>
              <w:autoSpaceDN w:val="0"/>
              <w:adjustRightInd w:val="0"/>
              <w:spacing w:line="360" w:lineRule="auto"/>
              <w:jc w:val="both"/>
              <w:rPr>
                <w:rFonts w:ascii="Times New Roman" w:hAnsi="Times New Roman"/>
                <w:bCs/>
              </w:rPr>
            </w:pPr>
            <w:r>
              <w:rPr>
                <w:rFonts w:ascii="Times New Roman" w:hAnsi="Times New Roman"/>
                <w:bCs/>
              </w:rPr>
              <w:t xml:space="preserve"> 15,24</w:t>
            </w:r>
          </w:p>
        </w:tc>
        <w:tc>
          <w:tcPr>
            <w:tcW w:w="992" w:type="dxa"/>
            <w:vAlign w:val="center"/>
          </w:tcPr>
          <w:p w14:paraId="7D253389" w14:textId="77777777" w:rsidR="00C33C61" w:rsidRPr="00472E9E" w:rsidRDefault="00C33C61" w:rsidP="00C33C61">
            <w:pPr>
              <w:autoSpaceDE w:val="0"/>
              <w:autoSpaceDN w:val="0"/>
              <w:adjustRightInd w:val="0"/>
              <w:spacing w:line="360" w:lineRule="auto"/>
              <w:jc w:val="both"/>
              <w:rPr>
                <w:rFonts w:ascii="Times New Roman" w:hAnsi="Times New Roman"/>
                <w:bCs/>
              </w:rPr>
            </w:pPr>
            <w:r>
              <w:rPr>
                <w:rFonts w:ascii="Times New Roman" w:hAnsi="Times New Roman"/>
                <w:bCs/>
              </w:rPr>
              <w:t xml:space="preserve"> 40,71</w:t>
            </w:r>
          </w:p>
        </w:tc>
        <w:tc>
          <w:tcPr>
            <w:tcW w:w="1253" w:type="dxa"/>
            <w:vAlign w:val="center"/>
          </w:tcPr>
          <w:p w14:paraId="173709BB" w14:textId="77777777" w:rsidR="00C33C61" w:rsidRPr="00472E9E" w:rsidRDefault="00C33C61" w:rsidP="00C33C61">
            <w:pPr>
              <w:autoSpaceDE w:val="0"/>
              <w:autoSpaceDN w:val="0"/>
              <w:adjustRightInd w:val="0"/>
              <w:spacing w:line="360" w:lineRule="auto"/>
              <w:jc w:val="both"/>
              <w:rPr>
                <w:rFonts w:ascii="Times New Roman" w:hAnsi="Times New Roman"/>
                <w:bCs/>
              </w:rPr>
            </w:pPr>
            <w:r>
              <w:rPr>
                <w:rFonts w:ascii="Times New Roman" w:hAnsi="Times New Roman"/>
                <w:bCs/>
              </w:rPr>
              <w:t>1120,5</w:t>
            </w:r>
          </w:p>
        </w:tc>
      </w:tr>
    </w:tbl>
    <w:p w14:paraId="6B3C3971" w14:textId="0F13616B" w:rsidR="0022351C" w:rsidRDefault="00502CEE" w:rsidP="006102A2">
      <w:pPr>
        <w:autoSpaceDE w:val="0"/>
        <w:autoSpaceDN w:val="0"/>
        <w:adjustRightInd w:val="0"/>
        <w:spacing w:after="0" w:line="360" w:lineRule="auto"/>
        <w:jc w:val="center"/>
        <w:rPr>
          <w:rFonts w:ascii="Times New Roman" w:eastAsia="TimesNewRomanPSMT" w:hAnsi="Times New Roman" w:cs="Times New Roman"/>
          <w:b/>
          <w:sz w:val="20"/>
          <w:szCs w:val="20"/>
        </w:rPr>
      </w:pPr>
      <w:r w:rsidRPr="00502CEE">
        <w:rPr>
          <w:rFonts w:ascii="Times New Roman" w:eastAsia="TimesNewRomanPSMT" w:hAnsi="Times New Roman" w:cs="Times New Roman"/>
          <w:b/>
          <w:sz w:val="20"/>
          <w:szCs w:val="20"/>
        </w:rPr>
        <w:t xml:space="preserve">Table 1. </w:t>
      </w:r>
      <w:r w:rsidRPr="00502CEE">
        <w:rPr>
          <w:rFonts w:ascii="Times New Roman" w:eastAsia="TimesNewRomanPSMT" w:hAnsi="Times New Roman" w:cs="Times New Roman"/>
          <w:bCs/>
          <w:sz w:val="20"/>
          <w:szCs w:val="20"/>
        </w:rPr>
        <w:t>Sheep spleen tissue G6PD enzyme purification steps</w:t>
      </w:r>
    </w:p>
    <w:p w14:paraId="758CFE24" w14:textId="77777777" w:rsidR="00502CEE" w:rsidRPr="00320DF2" w:rsidRDefault="00502CEE" w:rsidP="006102A2">
      <w:pPr>
        <w:autoSpaceDE w:val="0"/>
        <w:autoSpaceDN w:val="0"/>
        <w:adjustRightInd w:val="0"/>
        <w:spacing w:after="0" w:line="360" w:lineRule="auto"/>
        <w:jc w:val="both"/>
        <w:rPr>
          <w:rFonts w:ascii="Times New Roman" w:eastAsia="TimesNewRomanPSMT" w:hAnsi="Times New Roman" w:cs="Times New Roman"/>
          <w:sz w:val="20"/>
          <w:szCs w:val="20"/>
        </w:rPr>
      </w:pPr>
    </w:p>
    <w:p w14:paraId="007486A9" w14:textId="6EE126A9" w:rsidR="00211CB2" w:rsidRPr="000D160E" w:rsidRDefault="00502CEE" w:rsidP="006102A2">
      <w:pPr>
        <w:autoSpaceDE w:val="0"/>
        <w:autoSpaceDN w:val="0"/>
        <w:adjustRightInd w:val="0"/>
        <w:spacing w:after="0" w:line="360" w:lineRule="auto"/>
        <w:jc w:val="both"/>
        <w:rPr>
          <w:rFonts w:ascii="Times New Roman" w:eastAsia="Times-Bold" w:hAnsi="Times New Roman" w:cs="Times New Roman"/>
          <w:sz w:val="24"/>
          <w:szCs w:val="24"/>
        </w:rPr>
      </w:pPr>
      <w:r w:rsidRPr="00502CEE">
        <w:rPr>
          <w:rFonts w:ascii="Times New Roman" w:eastAsia="TimesNewRomanPSMT" w:hAnsi="Times New Roman" w:cs="Times New Roman"/>
          <w:sz w:val="24"/>
          <w:szCs w:val="24"/>
        </w:rPr>
        <w:t>SDS-PAGE was performed to determine the enzyme purity. The single band obtained on the gel is shown in figure 1.</w:t>
      </w:r>
    </w:p>
    <w:p w14:paraId="115EB65F" w14:textId="77777777" w:rsidR="00211CB2" w:rsidRPr="000D160E" w:rsidRDefault="00D370C3" w:rsidP="006102A2">
      <w:pPr>
        <w:autoSpaceDE w:val="0"/>
        <w:autoSpaceDN w:val="0"/>
        <w:adjustRightInd w:val="0"/>
        <w:spacing w:after="0" w:line="360" w:lineRule="auto"/>
        <w:jc w:val="center"/>
        <w:rPr>
          <w:rFonts w:ascii="Times New Roman" w:eastAsia="Times-Bold" w:hAnsi="Times New Roman" w:cs="Times New Roman"/>
          <w:sz w:val="24"/>
          <w:szCs w:val="24"/>
        </w:rPr>
      </w:pPr>
      <w:r>
        <w:rPr>
          <w:noProof/>
          <w:lang w:eastAsia="tr-TR"/>
        </w:rPr>
        <w:lastRenderedPageBreak/>
        <w:drawing>
          <wp:inline distT="0" distB="0" distL="0" distR="0" wp14:anchorId="2592F17D" wp14:editId="11470E66">
            <wp:extent cx="4467225" cy="2780953"/>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5505" cy="2786108"/>
                    </a:xfrm>
                    <a:prstGeom prst="rect">
                      <a:avLst/>
                    </a:prstGeom>
                    <a:noFill/>
                    <a:ln>
                      <a:noFill/>
                    </a:ln>
                  </pic:spPr>
                </pic:pic>
              </a:graphicData>
            </a:graphic>
          </wp:inline>
        </w:drawing>
      </w:r>
    </w:p>
    <w:p w14:paraId="4F9A8447" w14:textId="77065B68" w:rsidR="00211CB2" w:rsidRDefault="00502CEE" w:rsidP="006102A2">
      <w:pPr>
        <w:autoSpaceDE w:val="0"/>
        <w:autoSpaceDN w:val="0"/>
        <w:adjustRightInd w:val="0"/>
        <w:spacing w:after="0" w:line="360" w:lineRule="auto"/>
        <w:jc w:val="both"/>
        <w:rPr>
          <w:rFonts w:ascii="Times New Roman" w:eastAsia="Times-Bold" w:hAnsi="Times New Roman" w:cs="Times New Roman"/>
          <w:bCs/>
          <w:sz w:val="20"/>
          <w:szCs w:val="20"/>
        </w:rPr>
      </w:pPr>
      <w:r w:rsidRPr="00502CEE">
        <w:rPr>
          <w:rFonts w:ascii="Times New Roman" w:eastAsia="Times-Bold" w:hAnsi="Times New Roman" w:cs="Times New Roman"/>
          <w:b/>
          <w:sz w:val="20"/>
          <w:szCs w:val="20"/>
        </w:rPr>
        <w:t xml:space="preserve">Figure 1. </w:t>
      </w:r>
      <w:r w:rsidRPr="00502CEE">
        <w:rPr>
          <w:rFonts w:ascii="Times New Roman" w:eastAsia="Times-Bold" w:hAnsi="Times New Roman" w:cs="Times New Roman"/>
          <w:bCs/>
          <w:sz w:val="20"/>
          <w:szCs w:val="20"/>
        </w:rPr>
        <w:t>Well 1: standard proteins (14kDa - 175 kDa), wells 2, 3 and 4: Pure G6PD enzyme eluted from the affinity column.</w:t>
      </w:r>
    </w:p>
    <w:p w14:paraId="49ED9F24" w14:textId="77777777" w:rsidR="00502CEE" w:rsidRPr="00502CEE" w:rsidRDefault="00502CEE" w:rsidP="006102A2">
      <w:pPr>
        <w:autoSpaceDE w:val="0"/>
        <w:autoSpaceDN w:val="0"/>
        <w:adjustRightInd w:val="0"/>
        <w:spacing w:after="0" w:line="360" w:lineRule="auto"/>
        <w:jc w:val="both"/>
        <w:rPr>
          <w:rFonts w:ascii="Times New Roman" w:eastAsia="Times-Bold" w:hAnsi="Times New Roman" w:cs="Times New Roman"/>
          <w:bCs/>
          <w:sz w:val="24"/>
          <w:szCs w:val="24"/>
        </w:rPr>
      </w:pPr>
    </w:p>
    <w:p w14:paraId="75D17C45" w14:textId="21AE3868" w:rsidR="00074810" w:rsidRDefault="00502CEE" w:rsidP="006102A2">
      <w:pPr>
        <w:autoSpaceDE w:val="0"/>
        <w:autoSpaceDN w:val="0"/>
        <w:adjustRightInd w:val="0"/>
        <w:spacing w:after="0" w:line="360" w:lineRule="auto"/>
        <w:jc w:val="both"/>
        <w:rPr>
          <w:rFonts w:ascii="Times New Roman" w:eastAsia="Times-Bold" w:hAnsi="Times New Roman" w:cs="Times New Roman"/>
          <w:sz w:val="24"/>
          <w:szCs w:val="24"/>
        </w:rPr>
      </w:pPr>
      <w:r w:rsidRPr="00502CEE">
        <w:rPr>
          <w:rFonts w:ascii="Times New Roman" w:eastAsia="Times-Bold" w:hAnsi="Times New Roman" w:cs="Times New Roman"/>
          <w:sz w:val="24"/>
          <w:szCs w:val="24"/>
        </w:rPr>
        <w:t>In kinetic studies, clindamycin antibiotic was used at 1.75, 3.5, 7.04, 17.5, 35, 52.5 and 70 mM concentrations on G6PD enzyme activity purified from sheep spleen tissue. The IC50 value was calculated as 28.75 mM by plotting the % Activity-[I] graphs of this antibiotic with an inhibitory effect (Figure 2). In addition, Linevawer-Burk plot was drawn for G6PD at 3 different inhibitory clindamycin and 5 different substrate concentrations, and the Ki constant for clindamycin was 41.64±11.89 and the inhibition type was determined competitively (Figure 3).</w:t>
      </w:r>
    </w:p>
    <w:p w14:paraId="3BAA57C3" w14:textId="77777777" w:rsidR="00502CEE" w:rsidRPr="000D160E" w:rsidRDefault="00502CEE" w:rsidP="006102A2">
      <w:pPr>
        <w:autoSpaceDE w:val="0"/>
        <w:autoSpaceDN w:val="0"/>
        <w:adjustRightInd w:val="0"/>
        <w:spacing w:after="0" w:line="360" w:lineRule="auto"/>
        <w:jc w:val="both"/>
        <w:rPr>
          <w:rFonts w:ascii="Times New Roman" w:eastAsia="Times-Bold" w:hAnsi="Times New Roman" w:cs="Times New Roman"/>
          <w:sz w:val="24"/>
          <w:szCs w:val="24"/>
        </w:rPr>
      </w:pPr>
    </w:p>
    <w:p w14:paraId="0099532A" w14:textId="77777777" w:rsidR="0048263B" w:rsidRPr="000D160E" w:rsidRDefault="0048263B" w:rsidP="006102A2">
      <w:pPr>
        <w:spacing w:after="0" w:line="360" w:lineRule="auto"/>
        <w:jc w:val="center"/>
        <w:rPr>
          <w:rFonts w:ascii="Times New Roman" w:eastAsia="TimesNewRomanPSMT" w:hAnsi="Times New Roman" w:cs="Times New Roman"/>
          <w:i/>
          <w:iCs/>
          <w:sz w:val="24"/>
          <w:szCs w:val="24"/>
        </w:rPr>
      </w:pPr>
      <w:r w:rsidRPr="000D160E">
        <w:rPr>
          <w:rFonts w:ascii="Times New Roman" w:eastAsia="TimesNewRomanPSMT" w:hAnsi="Times New Roman" w:cs="Times New Roman"/>
          <w:i/>
          <w:iCs/>
          <w:sz w:val="24"/>
          <w:szCs w:val="24"/>
        </w:rPr>
        <w:br w:type="page"/>
      </w:r>
      <w:r w:rsidR="004751CC">
        <w:rPr>
          <w:noProof/>
          <w:lang w:eastAsia="tr-TR"/>
        </w:rPr>
        <w:lastRenderedPageBreak/>
        <w:drawing>
          <wp:inline distT="0" distB="0" distL="0" distR="0" wp14:anchorId="6E001C32" wp14:editId="15468C66">
            <wp:extent cx="4572000" cy="2743200"/>
            <wp:effectExtent l="0" t="0" r="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5181B8C" w14:textId="43CE56B0" w:rsidR="000C1957" w:rsidRPr="006102A2" w:rsidRDefault="00606B05" w:rsidP="006102A2">
      <w:pPr>
        <w:autoSpaceDE w:val="0"/>
        <w:autoSpaceDN w:val="0"/>
        <w:adjustRightInd w:val="0"/>
        <w:spacing w:after="0" w:line="360" w:lineRule="auto"/>
        <w:jc w:val="both"/>
        <w:rPr>
          <w:rFonts w:ascii="Times New Roman" w:eastAsia="TimesNewRomanPSMT" w:hAnsi="Times New Roman" w:cs="Times New Roman"/>
          <w:bCs/>
          <w:iCs/>
          <w:sz w:val="20"/>
          <w:szCs w:val="20"/>
        </w:rPr>
      </w:pPr>
      <w:r>
        <w:rPr>
          <w:rFonts w:ascii="Times New Roman" w:eastAsia="TimesNewRomanPSMT" w:hAnsi="Times New Roman" w:cs="Times New Roman"/>
          <w:b/>
          <w:iCs/>
          <w:sz w:val="20"/>
          <w:szCs w:val="20"/>
        </w:rPr>
        <w:t xml:space="preserve">                    </w:t>
      </w:r>
      <w:r w:rsidR="006102A2" w:rsidRPr="006102A2">
        <w:rPr>
          <w:rFonts w:ascii="Times New Roman" w:eastAsia="TimesNewRomanPSMT" w:hAnsi="Times New Roman" w:cs="Times New Roman"/>
          <w:b/>
          <w:iCs/>
          <w:sz w:val="20"/>
          <w:szCs w:val="20"/>
        </w:rPr>
        <w:t xml:space="preserve">Figure 2. </w:t>
      </w:r>
      <w:r w:rsidR="006102A2" w:rsidRPr="006102A2">
        <w:rPr>
          <w:rFonts w:ascii="Times New Roman" w:eastAsia="TimesNewRomanPSMT" w:hAnsi="Times New Roman" w:cs="Times New Roman"/>
          <w:bCs/>
          <w:iCs/>
          <w:sz w:val="20"/>
          <w:szCs w:val="20"/>
        </w:rPr>
        <w:t>[Clindamycin]-% Activity graph on sheep spleen G6PD enzyme.</w:t>
      </w:r>
    </w:p>
    <w:p w14:paraId="58E5808F" w14:textId="77777777" w:rsidR="004E2299" w:rsidRPr="00320DF2" w:rsidRDefault="004E2299" w:rsidP="006102A2">
      <w:pPr>
        <w:pStyle w:val="ListeParagraf"/>
        <w:autoSpaceDE w:val="0"/>
        <w:autoSpaceDN w:val="0"/>
        <w:adjustRightInd w:val="0"/>
        <w:spacing w:after="0" w:line="360" w:lineRule="auto"/>
        <w:jc w:val="both"/>
        <w:rPr>
          <w:rFonts w:ascii="Times New Roman" w:eastAsia="TimesNewRomanPSMT" w:hAnsi="Times New Roman" w:cs="Times New Roman"/>
          <w:iCs/>
          <w:sz w:val="20"/>
          <w:szCs w:val="20"/>
        </w:rPr>
      </w:pPr>
    </w:p>
    <w:p w14:paraId="7781C3DA" w14:textId="77777777" w:rsidR="004E2299" w:rsidRPr="000D160E" w:rsidRDefault="004E2299" w:rsidP="006102A2">
      <w:pPr>
        <w:pStyle w:val="ListeParagraf"/>
        <w:autoSpaceDE w:val="0"/>
        <w:autoSpaceDN w:val="0"/>
        <w:adjustRightInd w:val="0"/>
        <w:spacing w:after="0" w:line="360" w:lineRule="auto"/>
        <w:jc w:val="both"/>
        <w:rPr>
          <w:rFonts w:ascii="Times New Roman" w:eastAsia="TimesNewRomanPSMT" w:hAnsi="Times New Roman" w:cs="Times New Roman"/>
          <w:iCs/>
          <w:sz w:val="24"/>
          <w:szCs w:val="24"/>
        </w:rPr>
      </w:pPr>
    </w:p>
    <w:p w14:paraId="484378E2" w14:textId="77777777" w:rsidR="004E2299" w:rsidRPr="000D160E" w:rsidRDefault="00440CFD" w:rsidP="006102A2">
      <w:pPr>
        <w:pStyle w:val="ListeParagraf"/>
        <w:autoSpaceDE w:val="0"/>
        <w:autoSpaceDN w:val="0"/>
        <w:adjustRightInd w:val="0"/>
        <w:spacing w:after="0" w:line="360" w:lineRule="auto"/>
        <w:ind w:left="0"/>
        <w:jc w:val="center"/>
        <w:rPr>
          <w:rFonts w:ascii="Times New Roman" w:eastAsia="TimesNewRomanPSMT" w:hAnsi="Times New Roman" w:cs="Times New Roman"/>
          <w:iCs/>
          <w:sz w:val="24"/>
          <w:szCs w:val="24"/>
        </w:rPr>
      </w:pPr>
      <w:r>
        <w:rPr>
          <w:noProof/>
          <w:lang w:eastAsia="tr-TR"/>
        </w:rPr>
        <w:drawing>
          <wp:inline distT="0" distB="0" distL="0" distR="0" wp14:anchorId="4E84DDA0" wp14:editId="5A372248">
            <wp:extent cx="4667250" cy="2962275"/>
            <wp:effectExtent l="0" t="0" r="0" b="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EDDF630" w14:textId="7FB81B2E" w:rsidR="00BF3560" w:rsidRDefault="006102A2" w:rsidP="006102A2">
      <w:pPr>
        <w:pStyle w:val="ListeParagraf"/>
        <w:autoSpaceDE w:val="0"/>
        <w:autoSpaceDN w:val="0"/>
        <w:adjustRightInd w:val="0"/>
        <w:spacing w:after="0" w:line="360" w:lineRule="auto"/>
        <w:jc w:val="both"/>
        <w:rPr>
          <w:rFonts w:ascii="Times New Roman" w:eastAsia="TimesNewRomanPSMT" w:hAnsi="Times New Roman" w:cs="Times New Roman"/>
          <w:bCs/>
          <w:iCs/>
          <w:sz w:val="20"/>
          <w:szCs w:val="20"/>
        </w:rPr>
      </w:pPr>
      <w:r w:rsidRPr="006102A2">
        <w:rPr>
          <w:rFonts w:ascii="Times New Roman" w:eastAsia="TimesNewRomanPSMT" w:hAnsi="Times New Roman" w:cs="Times New Roman"/>
          <w:b/>
          <w:iCs/>
          <w:sz w:val="20"/>
          <w:szCs w:val="20"/>
        </w:rPr>
        <w:t xml:space="preserve">Figure 3. </w:t>
      </w:r>
      <w:r w:rsidRPr="006102A2">
        <w:rPr>
          <w:rFonts w:ascii="Times New Roman" w:eastAsia="TimesNewRomanPSMT" w:hAnsi="Times New Roman" w:cs="Times New Roman"/>
          <w:bCs/>
          <w:iCs/>
          <w:sz w:val="20"/>
          <w:szCs w:val="20"/>
        </w:rPr>
        <w:t>Lineweaver-Burk plot plotted for sheep spleen G6PD enzyme at 5 different substrates and 3 different clindamycin concentrations.</w:t>
      </w:r>
    </w:p>
    <w:p w14:paraId="54F79DCF" w14:textId="77777777" w:rsidR="006102A2" w:rsidRPr="006102A2" w:rsidRDefault="006102A2" w:rsidP="006102A2">
      <w:pPr>
        <w:pStyle w:val="ListeParagraf"/>
        <w:autoSpaceDE w:val="0"/>
        <w:autoSpaceDN w:val="0"/>
        <w:adjustRightInd w:val="0"/>
        <w:spacing w:after="0" w:line="360" w:lineRule="auto"/>
        <w:jc w:val="both"/>
        <w:rPr>
          <w:rFonts w:ascii="Times New Roman" w:eastAsia="TimesNewRomanPSMT" w:hAnsi="Times New Roman" w:cs="Times New Roman"/>
          <w:bCs/>
          <w:iCs/>
          <w:sz w:val="24"/>
          <w:szCs w:val="24"/>
        </w:rPr>
      </w:pPr>
    </w:p>
    <w:p w14:paraId="7A56BA7A" w14:textId="75DC39BE" w:rsidR="00085207" w:rsidRDefault="009A3877" w:rsidP="006102A2">
      <w:pPr>
        <w:spacing w:after="0" w:line="360" w:lineRule="auto"/>
        <w:jc w:val="both"/>
        <w:rPr>
          <w:rFonts w:ascii="Times New Roman" w:hAnsi="Times New Roman" w:cs="Times New Roman"/>
          <w:b/>
          <w:color w:val="000000" w:themeColor="text1"/>
          <w:sz w:val="24"/>
          <w:szCs w:val="24"/>
        </w:rPr>
      </w:pPr>
      <w:r w:rsidRPr="009129F8">
        <w:rPr>
          <w:rFonts w:ascii="Times New Roman" w:hAnsi="Times New Roman" w:cs="Times New Roman"/>
          <w:b/>
          <w:color w:val="000000" w:themeColor="text1"/>
          <w:sz w:val="24"/>
          <w:szCs w:val="24"/>
        </w:rPr>
        <w:t>4</w:t>
      </w:r>
      <w:r w:rsidR="00320DF2" w:rsidRPr="009129F8">
        <w:rPr>
          <w:rFonts w:ascii="Times New Roman" w:hAnsi="Times New Roman" w:cs="Times New Roman"/>
          <w:b/>
          <w:color w:val="000000" w:themeColor="text1"/>
          <w:sz w:val="24"/>
          <w:szCs w:val="24"/>
        </w:rPr>
        <w:t>.</w:t>
      </w:r>
      <w:r w:rsidR="00606B05">
        <w:rPr>
          <w:rFonts w:ascii="Times New Roman" w:hAnsi="Times New Roman" w:cs="Times New Roman"/>
          <w:b/>
          <w:color w:val="000000" w:themeColor="text1"/>
          <w:sz w:val="24"/>
          <w:szCs w:val="24"/>
        </w:rPr>
        <w:t xml:space="preserve"> </w:t>
      </w:r>
      <w:r w:rsidR="00502CEE" w:rsidRPr="00502CEE">
        <w:rPr>
          <w:rFonts w:ascii="Times New Roman" w:hAnsi="Times New Roman" w:cs="Times New Roman"/>
          <w:b/>
          <w:color w:val="000000" w:themeColor="text1"/>
          <w:sz w:val="24"/>
          <w:szCs w:val="24"/>
        </w:rPr>
        <w:t>ARGUMENT</w:t>
      </w:r>
    </w:p>
    <w:p w14:paraId="1CA03186" w14:textId="77777777" w:rsidR="009168AD" w:rsidRPr="006102A2" w:rsidRDefault="009168AD" w:rsidP="006102A2">
      <w:pPr>
        <w:spacing w:after="0" w:line="360" w:lineRule="auto"/>
        <w:jc w:val="both"/>
        <w:rPr>
          <w:rFonts w:ascii="Times New Roman" w:hAnsi="Times New Roman" w:cs="Times New Roman"/>
          <w:b/>
          <w:color w:val="000000" w:themeColor="text1"/>
          <w:sz w:val="24"/>
          <w:szCs w:val="24"/>
        </w:rPr>
      </w:pPr>
    </w:p>
    <w:p w14:paraId="77B5E229" w14:textId="77777777" w:rsidR="006102A2" w:rsidRDefault="006102A2" w:rsidP="006102A2">
      <w:pPr>
        <w:autoSpaceDE w:val="0"/>
        <w:autoSpaceDN w:val="0"/>
        <w:adjustRightInd w:val="0"/>
        <w:spacing w:after="0" w:line="360" w:lineRule="auto"/>
        <w:jc w:val="both"/>
        <w:rPr>
          <w:rFonts w:ascii="Times New Roman" w:hAnsi="Times New Roman" w:cs="Times New Roman"/>
          <w:sz w:val="24"/>
          <w:szCs w:val="24"/>
        </w:rPr>
      </w:pPr>
      <w:r w:rsidRPr="006102A2">
        <w:rPr>
          <w:rFonts w:ascii="Times New Roman" w:hAnsi="Times New Roman" w:cs="Times New Roman"/>
          <w:sz w:val="24"/>
          <w:szCs w:val="24"/>
        </w:rPr>
        <w:t>G6PD, the first enzyme of the pentose phosphate pathway, is responsible for the production of NADPH, which acts as a coenzyme in the antioxidant system, together with the 6-phosphogluconate dehydrogenase enzyme, as seen in the following reaction.</w:t>
      </w:r>
    </w:p>
    <w:p w14:paraId="76898D8F" w14:textId="5827535C" w:rsidR="00BB67CA" w:rsidRPr="00D372FC" w:rsidRDefault="00BB67CA" w:rsidP="006102A2">
      <w:pPr>
        <w:autoSpaceDE w:val="0"/>
        <w:autoSpaceDN w:val="0"/>
        <w:adjustRightInd w:val="0"/>
        <w:spacing w:after="0" w:line="360" w:lineRule="auto"/>
        <w:jc w:val="both"/>
        <w:rPr>
          <w:rFonts w:ascii="Times New Roman" w:hAnsi="Times New Roman" w:cs="Times New Roman"/>
          <w:sz w:val="24"/>
          <w:szCs w:val="24"/>
        </w:rPr>
      </w:pPr>
      <w:r w:rsidRPr="00D372FC">
        <w:rPr>
          <w:rFonts w:ascii="Times New Roman" w:hAnsi="Times New Roman" w:cs="Times New Roman"/>
          <w:sz w:val="24"/>
          <w:szCs w:val="24"/>
        </w:rPr>
        <w:t xml:space="preserve">                                      </w:t>
      </w:r>
    </w:p>
    <w:p w14:paraId="1608ACD9" w14:textId="77777777" w:rsidR="00BB67CA" w:rsidRPr="00D372FC" w:rsidRDefault="00BB67CA" w:rsidP="006102A2">
      <w:pPr>
        <w:autoSpaceDE w:val="0"/>
        <w:autoSpaceDN w:val="0"/>
        <w:adjustRightInd w:val="0"/>
        <w:spacing w:after="0" w:line="360" w:lineRule="auto"/>
        <w:jc w:val="both"/>
        <w:rPr>
          <w:rFonts w:ascii="Times New Roman" w:hAnsi="Times New Roman" w:cs="Times New Roman"/>
          <w:sz w:val="24"/>
          <w:szCs w:val="24"/>
        </w:rPr>
      </w:pPr>
      <w:r w:rsidRPr="00D372FC">
        <w:rPr>
          <w:rFonts w:ascii="Times New Roman" w:hAnsi="Times New Roman" w:cs="Times New Roman"/>
          <w:sz w:val="24"/>
          <w:szCs w:val="24"/>
        </w:rPr>
        <w:lastRenderedPageBreak/>
        <w:t xml:space="preserve">                                                     G6PD</w:t>
      </w:r>
    </w:p>
    <w:p w14:paraId="65DBCB16" w14:textId="77777777" w:rsidR="00BB67CA" w:rsidRPr="00D372FC" w:rsidRDefault="009131FC" w:rsidP="006102A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lang w:eastAsia="tr-TR"/>
        </w:rPr>
        <mc:AlternateContent>
          <mc:Choice Requires="wps">
            <w:drawing>
              <wp:anchor distT="4294967294" distB="4294967294" distL="114300" distR="114300" simplePos="0" relativeHeight="251659264" behindDoc="0" locked="0" layoutInCell="1" allowOverlap="1" wp14:anchorId="102B1839" wp14:editId="604D040B">
                <wp:simplePos x="0" y="0"/>
                <wp:positionH relativeFrom="column">
                  <wp:posOffset>1778000</wp:posOffset>
                </wp:positionH>
                <wp:positionV relativeFrom="paragraph">
                  <wp:posOffset>114934</wp:posOffset>
                </wp:positionV>
                <wp:extent cx="733425" cy="0"/>
                <wp:effectExtent l="0" t="76200" r="9525" b="95250"/>
                <wp:wrapNone/>
                <wp:docPr id="64" name="Düz Ok Bağlayıcısı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34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E751287" id="_x0000_t32" coordsize="21600,21600" o:spt="32" o:oned="t" path="m,l21600,21600e" filled="f">
                <v:path arrowok="t" fillok="f" o:connecttype="none"/>
                <o:lock v:ext="edit" shapetype="t"/>
              </v:shapetype>
              <v:shape id="Düz Ok Bağlayıcısı 64" o:spid="_x0000_s1026" type="#_x0000_t32" style="position:absolute;margin-left:140pt;margin-top:9.05pt;width:57.7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" strokecolor="windowText" strokeweight=".5pt">
                <v:stroke endarrow="block" joinstyle="miter"/>
                <o:lock v:ext="edit" shapetype="f"/>
              </v:shape>
            </w:pict>
          </mc:Fallback>
        </mc:AlternateContent>
      </w:r>
      <w:r w:rsidR="00BB67CA" w:rsidRPr="00D372FC">
        <w:rPr>
          <w:rFonts w:ascii="Times New Roman" w:hAnsi="Times New Roman" w:cs="Times New Roman"/>
          <w:sz w:val="24"/>
          <w:szCs w:val="24"/>
        </w:rPr>
        <w:t>Glukoz 6-fosfat + NADP</w:t>
      </w:r>
      <w:r w:rsidR="00BB67CA" w:rsidRPr="00D372FC">
        <w:rPr>
          <w:rFonts w:ascii="Times New Roman" w:hAnsi="Times New Roman" w:cs="Times New Roman"/>
          <w:sz w:val="24"/>
          <w:szCs w:val="24"/>
          <w:vertAlign w:val="superscript"/>
        </w:rPr>
        <w:t xml:space="preserve">+   </w:t>
      </w:r>
      <w:r w:rsidR="00BB67CA" w:rsidRPr="00D372FC">
        <w:rPr>
          <w:rFonts w:ascii="Times New Roman" w:hAnsi="Times New Roman" w:cs="Times New Roman"/>
          <w:sz w:val="24"/>
          <w:szCs w:val="24"/>
        </w:rPr>
        <w:t xml:space="preserve">                             6- fosfoglukonat + NADPH + H                  </w:t>
      </w:r>
    </w:p>
    <w:p w14:paraId="3C0AE50E" w14:textId="77777777" w:rsidR="00BB67CA" w:rsidRPr="00D372FC" w:rsidRDefault="00BB67CA" w:rsidP="006102A2">
      <w:pPr>
        <w:pStyle w:val="ListeParagraf"/>
        <w:spacing w:after="0" w:line="360" w:lineRule="auto"/>
        <w:ind w:left="0"/>
        <w:jc w:val="both"/>
        <w:rPr>
          <w:rFonts w:ascii="Times New Roman" w:hAnsi="Times New Roman" w:cs="Times New Roman"/>
          <w:sz w:val="24"/>
          <w:szCs w:val="24"/>
        </w:rPr>
      </w:pPr>
    </w:p>
    <w:p w14:paraId="2B1F877D" w14:textId="77777777" w:rsidR="006102A2" w:rsidRPr="006102A2" w:rsidRDefault="006102A2" w:rsidP="006102A2">
      <w:pPr>
        <w:spacing w:after="0" w:line="360" w:lineRule="auto"/>
        <w:jc w:val="both"/>
        <w:rPr>
          <w:rFonts w:ascii="Times New Roman" w:hAnsi="Times New Roman" w:cs="Times New Roman"/>
          <w:sz w:val="24"/>
          <w:szCs w:val="24"/>
        </w:rPr>
      </w:pPr>
      <w:r w:rsidRPr="006102A2">
        <w:rPr>
          <w:rFonts w:ascii="Times New Roman" w:hAnsi="Times New Roman" w:cs="Times New Roman"/>
          <w:sz w:val="24"/>
          <w:szCs w:val="24"/>
        </w:rPr>
        <w:t>In the researches, it has been determined that antioxidant systems degenerate due to reasons such as drugs, nutrition and oxidative stress. The increase in malondialdehyde (MDA), an indicator of lipid peroxidation, showed that these cells were senescent (Stocks et al</w:t>
      </w:r>
      <w:proofErr w:type="gramStart"/>
      <w:r w:rsidRPr="006102A2">
        <w:rPr>
          <w:rFonts w:ascii="Times New Roman" w:hAnsi="Times New Roman" w:cs="Times New Roman"/>
          <w:sz w:val="24"/>
          <w:szCs w:val="24"/>
        </w:rPr>
        <w:t>.,</w:t>
      </w:r>
      <w:proofErr w:type="gramEnd"/>
      <w:r w:rsidRPr="006102A2">
        <w:rPr>
          <w:rFonts w:ascii="Times New Roman" w:hAnsi="Times New Roman" w:cs="Times New Roman"/>
          <w:sz w:val="24"/>
          <w:szCs w:val="24"/>
        </w:rPr>
        <w:t xml:space="preserve"> 1972). This situation is related to the decrease of GSH-related enzymes such as G6PD, GR (Mieyal et al</w:t>
      </w:r>
      <w:proofErr w:type="gramStart"/>
      <w:r w:rsidRPr="006102A2">
        <w:rPr>
          <w:rFonts w:ascii="Times New Roman" w:hAnsi="Times New Roman" w:cs="Times New Roman"/>
          <w:sz w:val="24"/>
          <w:szCs w:val="24"/>
        </w:rPr>
        <w:t>.,</w:t>
      </w:r>
      <w:proofErr w:type="gramEnd"/>
      <w:r w:rsidRPr="006102A2">
        <w:rPr>
          <w:rFonts w:ascii="Times New Roman" w:hAnsi="Times New Roman" w:cs="Times New Roman"/>
          <w:sz w:val="24"/>
          <w:szCs w:val="24"/>
        </w:rPr>
        <w:t xml:space="preserve"> 1991). In addition, abnormal activation of G6PD is associated with cancer. Fast-growing cancer cells increase the production of NADPH they need by constantly stimulating G6PD (Patra et al</w:t>
      </w:r>
      <w:proofErr w:type="gramStart"/>
      <w:r w:rsidRPr="006102A2">
        <w:rPr>
          <w:rFonts w:ascii="Times New Roman" w:hAnsi="Times New Roman" w:cs="Times New Roman"/>
          <w:sz w:val="24"/>
          <w:szCs w:val="24"/>
        </w:rPr>
        <w:t>.,</w:t>
      </w:r>
      <w:proofErr w:type="gramEnd"/>
      <w:r w:rsidRPr="006102A2">
        <w:rPr>
          <w:rFonts w:ascii="Times New Roman" w:hAnsi="Times New Roman" w:cs="Times New Roman"/>
          <w:sz w:val="24"/>
          <w:szCs w:val="24"/>
        </w:rPr>
        <w:t xml:space="preserve"> 2014). The liver tissue, which is the most important organ of the antioxidant system, and its enzymes have been extensively studied for GSH molecule studies in the literature. In experiments on animals, it has been determined that GSH biosynthesis is reduced by various xenobiotics such as butionine, sulfoximine, acetaminophen and bromobenzene. In hepatocytes exposed to these, GSH is depleted and liver damage occurs. It has been stated that glutathione sources should be increased in order to correct this situation (Atamer et al</w:t>
      </w:r>
      <w:proofErr w:type="gramStart"/>
      <w:r w:rsidRPr="006102A2">
        <w:rPr>
          <w:rFonts w:ascii="Times New Roman" w:hAnsi="Times New Roman" w:cs="Times New Roman"/>
          <w:sz w:val="24"/>
          <w:szCs w:val="24"/>
        </w:rPr>
        <w:t>.,</w:t>
      </w:r>
      <w:proofErr w:type="gramEnd"/>
      <w:r w:rsidRPr="006102A2">
        <w:rPr>
          <w:rFonts w:ascii="Times New Roman" w:hAnsi="Times New Roman" w:cs="Times New Roman"/>
          <w:sz w:val="24"/>
          <w:szCs w:val="24"/>
        </w:rPr>
        <w:t xml:space="preserve"> 2000).</w:t>
      </w:r>
    </w:p>
    <w:p w14:paraId="739D80ED" w14:textId="77777777" w:rsidR="006102A2" w:rsidRPr="006102A2" w:rsidRDefault="006102A2" w:rsidP="006102A2">
      <w:pPr>
        <w:spacing w:after="0" w:line="360" w:lineRule="auto"/>
        <w:jc w:val="both"/>
        <w:rPr>
          <w:rFonts w:ascii="Times New Roman" w:hAnsi="Times New Roman" w:cs="Times New Roman"/>
          <w:sz w:val="24"/>
          <w:szCs w:val="24"/>
        </w:rPr>
      </w:pPr>
    </w:p>
    <w:p w14:paraId="7C680A7A" w14:textId="40DADC23" w:rsidR="006102A2" w:rsidRDefault="006102A2" w:rsidP="006102A2">
      <w:pPr>
        <w:spacing w:after="0" w:line="360" w:lineRule="auto"/>
        <w:jc w:val="both"/>
        <w:rPr>
          <w:rFonts w:ascii="Times New Roman" w:hAnsi="Times New Roman" w:cs="Times New Roman"/>
          <w:sz w:val="24"/>
          <w:szCs w:val="24"/>
        </w:rPr>
      </w:pPr>
      <w:r w:rsidRPr="006102A2">
        <w:rPr>
          <w:rFonts w:ascii="Times New Roman" w:hAnsi="Times New Roman" w:cs="Times New Roman"/>
          <w:sz w:val="24"/>
          <w:szCs w:val="24"/>
        </w:rPr>
        <w:t>Since the G6PD enzyme is directly or indirectly associated with many diseases, the research and development of G6PD inhibitors is important (Luo et al</w:t>
      </w:r>
      <w:proofErr w:type="gramStart"/>
      <w:r w:rsidRPr="006102A2">
        <w:rPr>
          <w:rFonts w:ascii="Times New Roman" w:hAnsi="Times New Roman" w:cs="Times New Roman"/>
          <w:sz w:val="24"/>
          <w:szCs w:val="24"/>
        </w:rPr>
        <w:t>.,</w:t>
      </w:r>
      <w:proofErr w:type="gramEnd"/>
      <w:r w:rsidRPr="006102A2">
        <w:rPr>
          <w:rFonts w:ascii="Times New Roman" w:hAnsi="Times New Roman" w:cs="Times New Roman"/>
          <w:sz w:val="24"/>
          <w:szCs w:val="24"/>
        </w:rPr>
        <w:t xml:space="preserve"> 2021). In our study, G6PD enzyme was purified from sheep spleen tissue by ammonium sulfate precipitation and 2',5' ADP-Sepharose-4B affinity chromatography. Affinity chromatography is a chromatography method based on specific interactions, which is common in enzyme purifications, used in the purification of protein, DNA, RNA and other macromolecules in a short time and with high purity (Ciftci et al</w:t>
      </w:r>
      <w:proofErr w:type="gramStart"/>
      <w:r w:rsidRPr="006102A2">
        <w:rPr>
          <w:rFonts w:ascii="Times New Roman" w:hAnsi="Times New Roman" w:cs="Times New Roman"/>
          <w:sz w:val="24"/>
          <w:szCs w:val="24"/>
        </w:rPr>
        <w:t>.,</w:t>
      </w:r>
      <w:proofErr w:type="gramEnd"/>
      <w:r w:rsidRPr="006102A2">
        <w:rPr>
          <w:rFonts w:ascii="Times New Roman" w:hAnsi="Times New Roman" w:cs="Times New Roman"/>
          <w:sz w:val="24"/>
          <w:szCs w:val="24"/>
        </w:rPr>
        <w:t xml:space="preserve"> 2001). In the second stage of the study, the effects of the antibiotic clindamycin, which is widely used in the treatment of humans and animals, on the enzyme were investigated. As a result of kinetic studies, IC50 values ​​for clindamycin were calculated as 28.75 </w:t>
      </w:r>
      <w:proofErr w:type="gramStart"/>
      <w:r w:rsidRPr="006102A2">
        <w:rPr>
          <w:rFonts w:ascii="Times New Roman" w:hAnsi="Times New Roman" w:cs="Times New Roman"/>
          <w:sz w:val="24"/>
          <w:szCs w:val="24"/>
        </w:rPr>
        <w:t>mM,</w:t>
      </w:r>
      <w:proofErr w:type="gramEnd"/>
      <w:r w:rsidRPr="006102A2">
        <w:rPr>
          <w:rFonts w:ascii="Times New Roman" w:hAnsi="Times New Roman" w:cs="Times New Roman"/>
          <w:sz w:val="24"/>
          <w:szCs w:val="24"/>
        </w:rPr>
        <w:t xml:space="preserve"> Ki constant was calculated as 41.64 ± 11.89 mM, and inhibition type was also determined competitively.</w:t>
      </w:r>
    </w:p>
    <w:p w14:paraId="273C077B" w14:textId="77777777" w:rsidR="009168AD" w:rsidRPr="006102A2" w:rsidRDefault="009168AD" w:rsidP="006102A2">
      <w:pPr>
        <w:spacing w:after="0" w:line="360" w:lineRule="auto"/>
        <w:jc w:val="both"/>
        <w:rPr>
          <w:rFonts w:ascii="Times New Roman" w:hAnsi="Times New Roman" w:cs="Times New Roman"/>
          <w:sz w:val="24"/>
          <w:szCs w:val="24"/>
        </w:rPr>
      </w:pPr>
    </w:p>
    <w:p w14:paraId="0ED25653" w14:textId="7880235A" w:rsidR="006102A2" w:rsidRDefault="006102A2" w:rsidP="006102A2">
      <w:pPr>
        <w:spacing w:after="0" w:line="360" w:lineRule="auto"/>
        <w:jc w:val="both"/>
        <w:rPr>
          <w:rFonts w:ascii="Times New Roman" w:hAnsi="Times New Roman" w:cs="Times New Roman"/>
          <w:sz w:val="24"/>
          <w:szCs w:val="24"/>
        </w:rPr>
      </w:pPr>
      <w:r w:rsidRPr="006102A2">
        <w:rPr>
          <w:rFonts w:ascii="Times New Roman" w:hAnsi="Times New Roman" w:cs="Times New Roman"/>
          <w:sz w:val="24"/>
          <w:szCs w:val="24"/>
        </w:rPr>
        <w:t>In the literature review on G6PD, it was determined that the G6PD enzyme was purified from sheep erythrocyte tissue and the effects of penicillin G potassium, gentamicin sulfate and amikacin antibiotics on enzyme activity were investigated. In this study, it was observed that gentamicin sulfate inhibited the G6PD enzyme with IC50 values ​​of 10.01 mM, penicillin G potassium 12.83 mM and amicasin 41.88 mM (Beydemir et al</w:t>
      </w:r>
      <w:proofErr w:type="gramStart"/>
      <w:r w:rsidRPr="006102A2">
        <w:rPr>
          <w:rFonts w:ascii="Times New Roman" w:hAnsi="Times New Roman" w:cs="Times New Roman"/>
          <w:sz w:val="24"/>
          <w:szCs w:val="24"/>
        </w:rPr>
        <w:t>.,</w:t>
      </w:r>
      <w:proofErr w:type="gramEnd"/>
      <w:r w:rsidRPr="006102A2">
        <w:rPr>
          <w:rFonts w:ascii="Times New Roman" w:hAnsi="Times New Roman" w:cs="Times New Roman"/>
          <w:sz w:val="24"/>
          <w:szCs w:val="24"/>
        </w:rPr>
        <w:t xml:space="preserve"> 2002). In addition, in the study investigating the inhibitory effects of lincomycin, amoxicillin, ampicillin, iveral, gentamicin, </w:t>
      </w:r>
      <w:r w:rsidRPr="006102A2">
        <w:rPr>
          <w:rFonts w:ascii="Times New Roman" w:hAnsi="Times New Roman" w:cs="Times New Roman"/>
          <w:sz w:val="24"/>
          <w:szCs w:val="24"/>
        </w:rPr>
        <w:lastRenderedPageBreak/>
        <w:t>streptomycin sulfate, novamizole ketogenic, cefuroxime sodium, cefazolin sodium and tylosin on the G6PD enzyme activity purified from sheep spleen tissue, iveral was the most effective on the enzyme with an IC50 value of 0.62 mM. It was determined that lincomycin had the lowest inhibitory effect on the enzyme with an IC50 value of 231 mM (Çoban and Ciftci</w:t>
      </w:r>
      <w:proofErr w:type="gramStart"/>
      <w:r w:rsidRPr="006102A2">
        <w:rPr>
          <w:rFonts w:ascii="Times New Roman" w:hAnsi="Times New Roman" w:cs="Times New Roman"/>
          <w:sz w:val="24"/>
          <w:szCs w:val="24"/>
        </w:rPr>
        <w:t>.,</w:t>
      </w:r>
      <w:proofErr w:type="gramEnd"/>
      <w:r w:rsidRPr="006102A2">
        <w:rPr>
          <w:rFonts w:ascii="Times New Roman" w:hAnsi="Times New Roman" w:cs="Times New Roman"/>
          <w:sz w:val="24"/>
          <w:szCs w:val="24"/>
        </w:rPr>
        <w:t xml:space="preserve"> 2022). In another study, the effect of the hormone melatonin on the G6PD enzyme activity purified from human erythrocytes was investigated. As a result, it has been observed that this hormone increases enzyme activity (Bayindir et al</w:t>
      </w:r>
      <w:proofErr w:type="gramStart"/>
      <w:r w:rsidRPr="006102A2">
        <w:rPr>
          <w:rFonts w:ascii="Times New Roman" w:hAnsi="Times New Roman" w:cs="Times New Roman"/>
          <w:sz w:val="24"/>
          <w:szCs w:val="24"/>
        </w:rPr>
        <w:t>.,</w:t>
      </w:r>
      <w:proofErr w:type="gramEnd"/>
      <w:r w:rsidRPr="006102A2">
        <w:rPr>
          <w:rFonts w:ascii="Times New Roman" w:hAnsi="Times New Roman" w:cs="Times New Roman"/>
          <w:sz w:val="24"/>
          <w:szCs w:val="24"/>
        </w:rPr>
        <w:t xml:space="preserve"> 2018). In a study in which the G6PD enzyme was purified from rat erythrocytes, clindamycin antibiotic was used on enzyme activity and it was observed that clindamycin inhibited the G6PD enzyme competitively with an IC50 value of 34.65 mM and a Ki constant of 39.8mM (Temel et al</w:t>
      </w:r>
      <w:proofErr w:type="gramStart"/>
      <w:r w:rsidRPr="006102A2">
        <w:rPr>
          <w:rFonts w:ascii="Times New Roman" w:hAnsi="Times New Roman" w:cs="Times New Roman"/>
          <w:sz w:val="24"/>
          <w:szCs w:val="24"/>
        </w:rPr>
        <w:t>.,</w:t>
      </w:r>
      <w:proofErr w:type="gramEnd"/>
      <w:r w:rsidRPr="006102A2">
        <w:rPr>
          <w:rFonts w:ascii="Times New Roman" w:hAnsi="Times New Roman" w:cs="Times New Roman"/>
          <w:sz w:val="24"/>
          <w:szCs w:val="24"/>
        </w:rPr>
        <w:t xml:space="preserve"> 2020). Our study is in agreement with this study. In addition, clindamycin antibiotic was studied on the GR enzyme activity purified from sheep spleen tissue and it was observed that it did not show any activation or inhibition on the enzyme (Çoban, 2022). In another study, G6PD enzyme was purified from rat heart and lung tissues and the effects of some drugs on its activities were investigated. These drugs; gentamicin, ceftazidime, digoxin, cefuroxime, methylprednisol, teicoplanin furosemide, dopamine, furosemidine, Adrenaline, lidocaine, metoprolol tartrate, verapamil HCl, levofloxacin, cefazolin and cotin. Of these drugs, cefazolin, ceftazidime, cefuroxime furosemide, gentamicin, levofloxacin, methylprednisol, and teicoplanin inhibited the G6PD enzyme in rat lung tissue (</w:t>
      </w:r>
      <w:proofErr w:type="gramStart"/>
      <w:r w:rsidRPr="006102A2">
        <w:rPr>
          <w:rFonts w:ascii="Times New Roman" w:hAnsi="Times New Roman" w:cs="Times New Roman"/>
          <w:sz w:val="24"/>
          <w:szCs w:val="24"/>
        </w:rPr>
        <w:t>Adem</w:t>
      </w:r>
      <w:proofErr w:type="gramEnd"/>
      <w:r w:rsidRPr="006102A2">
        <w:rPr>
          <w:rFonts w:ascii="Times New Roman" w:hAnsi="Times New Roman" w:cs="Times New Roman"/>
          <w:sz w:val="24"/>
          <w:szCs w:val="24"/>
        </w:rPr>
        <w:t>, 2011).</w:t>
      </w:r>
    </w:p>
    <w:p w14:paraId="66D928E2" w14:textId="77777777" w:rsidR="006102A2" w:rsidRPr="006102A2" w:rsidRDefault="006102A2" w:rsidP="006102A2">
      <w:pPr>
        <w:spacing w:after="0" w:line="360" w:lineRule="auto"/>
        <w:jc w:val="both"/>
        <w:rPr>
          <w:rFonts w:ascii="Times New Roman" w:hAnsi="Times New Roman" w:cs="Times New Roman"/>
          <w:sz w:val="24"/>
          <w:szCs w:val="24"/>
        </w:rPr>
      </w:pPr>
    </w:p>
    <w:p w14:paraId="72B7B182" w14:textId="45DCC67F" w:rsidR="00E83D70" w:rsidRDefault="006102A2" w:rsidP="006102A2">
      <w:pPr>
        <w:spacing w:after="0" w:line="360" w:lineRule="auto"/>
        <w:jc w:val="both"/>
        <w:rPr>
          <w:rFonts w:ascii="Times New Roman" w:hAnsi="Times New Roman" w:cs="Times New Roman"/>
          <w:sz w:val="24"/>
          <w:szCs w:val="24"/>
        </w:rPr>
      </w:pPr>
      <w:r w:rsidRPr="006102A2">
        <w:rPr>
          <w:rFonts w:ascii="Times New Roman" w:hAnsi="Times New Roman" w:cs="Times New Roman"/>
          <w:sz w:val="24"/>
          <w:szCs w:val="24"/>
        </w:rPr>
        <w:t>As a result, it would be beneficial to adjust the dose considering the values ​​obtained in the therapeutic use of clindamycin antibiotic, which has a competitive inhibition effect for the sheep spleen G6PD enzyme.</w:t>
      </w:r>
      <w:r w:rsidR="00374D81">
        <w:rPr>
          <w:rFonts w:ascii="Times New Roman" w:hAnsi="Times New Roman" w:cs="Times New Roman"/>
          <w:sz w:val="24"/>
          <w:szCs w:val="24"/>
        </w:rPr>
        <w:t xml:space="preserve"> </w:t>
      </w:r>
    </w:p>
    <w:p w14:paraId="0C21B4A7" w14:textId="77777777" w:rsidR="003043BB" w:rsidRPr="003043BB" w:rsidRDefault="003043BB" w:rsidP="006102A2">
      <w:pPr>
        <w:pStyle w:val="ListeParagraf"/>
        <w:spacing w:after="0" w:line="360" w:lineRule="auto"/>
        <w:ind w:left="0"/>
        <w:jc w:val="both"/>
        <w:rPr>
          <w:rFonts w:ascii="Times New Roman" w:hAnsi="Times New Roman" w:cs="Times New Roman"/>
          <w:sz w:val="24"/>
          <w:szCs w:val="24"/>
        </w:rPr>
      </w:pPr>
    </w:p>
    <w:p w14:paraId="041C17DB" w14:textId="77777777" w:rsidR="00606B05" w:rsidRDefault="00606B05">
      <w:pP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br w:type="page"/>
      </w:r>
    </w:p>
    <w:p w14:paraId="44CBCDFA" w14:textId="47A771B2" w:rsidR="0073753F" w:rsidRPr="009168AD" w:rsidRDefault="009A3877" w:rsidP="00F716B5">
      <w:pPr>
        <w:spacing w:line="360" w:lineRule="auto"/>
        <w:jc w:val="both"/>
        <w:rPr>
          <w:rFonts w:ascii="Times New Roman" w:hAnsi="Times New Roman" w:cs="Times New Roman"/>
          <w:b/>
          <w:color w:val="000000" w:themeColor="text1"/>
          <w:sz w:val="24"/>
          <w:szCs w:val="24"/>
        </w:rPr>
      </w:pPr>
      <w:bookmarkStart w:id="0" w:name="_GoBack"/>
      <w:r w:rsidRPr="009168AD">
        <w:rPr>
          <w:rFonts w:ascii="Times New Roman" w:hAnsi="Times New Roman" w:cs="Times New Roman"/>
          <w:b/>
          <w:color w:val="000000" w:themeColor="text1"/>
          <w:sz w:val="24"/>
          <w:szCs w:val="24"/>
        </w:rPr>
        <w:lastRenderedPageBreak/>
        <w:t>5.</w:t>
      </w:r>
      <w:r w:rsidR="00502CEE" w:rsidRPr="009168AD">
        <w:rPr>
          <w:sz w:val="24"/>
          <w:szCs w:val="24"/>
        </w:rPr>
        <w:t xml:space="preserve"> </w:t>
      </w:r>
      <w:r w:rsidR="00502CEE" w:rsidRPr="009168AD">
        <w:rPr>
          <w:rFonts w:ascii="Times New Roman" w:hAnsi="Times New Roman" w:cs="Times New Roman"/>
          <w:b/>
          <w:color w:val="000000" w:themeColor="text1"/>
          <w:sz w:val="24"/>
          <w:szCs w:val="24"/>
        </w:rPr>
        <w:t>REFERENCES</w:t>
      </w:r>
    </w:p>
    <w:bookmarkEnd w:id="0"/>
    <w:p w14:paraId="59A9CA1C" w14:textId="77777777" w:rsidR="000C016C" w:rsidRPr="000C016C" w:rsidRDefault="000C016C" w:rsidP="000C016C">
      <w:pPr>
        <w:autoSpaceDE w:val="0"/>
        <w:autoSpaceDN w:val="0"/>
        <w:adjustRightInd w:val="0"/>
        <w:spacing w:after="0" w:line="360" w:lineRule="auto"/>
        <w:jc w:val="both"/>
        <w:rPr>
          <w:rFonts w:ascii="Times New Roman" w:hAnsi="Times New Roman" w:cs="Times New Roman"/>
          <w:color w:val="000000" w:themeColor="text1"/>
          <w:sz w:val="24"/>
          <w:szCs w:val="24"/>
          <w:lang w:eastAsia="tr-TR"/>
        </w:rPr>
      </w:pPr>
      <w:proofErr w:type="gramStart"/>
      <w:r w:rsidRPr="000C016C">
        <w:rPr>
          <w:rFonts w:ascii="Times New Roman" w:hAnsi="Times New Roman" w:cs="Times New Roman"/>
          <w:color w:val="000000" w:themeColor="text1"/>
          <w:sz w:val="24"/>
          <w:szCs w:val="24"/>
        </w:rPr>
        <w:t>Adem</w:t>
      </w:r>
      <w:proofErr w:type="gramEnd"/>
      <w:r w:rsidRPr="000C016C">
        <w:rPr>
          <w:rFonts w:ascii="Times New Roman" w:hAnsi="Times New Roman" w:cs="Times New Roman"/>
          <w:color w:val="000000" w:themeColor="text1"/>
          <w:sz w:val="24"/>
          <w:szCs w:val="24"/>
        </w:rPr>
        <w:t xml:space="preserve"> Ş</w:t>
      </w:r>
      <w:r w:rsidR="00D313C3">
        <w:rPr>
          <w:rFonts w:ascii="Times New Roman" w:hAnsi="Times New Roman" w:cs="Times New Roman"/>
          <w:color w:val="000000" w:themeColor="text1"/>
          <w:sz w:val="24"/>
          <w:szCs w:val="24"/>
        </w:rPr>
        <w:t>.</w:t>
      </w:r>
      <w:r w:rsidRPr="000C016C">
        <w:rPr>
          <w:rFonts w:ascii="Times New Roman" w:hAnsi="Times New Roman" w:cs="Times New Roman"/>
          <w:color w:val="000000" w:themeColor="text1"/>
          <w:sz w:val="24"/>
          <w:szCs w:val="24"/>
        </w:rPr>
        <w:t xml:space="preserve"> (2011) Sıçan kalp ve akciğer dokularından glukoz–6-fosfat dehidrogenaz, 6- fosfoglukonat dehidrogenaz, glutatyon redüktaz enzimlerinin saflaştırılması, karakterizasyonu, kotinin ve bazı ilaçların enzimlerin aktiviteleri üzerine etkilerinin incelenmesi. Doktora Tezi, Fen Bilimleri Enstitüsü, Erzurum</w:t>
      </w:r>
    </w:p>
    <w:p w14:paraId="61BB694A" w14:textId="77777777" w:rsidR="000C016C" w:rsidRPr="000C016C" w:rsidRDefault="000C016C" w:rsidP="000C016C">
      <w:pPr>
        <w:autoSpaceDE w:val="0"/>
        <w:autoSpaceDN w:val="0"/>
        <w:adjustRightInd w:val="0"/>
        <w:spacing w:after="0" w:line="360" w:lineRule="auto"/>
        <w:jc w:val="both"/>
        <w:rPr>
          <w:rFonts w:ascii="Times New Roman" w:hAnsi="Times New Roman" w:cs="Times New Roman"/>
          <w:color w:val="000000" w:themeColor="text1"/>
          <w:sz w:val="24"/>
          <w:szCs w:val="24"/>
          <w:lang w:eastAsia="tr-TR"/>
        </w:rPr>
      </w:pPr>
    </w:p>
    <w:p w14:paraId="6DC322E8" w14:textId="77777777" w:rsidR="00BF0119" w:rsidRPr="00D313C3" w:rsidRDefault="00F67117" w:rsidP="00EC6029">
      <w:pPr>
        <w:pStyle w:val="AralkYok"/>
        <w:spacing w:line="360" w:lineRule="auto"/>
        <w:jc w:val="both"/>
        <w:rPr>
          <w:rFonts w:ascii="Times New Roman" w:hAnsi="Times New Roman" w:cs="Times New Roman"/>
          <w:noProof/>
          <w:sz w:val="24"/>
          <w:szCs w:val="24"/>
        </w:rPr>
      </w:pPr>
      <w:r w:rsidRPr="000D160E">
        <w:rPr>
          <w:b/>
        </w:rPr>
        <w:fldChar w:fldCharType="begin" w:fldLock="1"/>
      </w:r>
      <w:r w:rsidR="00736009" w:rsidRPr="000D160E">
        <w:rPr>
          <w:b/>
        </w:rPr>
        <w:instrText xml:space="preserve">ADDIN Mendeley Bibliography CSL_BIBLIOGRAPHY </w:instrText>
      </w:r>
      <w:r w:rsidRPr="000D160E">
        <w:rPr>
          <w:b/>
        </w:rPr>
        <w:fldChar w:fldCharType="separate"/>
      </w:r>
      <w:r w:rsidR="00E83D70" w:rsidRPr="00D313C3">
        <w:rPr>
          <w:rFonts w:ascii="Times New Roman" w:hAnsi="Times New Roman" w:cs="Times New Roman"/>
          <w:noProof/>
          <w:sz w:val="24"/>
          <w:szCs w:val="24"/>
        </w:rPr>
        <w:t>Adem, Sevki, and Mehmet Ciftci. 2012a. “Purif</w:t>
      </w:r>
      <w:r w:rsidR="009A3877" w:rsidRPr="00D313C3">
        <w:rPr>
          <w:rFonts w:ascii="Times New Roman" w:hAnsi="Times New Roman" w:cs="Times New Roman"/>
          <w:noProof/>
          <w:sz w:val="24"/>
          <w:szCs w:val="24"/>
        </w:rPr>
        <w:t xml:space="preserve">ication of Rat Kidney Glucose 6 </w:t>
      </w:r>
      <w:r w:rsidR="00E83D70" w:rsidRPr="00D313C3">
        <w:rPr>
          <w:rFonts w:ascii="Times New Roman" w:hAnsi="Times New Roman" w:cs="Times New Roman"/>
          <w:noProof/>
          <w:sz w:val="24"/>
          <w:szCs w:val="24"/>
        </w:rPr>
        <w:t>Phosphate Dehydrogenase, 6-Phosphogluconate Dehydrogenase, and Glutathione R</w:t>
      </w:r>
      <w:r w:rsidR="00D313C3" w:rsidRPr="00D313C3">
        <w:rPr>
          <w:rFonts w:ascii="Times New Roman" w:hAnsi="Times New Roman" w:cs="Times New Roman"/>
          <w:noProof/>
          <w:sz w:val="24"/>
          <w:szCs w:val="24"/>
        </w:rPr>
        <w:t>eductase Enzymes Using 2ˈ, 5ˈ</w:t>
      </w:r>
      <w:r w:rsidR="00E83D70" w:rsidRPr="00D313C3">
        <w:rPr>
          <w:rFonts w:ascii="Times New Roman" w:hAnsi="Times New Roman" w:cs="Times New Roman"/>
          <w:noProof/>
          <w:sz w:val="24"/>
          <w:szCs w:val="24"/>
        </w:rPr>
        <w:t>-ADP Se</w:t>
      </w:r>
      <w:r w:rsidR="009A3877" w:rsidRPr="00D313C3">
        <w:rPr>
          <w:rFonts w:ascii="Times New Roman" w:hAnsi="Times New Roman" w:cs="Times New Roman"/>
          <w:noProof/>
          <w:sz w:val="24"/>
          <w:szCs w:val="24"/>
        </w:rPr>
        <w:t xml:space="preserve">pharose 4B Affinity in a Single </w:t>
      </w:r>
      <w:r w:rsidR="00E83D70" w:rsidRPr="00D313C3">
        <w:rPr>
          <w:rFonts w:ascii="Times New Roman" w:hAnsi="Times New Roman" w:cs="Times New Roman"/>
          <w:noProof/>
          <w:sz w:val="24"/>
          <w:szCs w:val="24"/>
        </w:rPr>
        <w:t xml:space="preserve">Chromatography Step.” </w:t>
      </w:r>
      <w:r w:rsidR="00E83D70" w:rsidRPr="00D313C3">
        <w:rPr>
          <w:rFonts w:ascii="Times New Roman" w:hAnsi="Times New Roman" w:cs="Times New Roman"/>
          <w:i/>
          <w:iCs/>
          <w:noProof/>
          <w:sz w:val="24"/>
          <w:szCs w:val="24"/>
        </w:rPr>
        <w:t>Protein Expression and Purification</w:t>
      </w:r>
      <w:r w:rsidR="00E83D70" w:rsidRPr="00D313C3">
        <w:rPr>
          <w:rFonts w:ascii="Times New Roman" w:hAnsi="Times New Roman" w:cs="Times New Roman"/>
          <w:noProof/>
          <w:sz w:val="24"/>
          <w:szCs w:val="24"/>
        </w:rPr>
        <w:t xml:space="preserve"> 81(1): 1–4.</w:t>
      </w:r>
    </w:p>
    <w:p w14:paraId="721F151D" w14:textId="77777777" w:rsidR="00EC6029" w:rsidRPr="00EC6029" w:rsidRDefault="00EC6029" w:rsidP="00EC6029">
      <w:pPr>
        <w:pStyle w:val="AralkYok"/>
        <w:spacing w:line="360" w:lineRule="auto"/>
        <w:jc w:val="both"/>
        <w:rPr>
          <w:rFonts w:ascii="Times New Roman" w:hAnsi="Times New Roman" w:cs="Times New Roman"/>
          <w:noProof/>
          <w:sz w:val="24"/>
          <w:szCs w:val="24"/>
        </w:rPr>
      </w:pPr>
    </w:p>
    <w:p w14:paraId="2D79FD09" w14:textId="77777777" w:rsidR="00BF0119" w:rsidRPr="00EC6029" w:rsidRDefault="00E83D70" w:rsidP="00EC6029">
      <w:pPr>
        <w:pStyle w:val="AralkYok"/>
        <w:spacing w:line="360" w:lineRule="auto"/>
        <w:jc w:val="both"/>
        <w:rPr>
          <w:rFonts w:ascii="Times New Roman" w:hAnsi="Times New Roman" w:cs="Times New Roman"/>
          <w:noProof/>
          <w:sz w:val="24"/>
          <w:szCs w:val="24"/>
        </w:rPr>
      </w:pPr>
      <w:r w:rsidRPr="00EC6029">
        <w:rPr>
          <w:rFonts w:ascii="Times New Roman" w:hAnsi="Times New Roman" w:cs="Times New Roman"/>
          <w:noProof/>
          <w:sz w:val="24"/>
          <w:szCs w:val="24"/>
        </w:rPr>
        <w:t xml:space="preserve">2012b. “Purification of Rat Kidney Glucose 6-Phosphate Dehydrogenase, 6-Phosphogluconate Dehydrogenase, and Glutathione Reductase Enzymes Using </w:t>
      </w:r>
      <w:r w:rsidR="00D313C3" w:rsidRPr="00D313C3">
        <w:rPr>
          <w:rFonts w:ascii="Times New Roman" w:hAnsi="Times New Roman" w:cs="Times New Roman"/>
          <w:noProof/>
          <w:sz w:val="24"/>
          <w:szCs w:val="24"/>
        </w:rPr>
        <w:t>2ˈ, 5ˈ</w:t>
      </w:r>
      <w:r w:rsidRPr="00EC6029">
        <w:rPr>
          <w:rFonts w:ascii="Times New Roman" w:hAnsi="Times New Roman" w:cs="Times New Roman"/>
          <w:noProof/>
          <w:sz w:val="24"/>
          <w:szCs w:val="24"/>
        </w:rPr>
        <w:t xml:space="preserve">-ADP Sepharose 4B Affinity in a Single Chromatography Step.” </w:t>
      </w:r>
      <w:r w:rsidRPr="00EC6029">
        <w:rPr>
          <w:rFonts w:ascii="Times New Roman" w:hAnsi="Times New Roman" w:cs="Times New Roman"/>
          <w:i/>
          <w:iCs/>
          <w:noProof/>
          <w:sz w:val="24"/>
          <w:szCs w:val="24"/>
        </w:rPr>
        <w:t>Protein Expression and Purification</w:t>
      </w:r>
      <w:r w:rsidRPr="00EC6029">
        <w:rPr>
          <w:rFonts w:ascii="Times New Roman" w:hAnsi="Times New Roman" w:cs="Times New Roman"/>
          <w:noProof/>
          <w:sz w:val="24"/>
          <w:szCs w:val="24"/>
        </w:rPr>
        <w:t xml:space="preserve"> 81(1): 1–4. http://dx.doi.org/10.1016/j.pep.2011.08.031.</w:t>
      </w:r>
    </w:p>
    <w:p w14:paraId="3BED13B8" w14:textId="77777777" w:rsidR="00EC6029" w:rsidRPr="00EC6029" w:rsidRDefault="00EC6029" w:rsidP="00EC6029">
      <w:pPr>
        <w:pStyle w:val="AralkYok"/>
        <w:spacing w:line="360" w:lineRule="auto"/>
        <w:jc w:val="both"/>
        <w:rPr>
          <w:rFonts w:ascii="Times New Roman" w:hAnsi="Times New Roman" w:cs="Times New Roman"/>
          <w:noProof/>
          <w:sz w:val="24"/>
          <w:szCs w:val="24"/>
        </w:rPr>
      </w:pPr>
    </w:p>
    <w:p w14:paraId="111A3E55" w14:textId="77777777" w:rsidR="00E83D70" w:rsidRDefault="00E83D70" w:rsidP="00EC6029">
      <w:pPr>
        <w:pStyle w:val="AralkYok"/>
        <w:spacing w:line="360" w:lineRule="auto"/>
        <w:jc w:val="both"/>
        <w:rPr>
          <w:rFonts w:ascii="Times New Roman" w:hAnsi="Times New Roman" w:cs="Times New Roman"/>
          <w:noProof/>
          <w:sz w:val="24"/>
          <w:szCs w:val="24"/>
        </w:rPr>
      </w:pPr>
      <w:r w:rsidRPr="00EC6029">
        <w:rPr>
          <w:rFonts w:ascii="Times New Roman" w:hAnsi="Times New Roman" w:cs="Times New Roman"/>
          <w:noProof/>
          <w:sz w:val="24"/>
          <w:szCs w:val="24"/>
        </w:rPr>
        <w:t xml:space="preserve">2016. “Purification and Biochemical Characterization of Glucose 6-Phosphate Dehydrogenase, 6-Phosphogluconate Dehydrogenase and Glutathione Reductase from Rat Lung and Inhibition Effects of Some Antibiotics.” </w:t>
      </w:r>
      <w:r w:rsidRPr="00EC6029">
        <w:rPr>
          <w:rFonts w:ascii="Times New Roman" w:hAnsi="Times New Roman" w:cs="Times New Roman"/>
          <w:i/>
          <w:iCs/>
          <w:noProof/>
          <w:sz w:val="24"/>
          <w:szCs w:val="24"/>
        </w:rPr>
        <w:t xml:space="preserve">Journal of </w:t>
      </w:r>
      <w:r w:rsidR="00EC6029" w:rsidRPr="00EC6029">
        <w:rPr>
          <w:rFonts w:ascii="Times New Roman" w:hAnsi="Times New Roman" w:cs="Times New Roman"/>
          <w:i/>
          <w:iCs/>
          <w:noProof/>
          <w:sz w:val="24"/>
          <w:szCs w:val="24"/>
        </w:rPr>
        <w:t>Enzyme Inhibition and Medicinal</w:t>
      </w:r>
      <w:r w:rsidRPr="00EC6029">
        <w:rPr>
          <w:rFonts w:ascii="Times New Roman" w:hAnsi="Times New Roman" w:cs="Times New Roman"/>
          <w:i/>
          <w:iCs/>
          <w:noProof/>
          <w:sz w:val="24"/>
          <w:szCs w:val="24"/>
        </w:rPr>
        <w:t>Chemistry</w:t>
      </w:r>
      <w:r w:rsidR="00D313C3">
        <w:rPr>
          <w:rFonts w:ascii="Times New Roman" w:hAnsi="Times New Roman" w:cs="Times New Roman"/>
          <w:i/>
          <w:iCs/>
          <w:noProof/>
          <w:sz w:val="24"/>
          <w:szCs w:val="24"/>
        </w:rPr>
        <w:t xml:space="preserve">, </w:t>
      </w:r>
      <w:r w:rsidR="00EC6029" w:rsidRPr="00EC6029">
        <w:rPr>
          <w:rFonts w:ascii="Times New Roman" w:hAnsi="Times New Roman" w:cs="Times New Roman"/>
          <w:noProof/>
          <w:sz w:val="24"/>
          <w:szCs w:val="24"/>
        </w:rPr>
        <w:t>6366</w:t>
      </w:r>
      <w:r w:rsidR="00D313C3">
        <w:rPr>
          <w:rFonts w:ascii="Times New Roman" w:hAnsi="Times New Roman" w:cs="Times New Roman"/>
          <w:noProof/>
          <w:sz w:val="24"/>
          <w:szCs w:val="24"/>
        </w:rPr>
        <w:t xml:space="preserve"> </w:t>
      </w:r>
      <w:r w:rsidR="00EC6029" w:rsidRPr="00EC6029">
        <w:rPr>
          <w:rFonts w:ascii="Times New Roman" w:hAnsi="Times New Roman" w:cs="Times New Roman"/>
          <w:noProof/>
          <w:sz w:val="24"/>
          <w:szCs w:val="24"/>
        </w:rPr>
        <w:t>(January):</w:t>
      </w:r>
      <w:r w:rsidRPr="00EC6029">
        <w:rPr>
          <w:rFonts w:ascii="Times New Roman" w:hAnsi="Times New Roman" w:cs="Times New Roman"/>
          <w:noProof/>
          <w:sz w:val="24"/>
          <w:szCs w:val="24"/>
        </w:rPr>
        <w:t xml:space="preserve">1–7. </w:t>
      </w:r>
      <w:r w:rsidR="00310355">
        <w:rPr>
          <w:rFonts w:ascii="Times New Roman" w:hAnsi="Times New Roman" w:cs="Times New Roman"/>
          <w:noProof/>
          <w:sz w:val="24"/>
          <w:szCs w:val="24"/>
        </w:rPr>
        <w:t xml:space="preserve"> </w:t>
      </w:r>
      <w:r w:rsidRPr="00EC6029">
        <w:rPr>
          <w:rFonts w:ascii="Times New Roman" w:hAnsi="Times New Roman" w:cs="Times New Roman"/>
          <w:noProof/>
          <w:sz w:val="24"/>
          <w:szCs w:val="24"/>
        </w:rPr>
        <w:t>http://www.tandfonline.com/doi/full/10.3109/14756366.2015.1132711.</w:t>
      </w:r>
    </w:p>
    <w:p w14:paraId="36D5F71B" w14:textId="77777777" w:rsidR="00EC6029" w:rsidRPr="00EC6029" w:rsidRDefault="00EC6029" w:rsidP="00EC6029">
      <w:pPr>
        <w:pStyle w:val="AralkYok"/>
        <w:spacing w:line="360" w:lineRule="auto"/>
        <w:jc w:val="both"/>
        <w:rPr>
          <w:rFonts w:ascii="Times New Roman" w:hAnsi="Times New Roman" w:cs="Times New Roman"/>
          <w:noProof/>
          <w:sz w:val="24"/>
          <w:szCs w:val="24"/>
        </w:rPr>
      </w:pPr>
    </w:p>
    <w:p w14:paraId="49759170" w14:textId="77777777" w:rsidR="00896989" w:rsidRPr="00EC6029" w:rsidRDefault="00D313C3" w:rsidP="00EC6029">
      <w:pPr>
        <w:pStyle w:val="AralkYok"/>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Akkemik, E</w:t>
      </w:r>
      <w:r w:rsidR="00896989" w:rsidRPr="00EC6029">
        <w:rPr>
          <w:rFonts w:ascii="Times New Roman" w:hAnsi="Times New Roman" w:cs="Times New Roman"/>
          <w:noProof/>
          <w:sz w:val="24"/>
          <w:szCs w:val="24"/>
        </w:rPr>
        <w:t xml:space="preserve"> et al. 2011. “In Vitro Eff Ects of Some Drugs on Human Erythrocyte Glutathione Reductase.” 41(2): 235–41.</w:t>
      </w:r>
    </w:p>
    <w:p w14:paraId="3E594C3B" w14:textId="77777777" w:rsidR="00896989" w:rsidRPr="00EC6029" w:rsidRDefault="00896989" w:rsidP="00EC6029">
      <w:pPr>
        <w:pStyle w:val="AralkYok"/>
        <w:spacing w:line="360" w:lineRule="auto"/>
        <w:jc w:val="both"/>
        <w:rPr>
          <w:rFonts w:ascii="Times New Roman" w:hAnsi="Times New Roman" w:cs="Times New Roman"/>
          <w:noProof/>
          <w:sz w:val="24"/>
          <w:szCs w:val="24"/>
        </w:rPr>
      </w:pPr>
    </w:p>
    <w:p w14:paraId="02CE4569" w14:textId="77777777" w:rsidR="00896989" w:rsidRDefault="00896989" w:rsidP="00EC6029">
      <w:pPr>
        <w:pStyle w:val="AralkYok"/>
        <w:spacing w:line="360" w:lineRule="auto"/>
        <w:jc w:val="both"/>
        <w:rPr>
          <w:rFonts w:ascii="Times New Roman" w:hAnsi="Times New Roman" w:cs="Times New Roman"/>
          <w:noProof/>
          <w:sz w:val="24"/>
          <w:szCs w:val="24"/>
        </w:rPr>
      </w:pPr>
      <w:r w:rsidRPr="00EC6029">
        <w:rPr>
          <w:rFonts w:ascii="Times New Roman" w:hAnsi="Times New Roman" w:cs="Times New Roman"/>
          <w:noProof/>
          <w:sz w:val="24"/>
          <w:szCs w:val="24"/>
        </w:rPr>
        <w:t xml:space="preserve">Altikat, S, M Ciftci, and M E Buyukokuroglu. 2002. “In Vitro Effects of Some Anesthetic Drugs on Enzymatic Activity of Human Red Blood Cell Glucose 6-Phosphate Dehydrogenase\r758.” </w:t>
      </w:r>
      <w:r w:rsidRPr="00EC6029">
        <w:rPr>
          <w:rFonts w:ascii="Times New Roman" w:hAnsi="Times New Roman" w:cs="Times New Roman"/>
          <w:i/>
          <w:iCs/>
          <w:noProof/>
          <w:sz w:val="24"/>
          <w:szCs w:val="24"/>
        </w:rPr>
        <w:t>Pol. J. Pharmacol</w:t>
      </w:r>
      <w:r w:rsidRPr="00EC6029">
        <w:rPr>
          <w:rFonts w:ascii="Times New Roman" w:hAnsi="Times New Roman" w:cs="Times New Roman"/>
          <w:noProof/>
          <w:sz w:val="24"/>
          <w:szCs w:val="24"/>
        </w:rPr>
        <w:t xml:space="preserve"> 54(1): 67–71. http://www.ncbi.nlm.nih.gov/pubmed/12020046.</w:t>
      </w:r>
    </w:p>
    <w:p w14:paraId="3E4975AE" w14:textId="77777777" w:rsidR="006300D5" w:rsidRPr="006300D5" w:rsidRDefault="006300D5" w:rsidP="006300D5">
      <w:pPr>
        <w:pStyle w:val="AralkYok"/>
        <w:spacing w:line="360" w:lineRule="auto"/>
        <w:jc w:val="both"/>
        <w:rPr>
          <w:rFonts w:ascii="Times New Roman" w:hAnsi="Times New Roman" w:cs="Times New Roman"/>
          <w:noProof/>
          <w:sz w:val="24"/>
          <w:szCs w:val="24"/>
        </w:rPr>
      </w:pPr>
    </w:p>
    <w:p w14:paraId="23347852" w14:textId="77777777" w:rsidR="006300D5" w:rsidRPr="006300D5" w:rsidRDefault="006300D5" w:rsidP="006300D5">
      <w:pPr>
        <w:autoSpaceDE w:val="0"/>
        <w:autoSpaceDN w:val="0"/>
        <w:adjustRightInd w:val="0"/>
        <w:spacing w:after="0" w:line="360" w:lineRule="auto"/>
        <w:jc w:val="both"/>
        <w:rPr>
          <w:rFonts w:ascii="Times New Roman" w:hAnsi="Times New Roman" w:cs="Times New Roman"/>
          <w:color w:val="000000" w:themeColor="text1"/>
          <w:sz w:val="24"/>
          <w:szCs w:val="24"/>
        </w:rPr>
      </w:pPr>
      <w:r w:rsidRPr="006300D5">
        <w:rPr>
          <w:rFonts w:ascii="Times New Roman" w:hAnsi="Times New Roman" w:cs="Times New Roman"/>
          <w:color w:val="000000" w:themeColor="text1"/>
          <w:sz w:val="24"/>
          <w:szCs w:val="24"/>
        </w:rPr>
        <w:t>Atamer Y, Koçyiğit Y, Atamer A, Mete N, Canoruç N (2000) Significance of Lipid Peroxides, glutathione and antiperoxidative enzymes in ethanol and acetominophen toxicity in the rat 11(1): 54-60</w:t>
      </w:r>
    </w:p>
    <w:p w14:paraId="2EF89FAE" w14:textId="77777777" w:rsidR="00D11D58" w:rsidRPr="006300D5" w:rsidRDefault="00D11D58" w:rsidP="006300D5">
      <w:pPr>
        <w:pStyle w:val="AralkYok"/>
        <w:spacing w:line="360" w:lineRule="auto"/>
        <w:jc w:val="both"/>
        <w:rPr>
          <w:rFonts w:ascii="Times New Roman" w:hAnsi="Times New Roman" w:cs="Times New Roman"/>
          <w:noProof/>
          <w:sz w:val="24"/>
          <w:szCs w:val="24"/>
        </w:rPr>
      </w:pPr>
    </w:p>
    <w:p w14:paraId="1312B167" w14:textId="77777777" w:rsidR="00AE37BF" w:rsidRDefault="00D11D58" w:rsidP="00D11D58">
      <w:pPr>
        <w:pStyle w:val="AralkYok"/>
        <w:spacing w:line="360" w:lineRule="auto"/>
        <w:jc w:val="both"/>
        <w:rPr>
          <w:rFonts w:ascii="Times New Roman" w:hAnsi="Times New Roman" w:cs="Times New Roman"/>
          <w:noProof/>
          <w:sz w:val="24"/>
          <w:szCs w:val="24"/>
        </w:rPr>
      </w:pPr>
      <w:r w:rsidRPr="00D11D58">
        <w:rPr>
          <w:rFonts w:ascii="Times New Roman" w:hAnsi="Times New Roman" w:cs="Times New Roman"/>
          <w:noProof/>
          <w:sz w:val="24"/>
          <w:szCs w:val="24"/>
        </w:rPr>
        <w:lastRenderedPageBreak/>
        <w:t>Bayindir, S., A. Ayna, Y. Temel, and M. çiftci. 2018. “The Synthesis of New Oxindoles as Analogs of Natural Product 3,3</w:t>
      </w:r>
      <w:r w:rsidRPr="00D11D58">
        <w:rPr>
          <w:rFonts w:ascii="Times New Roman" w:hAnsi="Times New Roman" w:cs="Times New Roman"/>
          <w:noProof/>
          <w:sz w:val="24"/>
          <w:szCs w:val="24"/>
          <w:vertAlign w:val="superscript"/>
        </w:rPr>
        <w:t>′</w:t>
      </w:r>
      <w:r w:rsidRPr="00D11D58">
        <w:rPr>
          <w:rFonts w:ascii="Times New Roman" w:hAnsi="Times New Roman" w:cs="Times New Roman"/>
          <w:noProof/>
          <w:sz w:val="24"/>
          <w:szCs w:val="24"/>
        </w:rPr>
        <w:t xml:space="preserve">-Bis(Indolyl)Oxindole and in Vitro Evaluation of the Enzyme Activity of G6PD and 6PGD.” </w:t>
      </w:r>
      <w:r w:rsidRPr="00D11D58">
        <w:rPr>
          <w:rFonts w:ascii="Times New Roman" w:hAnsi="Times New Roman" w:cs="Times New Roman"/>
          <w:i/>
          <w:iCs/>
          <w:noProof/>
          <w:sz w:val="24"/>
          <w:szCs w:val="24"/>
        </w:rPr>
        <w:t>Turkish Journal of Chemistry</w:t>
      </w:r>
      <w:r w:rsidRPr="00D11D58">
        <w:rPr>
          <w:rFonts w:ascii="Times New Roman" w:hAnsi="Times New Roman" w:cs="Times New Roman"/>
          <w:noProof/>
          <w:sz w:val="24"/>
          <w:szCs w:val="24"/>
        </w:rPr>
        <w:t xml:space="preserve"> 42(2).</w:t>
      </w:r>
    </w:p>
    <w:p w14:paraId="4F2C7211" w14:textId="77777777" w:rsidR="00D11D58" w:rsidRPr="00AE37BF" w:rsidRDefault="00AE37BF" w:rsidP="00AE37BF">
      <w:pPr>
        <w:spacing w:before="100" w:beforeAutospacing="1" w:after="100" w:afterAutospacing="1"/>
        <w:jc w:val="both"/>
        <w:rPr>
          <w:rFonts w:ascii="Times New Roman" w:hAnsi="Times New Roman" w:cs="Times New Roman"/>
          <w:color w:val="000000" w:themeColor="text1"/>
          <w:sz w:val="24"/>
          <w:szCs w:val="24"/>
        </w:rPr>
      </w:pPr>
      <w:r w:rsidRPr="00BB4A36">
        <w:rPr>
          <w:rFonts w:ascii="Times New Roman" w:hAnsi="Times New Roman" w:cs="Times New Roman"/>
          <w:color w:val="000000" w:themeColor="text1"/>
          <w:sz w:val="24"/>
          <w:szCs w:val="24"/>
        </w:rPr>
        <w:t xml:space="preserve">Beutler E, 1971. Red Cell Metabolism Manual of Biochemical Methods; Academic Press: London, </w:t>
      </w:r>
    </w:p>
    <w:p w14:paraId="7720D21C" w14:textId="77777777" w:rsidR="00D11D58" w:rsidRDefault="00D11D58" w:rsidP="00D11D58">
      <w:pPr>
        <w:pStyle w:val="AralkYok"/>
        <w:spacing w:line="360" w:lineRule="auto"/>
        <w:jc w:val="both"/>
        <w:rPr>
          <w:rFonts w:ascii="Times New Roman" w:hAnsi="Times New Roman" w:cs="Times New Roman"/>
          <w:noProof/>
          <w:sz w:val="24"/>
          <w:szCs w:val="24"/>
        </w:rPr>
      </w:pPr>
      <w:r w:rsidRPr="00D11D58">
        <w:rPr>
          <w:rFonts w:ascii="Times New Roman" w:hAnsi="Times New Roman" w:cs="Times New Roman"/>
          <w:noProof/>
          <w:sz w:val="24"/>
          <w:szCs w:val="24"/>
        </w:rPr>
        <w:t xml:space="preserve">Beydemir, Sükrü, Mehmet Ciftçi, and O Irfan Küfrevioğlu. 2002. “Purification and Characterization of Glucose 6-Phosphate Dehydrogenase from Sheep Erythrocytes and Inhibitory Effects of Some Antibiotics on Enzyme Activity.” </w:t>
      </w:r>
      <w:r w:rsidRPr="00D11D58">
        <w:rPr>
          <w:rFonts w:ascii="Times New Roman" w:hAnsi="Times New Roman" w:cs="Times New Roman"/>
          <w:i/>
          <w:iCs/>
          <w:noProof/>
          <w:sz w:val="24"/>
          <w:szCs w:val="24"/>
        </w:rPr>
        <w:t>Journal of enzyme inhibition and medicinal chemistry</w:t>
      </w:r>
      <w:r w:rsidRPr="00D11D58">
        <w:rPr>
          <w:rFonts w:ascii="Times New Roman" w:hAnsi="Times New Roman" w:cs="Times New Roman"/>
          <w:noProof/>
          <w:sz w:val="24"/>
          <w:szCs w:val="24"/>
        </w:rPr>
        <w:t xml:space="preserve"> 17(4): 271–77. http://www.ncbi.nlm.nih.gov/pubmed/12530481.</w:t>
      </w:r>
    </w:p>
    <w:p w14:paraId="41297781" w14:textId="77777777" w:rsidR="00AE37BF" w:rsidRDefault="00AE37BF" w:rsidP="00D11D58">
      <w:pPr>
        <w:pStyle w:val="AralkYok"/>
        <w:spacing w:line="360" w:lineRule="auto"/>
        <w:jc w:val="both"/>
        <w:rPr>
          <w:rFonts w:ascii="Times New Roman" w:hAnsi="Times New Roman" w:cs="Times New Roman"/>
          <w:noProof/>
          <w:sz w:val="24"/>
          <w:szCs w:val="24"/>
        </w:rPr>
      </w:pPr>
    </w:p>
    <w:p w14:paraId="6EDA691A" w14:textId="77777777" w:rsidR="00AE37BF" w:rsidRPr="00AE37BF" w:rsidRDefault="00AE37BF" w:rsidP="00AE37BF">
      <w:pPr>
        <w:autoSpaceDE w:val="0"/>
        <w:autoSpaceDN w:val="0"/>
        <w:adjustRightInd w:val="0"/>
        <w:spacing w:after="0" w:line="360" w:lineRule="auto"/>
        <w:jc w:val="both"/>
        <w:rPr>
          <w:rFonts w:ascii="Times New Roman" w:hAnsi="Times New Roman" w:cs="Times New Roman"/>
          <w:color w:val="000000" w:themeColor="text1"/>
          <w:sz w:val="24"/>
          <w:szCs w:val="24"/>
          <w:lang w:eastAsia="tr-TR"/>
        </w:rPr>
      </w:pPr>
      <w:r w:rsidRPr="00AE37BF">
        <w:rPr>
          <w:rFonts w:ascii="Times New Roman" w:hAnsi="Times New Roman" w:cs="Times New Roman"/>
          <w:color w:val="000000" w:themeColor="text1"/>
          <w:sz w:val="24"/>
          <w:szCs w:val="24"/>
          <w:lang w:eastAsia="tr-TR"/>
        </w:rPr>
        <w:t>Bradford MM (1976) A rapid and sensitive method for the quantitation of microgram quantities of protein utilizing the principle of protein dye binding. Anal. Biochem. 72(1 2): 248–254</w:t>
      </w:r>
    </w:p>
    <w:p w14:paraId="4BFEF119" w14:textId="77777777" w:rsidR="00896989" w:rsidRPr="00EC6029" w:rsidRDefault="00896989" w:rsidP="00EC6029">
      <w:pPr>
        <w:pStyle w:val="AralkYok"/>
        <w:spacing w:line="360" w:lineRule="auto"/>
        <w:jc w:val="both"/>
        <w:rPr>
          <w:rFonts w:ascii="Times New Roman" w:hAnsi="Times New Roman" w:cs="Times New Roman"/>
          <w:noProof/>
          <w:sz w:val="24"/>
          <w:szCs w:val="24"/>
        </w:rPr>
      </w:pPr>
    </w:p>
    <w:p w14:paraId="0E74203B" w14:textId="77777777" w:rsidR="00896989" w:rsidRDefault="00896989" w:rsidP="00EC6029">
      <w:pPr>
        <w:pStyle w:val="AralkYok"/>
        <w:spacing w:line="360" w:lineRule="auto"/>
        <w:jc w:val="both"/>
        <w:rPr>
          <w:rFonts w:ascii="Times New Roman" w:hAnsi="Times New Roman" w:cs="Times New Roman"/>
          <w:color w:val="000000" w:themeColor="text1"/>
          <w:sz w:val="24"/>
          <w:szCs w:val="24"/>
        </w:rPr>
      </w:pPr>
      <w:r w:rsidRPr="00EC6029">
        <w:rPr>
          <w:rFonts w:ascii="Times New Roman" w:hAnsi="Times New Roman" w:cs="Times New Roman"/>
          <w:color w:val="000000" w:themeColor="text1"/>
          <w:sz w:val="24"/>
          <w:szCs w:val="24"/>
        </w:rPr>
        <w:t>Carlberg I, Mannervik B, 1981. Purification and characterization of glutathione reductase from calf liver. An improved procedure for affinity chromatography on 2’, 5’-ADP-Sepharose 4B. Analytical Biochemistry, (116):531-536.</w:t>
      </w:r>
    </w:p>
    <w:p w14:paraId="18052A3D" w14:textId="77777777" w:rsidR="00EC6029" w:rsidRPr="00EC6029" w:rsidRDefault="00EC6029" w:rsidP="00EC6029">
      <w:pPr>
        <w:pStyle w:val="AralkYok"/>
        <w:spacing w:line="360" w:lineRule="auto"/>
        <w:jc w:val="both"/>
        <w:rPr>
          <w:rFonts w:ascii="Times New Roman" w:hAnsi="Times New Roman" w:cs="Times New Roman"/>
          <w:color w:val="000000" w:themeColor="text1"/>
          <w:sz w:val="24"/>
          <w:szCs w:val="24"/>
        </w:rPr>
      </w:pPr>
    </w:p>
    <w:p w14:paraId="19321F7C" w14:textId="77777777" w:rsidR="00EC5C4D" w:rsidRDefault="00EC5C4D" w:rsidP="00EC6029">
      <w:pPr>
        <w:pStyle w:val="AralkYok"/>
        <w:spacing w:line="360" w:lineRule="auto"/>
        <w:jc w:val="both"/>
        <w:rPr>
          <w:rFonts w:ascii="Times New Roman" w:hAnsi="Times New Roman" w:cs="Times New Roman"/>
          <w:color w:val="000000" w:themeColor="text1"/>
          <w:sz w:val="24"/>
          <w:szCs w:val="24"/>
        </w:rPr>
      </w:pPr>
      <w:r w:rsidRPr="00EC6029">
        <w:rPr>
          <w:rFonts w:ascii="Times New Roman" w:hAnsi="Times New Roman" w:cs="Times New Roman"/>
          <w:color w:val="000000" w:themeColor="text1"/>
          <w:sz w:val="24"/>
          <w:szCs w:val="24"/>
        </w:rPr>
        <w:t>Ciftci M, Kufrevioglu OI, Gundogdu M, Ozmen I, 2000. Effects of some antibiotics on enzyme activity of glucose-6-phosphate dehydrogenase from human erythrocytes. Pharmacological Research. 41(1):109-113.</w:t>
      </w:r>
    </w:p>
    <w:p w14:paraId="32EE89CD" w14:textId="77777777" w:rsidR="00D11D58" w:rsidRDefault="00D11D58" w:rsidP="00EC6029">
      <w:pPr>
        <w:pStyle w:val="AralkYok"/>
        <w:spacing w:line="360" w:lineRule="auto"/>
        <w:jc w:val="both"/>
        <w:rPr>
          <w:rFonts w:ascii="Times New Roman" w:hAnsi="Times New Roman" w:cs="Times New Roman"/>
          <w:color w:val="000000" w:themeColor="text1"/>
          <w:sz w:val="24"/>
          <w:szCs w:val="24"/>
        </w:rPr>
      </w:pPr>
    </w:p>
    <w:p w14:paraId="04294854" w14:textId="77777777" w:rsidR="00D11D58" w:rsidRPr="00D11D58" w:rsidRDefault="00D11D58" w:rsidP="00D11D58">
      <w:pPr>
        <w:pStyle w:val="AralkYok"/>
        <w:spacing w:line="360" w:lineRule="auto"/>
        <w:jc w:val="both"/>
        <w:rPr>
          <w:rFonts w:ascii="Times New Roman" w:hAnsi="Times New Roman" w:cs="Times New Roman"/>
          <w:noProof/>
          <w:sz w:val="24"/>
          <w:szCs w:val="24"/>
        </w:rPr>
      </w:pPr>
      <w:r w:rsidRPr="00D11D58">
        <w:rPr>
          <w:rFonts w:ascii="Times New Roman" w:hAnsi="Times New Roman" w:cs="Times New Roman"/>
          <w:noProof/>
          <w:sz w:val="24"/>
          <w:szCs w:val="24"/>
        </w:rPr>
        <w:t xml:space="preserve">Ciftci, M, D Bilici, and O I Kufrevioglu. 2001. “Effects of Metamizol and Magnesium Sulfate on Enzyme Activities of Glucose-6-Phosphate Dehydrogenase from Human Erythrocytes in Vitro and from Rat Erythrocytes in Vivo.” </w:t>
      </w:r>
      <w:r w:rsidRPr="00D11D58">
        <w:rPr>
          <w:rFonts w:ascii="Times New Roman" w:hAnsi="Times New Roman" w:cs="Times New Roman"/>
          <w:i/>
          <w:iCs/>
          <w:noProof/>
          <w:sz w:val="24"/>
          <w:szCs w:val="24"/>
        </w:rPr>
        <w:t>Pharmacol Res</w:t>
      </w:r>
      <w:r w:rsidRPr="00D11D58">
        <w:rPr>
          <w:rFonts w:ascii="Times New Roman" w:hAnsi="Times New Roman" w:cs="Times New Roman"/>
          <w:noProof/>
          <w:sz w:val="24"/>
          <w:szCs w:val="24"/>
        </w:rPr>
        <w:t xml:space="preserve"> 44(1): 7–11. http://www.ncbi.nlm.nih.gov/entrez/query.fcgi?cmd=Retrieve&amp;db=PubMed&amp;dopt=Citation&amp;list_uids=11428904.</w:t>
      </w:r>
    </w:p>
    <w:p w14:paraId="3EC8839A" w14:textId="77777777" w:rsidR="00EC6029" w:rsidRPr="00EC6029" w:rsidRDefault="00EC6029" w:rsidP="00EC6029">
      <w:pPr>
        <w:pStyle w:val="AralkYok"/>
        <w:spacing w:line="360" w:lineRule="auto"/>
        <w:jc w:val="both"/>
        <w:rPr>
          <w:rFonts w:ascii="Times New Roman" w:hAnsi="Times New Roman" w:cs="Times New Roman"/>
          <w:color w:val="000000" w:themeColor="text1"/>
          <w:sz w:val="24"/>
          <w:szCs w:val="24"/>
        </w:rPr>
      </w:pPr>
    </w:p>
    <w:p w14:paraId="2D6D708E" w14:textId="77777777" w:rsidR="00896989" w:rsidRPr="00EC6029" w:rsidRDefault="00896989" w:rsidP="00EC6029">
      <w:pPr>
        <w:pStyle w:val="AralkYok"/>
        <w:spacing w:line="360" w:lineRule="auto"/>
        <w:jc w:val="both"/>
        <w:rPr>
          <w:rFonts w:ascii="Times New Roman" w:hAnsi="Times New Roman" w:cs="Times New Roman"/>
          <w:color w:val="000000" w:themeColor="text1"/>
          <w:sz w:val="24"/>
          <w:szCs w:val="24"/>
        </w:rPr>
      </w:pPr>
      <w:r w:rsidRPr="00EC6029">
        <w:rPr>
          <w:rFonts w:ascii="Times New Roman" w:hAnsi="Times New Roman" w:cs="Times New Roman"/>
          <w:color w:val="000000" w:themeColor="text1"/>
          <w:sz w:val="24"/>
          <w:szCs w:val="24"/>
        </w:rPr>
        <w:t>Çoban Ç, Çiftci M, 2022. Bazı İlaçların Koyun Dalak Dokusundan Saflaştırı</w:t>
      </w:r>
      <w:r w:rsidRPr="00C04D0B">
        <w:rPr>
          <w:rFonts w:ascii="Times New Roman" w:hAnsi="Times New Roman" w:cs="Times New Roman"/>
          <w:color w:val="000000" w:themeColor="text1"/>
          <w:sz w:val="24"/>
          <w:szCs w:val="24"/>
        </w:rPr>
        <w:t xml:space="preserve">lan Glukoz-6-Fosfat Dehidrogenaz Enzimi Üzerine </w:t>
      </w:r>
      <w:r w:rsidRPr="00C04D0B">
        <w:rPr>
          <w:rFonts w:ascii="Times New Roman" w:hAnsi="Times New Roman" w:cs="Times New Roman"/>
          <w:i/>
          <w:color w:val="000000" w:themeColor="text1"/>
          <w:sz w:val="24"/>
          <w:szCs w:val="24"/>
        </w:rPr>
        <w:t>İn Vitro</w:t>
      </w:r>
      <w:r w:rsidRPr="00C04D0B">
        <w:rPr>
          <w:rFonts w:ascii="Times New Roman" w:hAnsi="Times New Roman" w:cs="Times New Roman"/>
          <w:color w:val="000000" w:themeColor="text1"/>
          <w:sz w:val="24"/>
          <w:szCs w:val="24"/>
        </w:rPr>
        <w:t xml:space="preserve"> Etkileri. Türk doğa ve fen</w:t>
      </w:r>
      <w:r w:rsidR="001E4DA3" w:rsidRPr="00C04D0B">
        <w:rPr>
          <w:rFonts w:ascii="Times New Roman" w:hAnsi="Times New Roman" w:cs="Times New Roman"/>
          <w:color w:val="000000" w:themeColor="text1"/>
          <w:sz w:val="24"/>
          <w:szCs w:val="24"/>
        </w:rPr>
        <w:t xml:space="preserve"> dergisi,</w:t>
      </w:r>
      <w:r w:rsidR="001E4DA3" w:rsidRPr="00C04D0B">
        <w:rPr>
          <w:rFonts w:ascii="Times New Roman" w:hAnsi="Times New Roman" w:cs="Times New Roman"/>
          <w:color w:val="000000" w:themeColor="text1"/>
          <w:sz w:val="24"/>
          <w:szCs w:val="24"/>
          <w:shd w:val="clear" w:color="auto" w:fill="FFFFFF"/>
        </w:rPr>
        <w:t xml:space="preserve"> 11: 1, 29 - 35</w:t>
      </w:r>
    </w:p>
    <w:p w14:paraId="5A83C79C" w14:textId="77777777" w:rsidR="00896989" w:rsidRPr="00EC6029" w:rsidRDefault="00896989" w:rsidP="00EC6029">
      <w:pPr>
        <w:pStyle w:val="AralkYok"/>
        <w:spacing w:line="360" w:lineRule="auto"/>
        <w:jc w:val="both"/>
        <w:rPr>
          <w:rFonts w:ascii="Times New Roman" w:hAnsi="Times New Roman" w:cs="Times New Roman"/>
          <w:color w:val="FF0000"/>
          <w:sz w:val="24"/>
          <w:szCs w:val="24"/>
        </w:rPr>
      </w:pPr>
    </w:p>
    <w:p w14:paraId="0C8D8537" w14:textId="77777777" w:rsidR="00896989" w:rsidRDefault="00896989" w:rsidP="00EC6029">
      <w:pPr>
        <w:pStyle w:val="AralkYok"/>
        <w:spacing w:line="360" w:lineRule="auto"/>
        <w:jc w:val="both"/>
        <w:rPr>
          <w:rFonts w:ascii="Times New Roman" w:hAnsi="Times New Roman" w:cs="Times New Roman"/>
          <w:color w:val="000000" w:themeColor="text1"/>
          <w:sz w:val="24"/>
          <w:szCs w:val="24"/>
        </w:rPr>
      </w:pPr>
      <w:r w:rsidRPr="00EC6029">
        <w:rPr>
          <w:rFonts w:ascii="Times New Roman" w:hAnsi="Times New Roman" w:cs="Times New Roman"/>
          <w:color w:val="000000" w:themeColor="text1"/>
          <w:sz w:val="24"/>
          <w:szCs w:val="24"/>
        </w:rPr>
        <w:t>Çoban Ç, 2022. Glutatyon Redüktaz Enziminin Koyun Dalak Dokusundan Saf</w:t>
      </w:r>
      <w:r w:rsidR="00FB02EA">
        <w:rPr>
          <w:rFonts w:ascii="Times New Roman" w:hAnsi="Times New Roman" w:cs="Times New Roman"/>
          <w:color w:val="000000" w:themeColor="text1"/>
          <w:sz w:val="24"/>
          <w:szCs w:val="24"/>
        </w:rPr>
        <w:t>laştırılması, Karakterizasyonu v</w:t>
      </w:r>
      <w:r w:rsidRPr="00EC6029">
        <w:rPr>
          <w:rFonts w:ascii="Times New Roman" w:hAnsi="Times New Roman" w:cs="Times New Roman"/>
          <w:color w:val="000000" w:themeColor="text1"/>
          <w:sz w:val="24"/>
          <w:szCs w:val="24"/>
        </w:rPr>
        <w:t>e Bazı Antibiyotiklerin Enzim Aktivitesi Üz</w:t>
      </w:r>
      <w:r w:rsidR="00D11D58">
        <w:rPr>
          <w:rFonts w:ascii="Times New Roman" w:hAnsi="Times New Roman" w:cs="Times New Roman"/>
          <w:color w:val="000000" w:themeColor="text1"/>
          <w:sz w:val="24"/>
          <w:szCs w:val="24"/>
        </w:rPr>
        <w:t xml:space="preserve">erine Etkilerinin Araştırılması </w:t>
      </w:r>
      <w:r w:rsidRPr="00EC6029">
        <w:rPr>
          <w:rFonts w:ascii="Times New Roman" w:hAnsi="Times New Roman" w:cs="Times New Roman"/>
          <w:color w:val="000000" w:themeColor="text1"/>
          <w:sz w:val="24"/>
          <w:szCs w:val="24"/>
        </w:rPr>
        <w:t>Doktora Tezi, Bingöl Üniversitesi, Fen bilimleri Enstitüsü, Kimya Anabilim Dalı, s. 88</w:t>
      </w:r>
    </w:p>
    <w:p w14:paraId="2C3C44C8" w14:textId="77777777" w:rsidR="00EC6029" w:rsidRPr="00EC6029" w:rsidRDefault="00AE37BF" w:rsidP="00AE37BF">
      <w:pPr>
        <w:spacing w:before="100" w:beforeAutospacing="1" w:after="100" w:afterAutospacing="1" w:line="360" w:lineRule="auto"/>
        <w:jc w:val="both"/>
        <w:rPr>
          <w:rFonts w:ascii="Times New Roman" w:hAnsi="Times New Roman" w:cs="Times New Roman"/>
          <w:color w:val="000000" w:themeColor="text1"/>
          <w:sz w:val="24"/>
          <w:szCs w:val="24"/>
        </w:rPr>
      </w:pPr>
      <w:r w:rsidRPr="00BB4A36">
        <w:rPr>
          <w:rFonts w:ascii="Times New Roman" w:hAnsi="Times New Roman" w:cs="Times New Roman"/>
          <w:color w:val="000000" w:themeColor="text1"/>
          <w:sz w:val="24"/>
          <w:szCs w:val="24"/>
        </w:rPr>
        <w:lastRenderedPageBreak/>
        <w:t>Demir H, Erat M, Şakiroğlu H, 2006. In vitro effects of some antibiotics on glutathione reductase obteined from chicken liver. Turkish Journal of Veterinary and Animal Sciences, (30):513-519.</w:t>
      </w:r>
    </w:p>
    <w:p w14:paraId="1F27702B" w14:textId="77777777" w:rsidR="00896989" w:rsidRPr="00EC6029" w:rsidRDefault="00896989" w:rsidP="00EC6029">
      <w:pPr>
        <w:pStyle w:val="AralkYok"/>
        <w:spacing w:line="360" w:lineRule="auto"/>
        <w:jc w:val="both"/>
        <w:rPr>
          <w:rFonts w:ascii="Times New Roman" w:hAnsi="Times New Roman" w:cs="Times New Roman"/>
          <w:noProof/>
          <w:sz w:val="24"/>
          <w:szCs w:val="24"/>
        </w:rPr>
      </w:pPr>
      <w:r w:rsidRPr="00EC6029">
        <w:rPr>
          <w:rFonts w:ascii="Times New Roman" w:hAnsi="Times New Roman" w:cs="Times New Roman"/>
          <w:noProof/>
          <w:sz w:val="24"/>
          <w:szCs w:val="24"/>
        </w:rPr>
        <w:t>Dilek, Esra Bayram, İ Ömer, and Ş Beydemir. 2013. “Mpacts of Some Antibiotics on Human Serum Paraoxonase 1 Activity.” 28(February 2012): 758–64.</w:t>
      </w:r>
    </w:p>
    <w:p w14:paraId="4706EE59" w14:textId="77777777" w:rsidR="00896989" w:rsidRPr="00EC6029" w:rsidRDefault="00896989" w:rsidP="00EC6029">
      <w:pPr>
        <w:pStyle w:val="AralkYok"/>
        <w:spacing w:line="360" w:lineRule="auto"/>
        <w:jc w:val="both"/>
        <w:rPr>
          <w:rFonts w:ascii="Times New Roman" w:hAnsi="Times New Roman" w:cs="Times New Roman"/>
          <w:color w:val="000000" w:themeColor="text1"/>
          <w:sz w:val="24"/>
          <w:szCs w:val="24"/>
        </w:rPr>
      </w:pPr>
    </w:p>
    <w:p w14:paraId="6FF2A62B" w14:textId="77777777" w:rsidR="00896989" w:rsidRDefault="00896989" w:rsidP="00EC6029">
      <w:pPr>
        <w:pStyle w:val="AralkYok"/>
        <w:spacing w:line="360" w:lineRule="auto"/>
        <w:jc w:val="both"/>
        <w:rPr>
          <w:rFonts w:ascii="Times New Roman" w:hAnsi="Times New Roman" w:cs="Times New Roman"/>
          <w:color w:val="000000" w:themeColor="text1"/>
          <w:sz w:val="24"/>
          <w:szCs w:val="24"/>
        </w:rPr>
      </w:pPr>
      <w:r w:rsidRPr="00EC6029">
        <w:rPr>
          <w:rFonts w:ascii="Times New Roman" w:hAnsi="Times New Roman" w:cs="Times New Roman"/>
          <w:color w:val="000000" w:themeColor="text1"/>
          <w:sz w:val="24"/>
          <w:szCs w:val="24"/>
          <w:lang w:eastAsia="tr-TR"/>
        </w:rPr>
        <w:t>Kayaalp SO (2002) Rasyonel tedavi yönünden tıbbi farmakoloji.10. Baskı</w:t>
      </w:r>
      <w:r w:rsidRPr="00EC6029">
        <w:rPr>
          <w:rFonts w:ascii="Times New Roman" w:hAnsi="Times New Roman" w:cs="Times New Roman"/>
          <w:color w:val="000000" w:themeColor="text1"/>
          <w:sz w:val="24"/>
          <w:szCs w:val="24"/>
        </w:rPr>
        <w:t>. Kitabın muhtelif bölümleri</w:t>
      </w:r>
    </w:p>
    <w:p w14:paraId="4ADDB7A8" w14:textId="77777777" w:rsidR="00EC6029" w:rsidRPr="00EC6029" w:rsidRDefault="00EC6029" w:rsidP="00EC6029">
      <w:pPr>
        <w:pStyle w:val="AralkYok"/>
        <w:spacing w:line="360" w:lineRule="auto"/>
        <w:jc w:val="both"/>
        <w:rPr>
          <w:rFonts w:ascii="Times New Roman" w:hAnsi="Times New Roman" w:cs="Times New Roman"/>
          <w:color w:val="000000" w:themeColor="text1"/>
          <w:sz w:val="24"/>
          <w:szCs w:val="24"/>
        </w:rPr>
      </w:pPr>
    </w:p>
    <w:p w14:paraId="36DB8192" w14:textId="77777777" w:rsidR="00896989" w:rsidRPr="00EC6029" w:rsidRDefault="00896989" w:rsidP="00EC6029">
      <w:pPr>
        <w:pStyle w:val="AralkYok"/>
        <w:spacing w:line="360" w:lineRule="auto"/>
        <w:jc w:val="both"/>
        <w:rPr>
          <w:rFonts w:ascii="Times New Roman" w:hAnsi="Times New Roman" w:cs="Times New Roman"/>
          <w:color w:val="000000" w:themeColor="text1"/>
          <w:sz w:val="24"/>
          <w:szCs w:val="24"/>
        </w:rPr>
      </w:pPr>
      <w:r w:rsidRPr="00EC6029">
        <w:rPr>
          <w:rFonts w:ascii="Times New Roman" w:hAnsi="Times New Roman" w:cs="Times New Roman"/>
          <w:color w:val="000000" w:themeColor="text1"/>
          <w:sz w:val="24"/>
          <w:szCs w:val="24"/>
        </w:rPr>
        <w:t xml:space="preserve">Keha EE, Küfrevioğlu Öİ. Biyokimya, Aktif Yayınevi, 6. Baskı, İstanbul, 2010. </w:t>
      </w:r>
    </w:p>
    <w:p w14:paraId="1E069A34" w14:textId="77777777" w:rsidR="00896989" w:rsidRPr="00EC6029" w:rsidRDefault="00896989" w:rsidP="00EC6029">
      <w:pPr>
        <w:pStyle w:val="AralkYok"/>
        <w:spacing w:line="360" w:lineRule="auto"/>
        <w:jc w:val="both"/>
        <w:rPr>
          <w:rFonts w:ascii="Times New Roman" w:hAnsi="Times New Roman" w:cs="Times New Roman"/>
          <w:color w:val="000000" w:themeColor="text1"/>
          <w:sz w:val="24"/>
          <w:szCs w:val="24"/>
        </w:rPr>
      </w:pPr>
    </w:p>
    <w:p w14:paraId="7E568066" w14:textId="77777777" w:rsidR="00EC5C4D" w:rsidRDefault="00896989" w:rsidP="00EC6029">
      <w:pPr>
        <w:pStyle w:val="AralkYok"/>
        <w:spacing w:line="360" w:lineRule="auto"/>
        <w:jc w:val="both"/>
        <w:rPr>
          <w:rFonts w:ascii="Times New Roman" w:hAnsi="Times New Roman" w:cs="Times New Roman"/>
          <w:noProof/>
          <w:sz w:val="24"/>
          <w:szCs w:val="24"/>
        </w:rPr>
      </w:pPr>
      <w:r w:rsidRPr="00EC6029">
        <w:rPr>
          <w:rFonts w:ascii="Times New Roman" w:hAnsi="Times New Roman" w:cs="Times New Roman"/>
          <w:noProof/>
          <w:sz w:val="24"/>
          <w:szCs w:val="24"/>
        </w:rPr>
        <w:t xml:space="preserve">Kose, Leyla Polat et al. 2015. “The Effects of Some Avermectins on Bovine Carbonic Anhydrase Enzyme.” </w:t>
      </w:r>
      <w:r w:rsidRPr="00EC6029">
        <w:rPr>
          <w:rFonts w:ascii="Times New Roman" w:hAnsi="Times New Roman" w:cs="Times New Roman"/>
          <w:i/>
          <w:iCs/>
          <w:noProof/>
          <w:sz w:val="24"/>
          <w:szCs w:val="24"/>
        </w:rPr>
        <w:t>Journal of enzyme inhibition and medicinal chemistry</w:t>
      </w:r>
      <w:r w:rsidRPr="00EC6029">
        <w:rPr>
          <w:rFonts w:ascii="Times New Roman" w:hAnsi="Times New Roman" w:cs="Times New Roman"/>
          <w:noProof/>
          <w:sz w:val="24"/>
          <w:szCs w:val="24"/>
        </w:rPr>
        <w:t xml:space="preserve"> 6366(February 2017): 1–6. http://www.ncbi.nlm.nih.gov/pubmed/26207514.</w:t>
      </w:r>
    </w:p>
    <w:p w14:paraId="5788BC25" w14:textId="77777777" w:rsidR="00AE37BF" w:rsidRDefault="00AE37BF" w:rsidP="00EC6029">
      <w:pPr>
        <w:pStyle w:val="AralkYok"/>
        <w:spacing w:line="360" w:lineRule="auto"/>
        <w:jc w:val="both"/>
        <w:rPr>
          <w:rFonts w:ascii="Times New Roman" w:hAnsi="Times New Roman" w:cs="Times New Roman"/>
          <w:noProof/>
          <w:sz w:val="24"/>
          <w:szCs w:val="24"/>
        </w:rPr>
      </w:pPr>
    </w:p>
    <w:p w14:paraId="33A6B148" w14:textId="77777777" w:rsidR="00AE37BF" w:rsidRPr="00AE37BF" w:rsidRDefault="00AE37BF" w:rsidP="00AE37BF">
      <w:pPr>
        <w:autoSpaceDE w:val="0"/>
        <w:autoSpaceDN w:val="0"/>
        <w:adjustRightInd w:val="0"/>
        <w:spacing w:after="0" w:line="360" w:lineRule="auto"/>
        <w:rPr>
          <w:rFonts w:ascii="Times New Roman" w:hAnsi="Times New Roman" w:cs="Times New Roman"/>
          <w:color w:val="000000" w:themeColor="text1"/>
          <w:sz w:val="24"/>
          <w:szCs w:val="24"/>
          <w:lang w:eastAsia="tr-TR"/>
        </w:rPr>
      </w:pPr>
      <w:r w:rsidRPr="00AE37BF">
        <w:rPr>
          <w:rFonts w:ascii="Times New Roman" w:hAnsi="Times New Roman" w:cs="Times New Roman"/>
          <w:color w:val="000000" w:themeColor="text1"/>
          <w:sz w:val="24"/>
          <w:szCs w:val="24"/>
          <w:lang w:eastAsia="tr-TR"/>
        </w:rPr>
        <w:t>Laemmli DK (1970) Cleavage of structural proteins during in assembly of the heat of</w:t>
      </w:r>
    </w:p>
    <w:p w14:paraId="1CEBE8D5" w14:textId="77777777" w:rsidR="00AE37BF" w:rsidRPr="00AE37BF" w:rsidRDefault="00AE37BF" w:rsidP="00AE37BF">
      <w:pPr>
        <w:pStyle w:val="AralkYok"/>
        <w:spacing w:line="360" w:lineRule="auto"/>
        <w:rPr>
          <w:rFonts w:ascii="Times New Roman" w:hAnsi="Times New Roman" w:cs="Times New Roman"/>
          <w:noProof/>
          <w:sz w:val="24"/>
          <w:szCs w:val="24"/>
        </w:rPr>
      </w:pPr>
      <w:r w:rsidRPr="00AE37BF">
        <w:rPr>
          <w:rFonts w:ascii="Times New Roman" w:hAnsi="Times New Roman" w:cs="Times New Roman"/>
          <w:color w:val="000000" w:themeColor="text1"/>
          <w:sz w:val="24"/>
          <w:szCs w:val="24"/>
          <w:lang w:eastAsia="tr-TR"/>
        </w:rPr>
        <w:t>bacteriophage T4. Nature, London, s. 227-680</w:t>
      </w:r>
    </w:p>
    <w:p w14:paraId="214FE668" w14:textId="77777777" w:rsidR="00D11D58" w:rsidRDefault="00D11D58" w:rsidP="00EC6029">
      <w:pPr>
        <w:pStyle w:val="AralkYok"/>
        <w:spacing w:line="360" w:lineRule="auto"/>
        <w:jc w:val="both"/>
        <w:rPr>
          <w:rFonts w:ascii="Times New Roman" w:hAnsi="Times New Roman" w:cs="Times New Roman"/>
          <w:noProof/>
          <w:sz w:val="24"/>
          <w:szCs w:val="24"/>
        </w:rPr>
      </w:pPr>
    </w:p>
    <w:p w14:paraId="1146F202" w14:textId="77777777" w:rsidR="00D11D58" w:rsidRPr="00D11D58" w:rsidRDefault="00D11D58" w:rsidP="00D11D58">
      <w:pPr>
        <w:pStyle w:val="AralkYok"/>
        <w:spacing w:line="360" w:lineRule="auto"/>
        <w:jc w:val="both"/>
        <w:rPr>
          <w:rFonts w:ascii="Times New Roman" w:hAnsi="Times New Roman" w:cs="Times New Roman"/>
          <w:noProof/>
          <w:sz w:val="24"/>
          <w:szCs w:val="24"/>
        </w:rPr>
      </w:pPr>
      <w:r w:rsidRPr="00D11D58">
        <w:rPr>
          <w:rFonts w:ascii="Times New Roman" w:hAnsi="Times New Roman" w:cs="Times New Roman"/>
          <w:noProof/>
          <w:sz w:val="24"/>
          <w:szCs w:val="24"/>
        </w:rPr>
        <w:t xml:space="preserve">Luo, Zhongyuan et al. 2021. “Discovery and Characterization of a Novel Glucose-6-Phosphate Dehydrogenase (G6PD) Inhibitor via High-Throughput Screening.” </w:t>
      </w:r>
      <w:r w:rsidRPr="00D11D58">
        <w:rPr>
          <w:rFonts w:ascii="Times New Roman" w:hAnsi="Times New Roman" w:cs="Times New Roman"/>
          <w:i/>
          <w:iCs/>
          <w:noProof/>
          <w:sz w:val="24"/>
          <w:szCs w:val="24"/>
        </w:rPr>
        <w:t>Bioorganic &amp; Medicinal Chemistry Letters</w:t>
      </w:r>
      <w:r w:rsidRPr="00D11D58">
        <w:rPr>
          <w:rFonts w:ascii="Times New Roman" w:hAnsi="Times New Roman" w:cs="Times New Roman"/>
          <w:noProof/>
          <w:sz w:val="24"/>
          <w:szCs w:val="24"/>
        </w:rPr>
        <w:t xml:space="preserve"> 40(February): 127905. https://doi.org/10.1016/j.bmcl.2021.127905.</w:t>
      </w:r>
    </w:p>
    <w:p w14:paraId="69BF027A" w14:textId="77777777" w:rsidR="00EC6029" w:rsidRPr="00EC6029" w:rsidRDefault="00EC6029" w:rsidP="00EC6029">
      <w:pPr>
        <w:pStyle w:val="AralkYok"/>
        <w:spacing w:line="360" w:lineRule="auto"/>
        <w:jc w:val="both"/>
        <w:rPr>
          <w:rFonts w:ascii="Times New Roman" w:hAnsi="Times New Roman" w:cs="Times New Roman"/>
          <w:noProof/>
          <w:sz w:val="24"/>
          <w:szCs w:val="24"/>
        </w:rPr>
      </w:pPr>
    </w:p>
    <w:p w14:paraId="5FCEF4A9" w14:textId="77777777" w:rsidR="00BF0119" w:rsidRDefault="00EC5C4D" w:rsidP="00EC6029">
      <w:pPr>
        <w:pStyle w:val="AralkYok"/>
        <w:spacing w:line="360" w:lineRule="auto"/>
        <w:jc w:val="both"/>
        <w:rPr>
          <w:rFonts w:ascii="Times New Roman" w:hAnsi="Times New Roman" w:cs="Times New Roman"/>
          <w:noProof/>
          <w:sz w:val="24"/>
          <w:szCs w:val="24"/>
        </w:rPr>
      </w:pPr>
      <w:r w:rsidRPr="00EC6029">
        <w:rPr>
          <w:rFonts w:ascii="Times New Roman" w:hAnsi="Times New Roman" w:cs="Times New Roman"/>
          <w:noProof/>
          <w:sz w:val="24"/>
          <w:szCs w:val="24"/>
        </w:rPr>
        <w:t xml:space="preserve"> </w:t>
      </w:r>
      <w:r w:rsidR="00BF0119" w:rsidRPr="00EC6029">
        <w:rPr>
          <w:rFonts w:ascii="Times New Roman" w:hAnsi="Times New Roman" w:cs="Times New Roman"/>
          <w:noProof/>
          <w:sz w:val="24"/>
          <w:szCs w:val="24"/>
        </w:rPr>
        <w:t xml:space="preserve">Lu, Jun, and Arne Holmgren. 2014. “Free Radical Biology and Medicine The Thioredoxin Antioxidant System.” </w:t>
      </w:r>
      <w:r w:rsidR="00BF0119" w:rsidRPr="00EC6029">
        <w:rPr>
          <w:rFonts w:ascii="Times New Roman" w:hAnsi="Times New Roman" w:cs="Times New Roman"/>
          <w:i/>
          <w:iCs/>
          <w:noProof/>
          <w:sz w:val="24"/>
          <w:szCs w:val="24"/>
        </w:rPr>
        <w:t>Free Radical Biology and Medicine</w:t>
      </w:r>
      <w:r w:rsidR="00BF0119" w:rsidRPr="00EC6029">
        <w:rPr>
          <w:rFonts w:ascii="Times New Roman" w:hAnsi="Times New Roman" w:cs="Times New Roman"/>
          <w:noProof/>
          <w:sz w:val="24"/>
          <w:szCs w:val="24"/>
        </w:rPr>
        <w:t xml:space="preserve"> 66: 75–87. http://dx.doi.org/10.1016/j.freeradbiomed.2013.07.036.</w:t>
      </w:r>
    </w:p>
    <w:p w14:paraId="218CD847" w14:textId="77777777" w:rsidR="006300D5" w:rsidRDefault="006300D5" w:rsidP="00EC6029">
      <w:pPr>
        <w:pStyle w:val="AralkYok"/>
        <w:spacing w:line="360" w:lineRule="auto"/>
        <w:jc w:val="both"/>
        <w:rPr>
          <w:rFonts w:ascii="Times New Roman" w:hAnsi="Times New Roman" w:cs="Times New Roman"/>
          <w:noProof/>
          <w:sz w:val="24"/>
          <w:szCs w:val="24"/>
        </w:rPr>
      </w:pPr>
    </w:p>
    <w:p w14:paraId="3351F050" w14:textId="77777777" w:rsidR="006300D5" w:rsidRPr="006300D5" w:rsidRDefault="006300D5" w:rsidP="006300D5">
      <w:pPr>
        <w:autoSpaceDE w:val="0"/>
        <w:autoSpaceDN w:val="0"/>
        <w:adjustRightInd w:val="0"/>
        <w:spacing w:after="0" w:line="360" w:lineRule="auto"/>
        <w:jc w:val="both"/>
        <w:rPr>
          <w:rFonts w:ascii="Times New Roman" w:eastAsia="TimesNewRoman" w:hAnsi="Times New Roman" w:cs="Times New Roman"/>
          <w:color w:val="000000" w:themeColor="text1"/>
          <w:sz w:val="24"/>
          <w:szCs w:val="24"/>
          <w:lang w:eastAsia="tr-TR"/>
        </w:rPr>
      </w:pPr>
      <w:r w:rsidRPr="006300D5">
        <w:rPr>
          <w:rFonts w:ascii="Times New Roman" w:hAnsi="Times New Roman" w:cs="Times New Roman"/>
          <w:color w:val="000000" w:themeColor="text1"/>
          <w:sz w:val="24"/>
          <w:szCs w:val="24"/>
        </w:rPr>
        <w:t>Mieyal JJ, Starke DW, Gravina A, Dothey C (1991) Thioltransferase in Human Red Blood Cells. Purification and properties. Biochemistry 30: 6088-97</w:t>
      </w:r>
    </w:p>
    <w:p w14:paraId="697D02B4" w14:textId="77777777" w:rsidR="006300D5" w:rsidRPr="006300D5" w:rsidRDefault="006300D5" w:rsidP="006300D5">
      <w:pPr>
        <w:pStyle w:val="AralkYok"/>
        <w:spacing w:line="360" w:lineRule="auto"/>
        <w:jc w:val="both"/>
        <w:rPr>
          <w:rFonts w:ascii="Times New Roman" w:hAnsi="Times New Roman" w:cs="Times New Roman"/>
          <w:noProof/>
          <w:sz w:val="24"/>
          <w:szCs w:val="24"/>
        </w:rPr>
      </w:pPr>
    </w:p>
    <w:p w14:paraId="7BDDA4D4" w14:textId="77777777" w:rsidR="00D11D58" w:rsidRDefault="006300D5" w:rsidP="006300D5">
      <w:pPr>
        <w:pStyle w:val="AralkYok"/>
        <w:spacing w:line="360" w:lineRule="auto"/>
        <w:jc w:val="both"/>
        <w:rPr>
          <w:rFonts w:ascii="Times New Roman" w:hAnsi="Times New Roman" w:cs="Times New Roman"/>
          <w:noProof/>
          <w:sz w:val="24"/>
          <w:szCs w:val="24"/>
        </w:rPr>
      </w:pPr>
      <w:r w:rsidRPr="000D160E">
        <w:rPr>
          <w:rFonts w:ascii="Times New Roman" w:hAnsi="Times New Roman" w:cs="Times New Roman"/>
          <w:noProof/>
          <w:sz w:val="24"/>
          <w:szCs w:val="24"/>
        </w:rPr>
        <w:t xml:space="preserve">Patra, Krushna C, and Nissim Hay. 2014. “The Pentose Phosphate Pathway and Cancer.” </w:t>
      </w:r>
      <w:r w:rsidRPr="000D160E">
        <w:rPr>
          <w:rFonts w:ascii="Times New Roman" w:hAnsi="Times New Roman" w:cs="Times New Roman"/>
          <w:i/>
          <w:iCs/>
          <w:noProof/>
          <w:sz w:val="24"/>
          <w:szCs w:val="24"/>
        </w:rPr>
        <w:t>Trends in Biochemical Sciences</w:t>
      </w:r>
      <w:r>
        <w:rPr>
          <w:rFonts w:ascii="Times New Roman" w:hAnsi="Times New Roman" w:cs="Times New Roman"/>
          <w:noProof/>
          <w:sz w:val="24"/>
          <w:szCs w:val="24"/>
        </w:rPr>
        <w:t xml:space="preserve"> 39(8): 347–54. </w:t>
      </w:r>
      <w:r w:rsidRPr="000D160E">
        <w:rPr>
          <w:rFonts w:ascii="Times New Roman" w:hAnsi="Times New Roman" w:cs="Times New Roman"/>
          <w:noProof/>
          <w:sz w:val="24"/>
          <w:szCs w:val="24"/>
        </w:rPr>
        <w:t>http://dx.doi.org/10.1016/j.tibs.2014.06.005.</w:t>
      </w:r>
    </w:p>
    <w:p w14:paraId="0109595F" w14:textId="77777777" w:rsidR="00AE37BF" w:rsidRDefault="00AE37BF" w:rsidP="006300D5">
      <w:pPr>
        <w:pStyle w:val="AralkYok"/>
        <w:spacing w:line="360" w:lineRule="auto"/>
        <w:jc w:val="both"/>
        <w:rPr>
          <w:rFonts w:ascii="Times New Roman" w:hAnsi="Times New Roman" w:cs="Times New Roman"/>
          <w:noProof/>
          <w:sz w:val="24"/>
          <w:szCs w:val="24"/>
        </w:rPr>
      </w:pPr>
    </w:p>
    <w:p w14:paraId="5EB64AD5" w14:textId="77777777" w:rsidR="00AE37BF" w:rsidRDefault="00AE37BF" w:rsidP="00AE37BF">
      <w:pPr>
        <w:pStyle w:val="AralkYok"/>
        <w:spacing w:line="360" w:lineRule="auto"/>
        <w:jc w:val="both"/>
        <w:rPr>
          <w:rFonts w:ascii="Times New Roman" w:hAnsi="Times New Roman" w:cs="Times New Roman"/>
          <w:color w:val="000000" w:themeColor="text1"/>
          <w:sz w:val="24"/>
          <w:szCs w:val="24"/>
        </w:rPr>
      </w:pPr>
      <w:r w:rsidRPr="00EC6029">
        <w:rPr>
          <w:rFonts w:ascii="Times New Roman" w:hAnsi="Times New Roman" w:cs="Times New Roman"/>
          <w:color w:val="000000" w:themeColor="text1"/>
          <w:sz w:val="24"/>
          <w:szCs w:val="24"/>
        </w:rPr>
        <w:lastRenderedPageBreak/>
        <w:t>Sevki A, Ciftci M, 2012. Purification of rat kidney glucose 6 phosphate dehydrogenase, 6-phosphogluconate dehydrogenase, and glutathione reductase enzymes using 2ˈ, 5ˈ-ADP sepharose 4B affinity in a single chromatography step. Protein Expression and Purification, 81(1):1-4.</w:t>
      </w:r>
    </w:p>
    <w:p w14:paraId="1261A580" w14:textId="77777777" w:rsidR="00AE37BF" w:rsidRDefault="00AE37BF" w:rsidP="00AE37BF">
      <w:pPr>
        <w:pStyle w:val="AralkYok"/>
        <w:spacing w:line="360" w:lineRule="auto"/>
        <w:jc w:val="both"/>
        <w:rPr>
          <w:rFonts w:ascii="Times New Roman" w:hAnsi="Times New Roman" w:cs="Times New Roman"/>
          <w:color w:val="000000" w:themeColor="text1"/>
          <w:sz w:val="24"/>
          <w:szCs w:val="24"/>
        </w:rPr>
      </w:pPr>
    </w:p>
    <w:p w14:paraId="4716CF74" w14:textId="77777777" w:rsidR="00AE37BF" w:rsidRPr="00AE37BF" w:rsidRDefault="00AE37BF" w:rsidP="00AE37BF">
      <w:pPr>
        <w:autoSpaceDE w:val="0"/>
        <w:autoSpaceDN w:val="0"/>
        <w:adjustRightInd w:val="0"/>
        <w:spacing w:after="0" w:line="240" w:lineRule="auto"/>
        <w:rPr>
          <w:rFonts w:eastAsia="TimesNewRoman"/>
          <w:color w:val="000000" w:themeColor="text1"/>
          <w:sz w:val="24"/>
          <w:szCs w:val="24"/>
          <w:lang w:eastAsia="tr-TR"/>
        </w:rPr>
      </w:pPr>
      <w:r>
        <w:rPr>
          <w:rFonts w:eastAsia="TimesNewRoman"/>
          <w:color w:val="000000" w:themeColor="text1"/>
          <w:sz w:val="24"/>
          <w:szCs w:val="24"/>
          <w:lang w:eastAsia="tr-TR"/>
        </w:rPr>
        <w:t>Smith L</w:t>
      </w:r>
      <w:r w:rsidRPr="00E77E1D">
        <w:rPr>
          <w:rFonts w:eastAsia="TimesNewRoman"/>
          <w:color w:val="000000" w:themeColor="text1"/>
          <w:sz w:val="24"/>
          <w:szCs w:val="24"/>
          <w:lang w:eastAsia="tr-TR"/>
        </w:rPr>
        <w:t>L (1987) Cholesterol autoxidation</w:t>
      </w:r>
      <w:r>
        <w:rPr>
          <w:rFonts w:eastAsia="TimesNewRoman"/>
          <w:color w:val="000000" w:themeColor="text1"/>
          <w:sz w:val="24"/>
          <w:szCs w:val="24"/>
          <w:lang w:eastAsia="tr-TR"/>
        </w:rPr>
        <w:t>. Chem. Phys. Lipids 44: 87-125</w:t>
      </w:r>
    </w:p>
    <w:p w14:paraId="51217892" w14:textId="77777777" w:rsidR="006300D5" w:rsidRDefault="006300D5" w:rsidP="006300D5">
      <w:pPr>
        <w:pStyle w:val="AralkYok"/>
        <w:spacing w:line="360" w:lineRule="auto"/>
        <w:jc w:val="both"/>
        <w:rPr>
          <w:rFonts w:ascii="Times New Roman" w:hAnsi="Times New Roman" w:cs="Times New Roman"/>
          <w:noProof/>
          <w:sz w:val="24"/>
          <w:szCs w:val="24"/>
        </w:rPr>
      </w:pPr>
    </w:p>
    <w:p w14:paraId="0C1B544E" w14:textId="77777777" w:rsidR="006300D5" w:rsidRDefault="006300D5" w:rsidP="006300D5">
      <w:pPr>
        <w:autoSpaceDE w:val="0"/>
        <w:autoSpaceDN w:val="0"/>
        <w:adjustRightInd w:val="0"/>
        <w:spacing w:after="0" w:line="360" w:lineRule="auto"/>
        <w:jc w:val="both"/>
        <w:rPr>
          <w:rFonts w:ascii="Times New Roman" w:hAnsi="Times New Roman" w:cs="Times New Roman"/>
          <w:color w:val="000000" w:themeColor="text1"/>
          <w:sz w:val="24"/>
          <w:szCs w:val="24"/>
        </w:rPr>
      </w:pPr>
      <w:r w:rsidRPr="006300D5">
        <w:rPr>
          <w:rFonts w:ascii="Times New Roman" w:hAnsi="Times New Roman" w:cs="Times New Roman"/>
          <w:color w:val="000000" w:themeColor="text1"/>
          <w:sz w:val="24"/>
          <w:szCs w:val="24"/>
        </w:rPr>
        <w:t>Stocks J, Offerman EL, Modell CB, Dormandy TL (1972) The Susceptibility to Autoxidation of Human Red Cell Lipids in Health and Disease. Brit J Haematol 23: 713-24</w:t>
      </w:r>
    </w:p>
    <w:p w14:paraId="0F7DF0F5" w14:textId="77777777" w:rsidR="00AE37BF" w:rsidRDefault="00AE37BF" w:rsidP="006300D5">
      <w:pPr>
        <w:autoSpaceDE w:val="0"/>
        <w:autoSpaceDN w:val="0"/>
        <w:adjustRightInd w:val="0"/>
        <w:spacing w:after="0" w:line="360" w:lineRule="auto"/>
        <w:jc w:val="both"/>
        <w:rPr>
          <w:rFonts w:ascii="Times New Roman" w:hAnsi="Times New Roman" w:cs="Times New Roman"/>
          <w:color w:val="000000" w:themeColor="text1"/>
          <w:sz w:val="24"/>
          <w:szCs w:val="24"/>
        </w:rPr>
      </w:pPr>
    </w:p>
    <w:p w14:paraId="6D919874" w14:textId="77777777" w:rsidR="00AE37BF" w:rsidRPr="00AE37BF" w:rsidRDefault="00AE37BF" w:rsidP="00AE37BF">
      <w:pPr>
        <w:pStyle w:val="AralkYok"/>
        <w:spacing w:line="360" w:lineRule="auto"/>
        <w:jc w:val="both"/>
        <w:rPr>
          <w:rFonts w:ascii="Times New Roman" w:hAnsi="Times New Roman" w:cs="Times New Roman"/>
          <w:noProof/>
          <w:sz w:val="24"/>
          <w:szCs w:val="24"/>
        </w:rPr>
      </w:pPr>
      <w:r w:rsidRPr="00AE37BF">
        <w:rPr>
          <w:rFonts w:ascii="Times New Roman" w:hAnsi="Times New Roman" w:cs="Times New Roman"/>
          <w:noProof/>
          <w:sz w:val="24"/>
          <w:szCs w:val="24"/>
        </w:rPr>
        <w:t xml:space="preserve">Temel, Y., and M.Ş. Taysi. 2019. “The Effect of Mercury Chloride and Boric Acid on Rat Erythrocyte Enzymes.” </w:t>
      </w:r>
      <w:r w:rsidRPr="00AE37BF">
        <w:rPr>
          <w:rFonts w:ascii="Times New Roman" w:hAnsi="Times New Roman" w:cs="Times New Roman"/>
          <w:i/>
          <w:iCs/>
          <w:noProof/>
          <w:sz w:val="24"/>
          <w:szCs w:val="24"/>
        </w:rPr>
        <w:t>Biological Trace Element Research</w:t>
      </w:r>
      <w:r w:rsidRPr="00AE37BF">
        <w:rPr>
          <w:rFonts w:ascii="Times New Roman" w:hAnsi="Times New Roman" w:cs="Times New Roman"/>
          <w:noProof/>
          <w:sz w:val="24"/>
          <w:szCs w:val="24"/>
        </w:rPr>
        <w:t xml:space="preserve"> 191(1).</w:t>
      </w:r>
    </w:p>
    <w:p w14:paraId="059295DA" w14:textId="77777777" w:rsidR="006300D5" w:rsidRPr="006300D5" w:rsidRDefault="006300D5" w:rsidP="006300D5">
      <w:pPr>
        <w:autoSpaceDE w:val="0"/>
        <w:autoSpaceDN w:val="0"/>
        <w:adjustRightInd w:val="0"/>
        <w:spacing w:after="0" w:line="360" w:lineRule="auto"/>
        <w:jc w:val="both"/>
        <w:rPr>
          <w:rFonts w:ascii="Times New Roman" w:hAnsi="Times New Roman" w:cs="Times New Roman"/>
          <w:color w:val="000000" w:themeColor="text1"/>
          <w:sz w:val="24"/>
          <w:szCs w:val="24"/>
        </w:rPr>
      </w:pPr>
    </w:p>
    <w:p w14:paraId="638B7B79" w14:textId="77777777" w:rsidR="00D11D58" w:rsidRPr="00D11D58" w:rsidRDefault="00D11D58" w:rsidP="00D11D58">
      <w:pPr>
        <w:pStyle w:val="AralkYok"/>
        <w:jc w:val="both"/>
        <w:rPr>
          <w:rFonts w:ascii="Times New Roman" w:hAnsi="Times New Roman" w:cs="Times New Roman"/>
          <w:noProof/>
          <w:sz w:val="24"/>
          <w:szCs w:val="24"/>
        </w:rPr>
      </w:pPr>
      <w:r w:rsidRPr="00D11D58">
        <w:rPr>
          <w:rFonts w:ascii="Times New Roman" w:hAnsi="Times New Roman" w:cs="Times New Roman"/>
          <w:noProof/>
          <w:sz w:val="24"/>
          <w:szCs w:val="24"/>
        </w:rPr>
        <w:t>Temel, Y.</w:t>
      </w:r>
      <w:r>
        <w:rPr>
          <w:rFonts w:ascii="Times New Roman" w:hAnsi="Times New Roman" w:cs="Times New Roman"/>
          <w:noProof/>
          <w:sz w:val="24"/>
          <w:szCs w:val="24"/>
        </w:rPr>
        <w:t>, A. Ayna, I. Hamdi Shafeeq, ve</w:t>
      </w:r>
      <w:r w:rsidRPr="00D11D58">
        <w:rPr>
          <w:rFonts w:ascii="Times New Roman" w:hAnsi="Times New Roman" w:cs="Times New Roman"/>
          <w:noProof/>
          <w:sz w:val="24"/>
          <w:szCs w:val="24"/>
        </w:rPr>
        <w:t xml:space="preserve"> M. Ciftci. 2020. “In Vitro Effects of Some Antibiotics on Glucose-6-Phosphate Dehydrogenase from Rat (Rattus Norvegicus) Erythrocyte.” </w:t>
      </w:r>
      <w:r w:rsidRPr="00D11D58">
        <w:rPr>
          <w:rFonts w:ascii="Times New Roman" w:hAnsi="Times New Roman" w:cs="Times New Roman"/>
          <w:i/>
          <w:iCs/>
          <w:noProof/>
          <w:sz w:val="24"/>
          <w:szCs w:val="24"/>
        </w:rPr>
        <w:t>Drug and Chemical Toxicology</w:t>
      </w:r>
      <w:r w:rsidRPr="00D11D58">
        <w:rPr>
          <w:rFonts w:ascii="Times New Roman" w:hAnsi="Times New Roman" w:cs="Times New Roman"/>
          <w:noProof/>
          <w:sz w:val="24"/>
          <w:szCs w:val="24"/>
        </w:rPr>
        <w:t xml:space="preserve"> 43(2).</w:t>
      </w:r>
    </w:p>
    <w:p w14:paraId="790CC265" w14:textId="77777777" w:rsidR="00D11D58" w:rsidRPr="00EC6029" w:rsidRDefault="00D11D58" w:rsidP="00EC6029">
      <w:pPr>
        <w:pStyle w:val="AralkYok"/>
        <w:spacing w:line="360" w:lineRule="auto"/>
        <w:jc w:val="both"/>
        <w:rPr>
          <w:rFonts w:ascii="Times New Roman" w:hAnsi="Times New Roman" w:cs="Times New Roman"/>
          <w:noProof/>
          <w:sz w:val="24"/>
          <w:szCs w:val="24"/>
        </w:rPr>
      </w:pPr>
    </w:p>
    <w:p w14:paraId="798A9D0A" w14:textId="77777777" w:rsidR="003043BB" w:rsidRPr="000D160E" w:rsidRDefault="00EC5C4D" w:rsidP="00D11D58">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p w14:paraId="55B78EAE" w14:textId="77777777" w:rsidR="003043BB" w:rsidRPr="000D160E" w:rsidRDefault="003043BB" w:rsidP="003043BB">
      <w:pPr>
        <w:widowControl w:val="0"/>
        <w:autoSpaceDE w:val="0"/>
        <w:autoSpaceDN w:val="0"/>
        <w:adjustRightInd w:val="0"/>
        <w:spacing w:line="360" w:lineRule="auto"/>
        <w:ind w:left="480" w:hanging="480"/>
        <w:jc w:val="both"/>
        <w:rPr>
          <w:rFonts w:ascii="Times New Roman" w:hAnsi="Times New Roman" w:cs="Times New Roman"/>
          <w:noProof/>
          <w:sz w:val="24"/>
          <w:szCs w:val="24"/>
        </w:rPr>
      </w:pPr>
    </w:p>
    <w:p w14:paraId="7DE98166" w14:textId="77777777" w:rsidR="00736009" w:rsidRPr="000D160E" w:rsidRDefault="00F67117" w:rsidP="00F716B5">
      <w:pPr>
        <w:spacing w:line="360" w:lineRule="auto"/>
        <w:jc w:val="both"/>
        <w:rPr>
          <w:rFonts w:ascii="Times New Roman" w:hAnsi="Times New Roman" w:cs="Times New Roman"/>
          <w:b/>
          <w:sz w:val="24"/>
          <w:szCs w:val="24"/>
        </w:rPr>
      </w:pPr>
      <w:r w:rsidRPr="000D160E">
        <w:rPr>
          <w:rFonts w:ascii="Times New Roman" w:hAnsi="Times New Roman" w:cs="Times New Roman"/>
          <w:b/>
          <w:sz w:val="24"/>
          <w:szCs w:val="24"/>
        </w:rPr>
        <w:fldChar w:fldCharType="end"/>
      </w:r>
    </w:p>
    <w:p w14:paraId="02161E3E" w14:textId="77777777" w:rsidR="00260C17" w:rsidRPr="000D160E" w:rsidRDefault="00260C17" w:rsidP="00F716B5">
      <w:pPr>
        <w:jc w:val="both"/>
        <w:rPr>
          <w:rFonts w:ascii="Times New Roman" w:hAnsi="Times New Roman" w:cs="Times New Roman"/>
          <w:sz w:val="24"/>
          <w:szCs w:val="24"/>
        </w:rPr>
      </w:pPr>
    </w:p>
    <w:sectPr w:rsidR="00260C17" w:rsidRPr="000D160E" w:rsidSect="0091318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5CA5B" w14:textId="77777777" w:rsidR="00C27A07" w:rsidRDefault="00C27A07" w:rsidP="008130C2">
      <w:pPr>
        <w:spacing w:after="0" w:line="240" w:lineRule="auto"/>
      </w:pPr>
      <w:r>
        <w:separator/>
      </w:r>
    </w:p>
  </w:endnote>
  <w:endnote w:type="continuationSeparator" w:id="0">
    <w:p w14:paraId="7BFE4009" w14:textId="77777777" w:rsidR="00C27A07" w:rsidRDefault="00C27A07" w:rsidP="00813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Times-Bold">
    <w:altName w:val="MS Gothic"/>
    <w:panose1 w:val="00000000000000000000"/>
    <w:charset w:val="80"/>
    <w:family w:val="auto"/>
    <w:notTrueType/>
    <w:pitch w:val="default"/>
    <w:sig w:usb0="00000001"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3" w:usb1="08070000" w:usb2="00000010" w:usb3="00000000" w:csb0="0002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4323516"/>
      <w:docPartObj>
        <w:docPartGallery w:val="Page Numbers (Bottom of Page)"/>
        <w:docPartUnique/>
      </w:docPartObj>
    </w:sdtPr>
    <w:sdtEndPr/>
    <w:sdtContent>
      <w:p w14:paraId="7DFA3593" w14:textId="7CCD0600" w:rsidR="008130C2" w:rsidRDefault="00636C1B">
        <w:pPr>
          <w:pStyle w:val="AltBilgi"/>
          <w:jc w:val="center"/>
        </w:pPr>
        <w:r>
          <w:fldChar w:fldCharType="begin"/>
        </w:r>
        <w:r>
          <w:instrText xml:space="preserve"> PAGE   \* MERGEFORMAT </w:instrText>
        </w:r>
        <w:r>
          <w:fldChar w:fldCharType="separate"/>
        </w:r>
        <w:r w:rsidR="009168AD">
          <w:rPr>
            <w:noProof/>
          </w:rPr>
          <w:t>13</w:t>
        </w:r>
        <w:r>
          <w:rPr>
            <w:noProof/>
          </w:rPr>
          <w:fldChar w:fldCharType="end"/>
        </w:r>
      </w:p>
    </w:sdtContent>
  </w:sdt>
  <w:p w14:paraId="02E63341" w14:textId="77777777" w:rsidR="008130C2" w:rsidRDefault="008130C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59374" w14:textId="77777777" w:rsidR="00C27A07" w:rsidRDefault="00C27A07" w:rsidP="008130C2">
      <w:pPr>
        <w:spacing w:after="0" w:line="240" w:lineRule="auto"/>
      </w:pPr>
      <w:r>
        <w:separator/>
      </w:r>
    </w:p>
  </w:footnote>
  <w:footnote w:type="continuationSeparator" w:id="0">
    <w:p w14:paraId="38BA43AF" w14:textId="77777777" w:rsidR="00C27A07" w:rsidRDefault="00C27A07" w:rsidP="008130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04057"/>
    <w:multiLevelType w:val="hybridMultilevel"/>
    <w:tmpl w:val="98C2BF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236FAA"/>
    <w:multiLevelType w:val="hybridMultilevel"/>
    <w:tmpl w:val="B6489510"/>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9A504B"/>
    <w:multiLevelType w:val="hybridMultilevel"/>
    <w:tmpl w:val="08062E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250EC1"/>
    <w:multiLevelType w:val="hybridMultilevel"/>
    <w:tmpl w:val="D7C074A2"/>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FE07DBC"/>
    <w:multiLevelType w:val="hybridMultilevel"/>
    <w:tmpl w:val="08062E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EC0"/>
    <w:rsid w:val="00002FD6"/>
    <w:rsid w:val="00067330"/>
    <w:rsid w:val="00074810"/>
    <w:rsid w:val="00075D11"/>
    <w:rsid w:val="00085207"/>
    <w:rsid w:val="000C016C"/>
    <w:rsid w:val="000C1957"/>
    <w:rsid w:val="000C21CD"/>
    <w:rsid w:val="000D160E"/>
    <w:rsid w:val="000D1D8F"/>
    <w:rsid w:val="000D4A8D"/>
    <w:rsid w:val="000D535E"/>
    <w:rsid w:val="00112A93"/>
    <w:rsid w:val="00133145"/>
    <w:rsid w:val="001722C8"/>
    <w:rsid w:val="00175658"/>
    <w:rsid w:val="00185978"/>
    <w:rsid w:val="001A193D"/>
    <w:rsid w:val="001D5A24"/>
    <w:rsid w:val="001E4DA3"/>
    <w:rsid w:val="001F0326"/>
    <w:rsid w:val="00211CB2"/>
    <w:rsid w:val="0022351C"/>
    <w:rsid w:val="0023639B"/>
    <w:rsid w:val="0024322F"/>
    <w:rsid w:val="00260C17"/>
    <w:rsid w:val="00261889"/>
    <w:rsid w:val="00265981"/>
    <w:rsid w:val="00265DE0"/>
    <w:rsid w:val="0029117D"/>
    <w:rsid w:val="002A405D"/>
    <w:rsid w:val="002D0C76"/>
    <w:rsid w:val="002E0B45"/>
    <w:rsid w:val="002E570C"/>
    <w:rsid w:val="002E6EBE"/>
    <w:rsid w:val="00303113"/>
    <w:rsid w:val="00303871"/>
    <w:rsid w:val="003043BB"/>
    <w:rsid w:val="00310355"/>
    <w:rsid w:val="00320DF2"/>
    <w:rsid w:val="00327446"/>
    <w:rsid w:val="00346014"/>
    <w:rsid w:val="00374D81"/>
    <w:rsid w:val="003A2D58"/>
    <w:rsid w:val="003D07BD"/>
    <w:rsid w:val="004145BC"/>
    <w:rsid w:val="00423AAF"/>
    <w:rsid w:val="00424AD3"/>
    <w:rsid w:val="00437E98"/>
    <w:rsid w:val="00440CFD"/>
    <w:rsid w:val="00442E73"/>
    <w:rsid w:val="00471F40"/>
    <w:rsid w:val="00472E9E"/>
    <w:rsid w:val="004751CC"/>
    <w:rsid w:val="0048263B"/>
    <w:rsid w:val="0048354C"/>
    <w:rsid w:val="0049066C"/>
    <w:rsid w:val="004949B4"/>
    <w:rsid w:val="004956EC"/>
    <w:rsid w:val="004A0DEB"/>
    <w:rsid w:val="004D76CD"/>
    <w:rsid w:val="004D7F84"/>
    <w:rsid w:val="004E2299"/>
    <w:rsid w:val="004F1F2B"/>
    <w:rsid w:val="00502CEE"/>
    <w:rsid w:val="005114DD"/>
    <w:rsid w:val="005234B3"/>
    <w:rsid w:val="005335FB"/>
    <w:rsid w:val="0057236D"/>
    <w:rsid w:val="00591973"/>
    <w:rsid w:val="005D5D76"/>
    <w:rsid w:val="005D7F70"/>
    <w:rsid w:val="005E3F49"/>
    <w:rsid w:val="0060263F"/>
    <w:rsid w:val="00606B05"/>
    <w:rsid w:val="006102A2"/>
    <w:rsid w:val="00613DEE"/>
    <w:rsid w:val="006300D5"/>
    <w:rsid w:val="00636C1B"/>
    <w:rsid w:val="00656415"/>
    <w:rsid w:val="00660C01"/>
    <w:rsid w:val="00661A88"/>
    <w:rsid w:val="00666D82"/>
    <w:rsid w:val="00671DB1"/>
    <w:rsid w:val="00691003"/>
    <w:rsid w:val="00694B37"/>
    <w:rsid w:val="00696795"/>
    <w:rsid w:val="006C391E"/>
    <w:rsid w:val="006D03A7"/>
    <w:rsid w:val="006E5C44"/>
    <w:rsid w:val="006F1233"/>
    <w:rsid w:val="0073312E"/>
    <w:rsid w:val="00736009"/>
    <w:rsid w:val="00737240"/>
    <w:rsid w:val="0073753F"/>
    <w:rsid w:val="00757FC7"/>
    <w:rsid w:val="007A409A"/>
    <w:rsid w:val="007C1A5C"/>
    <w:rsid w:val="007C4FF4"/>
    <w:rsid w:val="007D38C2"/>
    <w:rsid w:val="007F64D4"/>
    <w:rsid w:val="00807640"/>
    <w:rsid w:val="008130C2"/>
    <w:rsid w:val="00814955"/>
    <w:rsid w:val="00820BFE"/>
    <w:rsid w:val="00825868"/>
    <w:rsid w:val="0086211E"/>
    <w:rsid w:val="008633AC"/>
    <w:rsid w:val="008652F1"/>
    <w:rsid w:val="008721ED"/>
    <w:rsid w:val="00896989"/>
    <w:rsid w:val="008A72DA"/>
    <w:rsid w:val="008B7169"/>
    <w:rsid w:val="008D2599"/>
    <w:rsid w:val="008D3BA9"/>
    <w:rsid w:val="008F52BF"/>
    <w:rsid w:val="00906BBC"/>
    <w:rsid w:val="009129F8"/>
    <w:rsid w:val="0091318B"/>
    <w:rsid w:val="009131FC"/>
    <w:rsid w:val="00915241"/>
    <w:rsid w:val="009168AD"/>
    <w:rsid w:val="009222B2"/>
    <w:rsid w:val="00940512"/>
    <w:rsid w:val="009559FA"/>
    <w:rsid w:val="009624F8"/>
    <w:rsid w:val="00976FD3"/>
    <w:rsid w:val="009A3877"/>
    <w:rsid w:val="009C1ACE"/>
    <w:rsid w:val="009D57FA"/>
    <w:rsid w:val="00A15251"/>
    <w:rsid w:val="00A24DF9"/>
    <w:rsid w:val="00A5328E"/>
    <w:rsid w:val="00A8771F"/>
    <w:rsid w:val="00A918FA"/>
    <w:rsid w:val="00AA7B7D"/>
    <w:rsid w:val="00AB7583"/>
    <w:rsid w:val="00AC3683"/>
    <w:rsid w:val="00AC7F0A"/>
    <w:rsid w:val="00AD0EC0"/>
    <w:rsid w:val="00AD0FE0"/>
    <w:rsid w:val="00AE37BF"/>
    <w:rsid w:val="00B629FE"/>
    <w:rsid w:val="00B65F04"/>
    <w:rsid w:val="00B709A4"/>
    <w:rsid w:val="00B74CEE"/>
    <w:rsid w:val="00B924CB"/>
    <w:rsid w:val="00B96821"/>
    <w:rsid w:val="00BB67CA"/>
    <w:rsid w:val="00BB77CF"/>
    <w:rsid w:val="00BB7F48"/>
    <w:rsid w:val="00BE39E3"/>
    <w:rsid w:val="00BF0119"/>
    <w:rsid w:val="00BF134C"/>
    <w:rsid w:val="00BF3560"/>
    <w:rsid w:val="00C04D0B"/>
    <w:rsid w:val="00C13BE9"/>
    <w:rsid w:val="00C1485E"/>
    <w:rsid w:val="00C27A07"/>
    <w:rsid w:val="00C33C61"/>
    <w:rsid w:val="00C541EC"/>
    <w:rsid w:val="00C61E21"/>
    <w:rsid w:val="00C73C26"/>
    <w:rsid w:val="00C80F0C"/>
    <w:rsid w:val="00CA7BD9"/>
    <w:rsid w:val="00CB1D00"/>
    <w:rsid w:val="00CB708E"/>
    <w:rsid w:val="00CC1BFD"/>
    <w:rsid w:val="00CC59CE"/>
    <w:rsid w:val="00CD770B"/>
    <w:rsid w:val="00CF22B6"/>
    <w:rsid w:val="00CF3044"/>
    <w:rsid w:val="00D07787"/>
    <w:rsid w:val="00D11D58"/>
    <w:rsid w:val="00D2182D"/>
    <w:rsid w:val="00D313C3"/>
    <w:rsid w:val="00D32C83"/>
    <w:rsid w:val="00D370C3"/>
    <w:rsid w:val="00D372FC"/>
    <w:rsid w:val="00D37ADB"/>
    <w:rsid w:val="00D413EB"/>
    <w:rsid w:val="00D432AA"/>
    <w:rsid w:val="00D4675A"/>
    <w:rsid w:val="00D66601"/>
    <w:rsid w:val="00D742DD"/>
    <w:rsid w:val="00D86168"/>
    <w:rsid w:val="00D8626D"/>
    <w:rsid w:val="00D8782B"/>
    <w:rsid w:val="00D9679E"/>
    <w:rsid w:val="00D96E50"/>
    <w:rsid w:val="00DA46A8"/>
    <w:rsid w:val="00DD237F"/>
    <w:rsid w:val="00E00935"/>
    <w:rsid w:val="00E20081"/>
    <w:rsid w:val="00E23156"/>
    <w:rsid w:val="00E336FA"/>
    <w:rsid w:val="00E42969"/>
    <w:rsid w:val="00E611D5"/>
    <w:rsid w:val="00E71FAE"/>
    <w:rsid w:val="00E73467"/>
    <w:rsid w:val="00E83D70"/>
    <w:rsid w:val="00E97D5B"/>
    <w:rsid w:val="00EB4861"/>
    <w:rsid w:val="00EC5C4D"/>
    <w:rsid w:val="00EC6029"/>
    <w:rsid w:val="00ED678A"/>
    <w:rsid w:val="00F0637E"/>
    <w:rsid w:val="00F14583"/>
    <w:rsid w:val="00F20FB4"/>
    <w:rsid w:val="00F21027"/>
    <w:rsid w:val="00F306F2"/>
    <w:rsid w:val="00F3285C"/>
    <w:rsid w:val="00F34001"/>
    <w:rsid w:val="00F67117"/>
    <w:rsid w:val="00F716B5"/>
    <w:rsid w:val="00F807B6"/>
    <w:rsid w:val="00F80B71"/>
    <w:rsid w:val="00FB02EA"/>
    <w:rsid w:val="00FB27E8"/>
    <w:rsid w:val="00FB6D5A"/>
    <w:rsid w:val="00FD038A"/>
    <w:rsid w:val="00FF2CD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5F970"/>
  <w15:docId w15:val="{337840C4-E232-4C42-9729-55D1D204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18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3753F"/>
    <w:pPr>
      <w:ind w:left="720"/>
      <w:contextualSpacing/>
    </w:pPr>
  </w:style>
  <w:style w:type="table" w:styleId="TabloKlavuzu">
    <w:name w:val="Table Grid"/>
    <w:basedOn w:val="NormalTablo"/>
    <w:uiPriority w:val="59"/>
    <w:rsid w:val="0048263B"/>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12A9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2A93"/>
    <w:rPr>
      <w:rFonts w:ascii="Tahoma" w:hAnsi="Tahoma" w:cs="Tahoma"/>
      <w:sz w:val="16"/>
      <w:szCs w:val="16"/>
    </w:rPr>
  </w:style>
  <w:style w:type="paragraph" w:styleId="stBilgi">
    <w:name w:val="header"/>
    <w:basedOn w:val="Normal"/>
    <w:link w:val="stBilgiChar"/>
    <w:uiPriority w:val="99"/>
    <w:unhideWhenUsed/>
    <w:rsid w:val="008130C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130C2"/>
  </w:style>
  <w:style w:type="paragraph" w:styleId="AltBilgi">
    <w:name w:val="footer"/>
    <w:basedOn w:val="Normal"/>
    <w:link w:val="AltBilgiChar"/>
    <w:uiPriority w:val="99"/>
    <w:unhideWhenUsed/>
    <w:rsid w:val="008130C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130C2"/>
  </w:style>
  <w:style w:type="paragraph" w:styleId="HTMLncedenBiimlendirilmi">
    <w:name w:val="HTML Preformatted"/>
    <w:basedOn w:val="Normal"/>
    <w:link w:val="HTMLncedenBiimlendirilmiChar"/>
    <w:uiPriority w:val="99"/>
    <w:unhideWhenUsed/>
    <w:rsid w:val="009624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9624F8"/>
    <w:rPr>
      <w:rFonts w:ascii="Courier New" w:eastAsia="Times New Roman" w:hAnsi="Courier New" w:cs="Courier New"/>
      <w:sz w:val="20"/>
      <w:szCs w:val="20"/>
      <w:lang w:eastAsia="tr-TR"/>
    </w:rPr>
  </w:style>
  <w:style w:type="character" w:customStyle="1" w:styleId="y2iqfc">
    <w:name w:val="y2iqfc"/>
    <w:basedOn w:val="VarsaylanParagrafYazTipi"/>
    <w:rsid w:val="009624F8"/>
  </w:style>
  <w:style w:type="paragraph" w:styleId="AralkYok">
    <w:name w:val="No Spacing"/>
    <w:uiPriority w:val="1"/>
    <w:qFormat/>
    <w:rsid w:val="009624F8"/>
    <w:pPr>
      <w:spacing w:after="0" w:line="240" w:lineRule="auto"/>
    </w:pPr>
  </w:style>
  <w:style w:type="paragraph" w:customStyle="1" w:styleId="WW-NormalWeb1">
    <w:name w:val="WW-Normal (Web)1"/>
    <w:basedOn w:val="Normal"/>
    <w:uiPriority w:val="99"/>
    <w:rsid w:val="00AE37BF"/>
    <w:pPr>
      <w:spacing w:before="280" w:after="119" w:line="240" w:lineRule="auto"/>
      <w:jc w:val="both"/>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61692">
      <w:bodyDiv w:val="1"/>
      <w:marLeft w:val="0"/>
      <w:marRight w:val="0"/>
      <w:marTop w:val="0"/>
      <w:marBottom w:val="0"/>
      <w:divBdr>
        <w:top w:val="none" w:sz="0" w:space="0" w:color="auto"/>
        <w:left w:val="none" w:sz="0" w:space="0" w:color="auto"/>
        <w:bottom w:val="none" w:sz="0" w:space="0" w:color="auto"/>
        <w:right w:val="none" w:sz="0" w:space="0" w:color="auto"/>
      </w:divBdr>
    </w:div>
    <w:div w:id="414060553">
      <w:bodyDiv w:val="1"/>
      <w:marLeft w:val="0"/>
      <w:marRight w:val="0"/>
      <w:marTop w:val="0"/>
      <w:marBottom w:val="0"/>
      <w:divBdr>
        <w:top w:val="none" w:sz="0" w:space="0" w:color="auto"/>
        <w:left w:val="none" w:sz="0" w:space="0" w:color="auto"/>
        <w:bottom w:val="none" w:sz="0" w:space="0" w:color="auto"/>
        <w:right w:val="none" w:sz="0" w:space="0" w:color="auto"/>
      </w:divBdr>
    </w:div>
    <w:div w:id="1008824237">
      <w:bodyDiv w:val="1"/>
      <w:marLeft w:val="0"/>
      <w:marRight w:val="0"/>
      <w:marTop w:val="0"/>
      <w:marBottom w:val="0"/>
      <w:divBdr>
        <w:top w:val="none" w:sz="0" w:space="0" w:color="auto"/>
        <w:left w:val="none" w:sz="0" w:space="0" w:color="auto"/>
        <w:bottom w:val="none" w:sz="0" w:space="0" w:color="auto"/>
        <w:right w:val="none" w:sz="0" w:space="0" w:color="auto"/>
      </w:divBdr>
    </w:div>
    <w:div w:id="1478299758">
      <w:bodyDiv w:val="1"/>
      <w:marLeft w:val="0"/>
      <w:marRight w:val="0"/>
      <w:marTop w:val="0"/>
      <w:marBottom w:val="0"/>
      <w:divBdr>
        <w:top w:val="none" w:sz="0" w:space="0" w:color="auto"/>
        <w:left w:val="none" w:sz="0" w:space="0" w:color="auto"/>
        <w:bottom w:val="none" w:sz="0" w:space="0" w:color="auto"/>
        <w:right w:val="none" w:sz="0" w:space="0" w:color="auto"/>
      </w:divBdr>
    </w:div>
    <w:div w:id="1492872742">
      <w:bodyDiv w:val="1"/>
      <w:marLeft w:val="0"/>
      <w:marRight w:val="0"/>
      <w:marTop w:val="0"/>
      <w:marBottom w:val="0"/>
      <w:divBdr>
        <w:top w:val="none" w:sz="0" w:space="0" w:color="auto"/>
        <w:left w:val="none" w:sz="0" w:space="0" w:color="auto"/>
        <w:bottom w:val="none" w:sz="0" w:space="0" w:color="auto"/>
        <w:right w:val="none" w:sz="0" w:space="0" w:color="auto"/>
      </w:divBdr>
    </w:div>
    <w:div w:id="1830554984">
      <w:bodyDiv w:val="1"/>
      <w:marLeft w:val="0"/>
      <w:marRight w:val="0"/>
      <w:marTop w:val="0"/>
      <w:marBottom w:val="0"/>
      <w:divBdr>
        <w:top w:val="none" w:sz="0" w:space="0" w:color="auto"/>
        <w:left w:val="none" w:sz="0" w:space="0" w:color="auto"/>
        <w:bottom w:val="none" w:sz="0" w:space="0" w:color="auto"/>
        <w:right w:val="none" w:sz="0" w:space="0" w:color="auto"/>
      </w:divBdr>
    </w:div>
    <w:div w:id="1841460946">
      <w:bodyDiv w:val="1"/>
      <w:marLeft w:val="0"/>
      <w:marRight w:val="0"/>
      <w:marTop w:val="0"/>
      <w:marBottom w:val="0"/>
      <w:divBdr>
        <w:top w:val="none" w:sz="0" w:space="0" w:color="auto"/>
        <w:left w:val="none" w:sz="0" w:space="0" w:color="auto"/>
        <w:bottom w:val="none" w:sz="0" w:space="0" w:color="auto"/>
        <w:right w:val="none" w:sz="0" w:space="0" w:color="auto"/>
      </w:divBdr>
    </w:div>
    <w:div w:id="189851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CER\Desktop\&#231;i&#287;dem%20hart%20disk\doktora\1.%20makale%20koyun%20dalak%20G6PD\G6PD%20makale%20Grafik.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ACER\Desktop\&#231;i&#287;dem%20hart%20disk\doktora\2.%20makale%20dikloron\K&#304;%20GR%20ve%20G6PD%20%20Yeni%20makal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trendline>
            <c:trendlineType val="exp"/>
            <c:dispRSqr val="1"/>
            <c:dispEq val="1"/>
            <c:trendlineLbl>
              <c:layout>
                <c:manualLayout>
                  <c:x val="5.5911854768153982E-2"/>
                  <c:y val="-0.52605643044619421"/>
                </c:manualLayout>
              </c:layout>
              <c:numFmt formatCode="General" sourceLinked="0"/>
            </c:trendlineLbl>
          </c:trendline>
          <c:xVal>
            <c:numRef>
              <c:f>clin!$A$1:$H$1</c:f>
              <c:numCache>
                <c:formatCode>General</c:formatCode>
                <c:ptCount val="8"/>
                <c:pt idx="0">
                  <c:v>0</c:v>
                </c:pt>
                <c:pt idx="1">
                  <c:v>1.7</c:v>
                </c:pt>
                <c:pt idx="2">
                  <c:v>3.5</c:v>
                </c:pt>
                <c:pt idx="3">
                  <c:v>7.04</c:v>
                </c:pt>
                <c:pt idx="4">
                  <c:v>17.5</c:v>
                </c:pt>
                <c:pt idx="5">
                  <c:v>35</c:v>
                </c:pt>
                <c:pt idx="6">
                  <c:v>52.5</c:v>
                </c:pt>
                <c:pt idx="7">
                  <c:v>70</c:v>
                </c:pt>
              </c:numCache>
            </c:numRef>
          </c:xVal>
          <c:yVal>
            <c:numRef>
              <c:f>clin!$A$2:$H$2</c:f>
              <c:numCache>
                <c:formatCode>General</c:formatCode>
                <c:ptCount val="8"/>
                <c:pt idx="0">
                  <c:v>100</c:v>
                </c:pt>
                <c:pt idx="1">
                  <c:v>88.18</c:v>
                </c:pt>
                <c:pt idx="2">
                  <c:v>90.13</c:v>
                </c:pt>
                <c:pt idx="3">
                  <c:v>79.28</c:v>
                </c:pt>
                <c:pt idx="4">
                  <c:v>72.62</c:v>
                </c:pt>
                <c:pt idx="5">
                  <c:v>46.23</c:v>
                </c:pt>
                <c:pt idx="6">
                  <c:v>32.67</c:v>
                </c:pt>
                <c:pt idx="7">
                  <c:v>15.41</c:v>
                </c:pt>
              </c:numCache>
            </c:numRef>
          </c:yVal>
          <c:smooth val="0"/>
          <c:extLst>
            <c:ext xmlns:c16="http://schemas.microsoft.com/office/drawing/2014/chart" uri="{C3380CC4-5D6E-409C-BE32-E72D297353CC}">
              <c16:uniqueId val="{00000000-8AC2-4678-B581-96EFB7BDC8F8}"/>
            </c:ext>
          </c:extLst>
        </c:ser>
        <c:dLbls>
          <c:showLegendKey val="0"/>
          <c:showVal val="0"/>
          <c:showCatName val="0"/>
          <c:showSerName val="0"/>
          <c:showPercent val="0"/>
          <c:showBubbleSize val="0"/>
        </c:dLbls>
        <c:axId val="452710768"/>
        <c:axId val="452711160"/>
      </c:scatterChart>
      <c:valAx>
        <c:axId val="452710768"/>
        <c:scaling>
          <c:orientation val="minMax"/>
        </c:scaling>
        <c:delete val="0"/>
        <c:axPos val="b"/>
        <c:title>
          <c:tx>
            <c:rich>
              <a:bodyPr/>
              <a:lstStyle/>
              <a:p>
                <a:pPr>
                  <a:defRPr/>
                </a:pPr>
                <a:r>
                  <a:rPr lang="tr-TR" sz="1100"/>
                  <a:t>[klindamycin]mM</a:t>
                </a:r>
              </a:p>
            </c:rich>
          </c:tx>
          <c:overlay val="0"/>
        </c:title>
        <c:numFmt formatCode="General" sourceLinked="1"/>
        <c:majorTickMark val="out"/>
        <c:minorTickMark val="none"/>
        <c:tickLblPos val="nextTo"/>
        <c:crossAx val="452711160"/>
        <c:crosses val="autoZero"/>
        <c:crossBetween val="midCat"/>
      </c:valAx>
      <c:valAx>
        <c:axId val="452711160"/>
        <c:scaling>
          <c:orientation val="minMax"/>
        </c:scaling>
        <c:delete val="0"/>
        <c:axPos val="l"/>
        <c:title>
          <c:tx>
            <c:rich>
              <a:bodyPr rot="-5400000" vert="horz"/>
              <a:lstStyle/>
              <a:p>
                <a:pPr>
                  <a:defRPr/>
                </a:pPr>
                <a:r>
                  <a:rPr lang="en-US" sz="1100" b="1" i="0" u="none" strike="noStrike" baseline="0">
                    <a:effectLst/>
                  </a:rPr>
                  <a:t>% Aktivite </a:t>
                </a:r>
                <a:endParaRPr lang="en-US" sz="1100"/>
              </a:p>
            </c:rich>
          </c:tx>
          <c:overlay val="0"/>
        </c:title>
        <c:numFmt formatCode="General" sourceLinked="1"/>
        <c:majorTickMark val="out"/>
        <c:minorTickMark val="none"/>
        <c:tickLblPos val="nextTo"/>
        <c:crossAx val="452710768"/>
        <c:crosses val="autoZero"/>
        <c:crossBetween val="midCat"/>
      </c:valAx>
    </c:plotArea>
    <c:plotVisOnly val="1"/>
    <c:dispBlanksAs val="gap"/>
    <c:showDLblsOverMax val="0"/>
  </c:chart>
  <c:spPr>
    <a:ln>
      <a:solidFill>
        <a:srgbClr val="00B0F0"/>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05337356782498"/>
          <c:y val="0.17957826294440468"/>
          <c:w val="0.83671439273683612"/>
          <c:h val="0.65960510617990931"/>
        </c:manualLayout>
      </c:layout>
      <c:scatterChart>
        <c:scatterStyle val="lineMarker"/>
        <c:varyColors val="0"/>
        <c:ser>
          <c:idx val="0"/>
          <c:order val="0"/>
          <c:tx>
            <c:v>kontrol</c:v>
          </c:tx>
          <c:spPr>
            <a:ln w="25400" cap="rnd">
              <a:noFill/>
              <a:round/>
            </a:ln>
            <a:effectLst/>
          </c:spPr>
          <c:marker>
            <c:symbol val="diamond"/>
            <c:size val="6"/>
            <c:spPr>
              <a:solidFill>
                <a:schemeClr val="accent1"/>
              </a:solidFill>
              <a:ln w="9525">
                <a:solidFill>
                  <a:schemeClr val="accent1"/>
                </a:solidFill>
                <a:round/>
              </a:ln>
              <a:effectLst/>
            </c:spPr>
          </c:marker>
          <c:trendline>
            <c:spPr>
              <a:ln w="9525" cap="rnd">
                <a:solidFill>
                  <a:schemeClr val="accent1"/>
                </a:solidFill>
              </a:ln>
              <a:effectLst/>
            </c:spPr>
            <c:trendlineType val="linear"/>
            <c:backward val="6"/>
            <c:dispRSqr val="0"/>
            <c:dispEq val="0"/>
          </c:trendline>
          <c:xVal>
            <c:numRef>
              <c:f>'klindamysin g6pd'!$A$1:$E$1</c:f>
              <c:numCache>
                <c:formatCode>General</c:formatCode>
                <c:ptCount val="5"/>
                <c:pt idx="0">
                  <c:v>2.08</c:v>
                </c:pt>
                <c:pt idx="1">
                  <c:v>3.33</c:v>
                </c:pt>
                <c:pt idx="2">
                  <c:v>5.55</c:v>
                </c:pt>
                <c:pt idx="3">
                  <c:v>8.33</c:v>
                </c:pt>
                <c:pt idx="4">
                  <c:v>16.600000000000001</c:v>
                </c:pt>
              </c:numCache>
            </c:numRef>
          </c:xVal>
          <c:yVal>
            <c:numRef>
              <c:f>'klindamysin g6pd'!$A$2:$E$2</c:f>
              <c:numCache>
                <c:formatCode>General</c:formatCode>
                <c:ptCount val="5"/>
                <c:pt idx="0">
                  <c:v>11.38</c:v>
                </c:pt>
                <c:pt idx="1">
                  <c:v>17.95</c:v>
                </c:pt>
                <c:pt idx="2">
                  <c:v>29.97</c:v>
                </c:pt>
                <c:pt idx="3">
                  <c:v>37.450000000000003</c:v>
                </c:pt>
                <c:pt idx="4">
                  <c:v>49</c:v>
                </c:pt>
              </c:numCache>
            </c:numRef>
          </c:yVal>
          <c:smooth val="0"/>
          <c:extLst>
            <c:ext xmlns:c16="http://schemas.microsoft.com/office/drawing/2014/chart" uri="{C3380CC4-5D6E-409C-BE32-E72D297353CC}">
              <c16:uniqueId val="{00000000-281D-4504-850A-F435CFA1D294}"/>
            </c:ext>
          </c:extLst>
        </c:ser>
        <c:ser>
          <c:idx val="1"/>
          <c:order val="1"/>
          <c:tx>
            <c:v>[I1]=35 mM</c:v>
          </c:tx>
          <c:spPr>
            <a:ln w="25400" cap="rnd">
              <a:noFill/>
              <a:round/>
            </a:ln>
            <a:effectLst/>
          </c:spPr>
          <c:marker>
            <c:symbol val="square"/>
            <c:size val="6"/>
            <c:spPr>
              <a:solidFill>
                <a:schemeClr val="accent2"/>
              </a:solidFill>
              <a:ln w="9525">
                <a:solidFill>
                  <a:schemeClr val="accent2"/>
                </a:solidFill>
                <a:round/>
              </a:ln>
              <a:effectLst/>
            </c:spPr>
          </c:marker>
          <c:trendline>
            <c:spPr>
              <a:ln w="9525" cap="rnd">
                <a:solidFill>
                  <a:schemeClr val="accent2"/>
                </a:solidFill>
              </a:ln>
              <a:effectLst/>
            </c:spPr>
            <c:trendlineType val="linear"/>
            <c:backward val="5"/>
            <c:dispRSqr val="0"/>
            <c:dispEq val="0"/>
          </c:trendline>
          <c:xVal>
            <c:numRef>
              <c:f>'klindamysin g6pd'!$A$1:$E$1</c:f>
              <c:numCache>
                <c:formatCode>General</c:formatCode>
                <c:ptCount val="5"/>
                <c:pt idx="0">
                  <c:v>2.08</c:v>
                </c:pt>
                <c:pt idx="1">
                  <c:v>3.33</c:v>
                </c:pt>
                <c:pt idx="2">
                  <c:v>5.55</c:v>
                </c:pt>
                <c:pt idx="3">
                  <c:v>8.33</c:v>
                </c:pt>
                <c:pt idx="4">
                  <c:v>16.600000000000001</c:v>
                </c:pt>
              </c:numCache>
            </c:numRef>
          </c:xVal>
          <c:yVal>
            <c:numRef>
              <c:f>'klindamysin g6pd'!$A$3:$E$3</c:f>
              <c:numCache>
                <c:formatCode>General</c:formatCode>
                <c:ptCount val="5"/>
                <c:pt idx="0">
                  <c:v>25.25</c:v>
                </c:pt>
                <c:pt idx="1">
                  <c:v>31.15</c:v>
                </c:pt>
                <c:pt idx="2">
                  <c:v>38.880000000000003</c:v>
                </c:pt>
                <c:pt idx="3">
                  <c:v>46.72</c:v>
                </c:pt>
                <c:pt idx="4">
                  <c:v>95</c:v>
                </c:pt>
              </c:numCache>
            </c:numRef>
          </c:yVal>
          <c:smooth val="0"/>
          <c:extLst>
            <c:ext xmlns:c16="http://schemas.microsoft.com/office/drawing/2014/chart" uri="{C3380CC4-5D6E-409C-BE32-E72D297353CC}">
              <c16:uniqueId val="{00000001-281D-4504-850A-F435CFA1D294}"/>
            </c:ext>
          </c:extLst>
        </c:ser>
        <c:ser>
          <c:idx val="2"/>
          <c:order val="2"/>
          <c:tx>
            <c:v>[I2]=52,5 mM</c:v>
          </c:tx>
          <c:spPr>
            <a:ln w="25400" cap="rnd">
              <a:noFill/>
              <a:round/>
            </a:ln>
            <a:effectLst/>
          </c:spPr>
          <c:marker>
            <c:symbol val="triangle"/>
            <c:size val="6"/>
            <c:spPr>
              <a:solidFill>
                <a:schemeClr val="accent3"/>
              </a:solidFill>
              <a:ln w="9525">
                <a:solidFill>
                  <a:schemeClr val="accent3"/>
                </a:solidFill>
                <a:round/>
              </a:ln>
              <a:effectLst/>
            </c:spPr>
          </c:marker>
          <c:trendline>
            <c:spPr>
              <a:ln w="9525" cap="rnd">
                <a:solidFill>
                  <a:schemeClr val="accent3"/>
                </a:solidFill>
              </a:ln>
              <a:effectLst/>
            </c:spPr>
            <c:trendlineType val="linear"/>
            <c:backward val="3.5"/>
            <c:dispRSqr val="0"/>
            <c:dispEq val="0"/>
          </c:trendline>
          <c:xVal>
            <c:numRef>
              <c:f>'klindamysin g6pd'!$A$1:$E$1</c:f>
              <c:numCache>
                <c:formatCode>General</c:formatCode>
                <c:ptCount val="5"/>
                <c:pt idx="0">
                  <c:v>2.08</c:v>
                </c:pt>
                <c:pt idx="1">
                  <c:v>3.33</c:v>
                </c:pt>
                <c:pt idx="2">
                  <c:v>5.55</c:v>
                </c:pt>
                <c:pt idx="3">
                  <c:v>8.33</c:v>
                </c:pt>
                <c:pt idx="4">
                  <c:v>16.600000000000001</c:v>
                </c:pt>
              </c:numCache>
            </c:numRef>
          </c:xVal>
          <c:yVal>
            <c:numRef>
              <c:f>'klindamysin g6pd'!$A$4:$E$4</c:f>
              <c:numCache>
                <c:formatCode>General</c:formatCode>
                <c:ptCount val="5"/>
                <c:pt idx="0">
                  <c:v>44.44</c:v>
                </c:pt>
                <c:pt idx="1">
                  <c:v>54.94</c:v>
                </c:pt>
                <c:pt idx="2">
                  <c:v>62.5</c:v>
                </c:pt>
                <c:pt idx="3">
                  <c:v>116.68</c:v>
                </c:pt>
                <c:pt idx="4">
                  <c:v>205</c:v>
                </c:pt>
              </c:numCache>
            </c:numRef>
          </c:yVal>
          <c:smooth val="0"/>
          <c:extLst>
            <c:ext xmlns:c16="http://schemas.microsoft.com/office/drawing/2014/chart" uri="{C3380CC4-5D6E-409C-BE32-E72D297353CC}">
              <c16:uniqueId val="{00000002-281D-4504-850A-F435CFA1D294}"/>
            </c:ext>
          </c:extLst>
        </c:ser>
        <c:ser>
          <c:idx val="3"/>
          <c:order val="3"/>
          <c:tx>
            <c:v>[I3]=70 mM</c:v>
          </c:tx>
          <c:spPr>
            <a:ln w="25400" cap="rnd">
              <a:noFill/>
              <a:round/>
            </a:ln>
            <a:effectLst/>
          </c:spPr>
          <c:marker>
            <c:symbol val="x"/>
            <c:size val="6"/>
            <c:spPr>
              <a:noFill/>
              <a:ln w="9525">
                <a:solidFill>
                  <a:schemeClr val="accent4"/>
                </a:solidFill>
                <a:round/>
              </a:ln>
              <a:effectLst/>
            </c:spPr>
          </c:marker>
          <c:trendline>
            <c:spPr>
              <a:ln w="9525" cap="rnd">
                <a:solidFill>
                  <a:schemeClr val="accent4"/>
                </a:solidFill>
              </a:ln>
              <a:effectLst/>
            </c:spPr>
            <c:trendlineType val="linear"/>
            <c:backward val="3"/>
            <c:dispRSqr val="0"/>
            <c:dispEq val="0"/>
          </c:trendline>
          <c:xVal>
            <c:numRef>
              <c:f>'klindamysin g6pd'!$A$1:$E$1</c:f>
              <c:numCache>
                <c:formatCode>General</c:formatCode>
                <c:ptCount val="5"/>
                <c:pt idx="0">
                  <c:v>2.08</c:v>
                </c:pt>
                <c:pt idx="1">
                  <c:v>3.33</c:v>
                </c:pt>
                <c:pt idx="2">
                  <c:v>5.55</c:v>
                </c:pt>
                <c:pt idx="3">
                  <c:v>8.33</c:v>
                </c:pt>
                <c:pt idx="4">
                  <c:v>16.600000000000001</c:v>
                </c:pt>
              </c:numCache>
            </c:numRef>
          </c:xVal>
          <c:yVal>
            <c:numRef>
              <c:f>'klindamysin g6pd'!$A$5:$E$5</c:f>
              <c:numCache>
                <c:formatCode>General</c:formatCode>
                <c:ptCount val="5"/>
                <c:pt idx="0">
                  <c:v>62.5</c:v>
                </c:pt>
                <c:pt idx="1">
                  <c:v>93.37</c:v>
                </c:pt>
                <c:pt idx="2">
                  <c:v>103.73</c:v>
                </c:pt>
                <c:pt idx="3">
                  <c:v>150</c:v>
                </c:pt>
                <c:pt idx="4">
                  <c:v>337</c:v>
                </c:pt>
              </c:numCache>
            </c:numRef>
          </c:yVal>
          <c:smooth val="0"/>
          <c:extLst>
            <c:ext xmlns:c16="http://schemas.microsoft.com/office/drawing/2014/chart" uri="{C3380CC4-5D6E-409C-BE32-E72D297353CC}">
              <c16:uniqueId val="{00000003-281D-4504-850A-F435CFA1D294}"/>
            </c:ext>
          </c:extLst>
        </c:ser>
        <c:dLbls>
          <c:showLegendKey val="0"/>
          <c:showVal val="0"/>
          <c:showCatName val="0"/>
          <c:showSerName val="0"/>
          <c:showPercent val="0"/>
          <c:showBubbleSize val="0"/>
        </c:dLbls>
        <c:axId val="452557752"/>
        <c:axId val="452560104"/>
      </c:scatterChart>
      <c:valAx>
        <c:axId val="452557752"/>
        <c:scaling>
          <c:orientation val="minMax"/>
          <c:min val="-5"/>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000" b="1" i="0" baseline="0">
                    <a:effectLst/>
                    <a:latin typeface="Times New Roman" panose="02020603050405020304" pitchFamily="18" charset="0"/>
                    <a:cs typeface="Times New Roman" panose="02020603050405020304" pitchFamily="18" charset="0"/>
                  </a:rPr>
                  <a:t>1/</a:t>
                </a:r>
                <a:r>
                  <a:rPr lang="tr-TR" sz="1000" b="1" i="0" baseline="0">
                    <a:effectLst/>
                    <a:latin typeface="Times New Roman" panose="02020603050405020304" pitchFamily="18" charset="0"/>
                    <a:cs typeface="Times New Roman" panose="02020603050405020304" pitchFamily="18" charset="0"/>
                  </a:rPr>
                  <a:t>[G6P] </a:t>
                </a:r>
                <a:r>
                  <a:rPr lang="tr-TR" sz="1000" b="1" i="0" cap="none" baseline="0">
                    <a:effectLst/>
                    <a:latin typeface="Times New Roman" panose="02020603050405020304" pitchFamily="18" charset="0"/>
                    <a:cs typeface="Times New Roman" panose="02020603050405020304" pitchFamily="18" charset="0"/>
                  </a:rPr>
                  <a:t>m</a:t>
                </a:r>
                <a:r>
                  <a:rPr lang="tr-TR" sz="1000" b="1" i="0" baseline="0">
                    <a:effectLst/>
                    <a:latin typeface="Times New Roman" panose="02020603050405020304" pitchFamily="18" charset="0"/>
                    <a:cs typeface="Times New Roman" panose="02020603050405020304" pitchFamily="18" charset="0"/>
                  </a:rPr>
                  <a:t>M</a:t>
                </a:r>
                <a:r>
                  <a:rPr lang="tr-TR" sz="1000" b="1" i="0" baseline="30000">
                    <a:effectLst/>
                    <a:latin typeface="Times New Roman" panose="02020603050405020304" pitchFamily="18" charset="0"/>
                    <a:cs typeface="Times New Roman" panose="02020603050405020304" pitchFamily="18" charset="0"/>
                  </a:rPr>
                  <a:t>-1</a:t>
                </a:r>
                <a:endParaRPr lang="tr-TR" sz="1000" b="1">
                  <a:effectLst/>
                  <a:latin typeface="Times New Roman" panose="02020603050405020304" pitchFamily="18" charset="0"/>
                  <a:cs typeface="Times New Roman" panose="02020603050405020304" pitchFamily="18" charset="0"/>
                </a:endParaRPr>
              </a:p>
            </c:rich>
          </c:tx>
          <c:layout>
            <c:manualLayout>
              <c:xMode val="edge"/>
              <c:yMode val="edge"/>
              <c:x val="0.45817237131072902"/>
              <c:y val="0.89550227443434527"/>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tr-T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mn-lt"/>
                <a:ea typeface="+mn-ea"/>
                <a:cs typeface="+mn-cs"/>
              </a:defRPr>
            </a:pPr>
            <a:endParaRPr lang="tr-TR"/>
          </a:p>
        </c:txPr>
        <c:crossAx val="452560104"/>
        <c:crosses val="autoZero"/>
        <c:crossBetween val="midCat"/>
      </c:valAx>
      <c:valAx>
        <c:axId val="452560104"/>
        <c:scaling>
          <c:orientation val="minMax"/>
          <c:max val="350"/>
          <c:min val="-20"/>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sz="1100" b="1">
                    <a:latin typeface="Times New Roman" panose="02020603050405020304" pitchFamily="18" charset="0"/>
                    <a:cs typeface="Times New Roman" panose="02020603050405020304" pitchFamily="18" charset="0"/>
                  </a:rPr>
                  <a:t>1</a:t>
                </a:r>
                <a:r>
                  <a:rPr lang="tr-TR" sz="1100" b="1">
                    <a:latin typeface="Times New Roman" panose="02020603050405020304" pitchFamily="18" charset="0"/>
                    <a:cs typeface="Times New Roman" panose="02020603050405020304" pitchFamily="18" charset="0"/>
                  </a:rPr>
                  <a:t>/V</a:t>
                </a:r>
                <a:endParaRPr lang="en-US" sz="1100" b="1">
                  <a:latin typeface="Times New Roman" panose="02020603050405020304" pitchFamily="18" charset="0"/>
                  <a:cs typeface="Times New Roman" panose="02020603050405020304" pitchFamily="18" charset="0"/>
                </a:endParaRPr>
              </a:p>
            </c:rich>
          </c:tx>
          <c:layout>
            <c:manualLayout>
              <c:xMode val="edge"/>
              <c:yMode val="edge"/>
              <c:x val="0.13685874979913223"/>
              <c:y val="0.46880049961600462"/>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tr-TR"/>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52557752"/>
        <c:crosses val="autoZero"/>
        <c:crossBetween val="midCat"/>
      </c:valAx>
      <c:spPr>
        <a:noFill/>
        <a:ln>
          <a:noFill/>
        </a:ln>
        <a:effectLst/>
      </c:spPr>
    </c:plotArea>
    <c:legend>
      <c:legendPos val="r"/>
      <c:legendEntry>
        <c:idx val="4"/>
        <c:delete val="1"/>
      </c:legendEntry>
      <c:legendEntry>
        <c:idx val="5"/>
        <c:delete val="1"/>
      </c:legendEntry>
      <c:legendEntry>
        <c:idx val="6"/>
        <c:delete val="1"/>
      </c:legendEntry>
      <c:legendEntry>
        <c:idx val="7"/>
        <c:delete val="1"/>
      </c:legendEntry>
      <c:layout>
        <c:manualLayout>
          <c:xMode val="edge"/>
          <c:yMode val="edge"/>
          <c:x val="2.9030443050906064E-2"/>
          <c:y val="2.0831543784299689E-2"/>
          <c:w val="0.17448211189170215"/>
          <c:h val="0.25568360773085186"/>
        </c:manualLayout>
      </c:layout>
      <c:overlay val="0"/>
      <c:spPr>
        <a:noFill/>
        <a:ln>
          <a:solidFill>
            <a:schemeClr val="accent1">
              <a:alpha val="96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lt1"/>
    </a:solidFill>
    <a:ln w="9525" cap="flat" cmpd="sng" algn="ctr">
      <a:solidFill>
        <a:srgbClr val="00B0F0">
          <a:alpha val="89000"/>
        </a:srgb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BAF1CFC6-690D-4439-B973-58FAC4AD5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3377</Words>
  <Characters>19253</Characters>
  <Application>Microsoft Office Word</Application>
  <DocSecurity>0</DocSecurity>
  <Lines>160</Lines>
  <Paragraphs>45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FEF_DEKANLIK</dc:creator>
  <cp:lastModifiedBy>ACER</cp:lastModifiedBy>
  <cp:revision>3</cp:revision>
  <dcterms:created xsi:type="dcterms:W3CDTF">2022-07-29T07:48:00Z</dcterms:created>
  <dcterms:modified xsi:type="dcterms:W3CDTF">2022-07-29T08:01:00Z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http://www.zotero.org/styles/applied-biochemistry-and-biotechnology</vt:lpwstr>
  </property>
  <property fmtid="{D5CDD505-2E9C-101B-9397-08002B2CF9AE}" pid="9" name="Mendeley Recent Style Name 3_1">
    <vt:lpwstr>Applied Biochemistry and Biotechnology</vt:lpwstr>
  </property>
  <property fmtid="{D5CDD505-2E9C-101B-9397-08002B2CF9AE}" pid="10" name="Mendeley Recent Style Id 4_1">
    <vt:lpwstr>http://www.zotero.org/styles/bioorganic-chemistry</vt:lpwstr>
  </property>
  <property fmtid="{D5CDD505-2E9C-101B-9397-08002B2CF9AE}" pid="11" name="Mendeley Recent Style Name 4_1">
    <vt:lpwstr>Bioorganic Chemistry</vt:lpwstr>
  </property>
  <property fmtid="{D5CDD505-2E9C-101B-9397-08002B2CF9AE}" pid="12" name="Mendeley Recent Style Id 5_1">
    <vt:lpwstr>http://www.zotero.org/styles/environmental-science-and-pollution-research</vt:lpwstr>
  </property>
  <property fmtid="{D5CDD505-2E9C-101B-9397-08002B2CF9AE}" pid="13" name="Mendeley Recent Style Name 5_1">
    <vt:lpwstr>Environmental Science and Pollution Research</vt:lpwstr>
  </property>
  <property fmtid="{D5CDD505-2E9C-101B-9397-08002B2CF9AE}" pid="14" name="Mendeley Recent Style Id 6_1">
    <vt:lpwstr>http://www.zotero.org/styles/food-and-chemical-toxicology</vt:lpwstr>
  </property>
  <property fmtid="{D5CDD505-2E9C-101B-9397-08002B2CF9AE}" pid="15" name="Mendeley Recent Style Name 6_1">
    <vt:lpwstr>Food and Chemical Toxicology</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http://www.zotero.org/styles/naunyn-schmiedebergs-archives-of-pharmacology</vt:lpwstr>
  </property>
  <property fmtid="{D5CDD505-2E9C-101B-9397-08002B2CF9AE}" pid="19" name="Mendeley Recent Style Name 8_1">
    <vt:lpwstr>Naunyn-Schmiedeberg's Archives of Pharmacology</vt:lpwstr>
  </property>
  <property fmtid="{D5CDD505-2E9C-101B-9397-08002B2CF9AE}" pid="20" name="Mendeley Recent Style Id 9_1">
    <vt:lpwstr>http://www.zotero.org/styles/springer-basic-author-date-no-et-al</vt:lpwstr>
  </property>
  <property fmtid="{D5CDD505-2E9C-101B-9397-08002B2CF9AE}" pid="21" name="Mendeley Recent Style Name 9_1">
    <vt:lpwstr>Springer - Basic (author-date, no "et al.")</vt:lpwstr>
  </property>
  <property fmtid="{D5CDD505-2E9C-101B-9397-08002B2CF9AE}" pid="22" name="Mendeley Document_1">
    <vt:lpwstr>True</vt:lpwstr>
  </property>
  <property fmtid="{D5CDD505-2E9C-101B-9397-08002B2CF9AE}" pid="23" name="Mendeley Unique User Id_1">
    <vt:lpwstr>c6ab7238-eb27-3325-be3d-c6ec9947e79d</vt:lpwstr>
  </property>
  <property fmtid="{D5CDD505-2E9C-101B-9397-08002B2CF9AE}" pid="24" name="Mendeley Citation Style_1">
    <vt:lpwstr>http://www.zotero.org/styles/american-political-science-association</vt:lpwstr>
  </property>
</Properties>
</file>