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80C" w:rsidRPr="00847F0F" w:rsidRDefault="000D480C" w:rsidP="000D480C">
      <w:pPr>
        <w:jc w:val="center"/>
        <w:rPr>
          <w:b/>
        </w:rPr>
      </w:pPr>
      <w:r w:rsidRPr="00847F0F">
        <w:rPr>
          <w:b/>
        </w:rPr>
        <w:t>Üniversite öğrencilerinde gıda israfını önleme ve çevre koruma sorumluluğunun geliştirilmesinde eğitimin rolü</w:t>
      </w:r>
    </w:p>
    <w:p w:rsidR="000D480C" w:rsidRPr="00847F0F" w:rsidRDefault="000D480C" w:rsidP="000D480C">
      <w:pPr>
        <w:jc w:val="center"/>
      </w:pPr>
      <w:r w:rsidRPr="00847F0F">
        <w:t>Kuddis Büyükakıllı</w:t>
      </w:r>
    </w:p>
    <w:p w:rsidR="000D480C" w:rsidRPr="00847F0F" w:rsidRDefault="000D480C" w:rsidP="000D480C">
      <w:pPr>
        <w:jc w:val="center"/>
      </w:pPr>
      <w:r w:rsidRPr="00847F0F">
        <w:t>Tarsus Üniversitesi, Kartaltepe M. Tarsus</w:t>
      </w:r>
    </w:p>
    <w:p w:rsidR="000D480C" w:rsidRPr="00847F0F" w:rsidRDefault="000D480C" w:rsidP="000D480C">
      <w:pPr>
        <w:jc w:val="center"/>
        <w:rPr>
          <w:b/>
        </w:rPr>
      </w:pPr>
      <w:r w:rsidRPr="00847F0F">
        <w:rPr>
          <w:b/>
        </w:rPr>
        <w:t>Özet</w:t>
      </w:r>
    </w:p>
    <w:p w:rsidR="000D480C" w:rsidRPr="00847F0F" w:rsidRDefault="000D480C" w:rsidP="000D480C">
      <w:pPr>
        <w:jc w:val="both"/>
        <w:rPr>
          <w:b/>
        </w:rPr>
      </w:pPr>
      <w:r w:rsidRPr="00847F0F">
        <w:rPr>
          <w:b/>
        </w:rPr>
        <w:t>Amaç</w:t>
      </w:r>
    </w:p>
    <w:p w:rsidR="000D480C" w:rsidRPr="00847F0F" w:rsidRDefault="00BA6CD3" w:rsidP="000D480C">
      <w:pPr>
        <w:jc w:val="both"/>
      </w:pPr>
      <w:r w:rsidRPr="00847F0F">
        <w:t>Bu çalışma ile g</w:t>
      </w:r>
      <w:r w:rsidR="000D480C" w:rsidRPr="00847F0F">
        <w:t xml:space="preserve">ıda israfını azaltarak, gıda üretiminde kullanılan enerji ve doğal kaynakların, dolayısı ile çevrenin korunması </w:t>
      </w:r>
      <w:r w:rsidRPr="00847F0F">
        <w:t xml:space="preserve">için öğrencilerde farkındalık yaratma </w:t>
      </w:r>
      <w:r w:rsidR="000D480C" w:rsidRPr="00847F0F">
        <w:t>amaçlanmıştır.</w:t>
      </w:r>
    </w:p>
    <w:p w:rsidR="000D480C" w:rsidRPr="00847F0F" w:rsidRDefault="000D480C" w:rsidP="000D480C">
      <w:pPr>
        <w:jc w:val="both"/>
        <w:rPr>
          <w:b/>
        </w:rPr>
      </w:pPr>
      <w:r w:rsidRPr="00847F0F">
        <w:rPr>
          <w:b/>
        </w:rPr>
        <w:t>Yöntem</w:t>
      </w:r>
    </w:p>
    <w:p w:rsidR="000D480C" w:rsidRPr="00847F0F" w:rsidRDefault="00BA6CD3" w:rsidP="000D480C">
      <w:pPr>
        <w:jc w:val="both"/>
      </w:pPr>
      <w:r w:rsidRPr="00847F0F">
        <w:t>Çalışmada ö</w:t>
      </w:r>
      <w:r w:rsidR="000D480C" w:rsidRPr="00847F0F">
        <w:t xml:space="preserve">ğrencilere verilen farkındalık eğitiminin gıda israfını önleyip önlemediğine katkısı araştırılmıştır. Tarsus Üniversitesi öğrencilerine </w:t>
      </w:r>
      <w:r w:rsidR="0072581A" w:rsidRPr="00847F0F">
        <w:t xml:space="preserve">evlerde gıda israfı ve bu israfın sosyal, ekonomik ve ekolojik boyutları konulu bir anket uygulanmıştır. Anket uygulamasından sonra öğrencilere aynı konuda </w:t>
      </w:r>
      <w:r w:rsidRPr="00847F0F">
        <w:t>çevrimiçi olarak,</w:t>
      </w:r>
      <w:r w:rsidR="0072581A" w:rsidRPr="00847F0F">
        <w:t xml:space="preserve"> web üzerinden</w:t>
      </w:r>
      <w:r w:rsidRPr="00847F0F">
        <w:t xml:space="preserve"> </w:t>
      </w:r>
      <w:r w:rsidR="0072581A" w:rsidRPr="00847F0F">
        <w:t>bir eğitim verilmiş ve daha sonra aynı anket tekrar uygulanmıştır.</w:t>
      </w:r>
    </w:p>
    <w:p w:rsidR="000D480C" w:rsidRPr="00847F0F" w:rsidRDefault="000D480C" w:rsidP="000D480C">
      <w:pPr>
        <w:jc w:val="both"/>
        <w:rPr>
          <w:b/>
        </w:rPr>
      </w:pPr>
      <w:r w:rsidRPr="00847F0F">
        <w:rPr>
          <w:b/>
        </w:rPr>
        <w:t>Bulgular</w:t>
      </w:r>
    </w:p>
    <w:p w:rsidR="00BA6CD3" w:rsidRPr="00847F0F" w:rsidRDefault="00BA6CD3" w:rsidP="000D480C">
      <w:pPr>
        <w:jc w:val="both"/>
      </w:pPr>
      <w:r w:rsidRPr="00847F0F">
        <w:t>Ankete katılan öğrencilerin anne ve babaların eğitim seviyelerinin düşük; çocukların eğitim seviyelerinin ise yüksek olduğu değerlendirilmiştir. Öğrencilerin büyük çoğunluğunun ailelerinin gelir durumunun oldukça kötü olduğu görülmüştür. Bunların bir kısmı açlık sınırının altında, birçoğunun da yoksulluk sınırı altında bir gelir ile yaşadıkları anlaşılmıştır. Öğrencilerin aile yapısı değerlendirildiğinde genel olarak kalabalık aileler oldukları görülmüştür. Az çocuklu ya da çekirdek aile yapısının az sayıda olduğu anlaşılmıştır.</w:t>
      </w:r>
    </w:p>
    <w:p w:rsidR="00BA6CD3" w:rsidRPr="00847F0F" w:rsidRDefault="00BA6CD3" w:rsidP="000D480C">
      <w:pPr>
        <w:jc w:val="both"/>
      </w:pPr>
      <w:r w:rsidRPr="00847F0F">
        <w:t>Gıda israfı ve çevre konularına kadınların daha duyarlı oldukları görülmüştür. Verilen eğitimin</w:t>
      </w:r>
      <w:r w:rsidR="000D480C" w:rsidRPr="00847F0F">
        <w:t xml:space="preserve"> öğrencilerde bir farkındalık yaratıp yaratmadığı analiz edilmiştir. Buna göre anket yapılan öğrencilerin tamamında gıda</w:t>
      </w:r>
      <w:r w:rsidR="000D480C" w:rsidRPr="00847F0F">
        <w:rPr>
          <w:b/>
        </w:rPr>
        <w:t xml:space="preserve"> </w:t>
      </w:r>
      <w:r w:rsidR="000D480C" w:rsidRPr="00847F0F">
        <w:t>israfı ve çevre sorunların</w:t>
      </w:r>
      <w:r w:rsidRPr="00847F0F">
        <w:t>a farkındalık düzeyi % 69,6</w:t>
      </w:r>
      <w:r w:rsidR="000D480C" w:rsidRPr="00847F0F">
        <w:t>’d</w:t>
      </w:r>
      <w:r w:rsidRPr="00847F0F">
        <w:t>an % 97’ye çıkmıştır</w:t>
      </w:r>
      <w:r w:rsidR="000D480C" w:rsidRPr="00847F0F">
        <w:t xml:space="preserve">. </w:t>
      </w:r>
      <w:r w:rsidRPr="00847F0F">
        <w:t>Ankete katılan öğrencilere eğitim verilmeden önce uygulanan ankete göre % 70,4’ü, planlı ve akıllı alışveriş yapmayı % 64,4’ü gıdaların doğru bir şekilde saklanmasını % 65,8’i gıdaların raf ömrünü etkileyen faktörleri, % 73,5’i gıda ürünlerini buzdolabında saklamayı, % 56,9’u gıdaların dondurulmasını % 72,8’i porsiyon hesabı yapmayı ve % 69’u davetlerde gıda israfını önlemeyi bildiklerini söylemişlerdir.</w:t>
      </w:r>
    </w:p>
    <w:p w:rsidR="000D480C" w:rsidRPr="00847F0F" w:rsidRDefault="00BA6CD3" w:rsidP="000D480C">
      <w:pPr>
        <w:jc w:val="both"/>
      </w:pPr>
      <w:r w:rsidRPr="00847F0F">
        <w:t>Eğitim verildikten sonra a</w:t>
      </w:r>
      <w:r w:rsidR="000D480C" w:rsidRPr="00847F0F">
        <w:t xml:space="preserve">nkete katılan öğrencilerin ortalama olarak % 90,3’ü, planlı ve akıllı alışveriş yapmayı % 94,4’ü </w:t>
      </w:r>
      <w:r w:rsidR="00483DDC">
        <w:t>g</w:t>
      </w:r>
      <w:r w:rsidR="000D480C" w:rsidRPr="00847F0F">
        <w:t>ıdaların doğru bir şekilde saklanmasını % 75,8’i gıdaların raf ömrünü etkileyen faktörleri, % 91,9’u gıda ürünlerini buzdolabında saklamayı, % 84,9’u gıdaların dondurulmasını % 80,5’i por</w:t>
      </w:r>
      <w:r w:rsidR="00483DDC">
        <w:t>siyon hesabı yapmayı ve % 79’u</w:t>
      </w:r>
      <w:r w:rsidR="000D480C" w:rsidRPr="00847F0F">
        <w:t xml:space="preserve"> davetlerde gıda israfını önlemeyi bildiklerini </w:t>
      </w:r>
      <w:r w:rsidRPr="00847F0F">
        <w:t>belirt</w:t>
      </w:r>
      <w:r w:rsidR="000D480C" w:rsidRPr="00847F0F">
        <w:t>mişlerdir</w:t>
      </w:r>
      <w:r w:rsidRPr="00847F0F">
        <w:t>.</w:t>
      </w:r>
    </w:p>
    <w:p w:rsidR="00BA6CD3" w:rsidRPr="00847F0F" w:rsidRDefault="00BA6CD3" w:rsidP="00BA6CD3">
      <w:pPr>
        <w:jc w:val="both"/>
      </w:pPr>
      <w:r w:rsidRPr="00847F0F">
        <w:t>Eğitim verilmeden önce anket katılan öğrencilerin % 71,1’i evlerinde çöpe hiç ekmek atılmadığını, % 52,5’i hiç yemek atılmadığını ve % 67,2’si alışveriş sırasında gıda ürünlerinin son kullanma tarihine genellikle baktığını bildirmiştir. Anket katılan öğrenciler eğitimlerden sonra % 83,3 oranında evlerinde çöpe hiç ekmek atılmadığını, % 64,5 oranında hiç yemek atılmadığını ve % 88,3 oranında da alışveriş sırasında gıda ürünlerinin son kullanma tarihine genellikle baktığını bildirmiştir.</w:t>
      </w:r>
    </w:p>
    <w:p w:rsidR="000D480C" w:rsidRPr="00847F0F" w:rsidRDefault="000D480C" w:rsidP="000D480C">
      <w:pPr>
        <w:jc w:val="both"/>
        <w:rPr>
          <w:b/>
        </w:rPr>
      </w:pPr>
      <w:r w:rsidRPr="00847F0F">
        <w:rPr>
          <w:b/>
        </w:rPr>
        <w:lastRenderedPageBreak/>
        <w:t>Sonuç</w:t>
      </w:r>
    </w:p>
    <w:p w:rsidR="00BA6CD3" w:rsidRPr="00847F0F" w:rsidRDefault="00BA6CD3" w:rsidP="000D480C">
      <w:pPr>
        <w:jc w:val="both"/>
      </w:pPr>
      <w:r w:rsidRPr="00847F0F">
        <w:t>Çalışmaya katılan Tarsus Üniversitesi öğrencileri verilen eğitimden sonra yapılan anket sonuçlarına göre gıda israfı ve çevre sorunlarına karşı eğitimden önceki seviyeden daha yüksek bir duyarlılık göstermişlerdir. Eğitimden sonra sorulara verilen cevaplardan elde edilen yüksek oranlar, üniversite öğrencilerinin gıda israfı ve çevre konularında bilgilendirilmeleri durumunda daha duyarlı olduklarını ve verilen eğitimin başarıya ulaştığını göstermektedir.</w:t>
      </w:r>
    </w:p>
    <w:p w:rsidR="00BE3E2C" w:rsidRPr="00847F0F" w:rsidRDefault="00BE3E2C" w:rsidP="000D480C">
      <w:pPr>
        <w:jc w:val="both"/>
      </w:pPr>
      <w:r w:rsidRPr="00847F0F">
        <w:t>Sonuç olarak, toplumda bir farkındalık yaratmak için gıda israfı ve bunun çevreye, ekonomiye ve sosyal yaşama etkileri konularında, benzer sosyal sorumluluk projelerinin sık sık hayata geçirilmesi gerektiği görülmüştür.</w:t>
      </w:r>
    </w:p>
    <w:p w:rsidR="000D480C" w:rsidRDefault="000D480C" w:rsidP="000D480C">
      <w:pPr>
        <w:jc w:val="both"/>
      </w:pPr>
      <w:r w:rsidRPr="00847F0F">
        <w:rPr>
          <w:b/>
        </w:rPr>
        <w:t>Anahtar sözcükler:</w:t>
      </w:r>
      <w:r w:rsidRPr="00847F0F">
        <w:t xml:space="preserve"> Üniversite, öğrenci, ev, gıda, israf, çevre</w:t>
      </w:r>
    </w:p>
    <w:p w:rsidR="00937A9F" w:rsidRPr="00937A9F" w:rsidRDefault="00937A9F" w:rsidP="00937A9F">
      <w:pPr>
        <w:jc w:val="center"/>
        <w:rPr>
          <w:b/>
          <w:lang w:val="en-US"/>
        </w:rPr>
      </w:pPr>
      <w:r w:rsidRPr="00937A9F">
        <w:rPr>
          <w:b/>
          <w:lang w:val="en-US"/>
        </w:rPr>
        <w:t>Summary</w:t>
      </w:r>
    </w:p>
    <w:p w:rsidR="00937A9F" w:rsidRPr="00937A9F" w:rsidRDefault="00937A9F" w:rsidP="00937A9F">
      <w:pPr>
        <w:jc w:val="both"/>
        <w:rPr>
          <w:b/>
          <w:lang w:val="en-US"/>
        </w:rPr>
      </w:pPr>
      <w:r w:rsidRPr="00937A9F">
        <w:rPr>
          <w:b/>
          <w:lang w:val="en-US"/>
        </w:rPr>
        <w:t>Goal</w:t>
      </w:r>
    </w:p>
    <w:p w:rsidR="00937A9F" w:rsidRPr="00937A9F" w:rsidRDefault="00937A9F" w:rsidP="00937A9F">
      <w:pPr>
        <w:jc w:val="both"/>
        <w:rPr>
          <w:lang w:val="en-US"/>
        </w:rPr>
      </w:pPr>
      <w:r>
        <w:rPr>
          <w:lang w:val="en-US"/>
        </w:rPr>
        <w:t>I</w:t>
      </w:r>
      <w:r w:rsidRPr="00937A9F">
        <w:rPr>
          <w:lang w:val="en-US"/>
        </w:rPr>
        <w:t>t is aimed to create awareness in students for the protection of energy and natural resources used in food production, and therefore the environment, by reducing food waste</w:t>
      </w:r>
      <w:r w:rsidRPr="00937A9F">
        <w:rPr>
          <w:lang w:val="en-US"/>
        </w:rPr>
        <w:t xml:space="preserve"> </w:t>
      </w:r>
      <w:r>
        <w:rPr>
          <w:lang w:val="en-US"/>
        </w:rPr>
        <w:t>w</w:t>
      </w:r>
      <w:r w:rsidRPr="00937A9F">
        <w:rPr>
          <w:lang w:val="en-US"/>
        </w:rPr>
        <w:t>ith this study,.</w:t>
      </w:r>
    </w:p>
    <w:p w:rsidR="00937A9F" w:rsidRPr="00937A9F" w:rsidRDefault="00937A9F" w:rsidP="00937A9F">
      <w:pPr>
        <w:jc w:val="both"/>
        <w:rPr>
          <w:b/>
          <w:lang w:val="en-US"/>
        </w:rPr>
      </w:pPr>
      <w:r w:rsidRPr="00937A9F">
        <w:rPr>
          <w:b/>
          <w:lang w:val="en-US"/>
        </w:rPr>
        <w:t>Method</w:t>
      </w:r>
    </w:p>
    <w:p w:rsidR="00937A9F" w:rsidRPr="00937A9F" w:rsidRDefault="00937A9F" w:rsidP="00937A9F">
      <w:pPr>
        <w:jc w:val="both"/>
        <w:rPr>
          <w:lang w:val="en-US"/>
        </w:rPr>
      </w:pPr>
      <w:r>
        <w:rPr>
          <w:lang w:val="en-US"/>
        </w:rPr>
        <w:t>T</w:t>
      </w:r>
      <w:r w:rsidRPr="00937A9F">
        <w:rPr>
          <w:lang w:val="en-US"/>
        </w:rPr>
        <w:t>he contribution of the awareness education given to students on preventing food waste was investigated</w:t>
      </w:r>
      <w:r w:rsidRPr="00937A9F">
        <w:rPr>
          <w:lang w:val="en-US"/>
        </w:rPr>
        <w:t xml:space="preserve"> in</w:t>
      </w:r>
      <w:r w:rsidRPr="00937A9F">
        <w:rPr>
          <w:lang w:val="en-US"/>
        </w:rPr>
        <w:t xml:space="preserve"> the study. A questionnaire was applied to Tarsus University students</w:t>
      </w:r>
      <w:r w:rsidRPr="00937A9F">
        <w:rPr>
          <w:lang w:val="en-US"/>
        </w:rPr>
        <w:t xml:space="preserve"> </w:t>
      </w:r>
      <w:r w:rsidRPr="00937A9F">
        <w:rPr>
          <w:lang w:val="en-US"/>
        </w:rPr>
        <w:t xml:space="preserve">on food waste at homes and the social, economic and ecological dimensions of this waste. After the questionnaire application, students were given </w:t>
      </w:r>
      <w:r w:rsidRPr="00937A9F">
        <w:rPr>
          <w:lang w:val="en-US"/>
        </w:rPr>
        <w:t>training</w:t>
      </w:r>
      <w:r w:rsidRPr="00937A9F">
        <w:rPr>
          <w:lang w:val="en-US"/>
        </w:rPr>
        <w:t xml:space="preserve"> on the same subject </w:t>
      </w:r>
      <w:r>
        <w:rPr>
          <w:lang w:val="en-US"/>
        </w:rPr>
        <w:t xml:space="preserve">by </w:t>
      </w:r>
      <w:r w:rsidRPr="00937A9F">
        <w:rPr>
          <w:lang w:val="en-US"/>
        </w:rPr>
        <w:t>online, on the web, and then the same questionnaire was applied again.</w:t>
      </w:r>
    </w:p>
    <w:p w:rsidR="00937A9F" w:rsidRPr="00937A9F" w:rsidRDefault="00937A9F" w:rsidP="00937A9F">
      <w:pPr>
        <w:jc w:val="both"/>
        <w:rPr>
          <w:b/>
          <w:lang w:val="en-US"/>
        </w:rPr>
      </w:pPr>
      <w:r w:rsidRPr="00937A9F">
        <w:rPr>
          <w:b/>
          <w:lang w:val="en-US"/>
        </w:rPr>
        <w:t>Results</w:t>
      </w:r>
    </w:p>
    <w:p w:rsidR="00937A9F" w:rsidRPr="00937A9F" w:rsidRDefault="00937A9F" w:rsidP="00937A9F">
      <w:pPr>
        <w:jc w:val="both"/>
        <w:rPr>
          <w:lang w:val="en-US"/>
        </w:rPr>
      </w:pPr>
      <w:r w:rsidRPr="00937A9F">
        <w:rPr>
          <w:lang w:val="en-US"/>
        </w:rPr>
        <w:t xml:space="preserve">The education level of the parents of the students participating in the survey is low; </w:t>
      </w:r>
      <w:r w:rsidRPr="00937A9F">
        <w:rPr>
          <w:lang w:val="en-US"/>
        </w:rPr>
        <w:t>the</w:t>
      </w:r>
      <w:r w:rsidRPr="00937A9F">
        <w:rPr>
          <w:lang w:val="en-US"/>
        </w:rPr>
        <w:t xml:space="preserve"> education level of the children was evaluated to be high. It has been observed that the families of most of the students have a very poor income. It was understood that some of them were living with an income below the hunger line and many of them with an income below the poverty line. When the family structure of the students was evaluated, it was seen that they were generally crowded families. It has been found that there are fewer children or a small number of </w:t>
      </w:r>
      <w:r w:rsidR="000320F3" w:rsidRPr="000320F3">
        <w:rPr>
          <w:lang w:val="en-US"/>
        </w:rPr>
        <w:t>immediate families</w:t>
      </w:r>
      <w:r w:rsidRPr="00937A9F">
        <w:rPr>
          <w:lang w:val="en-US"/>
        </w:rPr>
        <w:t>.</w:t>
      </w:r>
    </w:p>
    <w:p w:rsidR="00937A9F" w:rsidRDefault="00937A9F" w:rsidP="00937A9F">
      <w:pPr>
        <w:jc w:val="both"/>
        <w:rPr>
          <w:lang w:val="en-US"/>
        </w:rPr>
      </w:pPr>
      <w:r w:rsidRPr="00937A9F">
        <w:rPr>
          <w:lang w:val="en-US"/>
        </w:rPr>
        <w:t xml:space="preserve">It has been observed that women are more sensitive to food waste and environmental issues. It was analyzed whether the education provided created </w:t>
      </w:r>
      <w:r w:rsidR="000320F3" w:rsidRPr="00937A9F">
        <w:rPr>
          <w:lang w:val="en-US"/>
        </w:rPr>
        <w:t>awareness</w:t>
      </w:r>
      <w:r w:rsidRPr="00937A9F">
        <w:rPr>
          <w:lang w:val="en-US"/>
        </w:rPr>
        <w:t xml:space="preserve"> among the students. </w:t>
      </w:r>
      <w:r w:rsidR="000320F3" w:rsidRPr="00937A9F">
        <w:rPr>
          <w:lang w:val="en-US"/>
        </w:rPr>
        <w:t>The</w:t>
      </w:r>
      <w:r w:rsidRPr="00937A9F">
        <w:rPr>
          <w:lang w:val="en-US"/>
        </w:rPr>
        <w:t xml:space="preserve"> awareness level of food waste and environmental problems increased from 69.6% to 97% in all of the students surveyed</w:t>
      </w:r>
      <w:r w:rsidR="000320F3" w:rsidRPr="000320F3">
        <w:rPr>
          <w:lang w:val="en-US"/>
        </w:rPr>
        <w:t xml:space="preserve"> </w:t>
      </w:r>
      <w:r w:rsidR="000320F3">
        <w:rPr>
          <w:lang w:val="en-US"/>
        </w:rPr>
        <w:t>accordingly</w:t>
      </w:r>
      <w:r w:rsidRPr="00937A9F">
        <w:rPr>
          <w:lang w:val="en-US"/>
        </w:rPr>
        <w:t xml:space="preserve">. 70.4% of the students who participated in the questionnaire, </w:t>
      </w:r>
      <w:r w:rsidR="008F4A27" w:rsidRPr="00937A9F">
        <w:rPr>
          <w:lang w:val="en-US"/>
        </w:rPr>
        <w:t>stated that they know planned and smart shopping,</w:t>
      </w:r>
      <w:r w:rsidR="008F4A27">
        <w:rPr>
          <w:lang w:val="en-US"/>
        </w:rPr>
        <w:t xml:space="preserve"> </w:t>
      </w:r>
      <w:r w:rsidRPr="00937A9F">
        <w:rPr>
          <w:lang w:val="en-US"/>
        </w:rPr>
        <w:t xml:space="preserve">64.4% </w:t>
      </w:r>
      <w:r w:rsidR="008F4A27" w:rsidRPr="00937A9F">
        <w:rPr>
          <w:lang w:val="en-US"/>
        </w:rPr>
        <w:t xml:space="preserve">of </w:t>
      </w:r>
      <w:r w:rsidR="008F4A27" w:rsidRPr="008F4A27">
        <w:rPr>
          <w:lang w:val="en-US"/>
        </w:rPr>
        <w:t>the correct storage of food</w:t>
      </w:r>
      <w:r w:rsidR="008F4A27">
        <w:rPr>
          <w:lang w:val="en-US"/>
        </w:rPr>
        <w:t>,</w:t>
      </w:r>
      <w:r w:rsidR="008F4A27" w:rsidRPr="008F4A27">
        <w:rPr>
          <w:lang w:val="en-US"/>
        </w:rPr>
        <w:t xml:space="preserve"> </w:t>
      </w:r>
      <w:r w:rsidRPr="00937A9F">
        <w:rPr>
          <w:lang w:val="en-US"/>
        </w:rPr>
        <w:t xml:space="preserve">65.8% of the factors affecting the shelf life of foods, 73.5% how to keep food products in the refrigerator, </w:t>
      </w:r>
      <w:r w:rsidR="00285820" w:rsidRPr="00937A9F">
        <w:rPr>
          <w:lang w:val="en-US"/>
        </w:rPr>
        <w:t xml:space="preserve">56.9% </w:t>
      </w:r>
      <w:r w:rsidRPr="00937A9F">
        <w:rPr>
          <w:lang w:val="en-US"/>
        </w:rPr>
        <w:t>to freeze foods, 72.8% to make a portion calculation, and 69% to prevent food waste at invitations.</w:t>
      </w:r>
    </w:p>
    <w:p w:rsidR="00937A9F" w:rsidRPr="00937A9F" w:rsidRDefault="00937A9F" w:rsidP="00937A9F">
      <w:pPr>
        <w:jc w:val="both"/>
        <w:rPr>
          <w:lang w:val="en-US"/>
        </w:rPr>
      </w:pPr>
      <w:r w:rsidRPr="00937A9F">
        <w:rPr>
          <w:lang w:val="en-US"/>
        </w:rPr>
        <w:t xml:space="preserve">After the training, </w:t>
      </w:r>
      <w:r w:rsidR="00EF3FFD" w:rsidRPr="00937A9F">
        <w:rPr>
          <w:lang w:val="en-US"/>
        </w:rPr>
        <w:t xml:space="preserve">the students participating in the survey, </w:t>
      </w:r>
      <w:r w:rsidRPr="00937A9F">
        <w:rPr>
          <w:lang w:val="en-US"/>
        </w:rPr>
        <w:t>on average, 90.3% of planned and smart shopping,</w:t>
      </w:r>
      <w:r w:rsidR="00EF3FFD" w:rsidRPr="00EF3FFD">
        <w:rPr>
          <w:lang w:val="en-US"/>
        </w:rPr>
        <w:t xml:space="preserve"> </w:t>
      </w:r>
      <w:r w:rsidR="00EF3FFD" w:rsidRPr="00937A9F">
        <w:rPr>
          <w:lang w:val="en-US"/>
        </w:rPr>
        <w:t>94.4% of</w:t>
      </w:r>
      <w:r w:rsidRPr="00937A9F">
        <w:rPr>
          <w:lang w:val="en-US"/>
        </w:rPr>
        <w:t xml:space="preserve"> </w:t>
      </w:r>
      <w:r w:rsidR="00EF3FFD" w:rsidRPr="008F4A27">
        <w:rPr>
          <w:lang w:val="en-US"/>
        </w:rPr>
        <w:t>the correct storage of food</w:t>
      </w:r>
      <w:r w:rsidR="00EF3FFD">
        <w:rPr>
          <w:lang w:val="en-US"/>
        </w:rPr>
        <w:t>,</w:t>
      </w:r>
      <w:r w:rsidR="00EF3FFD" w:rsidRPr="00937A9F">
        <w:rPr>
          <w:lang w:val="en-US"/>
        </w:rPr>
        <w:t xml:space="preserve"> </w:t>
      </w:r>
      <w:r w:rsidRPr="00937A9F">
        <w:rPr>
          <w:lang w:val="en-US"/>
        </w:rPr>
        <w:t>75.8% of the factors affecting the shelf life of foods, 91.9% of the factors that aff</w:t>
      </w:r>
      <w:r w:rsidR="00483DDC">
        <w:rPr>
          <w:lang w:val="en-US"/>
        </w:rPr>
        <w:t>ect the correct storage of food,</w:t>
      </w:r>
      <w:r w:rsidRPr="00937A9F">
        <w:rPr>
          <w:lang w:val="en-US"/>
        </w:rPr>
        <w:t xml:space="preserve"> stated that they know how to keep their </w:t>
      </w:r>
      <w:r w:rsidRPr="00937A9F">
        <w:rPr>
          <w:lang w:val="en-US"/>
        </w:rPr>
        <w:lastRenderedPageBreak/>
        <w:t>products in the refrigerator, 84.9% to freeze foods, 80.5% to calculate portion sizes and 79% to prevent food waste at invitations.</w:t>
      </w:r>
    </w:p>
    <w:p w:rsidR="00937A9F" w:rsidRPr="00937A9F" w:rsidRDefault="00937A9F" w:rsidP="00937A9F">
      <w:pPr>
        <w:jc w:val="both"/>
        <w:rPr>
          <w:lang w:val="en-US"/>
        </w:rPr>
      </w:pPr>
      <w:r w:rsidRPr="00937A9F">
        <w:rPr>
          <w:lang w:val="en-US"/>
        </w:rPr>
        <w:t>Before the training was given, 71.1% of the students who participated in the survey stated that no bread was thrown into the garbage at their homes, 52.5% did not throw any food, and 67.2% generally looked at the expiration date of food products during shopping. The students participating in the survey stated that after the training, 83.3% of them do not throw any bread into the garbage at their homes, 64.5% of them do not eat at all, and 88.3% of them generally look at the expiration date of food products during shopping.</w:t>
      </w:r>
    </w:p>
    <w:p w:rsidR="00937A9F" w:rsidRPr="00937A9F" w:rsidRDefault="000320F3" w:rsidP="00937A9F">
      <w:pPr>
        <w:jc w:val="both"/>
        <w:rPr>
          <w:b/>
          <w:lang w:val="en-US"/>
        </w:rPr>
      </w:pPr>
      <w:r>
        <w:rPr>
          <w:b/>
          <w:lang w:val="en-US"/>
        </w:rPr>
        <w:t>D</w:t>
      </w:r>
      <w:r w:rsidRPr="000320F3">
        <w:rPr>
          <w:b/>
          <w:lang w:val="en-US"/>
        </w:rPr>
        <w:t>iscussion</w:t>
      </w:r>
    </w:p>
    <w:p w:rsidR="00937A9F" w:rsidRPr="00937A9F" w:rsidRDefault="00937A9F" w:rsidP="00937A9F">
      <w:pPr>
        <w:jc w:val="both"/>
        <w:rPr>
          <w:lang w:val="en-US"/>
        </w:rPr>
      </w:pPr>
      <w:r w:rsidRPr="00937A9F">
        <w:rPr>
          <w:lang w:val="en-US"/>
        </w:rPr>
        <w:t>Tarsus University students participating in the study showed a higher sensitivity to food waste and environmental problems than before the education, according to the results of the survey conducted after the training provided. The high rates obtained from the answers given to the questions after the training show that if the university students are informed about food waste and environment, they are more sensitive and the education given is successful.</w:t>
      </w:r>
    </w:p>
    <w:p w:rsidR="00937A9F" w:rsidRPr="00937A9F" w:rsidRDefault="00937A9F" w:rsidP="00937A9F">
      <w:pPr>
        <w:jc w:val="both"/>
        <w:rPr>
          <w:lang w:val="en-US"/>
        </w:rPr>
      </w:pPr>
      <w:r w:rsidRPr="00937A9F">
        <w:rPr>
          <w:lang w:val="en-US"/>
        </w:rPr>
        <w:t>As a result, it has been seen that similar social responsibility projects should be implemented frequently on the issues of food waste and its effects on the environment, economy and social life in order to raise awareness in the society.</w:t>
      </w:r>
    </w:p>
    <w:p w:rsidR="00937A9F" w:rsidRPr="00937A9F" w:rsidRDefault="00937A9F" w:rsidP="00937A9F">
      <w:pPr>
        <w:jc w:val="both"/>
        <w:rPr>
          <w:lang w:val="en-US"/>
        </w:rPr>
      </w:pPr>
      <w:r w:rsidRPr="00937A9F">
        <w:rPr>
          <w:b/>
          <w:lang w:val="en-US"/>
        </w:rPr>
        <w:t>Keywords:</w:t>
      </w:r>
      <w:r w:rsidRPr="00937A9F">
        <w:rPr>
          <w:lang w:val="en-US"/>
        </w:rPr>
        <w:t xml:space="preserve"> University, student, home, food, waste, environment</w:t>
      </w:r>
    </w:p>
    <w:p w:rsidR="004D4EDB" w:rsidRPr="00847F0F" w:rsidRDefault="000D480C">
      <w:r w:rsidRPr="00847F0F">
        <w:t>kbuyukakilli@tarsus.edu.tr</w:t>
      </w:r>
    </w:p>
    <w:p w:rsidR="000D480C" w:rsidRPr="00847F0F" w:rsidRDefault="000D480C">
      <w:r w:rsidRPr="00847F0F">
        <w:t>5364279168</w:t>
      </w:r>
    </w:p>
    <w:p w:rsidR="00C36204" w:rsidRPr="00847F0F" w:rsidRDefault="00C36204"/>
    <w:p w:rsidR="00C36204" w:rsidRPr="00847F0F" w:rsidRDefault="00C36204" w:rsidP="00C36204">
      <w:pPr>
        <w:jc w:val="both"/>
        <w:rPr>
          <w:b/>
        </w:rPr>
      </w:pPr>
      <w:r w:rsidRPr="00847F0F">
        <w:rPr>
          <w:b/>
        </w:rPr>
        <w:t>1. Giriş</w:t>
      </w:r>
    </w:p>
    <w:p w:rsidR="00C36204" w:rsidRPr="00847F0F" w:rsidRDefault="00C36204" w:rsidP="00C36204">
      <w:pPr>
        <w:jc w:val="both"/>
      </w:pPr>
      <w:r w:rsidRPr="00847F0F">
        <w:t xml:space="preserve">Sorumluluk kavramı, kişinin kendi davranışlarının veya kendi yetki alanına giren herhangi bir olayın farkında olması ve davranışlarının ve durumların sonuçlarını üstlenmesi olarak tanımlanmaktadır (Y. Özen, 2013). Sosyal sorumluluk, toplumun refah düzeyini ve yaşam standardını yükseltici faaliyetlere gönüllü olarak katılımda bulunmaktır (M. Erol ve ark., 2010). Halkla ilişkiler sosyal sorumluluğun uygulamasıdır.  Maksimum sayrıdaki insana maksimum mutluluk felsefesini benimsenmesidir (F.B. Peltekoğlu, 1993). </w:t>
      </w:r>
    </w:p>
    <w:p w:rsidR="00C36204" w:rsidRPr="00847F0F" w:rsidRDefault="00C36204" w:rsidP="00C36204">
      <w:pPr>
        <w:jc w:val="both"/>
      </w:pPr>
      <w:r w:rsidRPr="00847F0F">
        <w:t>Günümüzde oldukça önemli bir yere sahip olan sosyal sorumluluk gerek bireyler gerekse işletmeler açısından bir bilinç olarak kabul edilmektedir. Sosyal sorumluluk bireysel açıdan ele alındığında bireyin toplumsal gelişime katkı bağlamında kendini sorumlu hissetmesi, gönüllü olarak çeşitli sivil toplum kuruluşlarına üye olması ve bu kuruluşlarla ortak çeşitli çalışmalar yürütmesi bireysel bazda önemli bir sosyal sorumluluk bilinci göstergesi olarak kabul edilmektedir (Göztaş, Baytekin, 2012: 2000). Sosyal sorumluluk, bir sosyal anlaşma ve uzlaşmaya girişmedir. Sosyal anlaşma, iki ya da daha fazla kişi veya kuruluşun aralarındaki ilişkilerden meydana gelen karşılıklı anlayış ve bekleyişler bütünüdür (Eren, 2006: 48; Akım, 2010: 7).</w:t>
      </w:r>
    </w:p>
    <w:p w:rsidR="00C36204" w:rsidRPr="00847F0F" w:rsidRDefault="00C36204" w:rsidP="00C36204">
      <w:pPr>
        <w:jc w:val="both"/>
      </w:pPr>
      <w:r w:rsidRPr="00847F0F">
        <w:t xml:space="preserve">Meslek Yüksekokullarının amaç ve işlevleri mevcut yasalarda ağırlıklı olarak eğitim-öğretim bazında açıklanmıştır. Oysa meslek yüksekokullarının amaç ve işlevlerinin sadece eğitim-öğretimle ve bilgi </w:t>
      </w:r>
      <w:r w:rsidRPr="00847F0F">
        <w:lastRenderedPageBreak/>
        <w:t>aktarımı ile sınırlandırılması yanlış olacaktır. Nitekim Yüksek Öğretim Kanununda, yükseköğretim kurumlarının temel görevleri arasında, ülkenin bilimsel, kültürel, sosyal ve ekonomik yönden ilerlemesini ve gelişmesini ilgilendiren sorunların çözümüne katkıda bulunmak amacıyla, diğer kuruluşlarla işbirliği ile çeşitli çalışma ve araştırmalar yapması sayılmaktadır (Kahraman ve Öktem, 2002: 86; akt: Örs, 2003: 4). Bu görevler, meslek yüksekokulları açısından çok daha önemli ve yaşamsaldır. Çünkü özellikle küçük yerleşim birimlerinde yer alan meslek yüksekokulları çevresiyle, yöre halkıyla, toplumsal, sosyal, kültürel ve ekonomik kurum ve örgütlerle daha yakın ve sıkı ilişkiler içinde bulunmaktadırlar (Örs, 2003: 4).</w:t>
      </w:r>
    </w:p>
    <w:p w:rsidR="00C36204" w:rsidRPr="00847F0F" w:rsidRDefault="00C36204" w:rsidP="00C36204">
      <w:pPr>
        <w:jc w:val="both"/>
      </w:pPr>
      <w:r w:rsidRPr="00847F0F">
        <w:t>Gıda zincirinin her aşamasında çeşitli nedenler ile yenilebilir gıdalar kayba uğramakta ya da israf edilmektedir. FAO tahminlerine göre dünya gıda üretiminin 1/3’ü kayıp ve israfa uğramaktadır ki bu miktar üç milyar kişinin beslenmesine yetecek düzeydedir ve bunun yıllık maliyeyi 940 milyar dolardır (www.fao.org/save-food). Bu sorun son yıllarda ulusal, bölgesel ve uluslararası platformlarda merak edilen ve önlenmesi için çaba harcanan açlık, iklim değişikliği gibi konuların arasına girmiştir. Önleyici çabalarla birlikte problemi tanıtan, gıda kaybının/israfının bir problem olduğunu ortaya koyan çabalar da giderek artmaktadır (Bagherzadeh, at al.2014).</w:t>
      </w:r>
    </w:p>
    <w:p w:rsidR="00C36204" w:rsidRPr="00847F0F" w:rsidRDefault="00C36204" w:rsidP="00C36204">
      <w:pPr>
        <w:jc w:val="both"/>
      </w:pPr>
      <w:r w:rsidRPr="00847F0F">
        <w:t>Gıda israfının azaltılması birçok paydaşın birlikte hareketi ile mümkündür.</w:t>
      </w:r>
      <w:r w:rsidR="008C397B">
        <w:t xml:space="preserve"> </w:t>
      </w:r>
      <w:r w:rsidRPr="00847F0F">
        <w:t>Hükümetler, özel sektör, ulusal ve yerel örgütler, üniversiteler ve STK’lar kendi etki alanlarında öncelik ve amaçlarına göre gıda savurganlığını farklı yöntemler ile belirlemesi doğru önlemlerin alınmasını sağlayacaktır (Dölekoğlu, 2016).</w:t>
      </w:r>
    </w:p>
    <w:p w:rsidR="00C36204" w:rsidRPr="00847F0F" w:rsidRDefault="00C36204" w:rsidP="00C36204">
      <w:pPr>
        <w:jc w:val="both"/>
      </w:pPr>
      <w:r w:rsidRPr="00847F0F">
        <w:t xml:space="preserve">Projenin hedef kitlesi Tarsus Üniversitesi öğrencileridir. Öğrenciler gıda israfının olduğunu bilmekte fakat yapılması gerekeni yapmamakta, gereken adımları atmamaktadır. Proje çalışmaları ile öğrencilerde bu motivasyon sağlanacaktır. </w:t>
      </w:r>
    </w:p>
    <w:p w:rsidR="00C36204" w:rsidRPr="00847F0F" w:rsidRDefault="00C36204" w:rsidP="00C36204">
      <w:pPr>
        <w:jc w:val="both"/>
        <w:rPr>
          <w:b/>
        </w:rPr>
      </w:pPr>
      <w:r w:rsidRPr="00847F0F">
        <w:rPr>
          <w:b/>
        </w:rPr>
        <w:t>2. Gereçler</w:t>
      </w:r>
    </w:p>
    <w:p w:rsidR="00C36204" w:rsidRPr="00847F0F" w:rsidRDefault="00C36204" w:rsidP="00C36204">
      <w:pPr>
        <w:jc w:val="both"/>
      </w:pPr>
      <w:r w:rsidRPr="00847F0F">
        <w:t>Eğitim Google Meet üzerinden on-line olarak gerçekleştirilecektir. Anket Google Formlar üzerinden uygulanacak ve değerlendirilecektir. Uygulanan anket üç bölümden oluşmaktadır. Birinci bölümde kişisel ve aile ile ilgili bilgiler yer almaktadır. İkinci bölümde ise farkındalık yaratma soruları bulunmaktadır. Üçüncü ve son bölümde de ölçme ve değerlendirme amaçlı sorgulamalar yapılmaktadır.</w:t>
      </w:r>
    </w:p>
    <w:p w:rsidR="00C36204" w:rsidRPr="00847F0F" w:rsidRDefault="00C36204" w:rsidP="00C36204">
      <w:pPr>
        <w:jc w:val="both"/>
        <w:rPr>
          <w:b/>
        </w:rPr>
      </w:pPr>
      <w:r w:rsidRPr="00847F0F">
        <w:rPr>
          <w:b/>
        </w:rPr>
        <w:t>3. Yöntem</w:t>
      </w:r>
    </w:p>
    <w:p w:rsidR="0072581A" w:rsidRPr="00847F0F" w:rsidRDefault="0072581A" w:rsidP="0072581A">
      <w:pPr>
        <w:jc w:val="both"/>
      </w:pPr>
      <w:r w:rsidRPr="00847F0F">
        <w:t>Çalışmada öğrencilere verilen farkındalık eğitiminin gıda israfını önleyip önlemediğine katkısı araştırılmıştır. Tarsus Üniversitesi öğrencilerine evlerde gıda israfı ve bu israfın sosyal, ekonomik ve ekolojik boyutları konulu bir anket uygulanmıştır. Anket uygulamasından sonra öğrencilere aynı konuda çevrimiçi olarak, web üzerinden bir eğitim verilmiş ve daha sonra aynı anketin farkındalık yaratma ve ölçme ve değerlendirme amaçlı soruları tekrar uygulanmıştır.</w:t>
      </w:r>
    </w:p>
    <w:p w:rsidR="00C36204" w:rsidRPr="00847F0F" w:rsidRDefault="00C36204" w:rsidP="00C36204">
      <w:pPr>
        <w:jc w:val="both"/>
        <w:rPr>
          <w:b/>
        </w:rPr>
      </w:pPr>
      <w:r w:rsidRPr="00847F0F">
        <w:rPr>
          <w:b/>
        </w:rPr>
        <w:t>4. Bulgular</w:t>
      </w:r>
    </w:p>
    <w:p w:rsidR="00C36204" w:rsidRPr="00956707" w:rsidRDefault="00C36204" w:rsidP="00956707">
      <w:pPr>
        <w:pStyle w:val="ListeParagraf"/>
        <w:numPr>
          <w:ilvl w:val="1"/>
          <w:numId w:val="20"/>
        </w:numPr>
        <w:rPr>
          <w:b/>
        </w:rPr>
      </w:pPr>
      <w:r w:rsidRPr="00956707">
        <w:rPr>
          <w:b/>
        </w:rPr>
        <w:t>Ankete Katılan Öğrencilerin Cinsiyet Dağılımı</w:t>
      </w:r>
    </w:p>
    <w:p w:rsidR="00C36204" w:rsidRPr="00847F0F" w:rsidRDefault="00C36204" w:rsidP="00C36204">
      <w:pPr>
        <w:jc w:val="both"/>
      </w:pPr>
      <w:r w:rsidRPr="00847F0F">
        <w:t>Ankete katılan öğrencilerin cinsiyet dağılımı Tablo 1’de verilmiştir. Bu tabloya göre, cevap veren öğrenci sayısı 228’dir. Soruları cevaplandıran öğrencilerin 143’ünün kadın ve 85’inin erkek olduğu görülmektedir.</w:t>
      </w:r>
    </w:p>
    <w:p w:rsidR="00C36204" w:rsidRPr="00847F0F" w:rsidRDefault="00C36204" w:rsidP="00C36204">
      <w:pPr>
        <w:jc w:val="center"/>
      </w:pPr>
      <w:r w:rsidRPr="00847F0F">
        <w:lastRenderedPageBreak/>
        <w:t>Tablo 1: Ankete katılanların cinsiyet dağılımı</w:t>
      </w:r>
    </w:p>
    <w:tbl>
      <w:tblPr>
        <w:tblStyle w:val="TabloKlavuzu"/>
        <w:tblW w:w="0" w:type="auto"/>
        <w:jc w:val="center"/>
        <w:tblLook w:val="04A0"/>
      </w:tblPr>
      <w:tblGrid>
        <w:gridCol w:w="587"/>
        <w:gridCol w:w="736"/>
        <w:gridCol w:w="724"/>
        <w:gridCol w:w="903"/>
      </w:tblGrid>
      <w:tr w:rsidR="00C36204" w:rsidRPr="00847F0F" w:rsidTr="0072581A">
        <w:trPr>
          <w:jc w:val="center"/>
        </w:trPr>
        <w:tc>
          <w:tcPr>
            <w:tcW w:w="0" w:type="auto"/>
          </w:tcPr>
          <w:p w:rsidR="00C36204" w:rsidRPr="00847F0F" w:rsidRDefault="00C36204" w:rsidP="0072581A">
            <w:pPr>
              <w:rPr>
                <w:b/>
              </w:rPr>
            </w:pPr>
          </w:p>
        </w:tc>
        <w:tc>
          <w:tcPr>
            <w:tcW w:w="0" w:type="auto"/>
          </w:tcPr>
          <w:p w:rsidR="00C36204" w:rsidRPr="00847F0F" w:rsidRDefault="00C36204" w:rsidP="0072581A">
            <w:pPr>
              <w:jc w:val="center"/>
              <w:rPr>
                <w:b/>
              </w:rPr>
            </w:pPr>
            <w:r w:rsidRPr="00847F0F">
              <w:rPr>
                <w:b/>
              </w:rPr>
              <w:t>Kadın</w:t>
            </w:r>
          </w:p>
        </w:tc>
        <w:tc>
          <w:tcPr>
            <w:tcW w:w="0" w:type="auto"/>
          </w:tcPr>
          <w:p w:rsidR="00C36204" w:rsidRPr="00847F0F" w:rsidRDefault="00C36204" w:rsidP="0072581A">
            <w:pPr>
              <w:jc w:val="center"/>
              <w:rPr>
                <w:b/>
              </w:rPr>
            </w:pPr>
            <w:r w:rsidRPr="00847F0F">
              <w:rPr>
                <w:b/>
              </w:rPr>
              <w:t>Erkek</w:t>
            </w:r>
          </w:p>
        </w:tc>
        <w:tc>
          <w:tcPr>
            <w:tcW w:w="0" w:type="auto"/>
          </w:tcPr>
          <w:p w:rsidR="00C36204" w:rsidRPr="00847F0F" w:rsidRDefault="00C36204" w:rsidP="0072581A">
            <w:pPr>
              <w:jc w:val="center"/>
              <w:rPr>
                <w:b/>
              </w:rPr>
            </w:pPr>
            <w:r w:rsidRPr="00847F0F">
              <w:rPr>
                <w:b/>
              </w:rPr>
              <w:t>Toplam</w:t>
            </w:r>
          </w:p>
        </w:tc>
      </w:tr>
      <w:tr w:rsidR="00C36204" w:rsidRPr="00847F0F" w:rsidTr="0072581A">
        <w:trPr>
          <w:jc w:val="center"/>
        </w:trPr>
        <w:tc>
          <w:tcPr>
            <w:tcW w:w="0" w:type="auto"/>
          </w:tcPr>
          <w:p w:rsidR="00C36204" w:rsidRPr="00847F0F" w:rsidRDefault="00C36204" w:rsidP="0072581A">
            <w:pPr>
              <w:rPr>
                <w:b/>
              </w:rPr>
            </w:pPr>
            <w:r w:rsidRPr="00847F0F">
              <w:rPr>
                <w:b/>
              </w:rPr>
              <w:t>Sayı</w:t>
            </w:r>
          </w:p>
        </w:tc>
        <w:tc>
          <w:tcPr>
            <w:tcW w:w="0" w:type="auto"/>
          </w:tcPr>
          <w:p w:rsidR="00C36204" w:rsidRPr="00847F0F" w:rsidRDefault="00C36204" w:rsidP="0072581A">
            <w:pPr>
              <w:jc w:val="center"/>
            </w:pPr>
            <w:r w:rsidRPr="00847F0F">
              <w:t>143</w:t>
            </w:r>
          </w:p>
        </w:tc>
        <w:tc>
          <w:tcPr>
            <w:tcW w:w="0" w:type="auto"/>
          </w:tcPr>
          <w:p w:rsidR="00C36204" w:rsidRPr="00847F0F" w:rsidRDefault="00C36204" w:rsidP="0072581A">
            <w:pPr>
              <w:jc w:val="center"/>
            </w:pPr>
            <w:r w:rsidRPr="00847F0F">
              <w:t>85</w:t>
            </w:r>
          </w:p>
        </w:tc>
        <w:tc>
          <w:tcPr>
            <w:tcW w:w="0" w:type="auto"/>
          </w:tcPr>
          <w:p w:rsidR="00C36204" w:rsidRPr="00847F0F" w:rsidRDefault="00C36204" w:rsidP="0072581A">
            <w:pPr>
              <w:jc w:val="center"/>
            </w:pPr>
            <w:r w:rsidRPr="00847F0F">
              <w:t>228</w:t>
            </w:r>
          </w:p>
        </w:tc>
      </w:tr>
      <w:tr w:rsidR="00C36204" w:rsidRPr="00847F0F" w:rsidTr="0072581A">
        <w:trPr>
          <w:jc w:val="center"/>
        </w:trPr>
        <w:tc>
          <w:tcPr>
            <w:tcW w:w="0" w:type="auto"/>
          </w:tcPr>
          <w:p w:rsidR="00C36204" w:rsidRPr="00847F0F" w:rsidRDefault="00C36204" w:rsidP="0072581A">
            <w:pPr>
              <w:jc w:val="center"/>
              <w:rPr>
                <w:b/>
              </w:rPr>
            </w:pPr>
            <w:r w:rsidRPr="00847F0F">
              <w:rPr>
                <w:b/>
              </w:rPr>
              <w:t>%</w:t>
            </w:r>
          </w:p>
        </w:tc>
        <w:tc>
          <w:tcPr>
            <w:tcW w:w="0" w:type="auto"/>
          </w:tcPr>
          <w:p w:rsidR="00C36204" w:rsidRPr="00847F0F" w:rsidRDefault="00C36204" w:rsidP="0072581A">
            <w:pPr>
              <w:jc w:val="center"/>
            </w:pPr>
            <w:r w:rsidRPr="00847F0F">
              <w:t>62,7</w:t>
            </w:r>
          </w:p>
        </w:tc>
        <w:tc>
          <w:tcPr>
            <w:tcW w:w="0" w:type="auto"/>
          </w:tcPr>
          <w:p w:rsidR="00C36204" w:rsidRPr="00847F0F" w:rsidRDefault="00C36204" w:rsidP="0072581A">
            <w:pPr>
              <w:jc w:val="center"/>
            </w:pPr>
            <w:r w:rsidRPr="00847F0F">
              <w:t>37,3</w:t>
            </w:r>
          </w:p>
        </w:tc>
        <w:tc>
          <w:tcPr>
            <w:tcW w:w="0" w:type="auto"/>
          </w:tcPr>
          <w:p w:rsidR="00C36204" w:rsidRPr="00847F0F" w:rsidRDefault="00C36204" w:rsidP="0072581A">
            <w:pPr>
              <w:jc w:val="center"/>
            </w:pPr>
            <w:r w:rsidRPr="00847F0F">
              <w:t>100</w:t>
            </w:r>
          </w:p>
        </w:tc>
      </w:tr>
    </w:tbl>
    <w:p w:rsidR="00EF3FFD" w:rsidRDefault="00EF3FFD" w:rsidP="00C36204">
      <w:pPr>
        <w:jc w:val="both"/>
      </w:pPr>
    </w:p>
    <w:p w:rsidR="00C36204" w:rsidRPr="00847F0F" w:rsidRDefault="00C36204" w:rsidP="00C36204">
      <w:pPr>
        <w:jc w:val="both"/>
      </w:pPr>
      <w:r w:rsidRPr="00847F0F">
        <w:t>Ankete katılanların cinsiyetlerine göre dağılımı Grafik 1’de de verilmiştir. Buna göre soruları cevaplandıran öğrencilerin % 62,7’si kadın ve % 37,3’ü erkektir.</w:t>
      </w:r>
    </w:p>
    <w:p w:rsidR="00C36204" w:rsidRPr="00847F0F" w:rsidRDefault="00C36204" w:rsidP="00C36204">
      <w:pPr>
        <w:jc w:val="center"/>
      </w:pPr>
      <w:r w:rsidRPr="00847F0F">
        <w:rPr>
          <w:noProof/>
        </w:rPr>
        <w:drawing>
          <wp:inline distT="0" distB="0" distL="0" distR="0">
            <wp:extent cx="3175279" cy="1680709"/>
            <wp:effectExtent l="0" t="0" r="635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281" t="33586" r="32435" b="26626"/>
                    <a:stretch/>
                  </pic:blipFill>
                  <pic:spPr bwMode="auto">
                    <a:xfrm>
                      <a:off x="0" y="0"/>
                      <a:ext cx="3195204" cy="1691256"/>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36204" w:rsidRPr="00847F0F" w:rsidRDefault="00C36204" w:rsidP="00C36204">
      <w:pPr>
        <w:jc w:val="center"/>
      </w:pPr>
      <w:r w:rsidRPr="00847F0F">
        <w:t>Grafik 1: Ankete katılanların cinsiyet dağılımı</w:t>
      </w:r>
    </w:p>
    <w:p w:rsidR="00C36204" w:rsidRPr="00956707" w:rsidRDefault="00C36204" w:rsidP="00956707">
      <w:pPr>
        <w:pStyle w:val="ListeParagraf"/>
        <w:numPr>
          <w:ilvl w:val="1"/>
          <w:numId w:val="20"/>
        </w:numPr>
        <w:rPr>
          <w:b/>
        </w:rPr>
      </w:pPr>
      <w:r w:rsidRPr="00956707">
        <w:rPr>
          <w:b/>
        </w:rPr>
        <w:t>Ankete Katılan Öğrencilerin Aile Üyelerinin Sayısı</w:t>
      </w:r>
    </w:p>
    <w:p w:rsidR="00C36204" w:rsidRPr="00847F0F" w:rsidRDefault="00C36204" w:rsidP="00C36204">
      <w:pPr>
        <w:jc w:val="both"/>
      </w:pPr>
      <w:r w:rsidRPr="00847F0F">
        <w:t>Ankete katılan öğrencilerin aile üyelerinin sayısı dağılımı Tablo 2’de verilmiştir. Bu soruya cevap veren öğrenci sayısı 232’dir. Soruları cevaplandıran öğrencilerin 214’ünün aile üyeleri sayısın 4-6 arasında ve 28’inin aile üyelerinin sayısının 1-4 olduğu görülmektedir.</w:t>
      </w:r>
    </w:p>
    <w:p w:rsidR="00C36204" w:rsidRPr="00847F0F" w:rsidRDefault="00C36204" w:rsidP="00C36204">
      <w:pPr>
        <w:jc w:val="center"/>
      </w:pPr>
      <w:r w:rsidRPr="00847F0F">
        <w:t>Tablo 2: Ankete katılan öğrencilerin aile üyelerinin sayısı dağılımı</w:t>
      </w:r>
    </w:p>
    <w:tbl>
      <w:tblPr>
        <w:tblStyle w:val="TabloKlavuzu"/>
        <w:tblW w:w="0" w:type="auto"/>
        <w:jc w:val="center"/>
        <w:tblLook w:val="04A0"/>
      </w:tblPr>
      <w:tblGrid>
        <w:gridCol w:w="2126"/>
        <w:gridCol w:w="1130"/>
        <w:gridCol w:w="1166"/>
      </w:tblGrid>
      <w:tr w:rsidR="00C36204" w:rsidRPr="00847F0F" w:rsidTr="0072581A">
        <w:trPr>
          <w:jc w:val="center"/>
        </w:trPr>
        <w:tc>
          <w:tcPr>
            <w:tcW w:w="0" w:type="auto"/>
            <w:vMerge w:val="restart"/>
            <w:vAlign w:val="center"/>
          </w:tcPr>
          <w:p w:rsidR="00C36204" w:rsidRPr="00847F0F" w:rsidRDefault="00C36204" w:rsidP="0072581A">
            <w:pPr>
              <w:jc w:val="center"/>
              <w:rPr>
                <w:b/>
              </w:rPr>
            </w:pPr>
            <w:r w:rsidRPr="00847F0F">
              <w:rPr>
                <w:b/>
              </w:rPr>
              <w:t>Aile Üyelerinin Sayısı</w:t>
            </w:r>
          </w:p>
        </w:tc>
        <w:tc>
          <w:tcPr>
            <w:tcW w:w="0" w:type="auto"/>
            <w:gridSpan w:val="2"/>
          </w:tcPr>
          <w:p w:rsidR="00C36204" w:rsidRPr="00847F0F" w:rsidRDefault="00C36204" w:rsidP="0072581A">
            <w:pPr>
              <w:jc w:val="center"/>
              <w:rPr>
                <w:b/>
              </w:rPr>
            </w:pPr>
            <w:r w:rsidRPr="00847F0F">
              <w:rPr>
                <w:b/>
              </w:rPr>
              <w:t>Soruya Cevap Verenler</w:t>
            </w:r>
          </w:p>
        </w:tc>
      </w:tr>
      <w:tr w:rsidR="00C36204" w:rsidRPr="00847F0F" w:rsidTr="0072581A">
        <w:trPr>
          <w:jc w:val="center"/>
        </w:trPr>
        <w:tc>
          <w:tcPr>
            <w:tcW w:w="0" w:type="auto"/>
            <w:vMerge/>
          </w:tcPr>
          <w:p w:rsidR="00C36204" w:rsidRPr="00847F0F" w:rsidRDefault="00C36204" w:rsidP="0072581A">
            <w:pPr>
              <w:jc w:val="center"/>
              <w:rPr>
                <w:b/>
              </w:rPr>
            </w:pPr>
          </w:p>
        </w:tc>
        <w:tc>
          <w:tcPr>
            <w:tcW w:w="0" w:type="auto"/>
          </w:tcPr>
          <w:p w:rsidR="00C36204" w:rsidRPr="00847F0F" w:rsidRDefault="00C36204" w:rsidP="0072581A">
            <w:pPr>
              <w:jc w:val="center"/>
              <w:rPr>
                <w:b/>
              </w:rPr>
            </w:pPr>
            <w:r w:rsidRPr="00847F0F">
              <w:rPr>
                <w:b/>
              </w:rPr>
              <w:t>Sayı</w:t>
            </w:r>
          </w:p>
        </w:tc>
        <w:tc>
          <w:tcPr>
            <w:tcW w:w="0" w:type="auto"/>
          </w:tcPr>
          <w:p w:rsidR="00C36204" w:rsidRPr="00847F0F" w:rsidRDefault="00C36204" w:rsidP="0072581A">
            <w:pPr>
              <w:jc w:val="center"/>
              <w:rPr>
                <w:b/>
              </w:rPr>
            </w:pPr>
            <w:r w:rsidRPr="00847F0F">
              <w:rPr>
                <w:b/>
              </w:rPr>
              <w:t>%</w:t>
            </w:r>
          </w:p>
        </w:tc>
      </w:tr>
      <w:tr w:rsidR="00C36204" w:rsidRPr="00847F0F" w:rsidTr="0072581A">
        <w:trPr>
          <w:jc w:val="center"/>
        </w:trPr>
        <w:tc>
          <w:tcPr>
            <w:tcW w:w="0" w:type="auto"/>
          </w:tcPr>
          <w:p w:rsidR="00C36204" w:rsidRPr="00847F0F" w:rsidRDefault="00C36204" w:rsidP="0072581A">
            <w:pPr>
              <w:jc w:val="center"/>
              <w:rPr>
                <w:b/>
              </w:rPr>
            </w:pPr>
            <w:r w:rsidRPr="00847F0F">
              <w:rPr>
                <w:b/>
              </w:rPr>
              <w:t>1</w:t>
            </w:r>
          </w:p>
        </w:tc>
        <w:tc>
          <w:tcPr>
            <w:tcW w:w="0" w:type="auto"/>
          </w:tcPr>
          <w:p w:rsidR="00C36204" w:rsidRPr="00847F0F" w:rsidRDefault="00C36204" w:rsidP="0072581A">
            <w:pPr>
              <w:jc w:val="center"/>
            </w:pPr>
            <w:r w:rsidRPr="00847F0F">
              <w:t>1</w:t>
            </w:r>
          </w:p>
        </w:tc>
        <w:tc>
          <w:tcPr>
            <w:tcW w:w="0" w:type="auto"/>
          </w:tcPr>
          <w:p w:rsidR="00C36204" w:rsidRPr="00847F0F" w:rsidRDefault="00C36204" w:rsidP="0072581A">
            <w:pPr>
              <w:jc w:val="center"/>
            </w:pPr>
            <w:r w:rsidRPr="00847F0F">
              <w:t>0,4</w:t>
            </w:r>
          </w:p>
        </w:tc>
      </w:tr>
      <w:tr w:rsidR="00C36204" w:rsidRPr="00847F0F" w:rsidTr="0072581A">
        <w:trPr>
          <w:jc w:val="center"/>
        </w:trPr>
        <w:tc>
          <w:tcPr>
            <w:tcW w:w="0" w:type="auto"/>
          </w:tcPr>
          <w:p w:rsidR="00C36204" w:rsidRPr="00847F0F" w:rsidRDefault="00C36204" w:rsidP="0072581A">
            <w:pPr>
              <w:jc w:val="center"/>
              <w:rPr>
                <w:b/>
              </w:rPr>
            </w:pPr>
            <w:r w:rsidRPr="00847F0F">
              <w:rPr>
                <w:b/>
              </w:rPr>
              <w:t>2</w:t>
            </w:r>
          </w:p>
        </w:tc>
        <w:tc>
          <w:tcPr>
            <w:tcW w:w="0" w:type="auto"/>
          </w:tcPr>
          <w:p w:rsidR="00C36204" w:rsidRPr="00847F0F" w:rsidRDefault="00C36204" w:rsidP="0072581A">
            <w:pPr>
              <w:jc w:val="center"/>
            </w:pPr>
            <w:r w:rsidRPr="00847F0F">
              <w:t>8</w:t>
            </w:r>
          </w:p>
        </w:tc>
        <w:tc>
          <w:tcPr>
            <w:tcW w:w="0" w:type="auto"/>
          </w:tcPr>
          <w:p w:rsidR="00C36204" w:rsidRPr="00847F0F" w:rsidRDefault="00C36204" w:rsidP="0072581A">
            <w:pPr>
              <w:jc w:val="center"/>
            </w:pPr>
            <w:r w:rsidRPr="00847F0F">
              <w:t>3,4</w:t>
            </w:r>
          </w:p>
        </w:tc>
      </w:tr>
      <w:tr w:rsidR="00C36204" w:rsidRPr="00847F0F" w:rsidTr="0072581A">
        <w:trPr>
          <w:jc w:val="center"/>
        </w:trPr>
        <w:tc>
          <w:tcPr>
            <w:tcW w:w="0" w:type="auto"/>
          </w:tcPr>
          <w:p w:rsidR="00C36204" w:rsidRPr="00847F0F" w:rsidRDefault="00C36204" w:rsidP="0072581A">
            <w:pPr>
              <w:jc w:val="center"/>
              <w:rPr>
                <w:b/>
              </w:rPr>
            </w:pPr>
            <w:r w:rsidRPr="00847F0F">
              <w:rPr>
                <w:b/>
              </w:rPr>
              <w:t>3</w:t>
            </w:r>
          </w:p>
        </w:tc>
        <w:tc>
          <w:tcPr>
            <w:tcW w:w="0" w:type="auto"/>
          </w:tcPr>
          <w:p w:rsidR="00C36204" w:rsidRPr="00847F0F" w:rsidRDefault="00C36204" w:rsidP="0072581A">
            <w:pPr>
              <w:jc w:val="center"/>
            </w:pPr>
            <w:r w:rsidRPr="00847F0F">
              <w:t>19</w:t>
            </w:r>
          </w:p>
        </w:tc>
        <w:tc>
          <w:tcPr>
            <w:tcW w:w="0" w:type="auto"/>
          </w:tcPr>
          <w:p w:rsidR="00C36204" w:rsidRPr="00847F0F" w:rsidRDefault="00C36204" w:rsidP="0072581A">
            <w:pPr>
              <w:jc w:val="center"/>
            </w:pPr>
            <w:r w:rsidRPr="00847F0F">
              <w:t>8,2</w:t>
            </w:r>
          </w:p>
        </w:tc>
      </w:tr>
      <w:tr w:rsidR="00C36204" w:rsidRPr="00847F0F" w:rsidTr="0072581A">
        <w:trPr>
          <w:jc w:val="center"/>
        </w:trPr>
        <w:tc>
          <w:tcPr>
            <w:tcW w:w="0" w:type="auto"/>
          </w:tcPr>
          <w:p w:rsidR="00C36204" w:rsidRPr="00847F0F" w:rsidRDefault="00C36204" w:rsidP="0072581A">
            <w:pPr>
              <w:jc w:val="center"/>
              <w:rPr>
                <w:b/>
              </w:rPr>
            </w:pPr>
            <w:r w:rsidRPr="00847F0F">
              <w:rPr>
                <w:b/>
              </w:rPr>
              <w:t>4</w:t>
            </w:r>
          </w:p>
        </w:tc>
        <w:tc>
          <w:tcPr>
            <w:tcW w:w="0" w:type="auto"/>
          </w:tcPr>
          <w:p w:rsidR="00C36204" w:rsidRPr="00847F0F" w:rsidRDefault="00C36204" w:rsidP="0072581A">
            <w:pPr>
              <w:jc w:val="center"/>
            </w:pPr>
            <w:r w:rsidRPr="00847F0F">
              <w:t>76</w:t>
            </w:r>
          </w:p>
        </w:tc>
        <w:tc>
          <w:tcPr>
            <w:tcW w:w="0" w:type="auto"/>
          </w:tcPr>
          <w:p w:rsidR="00C36204" w:rsidRPr="00847F0F" w:rsidRDefault="00C36204" w:rsidP="0072581A">
            <w:pPr>
              <w:jc w:val="center"/>
            </w:pPr>
            <w:r w:rsidRPr="00847F0F">
              <w:t>32,8</w:t>
            </w:r>
          </w:p>
        </w:tc>
      </w:tr>
      <w:tr w:rsidR="00C36204" w:rsidRPr="00847F0F" w:rsidTr="0072581A">
        <w:trPr>
          <w:jc w:val="center"/>
        </w:trPr>
        <w:tc>
          <w:tcPr>
            <w:tcW w:w="0" w:type="auto"/>
          </w:tcPr>
          <w:p w:rsidR="00C36204" w:rsidRPr="00847F0F" w:rsidRDefault="00C36204" w:rsidP="0072581A">
            <w:pPr>
              <w:jc w:val="center"/>
              <w:rPr>
                <w:b/>
              </w:rPr>
            </w:pPr>
            <w:r w:rsidRPr="00847F0F">
              <w:rPr>
                <w:b/>
              </w:rPr>
              <w:t>5</w:t>
            </w:r>
          </w:p>
        </w:tc>
        <w:tc>
          <w:tcPr>
            <w:tcW w:w="0" w:type="auto"/>
          </w:tcPr>
          <w:p w:rsidR="00C36204" w:rsidRPr="00847F0F" w:rsidRDefault="00C36204" w:rsidP="0072581A">
            <w:pPr>
              <w:jc w:val="center"/>
            </w:pPr>
            <w:r w:rsidRPr="00847F0F">
              <w:t>57</w:t>
            </w:r>
          </w:p>
        </w:tc>
        <w:tc>
          <w:tcPr>
            <w:tcW w:w="0" w:type="auto"/>
          </w:tcPr>
          <w:p w:rsidR="00C36204" w:rsidRPr="00847F0F" w:rsidRDefault="00C36204" w:rsidP="0072581A">
            <w:pPr>
              <w:jc w:val="center"/>
            </w:pPr>
            <w:r w:rsidRPr="00847F0F">
              <w:t>24,6</w:t>
            </w:r>
          </w:p>
        </w:tc>
      </w:tr>
      <w:tr w:rsidR="00C36204" w:rsidRPr="00847F0F" w:rsidTr="0072581A">
        <w:trPr>
          <w:jc w:val="center"/>
        </w:trPr>
        <w:tc>
          <w:tcPr>
            <w:tcW w:w="0" w:type="auto"/>
          </w:tcPr>
          <w:p w:rsidR="00C36204" w:rsidRPr="00847F0F" w:rsidRDefault="00C36204" w:rsidP="0072581A">
            <w:pPr>
              <w:jc w:val="center"/>
              <w:rPr>
                <w:b/>
              </w:rPr>
            </w:pPr>
            <w:r w:rsidRPr="00847F0F">
              <w:rPr>
                <w:b/>
              </w:rPr>
              <w:t>6</w:t>
            </w:r>
          </w:p>
        </w:tc>
        <w:tc>
          <w:tcPr>
            <w:tcW w:w="0" w:type="auto"/>
          </w:tcPr>
          <w:p w:rsidR="00C36204" w:rsidRPr="00847F0F" w:rsidRDefault="00C36204" w:rsidP="0072581A">
            <w:pPr>
              <w:jc w:val="center"/>
            </w:pPr>
            <w:r w:rsidRPr="00847F0F">
              <w:t>71</w:t>
            </w:r>
          </w:p>
        </w:tc>
        <w:tc>
          <w:tcPr>
            <w:tcW w:w="0" w:type="auto"/>
          </w:tcPr>
          <w:p w:rsidR="00C36204" w:rsidRPr="00847F0F" w:rsidRDefault="00C36204" w:rsidP="0072581A">
            <w:pPr>
              <w:jc w:val="center"/>
            </w:pPr>
            <w:r w:rsidRPr="00847F0F">
              <w:t>30,6</w:t>
            </w:r>
          </w:p>
        </w:tc>
      </w:tr>
      <w:tr w:rsidR="00C36204" w:rsidRPr="00847F0F" w:rsidTr="0072581A">
        <w:trPr>
          <w:jc w:val="center"/>
        </w:trPr>
        <w:tc>
          <w:tcPr>
            <w:tcW w:w="0" w:type="auto"/>
          </w:tcPr>
          <w:p w:rsidR="00C36204" w:rsidRPr="00847F0F" w:rsidRDefault="00C36204" w:rsidP="0072581A">
            <w:pPr>
              <w:jc w:val="right"/>
              <w:rPr>
                <w:b/>
              </w:rPr>
            </w:pPr>
            <w:r w:rsidRPr="00847F0F">
              <w:rPr>
                <w:b/>
              </w:rPr>
              <w:t>Toplam</w:t>
            </w:r>
          </w:p>
        </w:tc>
        <w:tc>
          <w:tcPr>
            <w:tcW w:w="0" w:type="auto"/>
          </w:tcPr>
          <w:p w:rsidR="00C36204" w:rsidRPr="00847F0F" w:rsidRDefault="00C36204" w:rsidP="0072581A">
            <w:pPr>
              <w:jc w:val="center"/>
              <w:rPr>
                <w:b/>
              </w:rPr>
            </w:pPr>
            <w:r w:rsidRPr="00847F0F">
              <w:rPr>
                <w:b/>
              </w:rPr>
              <w:t>232</w:t>
            </w:r>
          </w:p>
        </w:tc>
        <w:tc>
          <w:tcPr>
            <w:tcW w:w="0" w:type="auto"/>
          </w:tcPr>
          <w:p w:rsidR="00C36204" w:rsidRPr="00847F0F" w:rsidRDefault="00C36204" w:rsidP="0072581A">
            <w:pPr>
              <w:jc w:val="center"/>
              <w:rPr>
                <w:b/>
              </w:rPr>
            </w:pPr>
            <w:r w:rsidRPr="00847F0F">
              <w:rPr>
                <w:b/>
              </w:rPr>
              <w:t>100</w:t>
            </w:r>
          </w:p>
        </w:tc>
      </w:tr>
    </w:tbl>
    <w:p w:rsidR="00C36204" w:rsidRPr="00847F0F" w:rsidRDefault="00C36204" w:rsidP="00C36204">
      <w:pPr>
        <w:jc w:val="both"/>
      </w:pPr>
    </w:p>
    <w:p w:rsidR="00C36204" w:rsidRPr="00847F0F" w:rsidRDefault="00C36204" w:rsidP="00C36204">
      <w:pPr>
        <w:jc w:val="both"/>
      </w:pPr>
      <w:r w:rsidRPr="00847F0F">
        <w:t>Ankete katılan öğrencilerin aile üyelerinin yüzde dağılımı Tablo 2 ve Grafik 2’de verilmiştir. Soruları cevaplandıran öğrencilerin % 87,8’inin aile üyeleri sayısın 4-6 arasında ve % 12’sinin aile üyelerinin sayısının 1-4 olduğu görülmektedir.</w:t>
      </w:r>
    </w:p>
    <w:p w:rsidR="00C36204" w:rsidRPr="00847F0F" w:rsidRDefault="00C36204" w:rsidP="00C36204">
      <w:pPr>
        <w:jc w:val="center"/>
      </w:pPr>
      <w:r w:rsidRPr="00847F0F">
        <w:rPr>
          <w:noProof/>
        </w:rPr>
        <w:lastRenderedPageBreak/>
        <w:drawing>
          <wp:inline distT="0" distB="0" distL="0" distR="0">
            <wp:extent cx="3295860" cy="1831867"/>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6527" t="28388" r="35166" b="33761"/>
                    <a:stretch/>
                  </pic:blipFill>
                  <pic:spPr bwMode="auto">
                    <a:xfrm>
                      <a:off x="0" y="0"/>
                      <a:ext cx="3295860" cy="183186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36204" w:rsidRPr="00847F0F" w:rsidRDefault="00C36204" w:rsidP="00C36204">
      <w:pPr>
        <w:jc w:val="center"/>
      </w:pPr>
      <w:r w:rsidRPr="00847F0F">
        <w:t>Grafik 2: Ankete katılan öğrencilerin aile üyelerinin sayısı dağılımı</w:t>
      </w:r>
    </w:p>
    <w:p w:rsidR="00C36204" w:rsidRPr="00956707" w:rsidRDefault="00C36204" w:rsidP="00956707">
      <w:pPr>
        <w:pStyle w:val="ListeParagraf"/>
        <w:numPr>
          <w:ilvl w:val="1"/>
          <w:numId w:val="20"/>
        </w:numPr>
        <w:rPr>
          <w:b/>
        </w:rPr>
      </w:pPr>
      <w:r w:rsidRPr="00956707">
        <w:rPr>
          <w:b/>
        </w:rPr>
        <w:t>Ankete Katılan Öğrencilerin Ailelerinin Toplam Geliri</w:t>
      </w:r>
    </w:p>
    <w:p w:rsidR="00C36204" w:rsidRPr="00847F0F" w:rsidRDefault="00C36204" w:rsidP="00C36204">
      <w:pPr>
        <w:jc w:val="both"/>
      </w:pPr>
      <w:r w:rsidRPr="00847F0F">
        <w:t>Ankete katılan öğrencilerin ailelerinin gelir dağılımı Tablo 3’de verilmiştir. Bu soruya cevap veren öğrenci sayısı 234’tür. Soruları cevaplandıran öğrencilerin 196’sının ailelerinin toplam geliri1000 ile 4000 TL arasında ve 38’inin ailesin toplam gelirinin 4000 TL ve üzerinde olduğu görülmektedir.</w:t>
      </w:r>
    </w:p>
    <w:p w:rsidR="00C36204" w:rsidRPr="00847F0F" w:rsidRDefault="00C36204" w:rsidP="00C36204">
      <w:pPr>
        <w:jc w:val="center"/>
      </w:pPr>
      <w:r w:rsidRPr="00847F0F">
        <w:t>Tablo 3: Ankete katılan öğrencilerin ailelerinin gelir dağılımı</w:t>
      </w:r>
    </w:p>
    <w:tbl>
      <w:tblPr>
        <w:tblStyle w:val="TabloKlavuzu"/>
        <w:tblW w:w="0" w:type="auto"/>
        <w:jc w:val="center"/>
        <w:tblLook w:val="04A0"/>
      </w:tblPr>
      <w:tblGrid>
        <w:gridCol w:w="2525"/>
        <w:gridCol w:w="1607"/>
        <w:gridCol w:w="1658"/>
      </w:tblGrid>
      <w:tr w:rsidR="00C36204" w:rsidRPr="00847F0F" w:rsidTr="0072581A">
        <w:trPr>
          <w:jc w:val="center"/>
        </w:trPr>
        <w:tc>
          <w:tcPr>
            <w:tcW w:w="0" w:type="auto"/>
            <w:vMerge w:val="restart"/>
            <w:vAlign w:val="center"/>
          </w:tcPr>
          <w:p w:rsidR="00C36204" w:rsidRPr="00847F0F" w:rsidRDefault="00C36204" w:rsidP="0072581A">
            <w:pPr>
              <w:jc w:val="center"/>
              <w:rPr>
                <w:b/>
              </w:rPr>
            </w:pPr>
            <w:r w:rsidRPr="00847F0F">
              <w:rPr>
                <w:b/>
              </w:rPr>
              <w:t>Ailenin Toplam Geliri (TL)</w:t>
            </w:r>
          </w:p>
        </w:tc>
        <w:tc>
          <w:tcPr>
            <w:tcW w:w="0" w:type="auto"/>
            <w:gridSpan w:val="2"/>
          </w:tcPr>
          <w:p w:rsidR="00C36204" w:rsidRPr="00847F0F" w:rsidRDefault="00C36204" w:rsidP="0072581A">
            <w:pPr>
              <w:jc w:val="center"/>
              <w:rPr>
                <w:b/>
              </w:rPr>
            </w:pPr>
            <w:r w:rsidRPr="00847F0F">
              <w:rPr>
                <w:b/>
              </w:rPr>
              <w:t>Soruya Cevap Verenlerin Dağılımı</w:t>
            </w:r>
          </w:p>
        </w:tc>
      </w:tr>
      <w:tr w:rsidR="00C36204" w:rsidRPr="00847F0F" w:rsidTr="0072581A">
        <w:trPr>
          <w:jc w:val="center"/>
        </w:trPr>
        <w:tc>
          <w:tcPr>
            <w:tcW w:w="0" w:type="auto"/>
            <w:vMerge/>
          </w:tcPr>
          <w:p w:rsidR="00C36204" w:rsidRPr="00847F0F" w:rsidRDefault="00C36204" w:rsidP="0072581A">
            <w:pPr>
              <w:jc w:val="center"/>
              <w:rPr>
                <w:b/>
              </w:rPr>
            </w:pPr>
          </w:p>
        </w:tc>
        <w:tc>
          <w:tcPr>
            <w:tcW w:w="0" w:type="auto"/>
          </w:tcPr>
          <w:p w:rsidR="00C36204" w:rsidRPr="00847F0F" w:rsidRDefault="00C36204" w:rsidP="0072581A">
            <w:pPr>
              <w:jc w:val="center"/>
              <w:rPr>
                <w:b/>
              </w:rPr>
            </w:pPr>
            <w:r w:rsidRPr="00847F0F">
              <w:rPr>
                <w:b/>
              </w:rPr>
              <w:t>Sayı</w:t>
            </w:r>
          </w:p>
        </w:tc>
        <w:tc>
          <w:tcPr>
            <w:tcW w:w="0" w:type="auto"/>
          </w:tcPr>
          <w:p w:rsidR="00C36204" w:rsidRPr="00847F0F" w:rsidRDefault="00C36204" w:rsidP="0072581A">
            <w:pPr>
              <w:jc w:val="center"/>
              <w:rPr>
                <w:b/>
              </w:rPr>
            </w:pPr>
            <w:r w:rsidRPr="00847F0F">
              <w:rPr>
                <w:b/>
              </w:rPr>
              <w:t>%</w:t>
            </w:r>
          </w:p>
        </w:tc>
      </w:tr>
      <w:tr w:rsidR="00C36204" w:rsidRPr="00847F0F" w:rsidTr="0072581A">
        <w:trPr>
          <w:jc w:val="center"/>
        </w:trPr>
        <w:tc>
          <w:tcPr>
            <w:tcW w:w="0" w:type="auto"/>
          </w:tcPr>
          <w:p w:rsidR="00C36204" w:rsidRPr="00847F0F" w:rsidRDefault="00C36204" w:rsidP="0072581A">
            <w:pPr>
              <w:jc w:val="center"/>
              <w:rPr>
                <w:b/>
              </w:rPr>
            </w:pPr>
            <w:r w:rsidRPr="00847F0F">
              <w:rPr>
                <w:b/>
              </w:rPr>
              <w:t>1000 – 2000</w:t>
            </w:r>
          </w:p>
        </w:tc>
        <w:tc>
          <w:tcPr>
            <w:tcW w:w="0" w:type="auto"/>
          </w:tcPr>
          <w:p w:rsidR="00C36204" w:rsidRPr="00847F0F" w:rsidRDefault="00C36204" w:rsidP="0072581A">
            <w:pPr>
              <w:jc w:val="center"/>
            </w:pPr>
            <w:r w:rsidRPr="00847F0F">
              <w:t>58</w:t>
            </w:r>
          </w:p>
        </w:tc>
        <w:tc>
          <w:tcPr>
            <w:tcW w:w="0" w:type="auto"/>
          </w:tcPr>
          <w:p w:rsidR="00C36204" w:rsidRPr="00847F0F" w:rsidRDefault="00C36204" w:rsidP="0072581A">
            <w:pPr>
              <w:jc w:val="center"/>
            </w:pPr>
            <w:r w:rsidRPr="00847F0F">
              <w:t>24,8</w:t>
            </w:r>
          </w:p>
        </w:tc>
      </w:tr>
      <w:tr w:rsidR="00C36204" w:rsidRPr="00847F0F" w:rsidTr="0072581A">
        <w:trPr>
          <w:jc w:val="center"/>
        </w:trPr>
        <w:tc>
          <w:tcPr>
            <w:tcW w:w="0" w:type="auto"/>
          </w:tcPr>
          <w:p w:rsidR="00C36204" w:rsidRPr="00847F0F" w:rsidRDefault="00C36204" w:rsidP="0072581A">
            <w:pPr>
              <w:jc w:val="center"/>
              <w:rPr>
                <w:b/>
              </w:rPr>
            </w:pPr>
            <w:r w:rsidRPr="00847F0F">
              <w:rPr>
                <w:b/>
              </w:rPr>
              <w:t>2001 - 3000</w:t>
            </w:r>
          </w:p>
        </w:tc>
        <w:tc>
          <w:tcPr>
            <w:tcW w:w="0" w:type="auto"/>
          </w:tcPr>
          <w:p w:rsidR="00C36204" w:rsidRPr="00847F0F" w:rsidRDefault="00C36204" w:rsidP="0072581A">
            <w:pPr>
              <w:jc w:val="center"/>
            </w:pPr>
            <w:r w:rsidRPr="00847F0F">
              <w:t>97</w:t>
            </w:r>
          </w:p>
        </w:tc>
        <w:tc>
          <w:tcPr>
            <w:tcW w:w="0" w:type="auto"/>
          </w:tcPr>
          <w:p w:rsidR="00C36204" w:rsidRPr="00847F0F" w:rsidRDefault="00C36204" w:rsidP="0072581A">
            <w:pPr>
              <w:jc w:val="center"/>
            </w:pPr>
            <w:r w:rsidRPr="00847F0F">
              <w:t>41,5</w:t>
            </w:r>
          </w:p>
        </w:tc>
      </w:tr>
      <w:tr w:rsidR="00C36204" w:rsidRPr="00847F0F" w:rsidTr="0072581A">
        <w:trPr>
          <w:jc w:val="center"/>
        </w:trPr>
        <w:tc>
          <w:tcPr>
            <w:tcW w:w="0" w:type="auto"/>
          </w:tcPr>
          <w:p w:rsidR="00C36204" w:rsidRPr="00847F0F" w:rsidRDefault="00C36204" w:rsidP="0072581A">
            <w:pPr>
              <w:jc w:val="center"/>
              <w:rPr>
                <w:b/>
              </w:rPr>
            </w:pPr>
            <w:r w:rsidRPr="00847F0F">
              <w:rPr>
                <w:b/>
              </w:rPr>
              <w:t>3001 - 4000</w:t>
            </w:r>
          </w:p>
        </w:tc>
        <w:tc>
          <w:tcPr>
            <w:tcW w:w="0" w:type="auto"/>
          </w:tcPr>
          <w:p w:rsidR="00C36204" w:rsidRPr="00847F0F" w:rsidRDefault="00C36204" w:rsidP="0072581A">
            <w:pPr>
              <w:jc w:val="center"/>
            </w:pPr>
            <w:r w:rsidRPr="00847F0F">
              <w:t>41</w:t>
            </w:r>
          </w:p>
        </w:tc>
        <w:tc>
          <w:tcPr>
            <w:tcW w:w="0" w:type="auto"/>
          </w:tcPr>
          <w:p w:rsidR="00C36204" w:rsidRPr="00847F0F" w:rsidRDefault="00C36204" w:rsidP="0072581A">
            <w:pPr>
              <w:jc w:val="center"/>
            </w:pPr>
            <w:r w:rsidRPr="00847F0F">
              <w:t>17,5</w:t>
            </w:r>
          </w:p>
        </w:tc>
      </w:tr>
      <w:tr w:rsidR="00C36204" w:rsidRPr="00847F0F" w:rsidTr="0072581A">
        <w:trPr>
          <w:jc w:val="center"/>
        </w:trPr>
        <w:tc>
          <w:tcPr>
            <w:tcW w:w="0" w:type="auto"/>
          </w:tcPr>
          <w:p w:rsidR="00C36204" w:rsidRPr="00847F0F" w:rsidRDefault="00C36204" w:rsidP="0072581A">
            <w:pPr>
              <w:jc w:val="center"/>
              <w:rPr>
                <w:b/>
              </w:rPr>
            </w:pPr>
            <w:r w:rsidRPr="00847F0F">
              <w:rPr>
                <w:b/>
              </w:rPr>
              <w:t>4001 - 5000</w:t>
            </w:r>
          </w:p>
        </w:tc>
        <w:tc>
          <w:tcPr>
            <w:tcW w:w="0" w:type="auto"/>
          </w:tcPr>
          <w:p w:rsidR="00C36204" w:rsidRPr="00847F0F" w:rsidRDefault="00C36204" w:rsidP="0072581A">
            <w:pPr>
              <w:jc w:val="center"/>
            </w:pPr>
            <w:r w:rsidRPr="00847F0F">
              <w:t>13</w:t>
            </w:r>
          </w:p>
        </w:tc>
        <w:tc>
          <w:tcPr>
            <w:tcW w:w="0" w:type="auto"/>
          </w:tcPr>
          <w:p w:rsidR="00C36204" w:rsidRPr="00847F0F" w:rsidRDefault="00C36204" w:rsidP="0072581A">
            <w:pPr>
              <w:jc w:val="center"/>
            </w:pPr>
            <w:r w:rsidRPr="00847F0F">
              <w:t>5,6</w:t>
            </w:r>
          </w:p>
        </w:tc>
      </w:tr>
      <w:tr w:rsidR="00C36204" w:rsidRPr="00847F0F" w:rsidTr="0072581A">
        <w:trPr>
          <w:jc w:val="center"/>
        </w:trPr>
        <w:tc>
          <w:tcPr>
            <w:tcW w:w="0" w:type="auto"/>
          </w:tcPr>
          <w:p w:rsidR="00C36204" w:rsidRPr="00847F0F" w:rsidRDefault="00C36204" w:rsidP="0072581A">
            <w:pPr>
              <w:jc w:val="center"/>
              <w:rPr>
                <w:b/>
              </w:rPr>
            </w:pPr>
            <w:r w:rsidRPr="00847F0F">
              <w:rPr>
                <w:b/>
              </w:rPr>
              <w:t>5000 ve Üzeri</w:t>
            </w:r>
          </w:p>
        </w:tc>
        <w:tc>
          <w:tcPr>
            <w:tcW w:w="0" w:type="auto"/>
          </w:tcPr>
          <w:p w:rsidR="00C36204" w:rsidRPr="00847F0F" w:rsidRDefault="00C36204" w:rsidP="0072581A">
            <w:pPr>
              <w:jc w:val="center"/>
            </w:pPr>
            <w:r w:rsidRPr="00847F0F">
              <w:t>25</w:t>
            </w:r>
          </w:p>
        </w:tc>
        <w:tc>
          <w:tcPr>
            <w:tcW w:w="0" w:type="auto"/>
          </w:tcPr>
          <w:p w:rsidR="00C36204" w:rsidRPr="00847F0F" w:rsidRDefault="00C36204" w:rsidP="0072581A">
            <w:pPr>
              <w:jc w:val="center"/>
            </w:pPr>
            <w:r w:rsidRPr="00847F0F">
              <w:t>10,7</w:t>
            </w:r>
          </w:p>
        </w:tc>
      </w:tr>
      <w:tr w:rsidR="00C36204" w:rsidRPr="00847F0F" w:rsidTr="0072581A">
        <w:trPr>
          <w:jc w:val="center"/>
        </w:trPr>
        <w:tc>
          <w:tcPr>
            <w:tcW w:w="0" w:type="auto"/>
          </w:tcPr>
          <w:p w:rsidR="00C36204" w:rsidRPr="00847F0F" w:rsidRDefault="00C36204" w:rsidP="0072581A">
            <w:pPr>
              <w:jc w:val="right"/>
              <w:rPr>
                <w:b/>
              </w:rPr>
            </w:pPr>
            <w:r w:rsidRPr="00847F0F">
              <w:rPr>
                <w:b/>
              </w:rPr>
              <w:t>Toplam</w:t>
            </w:r>
          </w:p>
        </w:tc>
        <w:tc>
          <w:tcPr>
            <w:tcW w:w="0" w:type="auto"/>
          </w:tcPr>
          <w:p w:rsidR="00C36204" w:rsidRPr="00847F0F" w:rsidRDefault="00C36204" w:rsidP="0072581A">
            <w:pPr>
              <w:jc w:val="center"/>
              <w:rPr>
                <w:b/>
              </w:rPr>
            </w:pPr>
            <w:r w:rsidRPr="00847F0F">
              <w:rPr>
                <w:b/>
              </w:rPr>
              <w:t>234</w:t>
            </w:r>
          </w:p>
        </w:tc>
        <w:tc>
          <w:tcPr>
            <w:tcW w:w="0" w:type="auto"/>
          </w:tcPr>
          <w:p w:rsidR="00C36204" w:rsidRPr="00847F0F" w:rsidRDefault="00C36204" w:rsidP="0072581A">
            <w:pPr>
              <w:jc w:val="center"/>
              <w:rPr>
                <w:b/>
              </w:rPr>
            </w:pPr>
            <w:r w:rsidRPr="00847F0F">
              <w:rPr>
                <w:b/>
              </w:rPr>
              <w:t>100</w:t>
            </w:r>
          </w:p>
        </w:tc>
      </w:tr>
    </w:tbl>
    <w:p w:rsidR="00C36204" w:rsidRPr="00847F0F" w:rsidRDefault="00C36204" w:rsidP="00C36204"/>
    <w:p w:rsidR="00C36204" w:rsidRPr="00847F0F" w:rsidRDefault="00C36204" w:rsidP="00C36204">
      <w:pPr>
        <w:jc w:val="both"/>
      </w:pPr>
      <w:r w:rsidRPr="00847F0F">
        <w:t>Ankete katılan öğrencilerin ailelerinin gelir dağılımı yüzde olarak Grafik 3’de verilmiştir. Soruları cevaplandıran öğrencilerin % 83,8’inin ailelerinin toplam geliri 1000 ile 4000 TL arasında ve % 16,3’ünün ailesin toplam gelirinin 4000 TL ve üzerinde olduğu görülmektedir.</w:t>
      </w:r>
    </w:p>
    <w:p w:rsidR="00C36204" w:rsidRPr="00847F0F" w:rsidRDefault="00C36204" w:rsidP="00C36204">
      <w:pPr>
        <w:jc w:val="center"/>
      </w:pPr>
      <w:r w:rsidRPr="00847F0F">
        <w:rPr>
          <w:noProof/>
        </w:rPr>
        <w:drawing>
          <wp:inline distT="0" distB="0" distL="0" distR="0">
            <wp:extent cx="4544127" cy="2067636"/>
            <wp:effectExtent l="19050" t="0" r="8823" b="0"/>
            <wp:docPr id="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0980" t="53457" r="32942" b="20255"/>
                    <a:stretch>
                      <a:fillRect/>
                    </a:stretch>
                  </pic:blipFill>
                  <pic:spPr bwMode="auto">
                    <a:xfrm>
                      <a:off x="0" y="0"/>
                      <a:ext cx="4551958" cy="2071199"/>
                    </a:xfrm>
                    <a:prstGeom prst="rect">
                      <a:avLst/>
                    </a:prstGeom>
                    <a:noFill/>
                    <a:ln w="9525">
                      <a:noFill/>
                      <a:miter lim="800000"/>
                      <a:headEnd/>
                      <a:tailEnd/>
                    </a:ln>
                  </pic:spPr>
                </pic:pic>
              </a:graphicData>
            </a:graphic>
          </wp:inline>
        </w:drawing>
      </w:r>
    </w:p>
    <w:p w:rsidR="00C36204" w:rsidRPr="00847F0F" w:rsidRDefault="00C36204" w:rsidP="00C36204">
      <w:pPr>
        <w:jc w:val="center"/>
      </w:pPr>
      <w:r w:rsidRPr="00847F0F">
        <w:t>Grafik 3: Ankete katılan öğrencilerin ailelerinin gelir dağılımı</w:t>
      </w:r>
    </w:p>
    <w:p w:rsidR="00C36204" w:rsidRPr="00956707" w:rsidRDefault="00C36204" w:rsidP="00956707">
      <w:pPr>
        <w:pStyle w:val="ListeParagraf"/>
        <w:numPr>
          <w:ilvl w:val="1"/>
          <w:numId w:val="20"/>
        </w:numPr>
        <w:rPr>
          <w:b/>
        </w:rPr>
      </w:pPr>
      <w:r w:rsidRPr="00956707">
        <w:rPr>
          <w:b/>
        </w:rPr>
        <w:t>Ankete Katılan Öğrencilerin Ailelerinin Eğitim Seviyesi</w:t>
      </w:r>
    </w:p>
    <w:p w:rsidR="00C36204" w:rsidRDefault="00C36204" w:rsidP="00C36204">
      <w:pPr>
        <w:jc w:val="both"/>
      </w:pPr>
      <w:r w:rsidRPr="00847F0F">
        <w:lastRenderedPageBreak/>
        <w:t>Ankete katılan öğrencilerin aile üyelerinin eğitim seviyesi Tablo 4’de verilmiştir. Bu soruya cevap veren öğrenci sayısı ortalama olarak 195’dir. Soruları cevaplandıran öğrencilerin 95’inin babalarının ilkokul, 53’ünün ortaokul, 54’ünün lise ve 19’unun üniversite mezunu olduğu görülmektedir. Öğrencilerin 124’ünün annelerinin ilkokul, 50’sinin ortaokul, 24’ünün lise ve 7’sinin üniversite mezunu olduğu anlaşılmaktadır. Çocukların ise ortalama olarak 92’sinin üniversite mezunu olduğu hesaplanmıştır.</w:t>
      </w:r>
    </w:p>
    <w:p w:rsidR="00956707" w:rsidRPr="00847F0F" w:rsidRDefault="00956707" w:rsidP="00956707">
      <w:pPr>
        <w:jc w:val="both"/>
      </w:pPr>
      <w:r w:rsidRPr="00847F0F">
        <w:t>Ankete katılan öğrencilerin aile üyelerinin eğitim seviyesi Grafik 4’de verilmiştir. Soruları cevaplandıran öğrencilerin % 43’ünün babalarının ilkokul, % 24’ünün ortaokul, % 24,4’ünün lise ve 8,6’sının üniversite mezunu olduğu görülmektedir. Öğrencilerin % 60,5’inin annelerinin ilkokul, % 24,4 ’ünün ortaokul, % 11,7’sinin lise ve % 3,4’ünün üniversite mezunu olduğu anlaşılmaktadır. Çocukların ise ortalama olarak 49’1’inin üniversite mezunu olduğu hesaplanmıştır.</w:t>
      </w:r>
    </w:p>
    <w:p w:rsidR="00C36204" w:rsidRPr="00847F0F" w:rsidRDefault="00C36204" w:rsidP="00C36204">
      <w:pPr>
        <w:jc w:val="center"/>
      </w:pPr>
      <w:r w:rsidRPr="00847F0F">
        <w:t>Tablo 4: Ankete katılan öğrencilerin aile üyelerinin eğitim seviyeleri dağılımı</w:t>
      </w:r>
    </w:p>
    <w:tbl>
      <w:tblPr>
        <w:tblStyle w:val="TabloKlavuzu"/>
        <w:tblW w:w="0" w:type="auto"/>
        <w:jc w:val="center"/>
        <w:tblLook w:val="04A0"/>
      </w:tblPr>
      <w:tblGrid>
        <w:gridCol w:w="1587"/>
        <w:gridCol w:w="1414"/>
        <w:gridCol w:w="1251"/>
        <w:gridCol w:w="1541"/>
        <w:gridCol w:w="852"/>
        <w:gridCol w:w="1738"/>
        <w:gridCol w:w="903"/>
      </w:tblGrid>
      <w:tr w:rsidR="00C36204" w:rsidRPr="00847F0F" w:rsidTr="0072581A">
        <w:trPr>
          <w:jc w:val="center"/>
        </w:trPr>
        <w:tc>
          <w:tcPr>
            <w:tcW w:w="3266" w:type="dxa"/>
            <w:gridSpan w:val="2"/>
            <w:vMerge w:val="restart"/>
            <w:vAlign w:val="center"/>
          </w:tcPr>
          <w:p w:rsidR="00C36204" w:rsidRPr="00847F0F" w:rsidRDefault="00C36204" w:rsidP="0072581A">
            <w:pPr>
              <w:jc w:val="center"/>
              <w:rPr>
                <w:b/>
              </w:rPr>
            </w:pPr>
            <w:r w:rsidRPr="00847F0F">
              <w:rPr>
                <w:b/>
              </w:rPr>
              <w:t>Soruya Cevap Verenlerin Dağılımı</w:t>
            </w:r>
          </w:p>
        </w:tc>
        <w:tc>
          <w:tcPr>
            <w:tcW w:w="5668" w:type="dxa"/>
            <w:gridSpan w:val="4"/>
          </w:tcPr>
          <w:p w:rsidR="00C36204" w:rsidRPr="00847F0F" w:rsidRDefault="00C36204" w:rsidP="0072581A">
            <w:pPr>
              <w:jc w:val="center"/>
              <w:rPr>
                <w:b/>
              </w:rPr>
            </w:pPr>
            <w:r w:rsidRPr="00847F0F">
              <w:rPr>
                <w:b/>
              </w:rPr>
              <w:t>Ailelerin Eğitim Seviyesi</w:t>
            </w:r>
          </w:p>
        </w:tc>
        <w:tc>
          <w:tcPr>
            <w:tcW w:w="352" w:type="dxa"/>
            <w:vMerge w:val="restart"/>
            <w:vAlign w:val="center"/>
          </w:tcPr>
          <w:p w:rsidR="00C36204" w:rsidRPr="00847F0F" w:rsidRDefault="00C36204" w:rsidP="0072581A">
            <w:pPr>
              <w:jc w:val="center"/>
              <w:rPr>
                <w:b/>
              </w:rPr>
            </w:pPr>
            <w:r w:rsidRPr="00847F0F">
              <w:rPr>
                <w:b/>
              </w:rPr>
              <w:t>Toplam</w:t>
            </w:r>
          </w:p>
        </w:tc>
      </w:tr>
      <w:tr w:rsidR="00C36204" w:rsidRPr="00847F0F" w:rsidTr="0072581A">
        <w:trPr>
          <w:jc w:val="center"/>
        </w:trPr>
        <w:tc>
          <w:tcPr>
            <w:tcW w:w="3266" w:type="dxa"/>
            <w:gridSpan w:val="2"/>
            <w:vMerge/>
          </w:tcPr>
          <w:p w:rsidR="00C36204" w:rsidRPr="00847F0F" w:rsidRDefault="00C36204" w:rsidP="0072581A">
            <w:pPr>
              <w:jc w:val="center"/>
              <w:rPr>
                <w:b/>
              </w:rPr>
            </w:pPr>
          </w:p>
        </w:tc>
        <w:tc>
          <w:tcPr>
            <w:tcW w:w="1319" w:type="dxa"/>
          </w:tcPr>
          <w:p w:rsidR="00C36204" w:rsidRPr="00847F0F" w:rsidRDefault="00C36204" w:rsidP="0072581A">
            <w:pPr>
              <w:jc w:val="center"/>
              <w:rPr>
                <w:b/>
              </w:rPr>
            </w:pPr>
            <w:r w:rsidRPr="00847F0F">
              <w:rPr>
                <w:b/>
              </w:rPr>
              <w:t>İlkokul</w:t>
            </w:r>
          </w:p>
        </w:tc>
        <w:tc>
          <w:tcPr>
            <w:tcW w:w="1625" w:type="dxa"/>
          </w:tcPr>
          <w:p w:rsidR="00C36204" w:rsidRPr="00847F0F" w:rsidRDefault="00C36204" w:rsidP="0072581A">
            <w:pPr>
              <w:jc w:val="center"/>
              <w:rPr>
                <w:b/>
              </w:rPr>
            </w:pPr>
            <w:r w:rsidRPr="00847F0F">
              <w:rPr>
                <w:b/>
              </w:rPr>
              <w:t>Ortaokul</w:t>
            </w:r>
          </w:p>
        </w:tc>
        <w:tc>
          <w:tcPr>
            <w:tcW w:w="892" w:type="dxa"/>
          </w:tcPr>
          <w:p w:rsidR="00C36204" w:rsidRPr="00847F0F" w:rsidRDefault="00C36204" w:rsidP="0072581A">
            <w:pPr>
              <w:jc w:val="center"/>
              <w:rPr>
                <w:b/>
              </w:rPr>
            </w:pPr>
            <w:r w:rsidRPr="00847F0F">
              <w:rPr>
                <w:b/>
              </w:rPr>
              <w:t>Lise</w:t>
            </w:r>
          </w:p>
        </w:tc>
        <w:tc>
          <w:tcPr>
            <w:tcW w:w="1832" w:type="dxa"/>
          </w:tcPr>
          <w:p w:rsidR="00C36204" w:rsidRPr="00847F0F" w:rsidRDefault="00C36204" w:rsidP="0072581A">
            <w:pPr>
              <w:jc w:val="center"/>
              <w:rPr>
                <w:b/>
              </w:rPr>
            </w:pPr>
            <w:r w:rsidRPr="00847F0F">
              <w:rPr>
                <w:b/>
              </w:rPr>
              <w:t>Üniversite</w:t>
            </w:r>
          </w:p>
        </w:tc>
        <w:tc>
          <w:tcPr>
            <w:tcW w:w="352" w:type="dxa"/>
            <w:vMerge/>
          </w:tcPr>
          <w:p w:rsidR="00C36204" w:rsidRPr="00847F0F" w:rsidRDefault="00C36204" w:rsidP="0072581A">
            <w:pPr>
              <w:jc w:val="center"/>
              <w:rPr>
                <w:b/>
              </w:rPr>
            </w:pPr>
          </w:p>
        </w:tc>
      </w:tr>
      <w:tr w:rsidR="00C36204" w:rsidRPr="00847F0F" w:rsidTr="0072581A">
        <w:trPr>
          <w:jc w:val="center"/>
        </w:trPr>
        <w:tc>
          <w:tcPr>
            <w:tcW w:w="1719" w:type="dxa"/>
            <w:vMerge w:val="restart"/>
            <w:vAlign w:val="center"/>
          </w:tcPr>
          <w:p w:rsidR="00C36204" w:rsidRPr="00847F0F" w:rsidRDefault="00C36204" w:rsidP="0072581A">
            <w:pPr>
              <w:rPr>
                <w:b/>
              </w:rPr>
            </w:pPr>
            <w:r w:rsidRPr="00847F0F">
              <w:rPr>
                <w:b/>
              </w:rPr>
              <w:t>Baba</w:t>
            </w:r>
          </w:p>
        </w:tc>
        <w:tc>
          <w:tcPr>
            <w:tcW w:w="1547" w:type="dxa"/>
          </w:tcPr>
          <w:p w:rsidR="00C36204" w:rsidRPr="00847F0F" w:rsidRDefault="00C36204" w:rsidP="0072581A">
            <w:pPr>
              <w:jc w:val="center"/>
              <w:rPr>
                <w:b/>
              </w:rPr>
            </w:pPr>
            <w:r w:rsidRPr="00847F0F">
              <w:rPr>
                <w:b/>
              </w:rPr>
              <w:t>Sayı</w:t>
            </w:r>
          </w:p>
        </w:tc>
        <w:tc>
          <w:tcPr>
            <w:tcW w:w="1319" w:type="dxa"/>
          </w:tcPr>
          <w:p w:rsidR="00C36204" w:rsidRPr="00847F0F" w:rsidRDefault="00C36204" w:rsidP="0072581A">
            <w:pPr>
              <w:jc w:val="center"/>
            </w:pPr>
            <w:r w:rsidRPr="00847F0F">
              <w:t>95</w:t>
            </w:r>
          </w:p>
        </w:tc>
        <w:tc>
          <w:tcPr>
            <w:tcW w:w="1625" w:type="dxa"/>
          </w:tcPr>
          <w:p w:rsidR="00C36204" w:rsidRPr="00847F0F" w:rsidRDefault="00C36204" w:rsidP="0072581A">
            <w:pPr>
              <w:jc w:val="center"/>
            </w:pPr>
            <w:r w:rsidRPr="00847F0F">
              <w:t>53</w:t>
            </w:r>
          </w:p>
        </w:tc>
        <w:tc>
          <w:tcPr>
            <w:tcW w:w="892" w:type="dxa"/>
          </w:tcPr>
          <w:p w:rsidR="00C36204" w:rsidRPr="00847F0F" w:rsidRDefault="00C36204" w:rsidP="0072581A">
            <w:pPr>
              <w:jc w:val="center"/>
            </w:pPr>
            <w:r w:rsidRPr="00847F0F">
              <w:t>54</w:t>
            </w:r>
          </w:p>
        </w:tc>
        <w:tc>
          <w:tcPr>
            <w:tcW w:w="1832" w:type="dxa"/>
          </w:tcPr>
          <w:p w:rsidR="00C36204" w:rsidRPr="00847F0F" w:rsidRDefault="00C36204" w:rsidP="0072581A">
            <w:pPr>
              <w:jc w:val="center"/>
            </w:pPr>
            <w:r w:rsidRPr="00847F0F">
              <w:t>19</w:t>
            </w:r>
          </w:p>
        </w:tc>
        <w:tc>
          <w:tcPr>
            <w:tcW w:w="352" w:type="dxa"/>
          </w:tcPr>
          <w:p w:rsidR="00C36204" w:rsidRPr="00847F0F" w:rsidRDefault="00C36204" w:rsidP="0072581A">
            <w:pPr>
              <w:jc w:val="center"/>
            </w:pPr>
            <w:r w:rsidRPr="00847F0F">
              <w:t>221</w:t>
            </w:r>
          </w:p>
        </w:tc>
      </w:tr>
      <w:tr w:rsidR="00C36204" w:rsidRPr="00847F0F" w:rsidTr="0072581A">
        <w:trPr>
          <w:jc w:val="center"/>
        </w:trPr>
        <w:tc>
          <w:tcPr>
            <w:tcW w:w="1719" w:type="dxa"/>
            <w:vMerge/>
            <w:vAlign w:val="center"/>
          </w:tcPr>
          <w:p w:rsidR="00C36204" w:rsidRPr="00847F0F" w:rsidRDefault="00C36204" w:rsidP="0072581A">
            <w:pPr>
              <w:rPr>
                <w:b/>
              </w:rPr>
            </w:pPr>
          </w:p>
        </w:tc>
        <w:tc>
          <w:tcPr>
            <w:tcW w:w="1547" w:type="dxa"/>
          </w:tcPr>
          <w:p w:rsidR="00C36204" w:rsidRPr="00847F0F" w:rsidRDefault="00C36204" w:rsidP="0072581A">
            <w:pPr>
              <w:jc w:val="center"/>
              <w:rPr>
                <w:b/>
              </w:rPr>
            </w:pPr>
            <w:r w:rsidRPr="00847F0F">
              <w:rPr>
                <w:b/>
              </w:rPr>
              <w:t>%</w:t>
            </w:r>
          </w:p>
        </w:tc>
        <w:tc>
          <w:tcPr>
            <w:tcW w:w="1319" w:type="dxa"/>
          </w:tcPr>
          <w:p w:rsidR="00C36204" w:rsidRPr="00847F0F" w:rsidRDefault="00C36204" w:rsidP="0072581A">
            <w:pPr>
              <w:jc w:val="center"/>
            </w:pPr>
            <w:r w:rsidRPr="00847F0F">
              <w:t>43</w:t>
            </w:r>
          </w:p>
        </w:tc>
        <w:tc>
          <w:tcPr>
            <w:tcW w:w="1625" w:type="dxa"/>
          </w:tcPr>
          <w:p w:rsidR="00C36204" w:rsidRPr="00847F0F" w:rsidRDefault="00C36204" w:rsidP="0072581A">
            <w:pPr>
              <w:jc w:val="center"/>
            </w:pPr>
            <w:r w:rsidRPr="00847F0F">
              <w:t>24</w:t>
            </w:r>
          </w:p>
        </w:tc>
        <w:tc>
          <w:tcPr>
            <w:tcW w:w="892" w:type="dxa"/>
          </w:tcPr>
          <w:p w:rsidR="00C36204" w:rsidRPr="00847F0F" w:rsidRDefault="00C36204" w:rsidP="0072581A">
            <w:pPr>
              <w:jc w:val="center"/>
            </w:pPr>
            <w:r w:rsidRPr="00847F0F">
              <w:t>24,4</w:t>
            </w:r>
          </w:p>
        </w:tc>
        <w:tc>
          <w:tcPr>
            <w:tcW w:w="1832" w:type="dxa"/>
          </w:tcPr>
          <w:p w:rsidR="00C36204" w:rsidRPr="00847F0F" w:rsidRDefault="00C36204" w:rsidP="0072581A">
            <w:pPr>
              <w:jc w:val="center"/>
            </w:pPr>
            <w:r w:rsidRPr="00847F0F">
              <w:t>8,6</w:t>
            </w:r>
          </w:p>
        </w:tc>
        <w:tc>
          <w:tcPr>
            <w:tcW w:w="352" w:type="dxa"/>
          </w:tcPr>
          <w:p w:rsidR="00C36204" w:rsidRPr="00847F0F" w:rsidRDefault="00C36204" w:rsidP="0072581A">
            <w:pPr>
              <w:jc w:val="center"/>
            </w:pPr>
            <w:r w:rsidRPr="00847F0F">
              <w:t>100</w:t>
            </w:r>
          </w:p>
        </w:tc>
      </w:tr>
      <w:tr w:rsidR="00C36204" w:rsidRPr="00847F0F" w:rsidTr="0072581A">
        <w:trPr>
          <w:jc w:val="center"/>
        </w:trPr>
        <w:tc>
          <w:tcPr>
            <w:tcW w:w="1719" w:type="dxa"/>
            <w:vMerge w:val="restart"/>
            <w:vAlign w:val="center"/>
          </w:tcPr>
          <w:p w:rsidR="00C36204" w:rsidRPr="00847F0F" w:rsidRDefault="00C36204" w:rsidP="0072581A">
            <w:pPr>
              <w:rPr>
                <w:b/>
              </w:rPr>
            </w:pPr>
            <w:r w:rsidRPr="00847F0F">
              <w:rPr>
                <w:b/>
              </w:rPr>
              <w:t>Anne</w:t>
            </w:r>
          </w:p>
        </w:tc>
        <w:tc>
          <w:tcPr>
            <w:tcW w:w="1547" w:type="dxa"/>
          </w:tcPr>
          <w:p w:rsidR="00C36204" w:rsidRPr="00847F0F" w:rsidRDefault="00C36204" w:rsidP="0072581A">
            <w:pPr>
              <w:jc w:val="center"/>
              <w:rPr>
                <w:b/>
              </w:rPr>
            </w:pPr>
            <w:r w:rsidRPr="00847F0F">
              <w:rPr>
                <w:b/>
              </w:rPr>
              <w:t>Sayı</w:t>
            </w:r>
          </w:p>
        </w:tc>
        <w:tc>
          <w:tcPr>
            <w:tcW w:w="1319" w:type="dxa"/>
          </w:tcPr>
          <w:p w:rsidR="00C36204" w:rsidRPr="00847F0F" w:rsidRDefault="00C36204" w:rsidP="0072581A">
            <w:pPr>
              <w:jc w:val="center"/>
            </w:pPr>
            <w:r w:rsidRPr="00847F0F">
              <w:t>124</w:t>
            </w:r>
          </w:p>
        </w:tc>
        <w:tc>
          <w:tcPr>
            <w:tcW w:w="1625" w:type="dxa"/>
          </w:tcPr>
          <w:p w:rsidR="00C36204" w:rsidRPr="00847F0F" w:rsidRDefault="00C36204" w:rsidP="0072581A">
            <w:pPr>
              <w:jc w:val="center"/>
            </w:pPr>
            <w:r w:rsidRPr="00847F0F">
              <w:t>50</w:t>
            </w:r>
          </w:p>
        </w:tc>
        <w:tc>
          <w:tcPr>
            <w:tcW w:w="892" w:type="dxa"/>
          </w:tcPr>
          <w:p w:rsidR="00C36204" w:rsidRPr="00847F0F" w:rsidRDefault="00C36204" w:rsidP="0072581A">
            <w:pPr>
              <w:jc w:val="center"/>
            </w:pPr>
            <w:r w:rsidRPr="00847F0F">
              <w:t>24</w:t>
            </w:r>
          </w:p>
        </w:tc>
        <w:tc>
          <w:tcPr>
            <w:tcW w:w="1832" w:type="dxa"/>
          </w:tcPr>
          <w:p w:rsidR="00C36204" w:rsidRPr="00847F0F" w:rsidRDefault="00C36204" w:rsidP="0072581A">
            <w:pPr>
              <w:jc w:val="center"/>
            </w:pPr>
            <w:r w:rsidRPr="00847F0F">
              <w:t>7</w:t>
            </w:r>
          </w:p>
        </w:tc>
        <w:tc>
          <w:tcPr>
            <w:tcW w:w="352" w:type="dxa"/>
          </w:tcPr>
          <w:p w:rsidR="00C36204" w:rsidRPr="00847F0F" w:rsidRDefault="00C36204" w:rsidP="0072581A">
            <w:pPr>
              <w:jc w:val="center"/>
            </w:pPr>
            <w:r w:rsidRPr="00847F0F">
              <w:t>205</w:t>
            </w:r>
          </w:p>
        </w:tc>
      </w:tr>
      <w:tr w:rsidR="00C36204" w:rsidRPr="00847F0F" w:rsidTr="0072581A">
        <w:trPr>
          <w:jc w:val="center"/>
        </w:trPr>
        <w:tc>
          <w:tcPr>
            <w:tcW w:w="1719" w:type="dxa"/>
            <w:vMerge/>
            <w:vAlign w:val="center"/>
          </w:tcPr>
          <w:p w:rsidR="00C36204" w:rsidRPr="00847F0F" w:rsidRDefault="00C36204" w:rsidP="0072581A">
            <w:pPr>
              <w:rPr>
                <w:b/>
              </w:rPr>
            </w:pPr>
          </w:p>
        </w:tc>
        <w:tc>
          <w:tcPr>
            <w:tcW w:w="1547" w:type="dxa"/>
          </w:tcPr>
          <w:p w:rsidR="00C36204" w:rsidRPr="00847F0F" w:rsidRDefault="00C36204" w:rsidP="0072581A">
            <w:pPr>
              <w:jc w:val="center"/>
              <w:rPr>
                <w:b/>
              </w:rPr>
            </w:pPr>
            <w:r w:rsidRPr="00847F0F">
              <w:rPr>
                <w:b/>
              </w:rPr>
              <w:t>%</w:t>
            </w:r>
          </w:p>
        </w:tc>
        <w:tc>
          <w:tcPr>
            <w:tcW w:w="1319" w:type="dxa"/>
          </w:tcPr>
          <w:p w:rsidR="00C36204" w:rsidRPr="00847F0F" w:rsidRDefault="00C36204" w:rsidP="0072581A">
            <w:pPr>
              <w:jc w:val="center"/>
            </w:pPr>
            <w:r w:rsidRPr="00847F0F">
              <w:t>60,5</w:t>
            </w:r>
          </w:p>
        </w:tc>
        <w:tc>
          <w:tcPr>
            <w:tcW w:w="1625" w:type="dxa"/>
          </w:tcPr>
          <w:p w:rsidR="00C36204" w:rsidRPr="00847F0F" w:rsidRDefault="00C36204" w:rsidP="0072581A">
            <w:pPr>
              <w:jc w:val="center"/>
            </w:pPr>
            <w:r w:rsidRPr="00847F0F">
              <w:t>24,4</w:t>
            </w:r>
          </w:p>
        </w:tc>
        <w:tc>
          <w:tcPr>
            <w:tcW w:w="892" w:type="dxa"/>
          </w:tcPr>
          <w:p w:rsidR="00C36204" w:rsidRPr="00847F0F" w:rsidRDefault="00C36204" w:rsidP="0072581A">
            <w:pPr>
              <w:jc w:val="center"/>
            </w:pPr>
            <w:r w:rsidRPr="00847F0F">
              <w:t>11,7</w:t>
            </w:r>
          </w:p>
        </w:tc>
        <w:tc>
          <w:tcPr>
            <w:tcW w:w="1832" w:type="dxa"/>
          </w:tcPr>
          <w:p w:rsidR="00C36204" w:rsidRPr="00847F0F" w:rsidRDefault="00C36204" w:rsidP="0072581A">
            <w:pPr>
              <w:jc w:val="center"/>
            </w:pPr>
            <w:r w:rsidRPr="00847F0F">
              <w:t>3,4</w:t>
            </w:r>
          </w:p>
        </w:tc>
        <w:tc>
          <w:tcPr>
            <w:tcW w:w="352" w:type="dxa"/>
          </w:tcPr>
          <w:p w:rsidR="00C36204" w:rsidRPr="00847F0F" w:rsidRDefault="00C36204" w:rsidP="0072581A">
            <w:pPr>
              <w:jc w:val="center"/>
            </w:pPr>
            <w:r w:rsidRPr="00847F0F">
              <w:t>100</w:t>
            </w:r>
          </w:p>
        </w:tc>
      </w:tr>
      <w:tr w:rsidR="00C36204" w:rsidRPr="00847F0F" w:rsidTr="0072581A">
        <w:trPr>
          <w:jc w:val="center"/>
        </w:trPr>
        <w:tc>
          <w:tcPr>
            <w:tcW w:w="1719" w:type="dxa"/>
            <w:vMerge w:val="restart"/>
            <w:vAlign w:val="center"/>
          </w:tcPr>
          <w:p w:rsidR="00C36204" w:rsidRPr="00847F0F" w:rsidRDefault="00C36204" w:rsidP="0072581A">
            <w:pPr>
              <w:rPr>
                <w:b/>
              </w:rPr>
            </w:pPr>
            <w:r w:rsidRPr="00847F0F">
              <w:rPr>
                <w:b/>
              </w:rPr>
              <w:t>1. Çocuk</w:t>
            </w:r>
          </w:p>
        </w:tc>
        <w:tc>
          <w:tcPr>
            <w:tcW w:w="1547" w:type="dxa"/>
          </w:tcPr>
          <w:p w:rsidR="00C36204" w:rsidRPr="00847F0F" w:rsidRDefault="00C36204" w:rsidP="0072581A">
            <w:pPr>
              <w:jc w:val="center"/>
              <w:rPr>
                <w:b/>
              </w:rPr>
            </w:pPr>
            <w:r w:rsidRPr="00847F0F">
              <w:rPr>
                <w:b/>
              </w:rPr>
              <w:t>Sayı</w:t>
            </w:r>
          </w:p>
        </w:tc>
        <w:tc>
          <w:tcPr>
            <w:tcW w:w="1319" w:type="dxa"/>
          </w:tcPr>
          <w:p w:rsidR="00C36204" w:rsidRPr="00847F0F" w:rsidRDefault="00C36204" w:rsidP="0072581A">
            <w:pPr>
              <w:jc w:val="center"/>
            </w:pPr>
            <w:r w:rsidRPr="00847F0F">
              <w:t>14</w:t>
            </w:r>
          </w:p>
        </w:tc>
        <w:tc>
          <w:tcPr>
            <w:tcW w:w="1625" w:type="dxa"/>
          </w:tcPr>
          <w:p w:rsidR="00C36204" w:rsidRPr="00847F0F" w:rsidRDefault="00C36204" w:rsidP="0072581A">
            <w:pPr>
              <w:jc w:val="center"/>
            </w:pPr>
            <w:r w:rsidRPr="00847F0F">
              <w:t>24</w:t>
            </w:r>
          </w:p>
        </w:tc>
        <w:tc>
          <w:tcPr>
            <w:tcW w:w="892" w:type="dxa"/>
          </w:tcPr>
          <w:p w:rsidR="00C36204" w:rsidRPr="00847F0F" w:rsidRDefault="00C36204" w:rsidP="0072581A">
            <w:pPr>
              <w:jc w:val="center"/>
            </w:pPr>
            <w:r w:rsidRPr="00847F0F">
              <w:t>49</w:t>
            </w:r>
          </w:p>
        </w:tc>
        <w:tc>
          <w:tcPr>
            <w:tcW w:w="1832" w:type="dxa"/>
          </w:tcPr>
          <w:p w:rsidR="00C36204" w:rsidRPr="00847F0F" w:rsidRDefault="00C36204" w:rsidP="0072581A">
            <w:pPr>
              <w:jc w:val="center"/>
            </w:pPr>
            <w:r w:rsidRPr="00847F0F">
              <w:t>125</w:t>
            </w:r>
          </w:p>
        </w:tc>
        <w:tc>
          <w:tcPr>
            <w:tcW w:w="352" w:type="dxa"/>
          </w:tcPr>
          <w:p w:rsidR="00C36204" w:rsidRPr="00847F0F" w:rsidRDefault="00C36204" w:rsidP="0072581A">
            <w:pPr>
              <w:jc w:val="center"/>
            </w:pPr>
            <w:r w:rsidRPr="00847F0F">
              <w:t>212</w:t>
            </w:r>
          </w:p>
        </w:tc>
      </w:tr>
      <w:tr w:rsidR="00C36204" w:rsidRPr="00847F0F" w:rsidTr="0072581A">
        <w:trPr>
          <w:jc w:val="center"/>
        </w:trPr>
        <w:tc>
          <w:tcPr>
            <w:tcW w:w="1719" w:type="dxa"/>
            <w:vMerge/>
            <w:vAlign w:val="center"/>
          </w:tcPr>
          <w:p w:rsidR="00C36204" w:rsidRPr="00847F0F" w:rsidRDefault="00C36204" w:rsidP="0072581A">
            <w:pPr>
              <w:rPr>
                <w:b/>
              </w:rPr>
            </w:pPr>
          </w:p>
        </w:tc>
        <w:tc>
          <w:tcPr>
            <w:tcW w:w="1547" w:type="dxa"/>
          </w:tcPr>
          <w:p w:rsidR="00C36204" w:rsidRPr="00847F0F" w:rsidRDefault="00C36204" w:rsidP="0072581A">
            <w:pPr>
              <w:jc w:val="center"/>
              <w:rPr>
                <w:b/>
              </w:rPr>
            </w:pPr>
            <w:r w:rsidRPr="00847F0F">
              <w:rPr>
                <w:b/>
              </w:rPr>
              <w:t>%</w:t>
            </w:r>
          </w:p>
        </w:tc>
        <w:tc>
          <w:tcPr>
            <w:tcW w:w="1319" w:type="dxa"/>
          </w:tcPr>
          <w:p w:rsidR="00C36204" w:rsidRPr="00847F0F" w:rsidRDefault="00C36204" w:rsidP="0072581A">
            <w:pPr>
              <w:jc w:val="center"/>
            </w:pPr>
            <w:r w:rsidRPr="00847F0F">
              <w:t>6,6</w:t>
            </w:r>
          </w:p>
        </w:tc>
        <w:tc>
          <w:tcPr>
            <w:tcW w:w="1625" w:type="dxa"/>
          </w:tcPr>
          <w:p w:rsidR="00C36204" w:rsidRPr="00847F0F" w:rsidRDefault="00C36204" w:rsidP="0072581A">
            <w:pPr>
              <w:jc w:val="center"/>
            </w:pPr>
            <w:r w:rsidRPr="00847F0F">
              <w:t>11,3</w:t>
            </w:r>
          </w:p>
        </w:tc>
        <w:tc>
          <w:tcPr>
            <w:tcW w:w="892" w:type="dxa"/>
          </w:tcPr>
          <w:p w:rsidR="00C36204" w:rsidRPr="00847F0F" w:rsidRDefault="00C36204" w:rsidP="0072581A">
            <w:pPr>
              <w:jc w:val="center"/>
            </w:pPr>
            <w:r w:rsidRPr="00847F0F">
              <w:t>23,1</w:t>
            </w:r>
          </w:p>
        </w:tc>
        <w:tc>
          <w:tcPr>
            <w:tcW w:w="1832" w:type="dxa"/>
          </w:tcPr>
          <w:p w:rsidR="00C36204" w:rsidRPr="00847F0F" w:rsidRDefault="00C36204" w:rsidP="0072581A">
            <w:pPr>
              <w:jc w:val="center"/>
            </w:pPr>
            <w:r w:rsidRPr="00847F0F">
              <w:t>59</w:t>
            </w:r>
          </w:p>
        </w:tc>
        <w:tc>
          <w:tcPr>
            <w:tcW w:w="352" w:type="dxa"/>
          </w:tcPr>
          <w:p w:rsidR="00C36204" w:rsidRPr="00847F0F" w:rsidRDefault="00C36204" w:rsidP="0072581A">
            <w:pPr>
              <w:jc w:val="center"/>
            </w:pPr>
            <w:r w:rsidRPr="00847F0F">
              <w:t>100</w:t>
            </w:r>
          </w:p>
        </w:tc>
      </w:tr>
      <w:tr w:rsidR="00C36204" w:rsidRPr="00847F0F" w:rsidTr="0072581A">
        <w:trPr>
          <w:jc w:val="center"/>
        </w:trPr>
        <w:tc>
          <w:tcPr>
            <w:tcW w:w="1719" w:type="dxa"/>
            <w:vMerge w:val="restart"/>
            <w:vAlign w:val="center"/>
          </w:tcPr>
          <w:p w:rsidR="00C36204" w:rsidRPr="00847F0F" w:rsidRDefault="00C36204" w:rsidP="0072581A">
            <w:pPr>
              <w:rPr>
                <w:b/>
              </w:rPr>
            </w:pPr>
            <w:r w:rsidRPr="00847F0F">
              <w:rPr>
                <w:b/>
              </w:rPr>
              <w:t>2. Çocuk</w:t>
            </w:r>
          </w:p>
        </w:tc>
        <w:tc>
          <w:tcPr>
            <w:tcW w:w="1547" w:type="dxa"/>
          </w:tcPr>
          <w:p w:rsidR="00C36204" w:rsidRPr="00847F0F" w:rsidRDefault="00C36204" w:rsidP="0072581A">
            <w:pPr>
              <w:jc w:val="center"/>
              <w:rPr>
                <w:b/>
              </w:rPr>
            </w:pPr>
            <w:r w:rsidRPr="00847F0F">
              <w:rPr>
                <w:b/>
              </w:rPr>
              <w:t>Sayı</w:t>
            </w:r>
          </w:p>
        </w:tc>
        <w:tc>
          <w:tcPr>
            <w:tcW w:w="1319" w:type="dxa"/>
          </w:tcPr>
          <w:p w:rsidR="00C36204" w:rsidRPr="00847F0F" w:rsidRDefault="00C36204" w:rsidP="0072581A">
            <w:pPr>
              <w:jc w:val="center"/>
            </w:pPr>
            <w:r w:rsidRPr="00847F0F">
              <w:t>11</w:t>
            </w:r>
          </w:p>
        </w:tc>
        <w:tc>
          <w:tcPr>
            <w:tcW w:w="1625" w:type="dxa"/>
          </w:tcPr>
          <w:p w:rsidR="00C36204" w:rsidRPr="00847F0F" w:rsidRDefault="00C36204" w:rsidP="0072581A">
            <w:pPr>
              <w:jc w:val="center"/>
            </w:pPr>
            <w:r w:rsidRPr="00847F0F">
              <w:t>20</w:t>
            </w:r>
          </w:p>
        </w:tc>
        <w:tc>
          <w:tcPr>
            <w:tcW w:w="892" w:type="dxa"/>
          </w:tcPr>
          <w:p w:rsidR="00C36204" w:rsidRPr="00847F0F" w:rsidRDefault="00C36204" w:rsidP="0072581A">
            <w:pPr>
              <w:jc w:val="center"/>
            </w:pPr>
            <w:r w:rsidRPr="00847F0F">
              <w:t>69</w:t>
            </w:r>
          </w:p>
        </w:tc>
        <w:tc>
          <w:tcPr>
            <w:tcW w:w="1832" w:type="dxa"/>
          </w:tcPr>
          <w:p w:rsidR="00C36204" w:rsidRPr="00847F0F" w:rsidRDefault="00C36204" w:rsidP="0072581A">
            <w:pPr>
              <w:jc w:val="center"/>
            </w:pPr>
            <w:r w:rsidRPr="00847F0F">
              <w:t>94</w:t>
            </w:r>
          </w:p>
        </w:tc>
        <w:tc>
          <w:tcPr>
            <w:tcW w:w="352" w:type="dxa"/>
          </w:tcPr>
          <w:p w:rsidR="00C36204" w:rsidRPr="00847F0F" w:rsidRDefault="00C36204" w:rsidP="0072581A">
            <w:pPr>
              <w:jc w:val="center"/>
            </w:pPr>
            <w:r w:rsidRPr="00847F0F">
              <w:t>194</w:t>
            </w:r>
          </w:p>
        </w:tc>
      </w:tr>
      <w:tr w:rsidR="00C36204" w:rsidRPr="00847F0F" w:rsidTr="0072581A">
        <w:trPr>
          <w:jc w:val="center"/>
        </w:trPr>
        <w:tc>
          <w:tcPr>
            <w:tcW w:w="1719" w:type="dxa"/>
            <w:vMerge/>
            <w:vAlign w:val="center"/>
          </w:tcPr>
          <w:p w:rsidR="00C36204" w:rsidRPr="00847F0F" w:rsidRDefault="00C36204" w:rsidP="0072581A">
            <w:pPr>
              <w:rPr>
                <w:b/>
              </w:rPr>
            </w:pPr>
          </w:p>
        </w:tc>
        <w:tc>
          <w:tcPr>
            <w:tcW w:w="1547" w:type="dxa"/>
          </w:tcPr>
          <w:p w:rsidR="00C36204" w:rsidRPr="00847F0F" w:rsidRDefault="00C36204" w:rsidP="0072581A">
            <w:pPr>
              <w:jc w:val="center"/>
              <w:rPr>
                <w:b/>
              </w:rPr>
            </w:pPr>
            <w:r w:rsidRPr="00847F0F">
              <w:rPr>
                <w:b/>
              </w:rPr>
              <w:t>%</w:t>
            </w:r>
          </w:p>
        </w:tc>
        <w:tc>
          <w:tcPr>
            <w:tcW w:w="1319" w:type="dxa"/>
          </w:tcPr>
          <w:p w:rsidR="00C36204" w:rsidRPr="00847F0F" w:rsidRDefault="00C36204" w:rsidP="0072581A">
            <w:pPr>
              <w:jc w:val="center"/>
            </w:pPr>
            <w:r w:rsidRPr="00847F0F">
              <w:t>5,7</w:t>
            </w:r>
          </w:p>
        </w:tc>
        <w:tc>
          <w:tcPr>
            <w:tcW w:w="1625" w:type="dxa"/>
          </w:tcPr>
          <w:p w:rsidR="00C36204" w:rsidRPr="00847F0F" w:rsidRDefault="00C36204" w:rsidP="0072581A">
            <w:pPr>
              <w:jc w:val="center"/>
            </w:pPr>
            <w:r w:rsidRPr="00847F0F">
              <w:t>10,3</w:t>
            </w:r>
          </w:p>
        </w:tc>
        <w:tc>
          <w:tcPr>
            <w:tcW w:w="892" w:type="dxa"/>
          </w:tcPr>
          <w:p w:rsidR="00C36204" w:rsidRPr="00847F0F" w:rsidRDefault="00C36204" w:rsidP="0072581A">
            <w:pPr>
              <w:jc w:val="center"/>
            </w:pPr>
            <w:r w:rsidRPr="00847F0F">
              <w:t>35,6</w:t>
            </w:r>
          </w:p>
        </w:tc>
        <w:tc>
          <w:tcPr>
            <w:tcW w:w="1832" w:type="dxa"/>
          </w:tcPr>
          <w:p w:rsidR="00C36204" w:rsidRPr="00847F0F" w:rsidRDefault="00C36204" w:rsidP="0072581A">
            <w:pPr>
              <w:jc w:val="center"/>
            </w:pPr>
            <w:r w:rsidRPr="00847F0F">
              <w:t>48,5</w:t>
            </w:r>
          </w:p>
        </w:tc>
        <w:tc>
          <w:tcPr>
            <w:tcW w:w="352" w:type="dxa"/>
          </w:tcPr>
          <w:p w:rsidR="00C36204" w:rsidRPr="00847F0F" w:rsidRDefault="00C36204" w:rsidP="0072581A">
            <w:pPr>
              <w:jc w:val="center"/>
            </w:pPr>
            <w:r w:rsidRPr="00847F0F">
              <w:t>100</w:t>
            </w:r>
          </w:p>
        </w:tc>
      </w:tr>
      <w:tr w:rsidR="00C36204" w:rsidRPr="00847F0F" w:rsidTr="0072581A">
        <w:trPr>
          <w:jc w:val="center"/>
        </w:trPr>
        <w:tc>
          <w:tcPr>
            <w:tcW w:w="1719" w:type="dxa"/>
            <w:vMerge w:val="restart"/>
            <w:vAlign w:val="center"/>
          </w:tcPr>
          <w:p w:rsidR="00C36204" w:rsidRPr="00847F0F" w:rsidRDefault="00C36204" w:rsidP="0072581A">
            <w:pPr>
              <w:rPr>
                <w:b/>
              </w:rPr>
            </w:pPr>
            <w:r w:rsidRPr="00847F0F">
              <w:rPr>
                <w:b/>
              </w:rPr>
              <w:t>3. Çocuk</w:t>
            </w:r>
          </w:p>
        </w:tc>
        <w:tc>
          <w:tcPr>
            <w:tcW w:w="1547" w:type="dxa"/>
          </w:tcPr>
          <w:p w:rsidR="00C36204" w:rsidRPr="00847F0F" w:rsidRDefault="00C36204" w:rsidP="0072581A">
            <w:pPr>
              <w:jc w:val="center"/>
              <w:rPr>
                <w:b/>
              </w:rPr>
            </w:pPr>
            <w:r w:rsidRPr="00847F0F">
              <w:rPr>
                <w:b/>
              </w:rPr>
              <w:t>Sayı</w:t>
            </w:r>
          </w:p>
        </w:tc>
        <w:tc>
          <w:tcPr>
            <w:tcW w:w="1319" w:type="dxa"/>
          </w:tcPr>
          <w:p w:rsidR="00C36204" w:rsidRPr="00847F0F" w:rsidRDefault="00C36204" w:rsidP="0072581A">
            <w:pPr>
              <w:jc w:val="center"/>
            </w:pPr>
            <w:r w:rsidRPr="00847F0F">
              <w:t>14</w:t>
            </w:r>
          </w:p>
        </w:tc>
        <w:tc>
          <w:tcPr>
            <w:tcW w:w="1625" w:type="dxa"/>
          </w:tcPr>
          <w:p w:rsidR="00C36204" w:rsidRPr="00847F0F" w:rsidRDefault="00C36204" w:rsidP="0072581A">
            <w:pPr>
              <w:jc w:val="center"/>
            </w:pPr>
            <w:r w:rsidRPr="00847F0F">
              <w:t>26</w:t>
            </w:r>
          </w:p>
        </w:tc>
        <w:tc>
          <w:tcPr>
            <w:tcW w:w="892" w:type="dxa"/>
          </w:tcPr>
          <w:p w:rsidR="00C36204" w:rsidRPr="00847F0F" w:rsidRDefault="00C36204" w:rsidP="0072581A">
            <w:pPr>
              <w:jc w:val="center"/>
            </w:pPr>
            <w:r w:rsidRPr="00847F0F">
              <w:t>43</w:t>
            </w:r>
          </w:p>
        </w:tc>
        <w:tc>
          <w:tcPr>
            <w:tcW w:w="1832" w:type="dxa"/>
          </w:tcPr>
          <w:p w:rsidR="00C36204" w:rsidRPr="00847F0F" w:rsidRDefault="00C36204" w:rsidP="0072581A">
            <w:pPr>
              <w:jc w:val="center"/>
            </w:pPr>
            <w:r w:rsidRPr="00847F0F">
              <w:t>58</w:t>
            </w:r>
          </w:p>
        </w:tc>
        <w:tc>
          <w:tcPr>
            <w:tcW w:w="352" w:type="dxa"/>
          </w:tcPr>
          <w:p w:rsidR="00C36204" w:rsidRPr="00847F0F" w:rsidRDefault="00C36204" w:rsidP="0072581A">
            <w:pPr>
              <w:jc w:val="center"/>
            </w:pPr>
            <w:r w:rsidRPr="00847F0F">
              <w:t>141</w:t>
            </w:r>
          </w:p>
        </w:tc>
      </w:tr>
      <w:tr w:rsidR="00C36204" w:rsidRPr="00847F0F" w:rsidTr="0072581A">
        <w:trPr>
          <w:jc w:val="center"/>
        </w:trPr>
        <w:tc>
          <w:tcPr>
            <w:tcW w:w="1719" w:type="dxa"/>
            <w:vMerge/>
          </w:tcPr>
          <w:p w:rsidR="00C36204" w:rsidRPr="00847F0F" w:rsidRDefault="00C36204" w:rsidP="0072581A">
            <w:pPr>
              <w:rPr>
                <w:b/>
              </w:rPr>
            </w:pPr>
          </w:p>
        </w:tc>
        <w:tc>
          <w:tcPr>
            <w:tcW w:w="1547" w:type="dxa"/>
          </w:tcPr>
          <w:p w:rsidR="00C36204" w:rsidRPr="00847F0F" w:rsidRDefault="00C36204" w:rsidP="0072581A">
            <w:pPr>
              <w:jc w:val="center"/>
              <w:rPr>
                <w:b/>
              </w:rPr>
            </w:pPr>
            <w:r w:rsidRPr="00847F0F">
              <w:rPr>
                <w:b/>
              </w:rPr>
              <w:t>%</w:t>
            </w:r>
          </w:p>
        </w:tc>
        <w:tc>
          <w:tcPr>
            <w:tcW w:w="1319" w:type="dxa"/>
          </w:tcPr>
          <w:p w:rsidR="00C36204" w:rsidRPr="00847F0F" w:rsidRDefault="00C36204" w:rsidP="0072581A">
            <w:pPr>
              <w:jc w:val="center"/>
            </w:pPr>
            <w:r w:rsidRPr="00847F0F">
              <w:t>9,9</w:t>
            </w:r>
          </w:p>
        </w:tc>
        <w:tc>
          <w:tcPr>
            <w:tcW w:w="1625" w:type="dxa"/>
          </w:tcPr>
          <w:p w:rsidR="00C36204" w:rsidRPr="00847F0F" w:rsidRDefault="00C36204" w:rsidP="0072581A">
            <w:pPr>
              <w:jc w:val="center"/>
            </w:pPr>
            <w:r w:rsidRPr="00847F0F">
              <w:t>18,4</w:t>
            </w:r>
          </w:p>
        </w:tc>
        <w:tc>
          <w:tcPr>
            <w:tcW w:w="892" w:type="dxa"/>
          </w:tcPr>
          <w:p w:rsidR="00C36204" w:rsidRPr="00847F0F" w:rsidRDefault="00C36204" w:rsidP="0072581A">
            <w:pPr>
              <w:jc w:val="center"/>
            </w:pPr>
            <w:r w:rsidRPr="00847F0F">
              <w:t>30,5</w:t>
            </w:r>
          </w:p>
        </w:tc>
        <w:tc>
          <w:tcPr>
            <w:tcW w:w="1832" w:type="dxa"/>
          </w:tcPr>
          <w:p w:rsidR="00C36204" w:rsidRPr="00847F0F" w:rsidRDefault="00C36204" w:rsidP="0072581A">
            <w:pPr>
              <w:jc w:val="center"/>
            </w:pPr>
            <w:r w:rsidRPr="00847F0F">
              <w:t>41,1</w:t>
            </w:r>
          </w:p>
        </w:tc>
        <w:tc>
          <w:tcPr>
            <w:tcW w:w="352" w:type="dxa"/>
          </w:tcPr>
          <w:p w:rsidR="00C36204" w:rsidRPr="00847F0F" w:rsidRDefault="00C36204" w:rsidP="0072581A">
            <w:pPr>
              <w:jc w:val="center"/>
            </w:pPr>
            <w:r w:rsidRPr="00847F0F">
              <w:t>100</w:t>
            </w:r>
          </w:p>
        </w:tc>
      </w:tr>
    </w:tbl>
    <w:p w:rsidR="00C36204" w:rsidRPr="00847F0F" w:rsidRDefault="00C36204" w:rsidP="00C36204">
      <w:pPr>
        <w:rPr>
          <w:b/>
        </w:rPr>
      </w:pPr>
    </w:p>
    <w:p w:rsidR="00C36204" w:rsidRPr="00847F0F" w:rsidRDefault="00C36204" w:rsidP="00C36204">
      <w:pPr>
        <w:spacing w:after="0" w:line="240" w:lineRule="auto"/>
        <w:jc w:val="center"/>
      </w:pPr>
      <w:r w:rsidRPr="00847F0F">
        <w:rPr>
          <w:noProof/>
        </w:rPr>
        <w:drawing>
          <wp:inline distT="0" distB="0" distL="0" distR="0">
            <wp:extent cx="5762729" cy="1828800"/>
            <wp:effectExtent l="0" t="0" r="952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30192" t="68877" r="30488" b="8939"/>
                    <a:stretch/>
                  </pic:blipFill>
                  <pic:spPr bwMode="auto">
                    <a:xfrm>
                      <a:off x="0" y="0"/>
                      <a:ext cx="5771952" cy="1831727"/>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36204" w:rsidRPr="00847F0F" w:rsidRDefault="00C36204" w:rsidP="00C36204">
      <w:pPr>
        <w:jc w:val="center"/>
      </w:pPr>
      <w:r w:rsidRPr="00847F0F">
        <w:t>Grafik 4: Ankete katılan öğrencilerin aile üyelerinin eğitim seviyeleri dağılımı</w:t>
      </w:r>
    </w:p>
    <w:p w:rsidR="00C36204" w:rsidRPr="00956707" w:rsidRDefault="00C36204" w:rsidP="00956707">
      <w:pPr>
        <w:pStyle w:val="ListeParagraf"/>
        <w:numPr>
          <w:ilvl w:val="0"/>
          <w:numId w:val="19"/>
        </w:numPr>
        <w:jc w:val="both"/>
        <w:rPr>
          <w:b/>
        </w:rPr>
      </w:pPr>
      <w:r w:rsidRPr="00956707">
        <w:rPr>
          <w:b/>
        </w:rPr>
        <w:t>Tartışma</w:t>
      </w:r>
    </w:p>
    <w:p w:rsidR="00C36204" w:rsidRPr="00847F0F" w:rsidRDefault="00C36204" w:rsidP="00C36204">
      <w:pPr>
        <w:pStyle w:val="ListeParagraf"/>
        <w:numPr>
          <w:ilvl w:val="1"/>
          <w:numId w:val="19"/>
        </w:numPr>
        <w:rPr>
          <w:b/>
        </w:rPr>
      </w:pPr>
      <w:r w:rsidRPr="00847F0F">
        <w:rPr>
          <w:b/>
        </w:rPr>
        <w:t>Ankete Katılan Öğrencilere ve Ailelerine İlişkin Değerlendirme</w:t>
      </w:r>
    </w:p>
    <w:p w:rsidR="00C36204" w:rsidRPr="00847F0F" w:rsidRDefault="00C36204" w:rsidP="00C36204">
      <w:pPr>
        <w:pStyle w:val="ListeParagraf"/>
        <w:ind w:left="360"/>
        <w:rPr>
          <w:b/>
        </w:rPr>
      </w:pPr>
    </w:p>
    <w:p w:rsidR="00C36204" w:rsidRPr="00847F0F" w:rsidRDefault="00C36204" w:rsidP="00C36204">
      <w:pPr>
        <w:pStyle w:val="ListeParagraf"/>
        <w:numPr>
          <w:ilvl w:val="2"/>
          <w:numId w:val="19"/>
        </w:numPr>
        <w:rPr>
          <w:b/>
        </w:rPr>
      </w:pPr>
      <w:r w:rsidRPr="00847F0F">
        <w:rPr>
          <w:b/>
        </w:rPr>
        <w:t>Ankete Katılan Öğrencilerin Cinsiyet Dağılımının Değerlendirilmesi</w:t>
      </w:r>
    </w:p>
    <w:p w:rsidR="00C36204" w:rsidRPr="00847F0F" w:rsidRDefault="00C36204" w:rsidP="00C36204">
      <w:pPr>
        <w:jc w:val="both"/>
      </w:pPr>
      <w:r w:rsidRPr="00847F0F">
        <w:t>Anket sorusu gönderilen hedef kitlede cinsiyet dağılımı, tüm toplumlarda olduğu gibi, yaklaşık olarak % 50 erkek ve % 50 kadın olarak kabul edilmiştir. Ankete katılanların cinsiyet dağılımı incelendiğinde, Tablo 1’de görüldüğü gibi, gıda israfı ve çevre konularına kadınların daha duyarlı oldukları görülmektedir.</w:t>
      </w:r>
    </w:p>
    <w:p w:rsidR="00C36204" w:rsidRPr="00847F0F" w:rsidRDefault="00C36204" w:rsidP="00C36204">
      <w:pPr>
        <w:pStyle w:val="ListeParagraf"/>
        <w:numPr>
          <w:ilvl w:val="2"/>
          <w:numId w:val="19"/>
        </w:numPr>
        <w:rPr>
          <w:b/>
        </w:rPr>
      </w:pPr>
      <w:r w:rsidRPr="00847F0F">
        <w:rPr>
          <w:b/>
        </w:rPr>
        <w:lastRenderedPageBreak/>
        <w:t>Ankete Katılan Öğrencilerin Aile Yapısının Değerlendirilmesi</w:t>
      </w:r>
    </w:p>
    <w:p w:rsidR="00C36204" w:rsidRPr="00847F0F" w:rsidRDefault="00C36204" w:rsidP="00C36204">
      <w:pPr>
        <w:jc w:val="both"/>
      </w:pPr>
      <w:r w:rsidRPr="00847F0F">
        <w:t>Ankete katılan öğrencilerin aile yapısı değerlendirildiğinde genel olarak kalabalık aileler oldukları görülmektedir. Az çocuklu ya da çekirdek aile yapısının az sayıda olduğu anlaşılmaktadır. Ailelerin toplam gelirinin ve ortalama eğitim seviyesinin düşük olması, bu sonuç ile uyumlu görünmektedir.</w:t>
      </w:r>
    </w:p>
    <w:p w:rsidR="00C36204" w:rsidRPr="00847F0F" w:rsidRDefault="00C36204" w:rsidP="00C36204">
      <w:pPr>
        <w:pStyle w:val="ListeParagraf"/>
        <w:numPr>
          <w:ilvl w:val="2"/>
          <w:numId w:val="19"/>
        </w:numPr>
        <w:rPr>
          <w:b/>
        </w:rPr>
      </w:pPr>
      <w:r w:rsidRPr="00847F0F">
        <w:rPr>
          <w:b/>
        </w:rPr>
        <w:t>Ankete Katılan Öğrencilerin Ailelerinin Gelir Durumunun Değerlendirilmesi</w:t>
      </w:r>
    </w:p>
    <w:p w:rsidR="00C36204" w:rsidRDefault="00C36204" w:rsidP="00C36204">
      <w:pPr>
        <w:jc w:val="both"/>
      </w:pPr>
      <w:r w:rsidRPr="00847F0F">
        <w:t>Ankete katılan öğrencilerin büyük çoğunluğunun ailelerinin gelir durumunun oldukça kötü olduğu görülmektedir. Bunların bir kısmı açlık sınırının altında, birçoğunun da yoksulluk sınırı altında bir gelir ile yaşadıkları anlaşılmıştır.</w:t>
      </w:r>
    </w:p>
    <w:p w:rsidR="00C36204" w:rsidRPr="00847F0F" w:rsidRDefault="00C36204" w:rsidP="00C36204">
      <w:pPr>
        <w:pStyle w:val="ListeParagraf"/>
        <w:numPr>
          <w:ilvl w:val="2"/>
          <w:numId w:val="19"/>
        </w:numPr>
        <w:rPr>
          <w:b/>
        </w:rPr>
      </w:pPr>
      <w:r w:rsidRPr="00847F0F">
        <w:rPr>
          <w:b/>
        </w:rPr>
        <w:t>Ankete Katılan Öğrencilerin Ailelerinin Eğitim Seviyesinin Değerlendirilmesi</w:t>
      </w:r>
    </w:p>
    <w:p w:rsidR="00C36204" w:rsidRPr="00847F0F" w:rsidRDefault="00C36204" w:rsidP="00C36204">
      <w:pPr>
        <w:jc w:val="both"/>
      </w:pPr>
      <w:r w:rsidRPr="00847F0F">
        <w:t>Ankete katılan öğrencilerin aile üyelerinin eğitim seviyesi incelendiğinde, genel olarak anne ve babaların eğitim seviyelerinin düşük; çocukların eğitim seviyelerinin ise yüksek olduğu değerlendirilmektedir. Bu çalışmanın hedef kitlesi üniversite öğrencileri olduğu için çocukların eğitim seviyelerinin yüksek görünmesi beklenen bir sonuçtur.</w:t>
      </w:r>
    </w:p>
    <w:p w:rsidR="00C36204" w:rsidRPr="00847F0F" w:rsidRDefault="00C36204" w:rsidP="00C36204">
      <w:pPr>
        <w:pStyle w:val="ListeParagraf"/>
        <w:numPr>
          <w:ilvl w:val="1"/>
          <w:numId w:val="19"/>
        </w:numPr>
        <w:jc w:val="both"/>
        <w:rPr>
          <w:b/>
        </w:rPr>
      </w:pPr>
      <w:r w:rsidRPr="00847F0F">
        <w:rPr>
          <w:b/>
        </w:rPr>
        <w:t>Gıda İsrafı ve Çevre Sorunlarının Farkında Olma Değerlendirmesi</w:t>
      </w:r>
    </w:p>
    <w:p w:rsidR="00C36204" w:rsidRPr="00847F0F" w:rsidRDefault="00805AA4" w:rsidP="00C36204">
      <w:pPr>
        <w:jc w:val="both"/>
      </w:pPr>
      <w:r>
        <w:t>Tablo 5</w:t>
      </w:r>
      <w:r w:rsidR="00C36204" w:rsidRPr="00847F0F">
        <w:t xml:space="preserve">’de </w:t>
      </w:r>
      <w:r w:rsidR="00912F3B" w:rsidRPr="00847F0F">
        <w:t xml:space="preserve">eğitimden önce ve sonra </w:t>
      </w:r>
      <w:r w:rsidR="00C36204" w:rsidRPr="00847F0F">
        <w:t>anket yapılan öğrencilerin tamamında gıda</w:t>
      </w:r>
      <w:r w:rsidR="00C36204" w:rsidRPr="00847F0F">
        <w:rPr>
          <w:b/>
        </w:rPr>
        <w:t xml:space="preserve"> </w:t>
      </w:r>
      <w:r w:rsidR="00C36204" w:rsidRPr="00847F0F">
        <w:t>israfı ve çevre sorunlarının farkında olma değerlendirmelerin ortalamaları verilmiştir. Buna göre, anket sorularını cevaplayan Tarsus Üniversitesi öğrenci sayısı ortalama olarak 227’dir. Bunların</w:t>
      </w:r>
      <w:r w:rsidR="00912F3B" w:rsidRPr="00847F0F">
        <w:t>,</w:t>
      </w:r>
      <w:r w:rsidR="00C36204" w:rsidRPr="00847F0F">
        <w:t xml:space="preserve"> </w:t>
      </w:r>
      <w:r w:rsidR="00912F3B" w:rsidRPr="00847F0F">
        <w:t xml:space="preserve">eğitimden önceki farkındalık düzeyi genel olarak yüksek olanların sayısı 158 iken verilen eğitimden sonra </w:t>
      </w:r>
      <w:r w:rsidR="00C36204" w:rsidRPr="00847F0F">
        <w:t xml:space="preserve">210 tanesinin ortalama farkındalık düzeyi </w:t>
      </w:r>
      <w:r w:rsidR="00912F3B" w:rsidRPr="00847F0F">
        <w:t>genel olarak</w:t>
      </w:r>
      <w:r w:rsidR="00C36204" w:rsidRPr="00847F0F">
        <w:t xml:space="preserve"> yüksek</w:t>
      </w:r>
      <w:r w:rsidR="00912F3B" w:rsidRPr="00847F0F">
        <w:t xml:space="preserve"> çıkmış</w:t>
      </w:r>
      <w:r w:rsidR="00C36204" w:rsidRPr="00847F0F">
        <w:t>t</w:t>
      </w:r>
      <w:r w:rsidR="00912F3B" w:rsidRPr="00847F0F">
        <w:t>ı</w:t>
      </w:r>
      <w:r w:rsidR="00C36204" w:rsidRPr="00847F0F">
        <w:t>r.</w:t>
      </w:r>
      <w:r w:rsidR="00912F3B" w:rsidRPr="00847F0F">
        <w:t xml:space="preserve"> Eğitim sayesinde 52 öğrencinin farkındalık düzeyi yükselmiştir.</w:t>
      </w:r>
    </w:p>
    <w:p w:rsidR="00C36204" w:rsidRPr="00847F0F" w:rsidRDefault="00805AA4" w:rsidP="00C36204">
      <w:pPr>
        <w:spacing w:after="0" w:line="240" w:lineRule="auto"/>
        <w:jc w:val="center"/>
        <w:rPr>
          <w:b/>
        </w:rPr>
      </w:pPr>
      <w:r>
        <w:t>Tablo 5</w:t>
      </w:r>
      <w:r w:rsidR="00C36204" w:rsidRPr="00847F0F">
        <w:t>: Gıda</w:t>
      </w:r>
      <w:r w:rsidR="00C36204" w:rsidRPr="00847F0F">
        <w:rPr>
          <w:b/>
        </w:rPr>
        <w:t xml:space="preserve"> </w:t>
      </w:r>
      <w:r w:rsidR="00C36204" w:rsidRPr="00847F0F">
        <w:t>israfı ve çevre sorunlarının farkında olma değerlendirmesi</w:t>
      </w:r>
    </w:p>
    <w:p w:rsidR="00C36204" w:rsidRPr="00847F0F" w:rsidRDefault="00C36204" w:rsidP="00C36204">
      <w:pPr>
        <w:spacing w:after="0" w:line="240" w:lineRule="auto"/>
        <w:jc w:val="center"/>
      </w:pPr>
    </w:p>
    <w:tbl>
      <w:tblPr>
        <w:tblStyle w:val="TabloKlavuzu"/>
        <w:tblW w:w="0" w:type="auto"/>
        <w:jc w:val="center"/>
        <w:tblLook w:val="04A0"/>
      </w:tblPr>
      <w:tblGrid>
        <w:gridCol w:w="4532"/>
        <w:gridCol w:w="822"/>
        <w:gridCol w:w="849"/>
        <w:gridCol w:w="884"/>
        <w:gridCol w:w="831"/>
      </w:tblGrid>
      <w:tr w:rsidR="00912F3B" w:rsidRPr="00847F0F" w:rsidTr="008C397B">
        <w:trPr>
          <w:jc w:val="center"/>
        </w:trPr>
        <w:tc>
          <w:tcPr>
            <w:tcW w:w="0" w:type="auto"/>
            <w:vMerge w:val="restart"/>
            <w:vAlign w:val="center"/>
          </w:tcPr>
          <w:p w:rsidR="00912F3B" w:rsidRPr="00847F0F" w:rsidRDefault="00912F3B" w:rsidP="0072581A">
            <w:pPr>
              <w:jc w:val="center"/>
              <w:rPr>
                <w:b/>
              </w:rPr>
            </w:pPr>
            <w:r w:rsidRPr="00847F0F">
              <w:rPr>
                <w:b/>
              </w:rPr>
              <w:t>Gıda İsrafı ve Çevre Sorunlarının Farkında Olma</w:t>
            </w:r>
          </w:p>
        </w:tc>
        <w:tc>
          <w:tcPr>
            <w:tcW w:w="0" w:type="auto"/>
            <w:gridSpan w:val="4"/>
          </w:tcPr>
          <w:p w:rsidR="00912F3B" w:rsidRPr="00847F0F" w:rsidRDefault="00912F3B" w:rsidP="0072581A">
            <w:pPr>
              <w:jc w:val="center"/>
              <w:rPr>
                <w:b/>
              </w:rPr>
            </w:pPr>
            <w:r w:rsidRPr="00847F0F">
              <w:rPr>
                <w:b/>
              </w:rPr>
              <w:t>Soruya Cevap Verenlerin Dağılımı</w:t>
            </w:r>
          </w:p>
        </w:tc>
      </w:tr>
      <w:tr w:rsidR="00912F3B" w:rsidRPr="00847F0F" w:rsidTr="008C397B">
        <w:trPr>
          <w:jc w:val="center"/>
        </w:trPr>
        <w:tc>
          <w:tcPr>
            <w:tcW w:w="0" w:type="auto"/>
            <w:vMerge/>
          </w:tcPr>
          <w:p w:rsidR="00912F3B" w:rsidRPr="00847F0F" w:rsidRDefault="00912F3B" w:rsidP="0072581A">
            <w:pPr>
              <w:jc w:val="center"/>
              <w:rPr>
                <w:b/>
              </w:rPr>
            </w:pPr>
          </w:p>
        </w:tc>
        <w:tc>
          <w:tcPr>
            <w:tcW w:w="0" w:type="auto"/>
            <w:gridSpan w:val="2"/>
          </w:tcPr>
          <w:p w:rsidR="00912F3B" w:rsidRPr="00847F0F" w:rsidRDefault="00912F3B" w:rsidP="0072581A">
            <w:pPr>
              <w:jc w:val="center"/>
              <w:rPr>
                <w:b/>
              </w:rPr>
            </w:pPr>
            <w:r w:rsidRPr="00847F0F">
              <w:rPr>
                <w:b/>
              </w:rPr>
              <w:t>Eğitimden Önce</w:t>
            </w:r>
          </w:p>
        </w:tc>
        <w:tc>
          <w:tcPr>
            <w:tcW w:w="0" w:type="auto"/>
            <w:gridSpan w:val="2"/>
          </w:tcPr>
          <w:p w:rsidR="00912F3B" w:rsidRPr="00847F0F" w:rsidRDefault="00912F3B" w:rsidP="0072581A">
            <w:pPr>
              <w:jc w:val="center"/>
              <w:rPr>
                <w:b/>
              </w:rPr>
            </w:pPr>
            <w:r w:rsidRPr="00847F0F">
              <w:rPr>
                <w:b/>
              </w:rPr>
              <w:t>Eğitimden Sonra</w:t>
            </w:r>
          </w:p>
        </w:tc>
      </w:tr>
      <w:tr w:rsidR="00912F3B" w:rsidRPr="00847F0F" w:rsidTr="008C397B">
        <w:trPr>
          <w:jc w:val="center"/>
        </w:trPr>
        <w:tc>
          <w:tcPr>
            <w:tcW w:w="0" w:type="auto"/>
            <w:vMerge/>
          </w:tcPr>
          <w:p w:rsidR="00912F3B" w:rsidRPr="00847F0F" w:rsidRDefault="00912F3B" w:rsidP="0072581A">
            <w:pPr>
              <w:jc w:val="center"/>
              <w:rPr>
                <w:b/>
              </w:rPr>
            </w:pPr>
          </w:p>
        </w:tc>
        <w:tc>
          <w:tcPr>
            <w:tcW w:w="0" w:type="auto"/>
          </w:tcPr>
          <w:p w:rsidR="00912F3B" w:rsidRPr="00847F0F" w:rsidRDefault="00912F3B" w:rsidP="008C397B">
            <w:pPr>
              <w:jc w:val="center"/>
              <w:rPr>
                <w:b/>
              </w:rPr>
            </w:pPr>
            <w:r w:rsidRPr="00847F0F">
              <w:rPr>
                <w:b/>
              </w:rPr>
              <w:t>Sayı</w:t>
            </w:r>
          </w:p>
        </w:tc>
        <w:tc>
          <w:tcPr>
            <w:tcW w:w="0" w:type="auto"/>
          </w:tcPr>
          <w:p w:rsidR="00912F3B" w:rsidRPr="00847F0F" w:rsidRDefault="00912F3B" w:rsidP="008C397B">
            <w:pPr>
              <w:jc w:val="center"/>
              <w:rPr>
                <w:b/>
              </w:rPr>
            </w:pPr>
            <w:r w:rsidRPr="00847F0F">
              <w:rPr>
                <w:b/>
              </w:rPr>
              <w:t>%</w:t>
            </w:r>
          </w:p>
        </w:tc>
        <w:tc>
          <w:tcPr>
            <w:tcW w:w="0" w:type="auto"/>
          </w:tcPr>
          <w:p w:rsidR="00912F3B" w:rsidRPr="00847F0F" w:rsidRDefault="00912F3B" w:rsidP="0072581A">
            <w:pPr>
              <w:jc w:val="center"/>
              <w:rPr>
                <w:b/>
              </w:rPr>
            </w:pPr>
            <w:r w:rsidRPr="00847F0F">
              <w:rPr>
                <w:b/>
              </w:rPr>
              <w:t>Sayı</w:t>
            </w:r>
          </w:p>
        </w:tc>
        <w:tc>
          <w:tcPr>
            <w:tcW w:w="0" w:type="auto"/>
          </w:tcPr>
          <w:p w:rsidR="00912F3B" w:rsidRPr="00847F0F" w:rsidRDefault="00912F3B" w:rsidP="0072581A">
            <w:pPr>
              <w:jc w:val="center"/>
              <w:rPr>
                <w:b/>
              </w:rPr>
            </w:pPr>
            <w:r w:rsidRPr="00847F0F">
              <w:rPr>
                <w:b/>
              </w:rPr>
              <w:t>%</w:t>
            </w:r>
          </w:p>
        </w:tc>
      </w:tr>
      <w:tr w:rsidR="00912F3B" w:rsidRPr="00847F0F" w:rsidTr="008C397B">
        <w:trPr>
          <w:jc w:val="center"/>
        </w:trPr>
        <w:tc>
          <w:tcPr>
            <w:tcW w:w="0" w:type="auto"/>
          </w:tcPr>
          <w:p w:rsidR="00912F3B" w:rsidRPr="00847F0F" w:rsidRDefault="00912F3B" w:rsidP="0072581A">
            <w:pPr>
              <w:jc w:val="both"/>
            </w:pPr>
            <w:r w:rsidRPr="00847F0F">
              <w:t>Kesinlikle benim sorunum değil</w:t>
            </w:r>
          </w:p>
        </w:tc>
        <w:tc>
          <w:tcPr>
            <w:tcW w:w="0" w:type="auto"/>
            <w:vAlign w:val="bottom"/>
          </w:tcPr>
          <w:p w:rsidR="00912F3B" w:rsidRPr="00847F0F" w:rsidRDefault="00912F3B">
            <w:pPr>
              <w:jc w:val="center"/>
              <w:rPr>
                <w:rFonts w:ascii="Calibri" w:hAnsi="Calibri"/>
              </w:rPr>
            </w:pPr>
            <w:r w:rsidRPr="00847F0F">
              <w:rPr>
                <w:rFonts w:ascii="Calibri" w:hAnsi="Calibri"/>
              </w:rPr>
              <w:t>33</w:t>
            </w:r>
          </w:p>
        </w:tc>
        <w:tc>
          <w:tcPr>
            <w:tcW w:w="0" w:type="auto"/>
            <w:vAlign w:val="bottom"/>
          </w:tcPr>
          <w:p w:rsidR="00912F3B" w:rsidRPr="00847F0F" w:rsidRDefault="00912F3B">
            <w:pPr>
              <w:jc w:val="center"/>
              <w:rPr>
                <w:rFonts w:ascii="Calibri" w:hAnsi="Calibri"/>
              </w:rPr>
            </w:pPr>
            <w:r w:rsidRPr="00847F0F">
              <w:rPr>
                <w:rFonts w:ascii="Calibri" w:hAnsi="Calibri"/>
              </w:rPr>
              <w:t>14,4</w:t>
            </w:r>
          </w:p>
        </w:tc>
        <w:tc>
          <w:tcPr>
            <w:tcW w:w="0" w:type="auto"/>
            <w:vAlign w:val="bottom"/>
          </w:tcPr>
          <w:p w:rsidR="00912F3B" w:rsidRPr="00847F0F" w:rsidRDefault="00912F3B" w:rsidP="0072581A">
            <w:pPr>
              <w:jc w:val="center"/>
              <w:rPr>
                <w:rFonts w:ascii="Calibri" w:hAnsi="Calibri"/>
              </w:rPr>
            </w:pPr>
            <w:r w:rsidRPr="00847F0F">
              <w:rPr>
                <w:rFonts w:ascii="Calibri" w:hAnsi="Calibri"/>
              </w:rPr>
              <w:t>7</w:t>
            </w:r>
          </w:p>
        </w:tc>
        <w:tc>
          <w:tcPr>
            <w:tcW w:w="0" w:type="auto"/>
            <w:vAlign w:val="bottom"/>
          </w:tcPr>
          <w:p w:rsidR="00912F3B" w:rsidRPr="00847F0F" w:rsidRDefault="00912F3B" w:rsidP="0072581A">
            <w:pPr>
              <w:jc w:val="center"/>
              <w:rPr>
                <w:rFonts w:ascii="Calibri" w:hAnsi="Calibri"/>
              </w:rPr>
            </w:pPr>
            <w:r w:rsidRPr="00847F0F">
              <w:rPr>
                <w:rFonts w:ascii="Calibri" w:hAnsi="Calibri"/>
              </w:rPr>
              <w:t>3</w:t>
            </w:r>
          </w:p>
        </w:tc>
      </w:tr>
      <w:tr w:rsidR="00912F3B" w:rsidRPr="00847F0F" w:rsidTr="008C397B">
        <w:trPr>
          <w:jc w:val="center"/>
        </w:trPr>
        <w:tc>
          <w:tcPr>
            <w:tcW w:w="0" w:type="auto"/>
          </w:tcPr>
          <w:p w:rsidR="00912F3B" w:rsidRPr="00847F0F" w:rsidRDefault="00912F3B" w:rsidP="0072581A">
            <w:pPr>
              <w:jc w:val="both"/>
            </w:pPr>
            <w:r w:rsidRPr="00847F0F">
              <w:t>Benim sorunum değil</w:t>
            </w:r>
          </w:p>
        </w:tc>
        <w:tc>
          <w:tcPr>
            <w:tcW w:w="0" w:type="auto"/>
            <w:vAlign w:val="bottom"/>
          </w:tcPr>
          <w:p w:rsidR="00912F3B" w:rsidRPr="00847F0F" w:rsidRDefault="00912F3B">
            <w:pPr>
              <w:jc w:val="center"/>
              <w:rPr>
                <w:rFonts w:ascii="Calibri" w:hAnsi="Calibri"/>
              </w:rPr>
            </w:pPr>
            <w:r w:rsidRPr="00847F0F">
              <w:rPr>
                <w:rFonts w:ascii="Calibri" w:hAnsi="Calibri"/>
              </w:rPr>
              <w:t>36</w:t>
            </w:r>
          </w:p>
        </w:tc>
        <w:tc>
          <w:tcPr>
            <w:tcW w:w="0" w:type="auto"/>
            <w:vAlign w:val="bottom"/>
          </w:tcPr>
          <w:p w:rsidR="00912F3B" w:rsidRPr="00847F0F" w:rsidRDefault="00912F3B">
            <w:pPr>
              <w:jc w:val="center"/>
              <w:rPr>
                <w:rFonts w:ascii="Calibri" w:hAnsi="Calibri"/>
              </w:rPr>
            </w:pPr>
            <w:r w:rsidRPr="00847F0F">
              <w:rPr>
                <w:rFonts w:ascii="Calibri" w:hAnsi="Calibri"/>
              </w:rPr>
              <w:t>16</w:t>
            </w:r>
          </w:p>
        </w:tc>
        <w:tc>
          <w:tcPr>
            <w:tcW w:w="0" w:type="auto"/>
            <w:vAlign w:val="bottom"/>
          </w:tcPr>
          <w:p w:rsidR="00912F3B" w:rsidRPr="00847F0F" w:rsidRDefault="00912F3B" w:rsidP="0072581A">
            <w:pPr>
              <w:jc w:val="center"/>
              <w:rPr>
                <w:rFonts w:ascii="Calibri" w:hAnsi="Calibri"/>
              </w:rPr>
            </w:pPr>
            <w:r w:rsidRPr="00847F0F">
              <w:rPr>
                <w:rFonts w:ascii="Calibri" w:hAnsi="Calibri"/>
              </w:rPr>
              <w:t>10</w:t>
            </w:r>
          </w:p>
        </w:tc>
        <w:tc>
          <w:tcPr>
            <w:tcW w:w="0" w:type="auto"/>
            <w:vAlign w:val="bottom"/>
          </w:tcPr>
          <w:p w:rsidR="00912F3B" w:rsidRPr="00847F0F" w:rsidRDefault="00912F3B" w:rsidP="0072581A">
            <w:pPr>
              <w:jc w:val="center"/>
              <w:rPr>
                <w:rFonts w:ascii="Calibri" w:hAnsi="Calibri"/>
              </w:rPr>
            </w:pPr>
            <w:r w:rsidRPr="00847F0F">
              <w:rPr>
                <w:rFonts w:ascii="Calibri" w:hAnsi="Calibri"/>
              </w:rPr>
              <w:t>4</w:t>
            </w:r>
          </w:p>
        </w:tc>
      </w:tr>
      <w:tr w:rsidR="00912F3B" w:rsidRPr="00847F0F" w:rsidTr="008C397B">
        <w:trPr>
          <w:jc w:val="center"/>
        </w:trPr>
        <w:tc>
          <w:tcPr>
            <w:tcW w:w="0" w:type="auto"/>
          </w:tcPr>
          <w:p w:rsidR="00912F3B" w:rsidRPr="00847F0F" w:rsidRDefault="00912F3B" w:rsidP="0072581A">
            <w:pPr>
              <w:jc w:val="both"/>
            </w:pPr>
            <w:r w:rsidRPr="00847F0F">
              <w:t>Sorun yapıyorum</w:t>
            </w:r>
          </w:p>
        </w:tc>
        <w:tc>
          <w:tcPr>
            <w:tcW w:w="0" w:type="auto"/>
            <w:vAlign w:val="bottom"/>
          </w:tcPr>
          <w:p w:rsidR="00912F3B" w:rsidRPr="00847F0F" w:rsidRDefault="00912F3B">
            <w:pPr>
              <w:jc w:val="center"/>
              <w:rPr>
                <w:rFonts w:ascii="Calibri" w:hAnsi="Calibri"/>
              </w:rPr>
            </w:pPr>
            <w:r w:rsidRPr="00847F0F">
              <w:rPr>
                <w:rFonts w:ascii="Calibri" w:hAnsi="Calibri"/>
              </w:rPr>
              <w:t>28</w:t>
            </w:r>
          </w:p>
        </w:tc>
        <w:tc>
          <w:tcPr>
            <w:tcW w:w="0" w:type="auto"/>
            <w:vAlign w:val="bottom"/>
          </w:tcPr>
          <w:p w:rsidR="00912F3B" w:rsidRPr="00847F0F" w:rsidRDefault="00912F3B">
            <w:pPr>
              <w:jc w:val="center"/>
              <w:rPr>
                <w:rFonts w:ascii="Calibri" w:hAnsi="Calibri"/>
              </w:rPr>
            </w:pPr>
            <w:r w:rsidRPr="00847F0F">
              <w:rPr>
                <w:rFonts w:ascii="Calibri" w:hAnsi="Calibri"/>
              </w:rPr>
              <w:t>12,2</w:t>
            </w:r>
          </w:p>
        </w:tc>
        <w:tc>
          <w:tcPr>
            <w:tcW w:w="0" w:type="auto"/>
            <w:vAlign w:val="bottom"/>
          </w:tcPr>
          <w:p w:rsidR="00912F3B" w:rsidRPr="00847F0F" w:rsidRDefault="00912F3B" w:rsidP="0072581A">
            <w:pPr>
              <w:jc w:val="center"/>
              <w:rPr>
                <w:rFonts w:ascii="Calibri" w:hAnsi="Calibri"/>
              </w:rPr>
            </w:pPr>
            <w:r w:rsidRPr="00847F0F">
              <w:rPr>
                <w:rFonts w:ascii="Calibri" w:hAnsi="Calibri"/>
              </w:rPr>
              <w:t>52</w:t>
            </w:r>
          </w:p>
        </w:tc>
        <w:tc>
          <w:tcPr>
            <w:tcW w:w="0" w:type="auto"/>
            <w:vAlign w:val="bottom"/>
          </w:tcPr>
          <w:p w:rsidR="00912F3B" w:rsidRPr="00847F0F" w:rsidRDefault="00912F3B" w:rsidP="0072581A">
            <w:pPr>
              <w:jc w:val="center"/>
              <w:rPr>
                <w:rFonts w:ascii="Calibri" w:hAnsi="Calibri"/>
              </w:rPr>
            </w:pPr>
            <w:r w:rsidRPr="00847F0F">
              <w:rPr>
                <w:rFonts w:ascii="Calibri" w:hAnsi="Calibri"/>
              </w:rPr>
              <w:t>23</w:t>
            </w:r>
          </w:p>
        </w:tc>
      </w:tr>
      <w:tr w:rsidR="00912F3B" w:rsidRPr="00847F0F" w:rsidTr="008C397B">
        <w:trPr>
          <w:jc w:val="center"/>
        </w:trPr>
        <w:tc>
          <w:tcPr>
            <w:tcW w:w="0" w:type="auto"/>
          </w:tcPr>
          <w:p w:rsidR="00912F3B" w:rsidRPr="00847F0F" w:rsidRDefault="00912F3B" w:rsidP="0072581A">
            <w:pPr>
              <w:jc w:val="both"/>
            </w:pPr>
            <w:r w:rsidRPr="00847F0F">
              <w:t>Oldukça sorun yapıyorum</w:t>
            </w:r>
          </w:p>
        </w:tc>
        <w:tc>
          <w:tcPr>
            <w:tcW w:w="0" w:type="auto"/>
            <w:vAlign w:val="bottom"/>
          </w:tcPr>
          <w:p w:rsidR="00912F3B" w:rsidRPr="00847F0F" w:rsidRDefault="00912F3B">
            <w:pPr>
              <w:jc w:val="center"/>
              <w:rPr>
                <w:rFonts w:ascii="Calibri" w:hAnsi="Calibri"/>
              </w:rPr>
            </w:pPr>
            <w:r w:rsidRPr="00847F0F">
              <w:rPr>
                <w:rFonts w:ascii="Calibri" w:hAnsi="Calibri"/>
              </w:rPr>
              <w:t>34</w:t>
            </w:r>
          </w:p>
        </w:tc>
        <w:tc>
          <w:tcPr>
            <w:tcW w:w="0" w:type="auto"/>
            <w:vAlign w:val="bottom"/>
          </w:tcPr>
          <w:p w:rsidR="00912F3B" w:rsidRPr="00847F0F" w:rsidRDefault="00912F3B">
            <w:pPr>
              <w:jc w:val="center"/>
              <w:rPr>
                <w:rFonts w:ascii="Calibri" w:hAnsi="Calibri"/>
              </w:rPr>
            </w:pPr>
            <w:r w:rsidRPr="00847F0F">
              <w:rPr>
                <w:rFonts w:ascii="Calibri" w:hAnsi="Calibri"/>
              </w:rPr>
              <w:t>15,1</w:t>
            </w:r>
          </w:p>
        </w:tc>
        <w:tc>
          <w:tcPr>
            <w:tcW w:w="0" w:type="auto"/>
            <w:vAlign w:val="bottom"/>
          </w:tcPr>
          <w:p w:rsidR="00912F3B" w:rsidRPr="00847F0F" w:rsidRDefault="00912F3B" w:rsidP="0072581A">
            <w:pPr>
              <w:jc w:val="center"/>
              <w:rPr>
                <w:rFonts w:ascii="Calibri" w:hAnsi="Calibri"/>
              </w:rPr>
            </w:pPr>
            <w:r w:rsidRPr="00847F0F">
              <w:rPr>
                <w:rFonts w:ascii="Calibri" w:hAnsi="Calibri"/>
              </w:rPr>
              <w:t>46</w:t>
            </w:r>
          </w:p>
        </w:tc>
        <w:tc>
          <w:tcPr>
            <w:tcW w:w="0" w:type="auto"/>
            <w:vAlign w:val="bottom"/>
          </w:tcPr>
          <w:p w:rsidR="00912F3B" w:rsidRPr="00847F0F" w:rsidRDefault="00912F3B" w:rsidP="0072581A">
            <w:pPr>
              <w:jc w:val="center"/>
              <w:rPr>
                <w:rFonts w:ascii="Calibri" w:hAnsi="Calibri"/>
              </w:rPr>
            </w:pPr>
            <w:r w:rsidRPr="00847F0F">
              <w:rPr>
                <w:rFonts w:ascii="Calibri" w:hAnsi="Calibri"/>
              </w:rPr>
              <w:t>20</w:t>
            </w:r>
          </w:p>
        </w:tc>
      </w:tr>
      <w:tr w:rsidR="00912F3B" w:rsidRPr="00847F0F" w:rsidTr="008C397B">
        <w:trPr>
          <w:jc w:val="center"/>
        </w:trPr>
        <w:tc>
          <w:tcPr>
            <w:tcW w:w="0" w:type="auto"/>
          </w:tcPr>
          <w:p w:rsidR="00912F3B" w:rsidRPr="00847F0F" w:rsidRDefault="00912F3B" w:rsidP="0072581A">
            <w:pPr>
              <w:jc w:val="both"/>
            </w:pPr>
            <w:r w:rsidRPr="00847F0F">
              <w:t>Kesinlikle sorun yapıyorum</w:t>
            </w:r>
          </w:p>
        </w:tc>
        <w:tc>
          <w:tcPr>
            <w:tcW w:w="0" w:type="auto"/>
            <w:vAlign w:val="bottom"/>
          </w:tcPr>
          <w:p w:rsidR="00912F3B" w:rsidRPr="00847F0F" w:rsidRDefault="00912F3B">
            <w:pPr>
              <w:jc w:val="center"/>
              <w:rPr>
                <w:rFonts w:ascii="Calibri" w:hAnsi="Calibri"/>
              </w:rPr>
            </w:pPr>
            <w:r w:rsidRPr="00847F0F">
              <w:rPr>
                <w:rFonts w:ascii="Calibri" w:hAnsi="Calibri"/>
              </w:rPr>
              <w:t>96</w:t>
            </w:r>
          </w:p>
        </w:tc>
        <w:tc>
          <w:tcPr>
            <w:tcW w:w="0" w:type="auto"/>
            <w:vAlign w:val="bottom"/>
          </w:tcPr>
          <w:p w:rsidR="00912F3B" w:rsidRPr="00847F0F" w:rsidRDefault="00912F3B">
            <w:pPr>
              <w:jc w:val="center"/>
              <w:rPr>
                <w:rFonts w:ascii="Calibri" w:hAnsi="Calibri"/>
              </w:rPr>
            </w:pPr>
            <w:r w:rsidRPr="00847F0F">
              <w:rPr>
                <w:rFonts w:ascii="Calibri" w:hAnsi="Calibri"/>
              </w:rPr>
              <w:t>42,3</w:t>
            </w:r>
          </w:p>
        </w:tc>
        <w:tc>
          <w:tcPr>
            <w:tcW w:w="0" w:type="auto"/>
            <w:vAlign w:val="bottom"/>
          </w:tcPr>
          <w:p w:rsidR="00912F3B" w:rsidRPr="00847F0F" w:rsidRDefault="00912F3B" w:rsidP="0072581A">
            <w:pPr>
              <w:jc w:val="center"/>
              <w:rPr>
                <w:rFonts w:ascii="Calibri" w:hAnsi="Calibri"/>
              </w:rPr>
            </w:pPr>
            <w:r w:rsidRPr="00847F0F">
              <w:rPr>
                <w:rFonts w:ascii="Calibri" w:hAnsi="Calibri"/>
              </w:rPr>
              <w:t>112</w:t>
            </w:r>
          </w:p>
        </w:tc>
        <w:tc>
          <w:tcPr>
            <w:tcW w:w="0" w:type="auto"/>
            <w:vAlign w:val="bottom"/>
          </w:tcPr>
          <w:p w:rsidR="00912F3B" w:rsidRPr="00847F0F" w:rsidRDefault="00912F3B" w:rsidP="0072581A">
            <w:pPr>
              <w:jc w:val="center"/>
              <w:rPr>
                <w:rFonts w:ascii="Calibri" w:hAnsi="Calibri"/>
              </w:rPr>
            </w:pPr>
            <w:r w:rsidRPr="00847F0F">
              <w:rPr>
                <w:rFonts w:ascii="Calibri" w:hAnsi="Calibri"/>
              </w:rPr>
              <w:t>50</w:t>
            </w:r>
          </w:p>
        </w:tc>
      </w:tr>
      <w:tr w:rsidR="00912F3B" w:rsidRPr="00847F0F" w:rsidTr="008C397B">
        <w:trPr>
          <w:jc w:val="center"/>
        </w:trPr>
        <w:tc>
          <w:tcPr>
            <w:tcW w:w="0" w:type="auto"/>
          </w:tcPr>
          <w:p w:rsidR="00912F3B" w:rsidRPr="00847F0F" w:rsidRDefault="00912F3B" w:rsidP="0072581A">
            <w:pPr>
              <w:jc w:val="right"/>
              <w:rPr>
                <w:b/>
              </w:rPr>
            </w:pPr>
            <w:r w:rsidRPr="00847F0F">
              <w:rPr>
                <w:b/>
              </w:rPr>
              <w:t>Toplam</w:t>
            </w:r>
          </w:p>
        </w:tc>
        <w:tc>
          <w:tcPr>
            <w:tcW w:w="0" w:type="auto"/>
            <w:vAlign w:val="bottom"/>
          </w:tcPr>
          <w:p w:rsidR="00912F3B" w:rsidRPr="00847F0F" w:rsidRDefault="00912F3B">
            <w:pPr>
              <w:jc w:val="center"/>
              <w:rPr>
                <w:rFonts w:ascii="Calibri" w:hAnsi="Calibri"/>
              </w:rPr>
            </w:pPr>
            <w:r w:rsidRPr="00847F0F">
              <w:rPr>
                <w:rFonts w:ascii="Calibri" w:hAnsi="Calibri"/>
              </w:rPr>
              <w:t>227</w:t>
            </w:r>
          </w:p>
        </w:tc>
        <w:tc>
          <w:tcPr>
            <w:tcW w:w="0" w:type="auto"/>
            <w:vAlign w:val="bottom"/>
          </w:tcPr>
          <w:p w:rsidR="00912F3B" w:rsidRPr="00847F0F" w:rsidRDefault="00912F3B">
            <w:pPr>
              <w:jc w:val="center"/>
              <w:rPr>
                <w:rFonts w:ascii="Calibri" w:hAnsi="Calibri"/>
              </w:rPr>
            </w:pPr>
            <w:r w:rsidRPr="00847F0F">
              <w:rPr>
                <w:rFonts w:ascii="Calibri" w:hAnsi="Calibri"/>
              </w:rPr>
              <w:t>100</w:t>
            </w:r>
          </w:p>
        </w:tc>
        <w:tc>
          <w:tcPr>
            <w:tcW w:w="0" w:type="auto"/>
          </w:tcPr>
          <w:p w:rsidR="00912F3B" w:rsidRPr="00847F0F" w:rsidRDefault="00912F3B" w:rsidP="0072581A">
            <w:pPr>
              <w:jc w:val="center"/>
              <w:rPr>
                <w:b/>
              </w:rPr>
            </w:pPr>
            <w:r w:rsidRPr="00847F0F">
              <w:rPr>
                <w:b/>
              </w:rPr>
              <w:t>227</w:t>
            </w:r>
          </w:p>
        </w:tc>
        <w:tc>
          <w:tcPr>
            <w:tcW w:w="0" w:type="auto"/>
          </w:tcPr>
          <w:p w:rsidR="00912F3B" w:rsidRPr="00847F0F" w:rsidRDefault="00912F3B" w:rsidP="0072581A">
            <w:pPr>
              <w:jc w:val="center"/>
              <w:rPr>
                <w:b/>
              </w:rPr>
            </w:pPr>
            <w:r w:rsidRPr="00847F0F">
              <w:rPr>
                <w:b/>
              </w:rPr>
              <w:t>100</w:t>
            </w:r>
          </w:p>
        </w:tc>
      </w:tr>
    </w:tbl>
    <w:p w:rsidR="00C36204" w:rsidRPr="00847F0F" w:rsidRDefault="00C36204" w:rsidP="00C36204">
      <w:pPr>
        <w:spacing w:after="0" w:line="240" w:lineRule="auto"/>
        <w:jc w:val="both"/>
      </w:pPr>
    </w:p>
    <w:p w:rsidR="0072581A" w:rsidRPr="00847F0F" w:rsidRDefault="0072581A" w:rsidP="00C36204">
      <w:pPr>
        <w:spacing w:after="0" w:line="240" w:lineRule="auto"/>
        <w:jc w:val="both"/>
      </w:pPr>
    </w:p>
    <w:p w:rsidR="00C36204" w:rsidRDefault="00937A9F" w:rsidP="00C36204">
      <w:pPr>
        <w:jc w:val="both"/>
      </w:pPr>
      <w:r>
        <w:t>Grafik 5</w:t>
      </w:r>
      <w:r w:rsidR="00912F3B" w:rsidRPr="00847F0F">
        <w:t xml:space="preserve"> a ve b</w:t>
      </w:r>
      <w:r w:rsidR="00C36204" w:rsidRPr="00847F0F">
        <w:t xml:space="preserve">’de </w:t>
      </w:r>
      <w:r w:rsidR="00912F3B" w:rsidRPr="00847F0F">
        <w:t xml:space="preserve">eğitimden önce ve sonra </w:t>
      </w:r>
      <w:r w:rsidR="00C36204" w:rsidRPr="00847F0F">
        <w:t>anket yapılan öğrencilerin tamamında gıda</w:t>
      </w:r>
      <w:r w:rsidR="00C36204" w:rsidRPr="00847F0F">
        <w:rPr>
          <w:b/>
        </w:rPr>
        <w:t xml:space="preserve"> </w:t>
      </w:r>
      <w:r w:rsidR="00C36204" w:rsidRPr="00847F0F">
        <w:t xml:space="preserve">israfı ve çevre sorunlarının farkında olma değerlendirmelerin ortalamaları verilmiştir. Buna göre Tarsus Üniversitesi öğrencilerinde, verilen eğitimden sonra </w:t>
      </w:r>
      <w:r w:rsidR="0072581A" w:rsidRPr="00847F0F">
        <w:t>ortalama farkındalık düzeyi % 93</w:t>
      </w:r>
      <w:r w:rsidR="00C36204" w:rsidRPr="00847F0F">
        <w:t>’d</w:t>
      </w:r>
      <w:r w:rsidR="0072581A" w:rsidRPr="00847F0F">
        <w:t>ü</w:t>
      </w:r>
      <w:r w:rsidR="00C36204" w:rsidRPr="00847F0F">
        <w:t>r.</w:t>
      </w:r>
      <w:r w:rsidR="00912F3B" w:rsidRPr="00847F0F">
        <w:t xml:space="preserve"> Anket yapılan öğrencilerin tamamında gıda</w:t>
      </w:r>
      <w:r w:rsidR="00912F3B" w:rsidRPr="00847F0F">
        <w:rPr>
          <w:b/>
        </w:rPr>
        <w:t xml:space="preserve"> </w:t>
      </w:r>
      <w:r w:rsidR="00912F3B" w:rsidRPr="00847F0F">
        <w:t>israfı ve çevre sorunlarına farkındalık düzeyi % 69,6’dan % 93’e çıkmıştır.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46"/>
        <w:gridCol w:w="4340"/>
      </w:tblGrid>
      <w:tr w:rsidR="00956707" w:rsidTr="005A3C5B">
        <w:tc>
          <w:tcPr>
            <w:tcW w:w="4606" w:type="dxa"/>
          </w:tcPr>
          <w:p w:rsidR="00956707" w:rsidRDefault="00956707" w:rsidP="00C36204">
            <w:pPr>
              <w:jc w:val="both"/>
            </w:pPr>
            <w:r w:rsidRPr="00847F0F">
              <w:rPr>
                <w:b/>
                <w:noProof/>
              </w:rPr>
              <w:lastRenderedPageBreak/>
              <w:drawing>
                <wp:inline distT="0" distB="0" distL="0" distR="0">
                  <wp:extent cx="3082158" cy="1842448"/>
                  <wp:effectExtent l="19050" t="0" r="22992" b="5402"/>
                  <wp:docPr id="3"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606" w:type="dxa"/>
          </w:tcPr>
          <w:p w:rsidR="00956707" w:rsidRDefault="00956707" w:rsidP="00C36204">
            <w:pPr>
              <w:jc w:val="both"/>
            </w:pPr>
            <w:r w:rsidRPr="00847F0F">
              <w:rPr>
                <w:b/>
                <w:noProof/>
              </w:rPr>
              <w:drawing>
                <wp:inline distT="0" distB="0" distL="0" distR="0">
                  <wp:extent cx="2694154" cy="1712794"/>
                  <wp:effectExtent l="19050" t="0" r="10946" b="1706"/>
                  <wp:docPr id="16"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956707" w:rsidTr="005A3C5B">
        <w:tc>
          <w:tcPr>
            <w:tcW w:w="4606" w:type="dxa"/>
          </w:tcPr>
          <w:p w:rsidR="00956707" w:rsidRPr="00805AA4" w:rsidRDefault="00805AA4" w:rsidP="00956707">
            <w:pPr>
              <w:jc w:val="center"/>
            </w:pPr>
            <w:r>
              <w:t>a</w:t>
            </w:r>
            <w:r w:rsidRPr="00805AA4">
              <w:t>: Eğitimden önce</w:t>
            </w:r>
          </w:p>
        </w:tc>
        <w:tc>
          <w:tcPr>
            <w:tcW w:w="4606" w:type="dxa"/>
          </w:tcPr>
          <w:p w:rsidR="00956707" w:rsidRPr="00805AA4" w:rsidRDefault="00805AA4" w:rsidP="005A3C5B">
            <w:pPr>
              <w:jc w:val="center"/>
            </w:pPr>
            <w:r>
              <w:t>b: Eğitimden sonra</w:t>
            </w:r>
          </w:p>
        </w:tc>
      </w:tr>
    </w:tbl>
    <w:p w:rsidR="00912F3B" w:rsidRPr="00847F0F" w:rsidRDefault="00912F3B" w:rsidP="00C36204">
      <w:pPr>
        <w:jc w:val="center"/>
        <w:rPr>
          <w:b/>
        </w:rPr>
      </w:pPr>
    </w:p>
    <w:p w:rsidR="00C36204" w:rsidRPr="00847F0F" w:rsidRDefault="00805AA4" w:rsidP="00C36204">
      <w:pPr>
        <w:spacing w:after="0" w:line="240" w:lineRule="auto"/>
        <w:jc w:val="center"/>
        <w:rPr>
          <w:b/>
        </w:rPr>
      </w:pPr>
      <w:r>
        <w:t>Grafik 5</w:t>
      </w:r>
      <w:r w:rsidR="00C36204" w:rsidRPr="00847F0F">
        <w:t>: Gıda</w:t>
      </w:r>
      <w:r w:rsidR="00C36204" w:rsidRPr="00847F0F">
        <w:rPr>
          <w:b/>
        </w:rPr>
        <w:t xml:space="preserve"> </w:t>
      </w:r>
      <w:r w:rsidR="00C36204" w:rsidRPr="00847F0F">
        <w:t>israfı ve çevre sorunlarının farkında olma değerlendirmesi</w:t>
      </w:r>
    </w:p>
    <w:p w:rsidR="00805AA4" w:rsidRDefault="00805AA4" w:rsidP="00C36204">
      <w:pPr>
        <w:jc w:val="center"/>
        <w:rPr>
          <w:b/>
        </w:rPr>
      </w:pPr>
    </w:p>
    <w:p w:rsidR="00C36204" w:rsidRPr="00847F0F" w:rsidRDefault="00640571" w:rsidP="00C36204">
      <w:pPr>
        <w:pStyle w:val="ListeParagraf"/>
        <w:numPr>
          <w:ilvl w:val="1"/>
          <w:numId w:val="19"/>
        </w:numPr>
        <w:jc w:val="both"/>
        <w:rPr>
          <w:b/>
        </w:rPr>
      </w:pPr>
      <w:bookmarkStart w:id="0" w:name="_GoBack"/>
      <w:bookmarkEnd w:id="0"/>
      <w:r>
        <w:rPr>
          <w:b/>
        </w:rPr>
        <w:t>Gıda İsrafını Önlemeyi Bilme</w:t>
      </w:r>
    </w:p>
    <w:p w:rsidR="00C36204" w:rsidRPr="00847F0F" w:rsidRDefault="00C36204" w:rsidP="00C36204">
      <w:pPr>
        <w:pStyle w:val="ListeParagraf"/>
        <w:numPr>
          <w:ilvl w:val="2"/>
          <w:numId w:val="19"/>
        </w:numPr>
        <w:jc w:val="both"/>
        <w:rPr>
          <w:b/>
        </w:rPr>
      </w:pPr>
      <w:r w:rsidRPr="00847F0F">
        <w:rPr>
          <w:b/>
        </w:rPr>
        <w:t xml:space="preserve">Son Kullanma Tarihine Bakma ve Çöpe Atılan Gıda Maddeleri Değerlendirmesi </w:t>
      </w:r>
    </w:p>
    <w:p w:rsidR="00847F0F" w:rsidRPr="00847F0F" w:rsidRDefault="00847F0F" w:rsidP="00847F0F">
      <w:pPr>
        <w:jc w:val="both"/>
      </w:pPr>
      <w:r w:rsidRPr="00847F0F">
        <w:t xml:space="preserve">Çalışmaya katılan Tarsus Üniversitesi öğrencileri verilen eğitimden önce yapılan anket sonuçlarına göre gıda israfı ve çevre sorunlarına karşı daha düşük bir duyarlılık göstermişlerdir. Anket katılan öğrencilerin ortalama olarak 162’si evlerinde çöpe hiç ekmek atılmadığını, 117’si hiç yemek atılmadığını ve 153’ü alışveriş sırasında gıda ürünlerinin son kullanma tarihine genellikle </w:t>
      </w:r>
      <w:r w:rsidR="00937A9F">
        <w:t>baktığını bildirmiştir (Tablo 6</w:t>
      </w:r>
      <w:r w:rsidRPr="00847F0F">
        <w:t>).</w:t>
      </w:r>
    </w:p>
    <w:p w:rsidR="00C36204" w:rsidRPr="00847F0F" w:rsidRDefault="00C36204" w:rsidP="00C36204">
      <w:pPr>
        <w:jc w:val="both"/>
      </w:pPr>
      <w:r w:rsidRPr="00847F0F">
        <w:t xml:space="preserve">Çalışmaya katılan Tarsus Üniversitesi öğrencileri verilen eğitimden sonra yapılan anket sonuçlarına göre gıda israfı ve çevre sorunlarına karşı yüksek bir duyarlılık göstermişlerdir. Anket katılan öğrencilerin ortalama olarak 190’ı evlerinde çöpe hiç ekmek atılmadığını, 147’si hiç yemek atılmadığını ve 200’ü alışveriş sırasında gıda ürünlerinin son kullanma tarihine genellikle </w:t>
      </w:r>
      <w:r w:rsidR="00937A9F">
        <w:t>baktığını bildirmiştir (Tablo 6</w:t>
      </w:r>
      <w:r w:rsidRPr="00847F0F">
        <w:t>).</w:t>
      </w:r>
    </w:p>
    <w:p w:rsidR="00C36204" w:rsidRPr="00847F0F" w:rsidRDefault="00805AA4" w:rsidP="00C36204">
      <w:pPr>
        <w:jc w:val="center"/>
      </w:pPr>
      <w:r>
        <w:t>Tablo 6</w:t>
      </w:r>
      <w:r w:rsidR="00C36204" w:rsidRPr="00847F0F">
        <w:t>: Son kullanma tarihine bakma ve çöpe atılan gıda maddeleri değerlendirmesi</w:t>
      </w:r>
    </w:p>
    <w:tbl>
      <w:tblPr>
        <w:tblStyle w:val="TabloKlavuzu"/>
        <w:tblW w:w="0" w:type="auto"/>
        <w:jc w:val="center"/>
        <w:tblLook w:val="04A0"/>
      </w:tblPr>
      <w:tblGrid>
        <w:gridCol w:w="2915"/>
        <w:gridCol w:w="2835"/>
        <w:gridCol w:w="687"/>
        <w:gridCol w:w="709"/>
        <w:gridCol w:w="710"/>
        <w:gridCol w:w="733"/>
      </w:tblGrid>
      <w:tr w:rsidR="00847F0F" w:rsidRPr="00847F0F" w:rsidTr="008C397B">
        <w:trPr>
          <w:jc w:val="center"/>
        </w:trPr>
        <w:tc>
          <w:tcPr>
            <w:tcW w:w="0" w:type="auto"/>
            <w:vMerge w:val="restart"/>
            <w:vAlign w:val="center"/>
          </w:tcPr>
          <w:p w:rsidR="00847F0F" w:rsidRPr="00847F0F" w:rsidRDefault="00847F0F" w:rsidP="0072581A">
            <w:pPr>
              <w:jc w:val="center"/>
              <w:rPr>
                <w:b/>
                <w:sz w:val="18"/>
                <w:szCs w:val="18"/>
              </w:rPr>
            </w:pPr>
            <w:r w:rsidRPr="00847F0F">
              <w:rPr>
                <w:b/>
                <w:sz w:val="18"/>
                <w:szCs w:val="18"/>
              </w:rPr>
              <w:t>Soru</w:t>
            </w:r>
          </w:p>
        </w:tc>
        <w:tc>
          <w:tcPr>
            <w:tcW w:w="0" w:type="auto"/>
            <w:vMerge w:val="restart"/>
            <w:vAlign w:val="center"/>
          </w:tcPr>
          <w:p w:rsidR="00847F0F" w:rsidRPr="00847F0F" w:rsidRDefault="00847F0F" w:rsidP="0072581A">
            <w:pPr>
              <w:jc w:val="center"/>
              <w:rPr>
                <w:b/>
                <w:sz w:val="18"/>
                <w:szCs w:val="18"/>
              </w:rPr>
            </w:pPr>
            <w:r w:rsidRPr="00847F0F">
              <w:rPr>
                <w:b/>
                <w:sz w:val="18"/>
                <w:szCs w:val="18"/>
              </w:rPr>
              <w:t>Cevap</w:t>
            </w:r>
          </w:p>
        </w:tc>
        <w:tc>
          <w:tcPr>
            <w:tcW w:w="0" w:type="auto"/>
            <w:gridSpan w:val="4"/>
          </w:tcPr>
          <w:p w:rsidR="00847F0F" w:rsidRPr="00847F0F" w:rsidRDefault="00847F0F" w:rsidP="0072581A">
            <w:pPr>
              <w:jc w:val="center"/>
              <w:rPr>
                <w:b/>
                <w:sz w:val="18"/>
                <w:szCs w:val="18"/>
              </w:rPr>
            </w:pPr>
            <w:r w:rsidRPr="00847F0F">
              <w:rPr>
                <w:b/>
                <w:sz w:val="18"/>
                <w:szCs w:val="18"/>
              </w:rPr>
              <w:t>Dağılım</w:t>
            </w:r>
          </w:p>
        </w:tc>
      </w:tr>
      <w:tr w:rsidR="00847F0F" w:rsidRPr="00847F0F" w:rsidTr="008C397B">
        <w:trPr>
          <w:jc w:val="center"/>
        </w:trPr>
        <w:tc>
          <w:tcPr>
            <w:tcW w:w="0" w:type="auto"/>
            <w:vMerge/>
          </w:tcPr>
          <w:p w:rsidR="00847F0F" w:rsidRPr="00847F0F" w:rsidRDefault="00847F0F" w:rsidP="0072581A">
            <w:pPr>
              <w:jc w:val="center"/>
              <w:rPr>
                <w:b/>
                <w:sz w:val="18"/>
                <w:szCs w:val="18"/>
              </w:rPr>
            </w:pPr>
          </w:p>
        </w:tc>
        <w:tc>
          <w:tcPr>
            <w:tcW w:w="0" w:type="auto"/>
            <w:vMerge/>
          </w:tcPr>
          <w:p w:rsidR="00847F0F" w:rsidRPr="00847F0F" w:rsidRDefault="00847F0F" w:rsidP="0072581A">
            <w:pPr>
              <w:jc w:val="center"/>
              <w:rPr>
                <w:b/>
                <w:sz w:val="18"/>
                <w:szCs w:val="18"/>
              </w:rPr>
            </w:pPr>
          </w:p>
        </w:tc>
        <w:tc>
          <w:tcPr>
            <w:tcW w:w="0" w:type="auto"/>
            <w:gridSpan w:val="2"/>
          </w:tcPr>
          <w:p w:rsidR="00847F0F" w:rsidRPr="00847F0F" w:rsidRDefault="00847F0F" w:rsidP="00847F0F">
            <w:pPr>
              <w:jc w:val="center"/>
              <w:rPr>
                <w:b/>
                <w:sz w:val="18"/>
                <w:szCs w:val="18"/>
              </w:rPr>
            </w:pPr>
            <w:r w:rsidRPr="00847F0F">
              <w:rPr>
                <w:b/>
                <w:sz w:val="18"/>
                <w:szCs w:val="18"/>
              </w:rPr>
              <w:t>Eğitimden Önce</w:t>
            </w:r>
          </w:p>
        </w:tc>
        <w:tc>
          <w:tcPr>
            <w:tcW w:w="0" w:type="auto"/>
            <w:gridSpan w:val="2"/>
          </w:tcPr>
          <w:p w:rsidR="00847F0F" w:rsidRPr="00847F0F" w:rsidRDefault="00847F0F" w:rsidP="0072581A">
            <w:pPr>
              <w:jc w:val="center"/>
              <w:rPr>
                <w:b/>
                <w:sz w:val="18"/>
                <w:szCs w:val="18"/>
              </w:rPr>
            </w:pPr>
            <w:r w:rsidRPr="00847F0F">
              <w:rPr>
                <w:b/>
                <w:sz w:val="18"/>
                <w:szCs w:val="18"/>
              </w:rPr>
              <w:t>Eğitimden Sonra</w:t>
            </w:r>
          </w:p>
        </w:tc>
      </w:tr>
      <w:tr w:rsidR="00847F0F" w:rsidRPr="00847F0F" w:rsidTr="00847F0F">
        <w:trPr>
          <w:jc w:val="center"/>
        </w:trPr>
        <w:tc>
          <w:tcPr>
            <w:tcW w:w="0" w:type="auto"/>
            <w:vMerge/>
          </w:tcPr>
          <w:p w:rsidR="00847F0F" w:rsidRPr="00847F0F" w:rsidRDefault="00847F0F" w:rsidP="0072581A">
            <w:pPr>
              <w:jc w:val="center"/>
              <w:rPr>
                <w:b/>
                <w:sz w:val="18"/>
                <w:szCs w:val="18"/>
              </w:rPr>
            </w:pPr>
          </w:p>
        </w:tc>
        <w:tc>
          <w:tcPr>
            <w:tcW w:w="0" w:type="auto"/>
            <w:vMerge/>
          </w:tcPr>
          <w:p w:rsidR="00847F0F" w:rsidRPr="00847F0F" w:rsidRDefault="00847F0F" w:rsidP="0072581A">
            <w:pPr>
              <w:jc w:val="center"/>
              <w:rPr>
                <w:b/>
                <w:sz w:val="18"/>
                <w:szCs w:val="18"/>
              </w:rPr>
            </w:pPr>
          </w:p>
        </w:tc>
        <w:tc>
          <w:tcPr>
            <w:tcW w:w="0" w:type="auto"/>
          </w:tcPr>
          <w:p w:rsidR="00847F0F" w:rsidRPr="00847F0F" w:rsidRDefault="00847F0F" w:rsidP="008C397B">
            <w:pPr>
              <w:jc w:val="center"/>
              <w:rPr>
                <w:b/>
                <w:sz w:val="18"/>
                <w:szCs w:val="18"/>
              </w:rPr>
            </w:pPr>
            <w:r w:rsidRPr="00847F0F">
              <w:rPr>
                <w:b/>
                <w:sz w:val="18"/>
                <w:szCs w:val="18"/>
              </w:rPr>
              <w:t>Sayı</w:t>
            </w:r>
          </w:p>
        </w:tc>
        <w:tc>
          <w:tcPr>
            <w:tcW w:w="0" w:type="auto"/>
          </w:tcPr>
          <w:p w:rsidR="00847F0F" w:rsidRPr="00847F0F" w:rsidRDefault="00847F0F" w:rsidP="008C397B">
            <w:pPr>
              <w:jc w:val="center"/>
              <w:rPr>
                <w:b/>
                <w:sz w:val="18"/>
                <w:szCs w:val="18"/>
              </w:rPr>
            </w:pPr>
            <w:r w:rsidRPr="00847F0F">
              <w:rPr>
                <w:b/>
                <w:sz w:val="18"/>
                <w:szCs w:val="18"/>
              </w:rPr>
              <w:t>%</w:t>
            </w:r>
          </w:p>
        </w:tc>
        <w:tc>
          <w:tcPr>
            <w:tcW w:w="0" w:type="auto"/>
          </w:tcPr>
          <w:p w:rsidR="00847F0F" w:rsidRPr="00847F0F" w:rsidRDefault="00847F0F" w:rsidP="0072581A">
            <w:pPr>
              <w:jc w:val="center"/>
              <w:rPr>
                <w:b/>
                <w:sz w:val="18"/>
                <w:szCs w:val="18"/>
              </w:rPr>
            </w:pPr>
            <w:r w:rsidRPr="00847F0F">
              <w:rPr>
                <w:b/>
                <w:sz w:val="18"/>
                <w:szCs w:val="18"/>
              </w:rPr>
              <w:t>Sayı</w:t>
            </w:r>
          </w:p>
        </w:tc>
        <w:tc>
          <w:tcPr>
            <w:tcW w:w="0" w:type="auto"/>
          </w:tcPr>
          <w:p w:rsidR="00847F0F" w:rsidRPr="00847F0F" w:rsidRDefault="00847F0F" w:rsidP="0072581A">
            <w:pPr>
              <w:jc w:val="center"/>
              <w:rPr>
                <w:b/>
                <w:sz w:val="18"/>
                <w:szCs w:val="18"/>
              </w:rPr>
            </w:pPr>
            <w:r w:rsidRPr="00847F0F">
              <w:rPr>
                <w:b/>
                <w:sz w:val="18"/>
                <w:szCs w:val="18"/>
              </w:rPr>
              <w:t>%</w:t>
            </w:r>
          </w:p>
        </w:tc>
      </w:tr>
      <w:tr w:rsidR="00847F0F" w:rsidRPr="00847F0F" w:rsidTr="00847F0F">
        <w:trPr>
          <w:jc w:val="center"/>
        </w:trPr>
        <w:tc>
          <w:tcPr>
            <w:tcW w:w="0" w:type="auto"/>
            <w:vAlign w:val="center"/>
          </w:tcPr>
          <w:p w:rsidR="00847F0F" w:rsidRPr="00847F0F" w:rsidRDefault="00847F0F" w:rsidP="0072581A">
            <w:pPr>
              <w:rPr>
                <w:sz w:val="18"/>
                <w:szCs w:val="18"/>
              </w:rPr>
            </w:pPr>
            <w:r w:rsidRPr="00847F0F">
              <w:rPr>
                <w:sz w:val="18"/>
                <w:szCs w:val="18"/>
              </w:rPr>
              <w:t>Çöpe Atılan Ekmek Sayısı</w:t>
            </w:r>
          </w:p>
        </w:tc>
        <w:tc>
          <w:tcPr>
            <w:tcW w:w="0" w:type="auto"/>
            <w:vAlign w:val="center"/>
          </w:tcPr>
          <w:p w:rsidR="00847F0F" w:rsidRPr="00847F0F" w:rsidRDefault="00847F0F" w:rsidP="0072581A">
            <w:pPr>
              <w:rPr>
                <w:sz w:val="18"/>
                <w:szCs w:val="18"/>
              </w:rPr>
            </w:pPr>
            <w:r w:rsidRPr="00847F0F">
              <w:rPr>
                <w:sz w:val="18"/>
                <w:szCs w:val="18"/>
              </w:rPr>
              <w:t>Hiç atılmıyor</w:t>
            </w:r>
          </w:p>
        </w:tc>
        <w:tc>
          <w:tcPr>
            <w:tcW w:w="0" w:type="auto"/>
          </w:tcPr>
          <w:p w:rsidR="00847F0F" w:rsidRPr="00847F0F" w:rsidRDefault="00847F0F" w:rsidP="0072581A">
            <w:pPr>
              <w:jc w:val="center"/>
              <w:rPr>
                <w:sz w:val="18"/>
                <w:szCs w:val="18"/>
              </w:rPr>
            </w:pPr>
            <w:r w:rsidRPr="00847F0F">
              <w:rPr>
                <w:sz w:val="18"/>
                <w:szCs w:val="18"/>
              </w:rPr>
              <w:t>162</w:t>
            </w:r>
          </w:p>
        </w:tc>
        <w:tc>
          <w:tcPr>
            <w:tcW w:w="0" w:type="auto"/>
          </w:tcPr>
          <w:p w:rsidR="00847F0F" w:rsidRPr="00847F0F" w:rsidRDefault="00847F0F" w:rsidP="0072581A">
            <w:pPr>
              <w:jc w:val="center"/>
              <w:rPr>
                <w:sz w:val="18"/>
                <w:szCs w:val="18"/>
              </w:rPr>
            </w:pPr>
            <w:r w:rsidRPr="00847F0F">
              <w:rPr>
                <w:sz w:val="18"/>
                <w:szCs w:val="18"/>
              </w:rPr>
              <w:t>71,1</w:t>
            </w:r>
          </w:p>
        </w:tc>
        <w:tc>
          <w:tcPr>
            <w:tcW w:w="0" w:type="auto"/>
          </w:tcPr>
          <w:p w:rsidR="00847F0F" w:rsidRPr="00847F0F" w:rsidRDefault="00847F0F" w:rsidP="0072581A">
            <w:pPr>
              <w:jc w:val="center"/>
              <w:rPr>
                <w:sz w:val="18"/>
                <w:szCs w:val="18"/>
              </w:rPr>
            </w:pPr>
            <w:r w:rsidRPr="00847F0F">
              <w:rPr>
                <w:sz w:val="18"/>
                <w:szCs w:val="18"/>
              </w:rPr>
              <w:t>190</w:t>
            </w:r>
          </w:p>
        </w:tc>
        <w:tc>
          <w:tcPr>
            <w:tcW w:w="0" w:type="auto"/>
          </w:tcPr>
          <w:p w:rsidR="00847F0F" w:rsidRPr="00847F0F" w:rsidRDefault="00847F0F" w:rsidP="0072581A">
            <w:pPr>
              <w:jc w:val="center"/>
              <w:rPr>
                <w:sz w:val="18"/>
                <w:szCs w:val="18"/>
              </w:rPr>
            </w:pPr>
            <w:r w:rsidRPr="00847F0F">
              <w:rPr>
                <w:sz w:val="18"/>
                <w:szCs w:val="18"/>
              </w:rPr>
              <w:t>83,3</w:t>
            </w:r>
          </w:p>
        </w:tc>
      </w:tr>
      <w:tr w:rsidR="00847F0F" w:rsidRPr="00847F0F" w:rsidTr="00847F0F">
        <w:trPr>
          <w:jc w:val="center"/>
        </w:trPr>
        <w:tc>
          <w:tcPr>
            <w:tcW w:w="0" w:type="auto"/>
          </w:tcPr>
          <w:p w:rsidR="00847F0F" w:rsidRPr="00847F0F" w:rsidRDefault="00847F0F" w:rsidP="0072581A">
            <w:pPr>
              <w:rPr>
                <w:sz w:val="18"/>
                <w:szCs w:val="18"/>
              </w:rPr>
            </w:pPr>
            <w:r w:rsidRPr="00847F0F">
              <w:rPr>
                <w:sz w:val="18"/>
                <w:szCs w:val="18"/>
              </w:rPr>
              <w:t>Çöpe Atılan Yemek Miktarı</w:t>
            </w:r>
          </w:p>
        </w:tc>
        <w:tc>
          <w:tcPr>
            <w:tcW w:w="0" w:type="auto"/>
            <w:vAlign w:val="center"/>
          </w:tcPr>
          <w:p w:rsidR="00847F0F" w:rsidRPr="00847F0F" w:rsidRDefault="00847F0F" w:rsidP="0072581A">
            <w:pPr>
              <w:rPr>
                <w:sz w:val="18"/>
                <w:szCs w:val="18"/>
              </w:rPr>
            </w:pPr>
            <w:r w:rsidRPr="00847F0F">
              <w:rPr>
                <w:sz w:val="18"/>
                <w:szCs w:val="18"/>
              </w:rPr>
              <w:t>Hiç atılmıyor</w:t>
            </w:r>
          </w:p>
        </w:tc>
        <w:tc>
          <w:tcPr>
            <w:tcW w:w="0" w:type="auto"/>
          </w:tcPr>
          <w:p w:rsidR="00847F0F" w:rsidRPr="00847F0F" w:rsidRDefault="00847F0F" w:rsidP="0072581A">
            <w:pPr>
              <w:jc w:val="center"/>
              <w:rPr>
                <w:sz w:val="18"/>
                <w:szCs w:val="18"/>
              </w:rPr>
            </w:pPr>
            <w:r w:rsidRPr="00847F0F">
              <w:rPr>
                <w:sz w:val="18"/>
                <w:szCs w:val="18"/>
              </w:rPr>
              <w:t>117</w:t>
            </w:r>
          </w:p>
        </w:tc>
        <w:tc>
          <w:tcPr>
            <w:tcW w:w="0" w:type="auto"/>
          </w:tcPr>
          <w:p w:rsidR="00847F0F" w:rsidRPr="00847F0F" w:rsidRDefault="00847F0F" w:rsidP="0072581A">
            <w:pPr>
              <w:jc w:val="center"/>
              <w:rPr>
                <w:sz w:val="18"/>
                <w:szCs w:val="18"/>
              </w:rPr>
            </w:pPr>
            <w:r w:rsidRPr="00847F0F">
              <w:rPr>
                <w:sz w:val="18"/>
                <w:szCs w:val="18"/>
              </w:rPr>
              <w:t>52,5</w:t>
            </w:r>
          </w:p>
        </w:tc>
        <w:tc>
          <w:tcPr>
            <w:tcW w:w="0" w:type="auto"/>
          </w:tcPr>
          <w:p w:rsidR="00847F0F" w:rsidRPr="00847F0F" w:rsidRDefault="00847F0F" w:rsidP="0072581A">
            <w:pPr>
              <w:jc w:val="center"/>
              <w:rPr>
                <w:sz w:val="18"/>
                <w:szCs w:val="18"/>
              </w:rPr>
            </w:pPr>
            <w:r w:rsidRPr="00847F0F">
              <w:rPr>
                <w:sz w:val="18"/>
                <w:szCs w:val="18"/>
              </w:rPr>
              <w:t>147</w:t>
            </w:r>
          </w:p>
        </w:tc>
        <w:tc>
          <w:tcPr>
            <w:tcW w:w="0" w:type="auto"/>
          </w:tcPr>
          <w:p w:rsidR="00847F0F" w:rsidRPr="00847F0F" w:rsidRDefault="00847F0F" w:rsidP="0072581A">
            <w:pPr>
              <w:jc w:val="center"/>
              <w:rPr>
                <w:sz w:val="18"/>
                <w:szCs w:val="18"/>
              </w:rPr>
            </w:pPr>
            <w:r w:rsidRPr="00847F0F">
              <w:rPr>
                <w:sz w:val="18"/>
                <w:szCs w:val="18"/>
              </w:rPr>
              <w:t>64,5</w:t>
            </w:r>
          </w:p>
        </w:tc>
      </w:tr>
      <w:tr w:rsidR="00D951F9" w:rsidRPr="00847F0F" w:rsidTr="004A2E87">
        <w:trPr>
          <w:jc w:val="center"/>
        </w:trPr>
        <w:tc>
          <w:tcPr>
            <w:tcW w:w="0" w:type="auto"/>
            <w:gridSpan w:val="2"/>
          </w:tcPr>
          <w:p w:rsidR="00D951F9" w:rsidRPr="00847F0F" w:rsidRDefault="00D951F9" w:rsidP="004A2E87">
            <w:pPr>
              <w:jc w:val="right"/>
              <w:rPr>
                <w:b/>
                <w:sz w:val="18"/>
                <w:szCs w:val="18"/>
              </w:rPr>
            </w:pPr>
            <w:r w:rsidRPr="00847F0F">
              <w:rPr>
                <w:b/>
                <w:sz w:val="18"/>
                <w:szCs w:val="18"/>
              </w:rPr>
              <w:t>Ortalama</w:t>
            </w:r>
          </w:p>
        </w:tc>
        <w:tc>
          <w:tcPr>
            <w:tcW w:w="0" w:type="auto"/>
          </w:tcPr>
          <w:p w:rsidR="00D951F9" w:rsidRPr="00847F0F" w:rsidRDefault="00D951F9" w:rsidP="004A2E87">
            <w:pPr>
              <w:jc w:val="center"/>
              <w:rPr>
                <w:b/>
                <w:sz w:val="18"/>
                <w:szCs w:val="18"/>
              </w:rPr>
            </w:pPr>
            <w:r w:rsidRPr="00847F0F">
              <w:rPr>
                <w:b/>
                <w:sz w:val="18"/>
                <w:szCs w:val="18"/>
              </w:rPr>
              <w:t>14</w:t>
            </w:r>
            <w:r>
              <w:rPr>
                <w:b/>
                <w:sz w:val="18"/>
                <w:szCs w:val="18"/>
              </w:rPr>
              <w:t>0</w:t>
            </w:r>
          </w:p>
        </w:tc>
        <w:tc>
          <w:tcPr>
            <w:tcW w:w="0" w:type="auto"/>
          </w:tcPr>
          <w:p w:rsidR="00D951F9" w:rsidRPr="00847F0F" w:rsidRDefault="00D951F9" w:rsidP="00D951F9">
            <w:pPr>
              <w:jc w:val="center"/>
              <w:rPr>
                <w:b/>
                <w:sz w:val="18"/>
                <w:szCs w:val="18"/>
              </w:rPr>
            </w:pPr>
            <w:r>
              <w:rPr>
                <w:b/>
                <w:sz w:val="18"/>
                <w:szCs w:val="18"/>
              </w:rPr>
              <w:t>61</w:t>
            </w:r>
            <w:r w:rsidRPr="00847F0F">
              <w:rPr>
                <w:b/>
                <w:sz w:val="18"/>
                <w:szCs w:val="18"/>
              </w:rPr>
              <w:t>,</w:t>
            </w:r>
            <w:r>
              <w:rPr>
                <w:b/>
                <w:sz w:val="18"/>
                <w:szCs w:val="18"/>
              </w:rPr>
              <w:t>8</w:t>
            </w:r>
          </w:p>
        </w:tc>
        <w:tc>
          <w:tcPr>
            <w:tcW w:w="0" w:type="auto"/>
          </w:tcPr>
          <w:p w:rsidR="00D951F9" w:rsidRPr="00847F0F" w:rsidRDefault="00D951F9" w:rsidP="00D951F9">
            <w:pPr>
              <w:jc w:val="center"/>
              <w:rPr>
                <w:b/>
                <w:sz w:val="18"/>
                <w:szCs w:val="18"/>
              </w:rPr>
            </w:pPr>
            <w:r w:rsidRPr="00847F0F">
              <w:rPr>
                <w:b/>
                <w:sz w:val="18"/>
                <w:szCs w:val="18"/>
              </w:rPr>
              <w:t>1</w:t>
            </w:r>
            <w:r>
              <w:rPr>
                <w:b/>
                <w:sz w:val="18"/>
                <w:szCs w:val="18"/>
              </w:rPr>
              <w:t>6</w:t>
            </w:r>
            <w:r w:rsidRPr="00847F0F">
              <w:rPr>
                <w:b/>
                <w:sz w:val="18"/>
                <w:szCs w:val="18"/>
              </w:rPr>
              <w:t>9</w:t>
            </w:r>
          </w:p>
        </w:tc>
        <w:tc>
          <w:tcPr>
            <w:tcW w:w="0" w:type="auto"/>
          </w:tcPr>
          <w:p w:rsidR="00D951F9" w:rsidRPr="00847F0F" w:rsidRDefault="00D951F9" w:rsidP="00D951F9">
            <w:pPr>
              <w:jc w:val="center"/>
              <w:rPr>
                <w:b/>
                <w:sz w:val="18"/>
                <w:szCs w:val="18"/>
              </w:rPr>
            </w:pPr>
            <w:r w:rsidRPr="00847F0F">
              <w:rPr>
                <w:b/>
                <w:sz w:val="18"/>
                <w:szCs w:val="18"/>
              </w:rPr>
              <w:t>7</w:t>
            </w:r>
            <w:r>
              <w:rPr>
                <w:b/>
                <w:sz w:val="18"/>
                <w:szCs w:val="18"/>
              </w:rPr>
              <w:t>3</w:t>
            </w:r>
            <w:r w:rsidRPr="00847F0F">
              <w:rPr>
                <w:b/>
                <w:sz w:val="18"/>
                <w:szCs w:val="18"/>
              </w:rPr>
              <w:t>,</w:t>
            </w:r>
            <w:r>
              <w:rPr>
                <w:b/>
                <w:sz w:val="18"/>
                <w:szCs w:val="18"/>
              </w:rPr>
              <w:t>9</w:t>
            </w:r>
          </w:p>
        </w:tc>
      </w:tr>
      <w:tr w:rsidR="00847F0F" w:rsidRPr="00847F0F" w:rsidTr="00847F0F">
        <w:trPr>
          <w:jc w:val="center"/>
        </w:trPr>
        <w:tc>
          <w:tcPr>
            <w:tcW w:w="0" w:type="auto"/>
          </w:tcPr>
          <w:p w:rsidR="00847F0F" w:rsidRPr="00847F0F" w:rsidRDefault="00847F0F" w:rsidP="0072581A">
            <w:pPr>
              <w:rPr>
                <w:sz w:val="18"/>
                <w:szCs w:val="18"/>
              </w:rPr>
            </w:pPr>
            <w:r w:rsidRPr="00847F0F">
              <w:rPr>
                <w:sz w:val="18"/>
                <w:szCs w:val="18"/>
              </w:rPr>
              <w:t>Gıda Ürünlerinin Son Kullanma Tarihi</w:t>
            </w:r>
          </w:p>
        </w:tc>
        <w:tc>
          <w:tcPr>
            <w:tcW w:w="0" w:type="auto"/>
          </w:tcPr>
          <w:p w:rsidR="00847F0F" w:rsidRPr="00847F0F" w:rsidRDefault="00847F0F" w:rsidP="0072581A">
            <w:pPr>
              <w:rPr>
                <w:sz w:val="18"/>
                <w:szCs w:val="18"/>
              </w:rPr>
            </w:pPr>
            <w:r w:rsidRPr="00847F0F">
              <w:rPr>
                <w:sz w:val="18"/>
                <w:szCs w:val="18"/>
              </w:rPr>
              <w:t>Ara sıra, sıklıkla, her zaman bakarım</w:t>
            </w:r>
          </w:p>
        </w:tc>
        <w:tc>
          <w:tcPr>
            <w:tcW w:w="0" w:type="auto"/>
          </w:tcPr>
          <w:p w:rsidR="00847F0F" w:rsidRPr="00847F0F" w:rsidRDefault="00847F0F" w:rsidP="0072581A">
            <w:pPr>
              <w:jc w:val="center"/>
              <w:rPr>
                <w:sz w:val="18"/>
                <w:szCs w:val="18"/>
              </w:rPr>
            </w:pPr>
            <w:r w:rsidRPr="00847F0F">
              <w:rPr>
                <w:sz w:val="18"/>
                <w:szCs w:val="18"/>
              </w:rPr>
              <w:t>153</w:t>
            </w:r>
          </w:p>
        </w:tc>
        <w:tc>
          <w:tcPr>
            <w:tcW w:w="0" w:type="auto"/>
          </w:tcPr>
          <w:p w:rsidR="00847F0F" w:rsidRPr="00847F0F" w:rsidRDefault="00847F0F" w:rsidP="0072581A">
            <w:pPr>
              <w:jc w:val="center"/>
              <w:rPr>
                <w:sz w:val="18"/>
                <w:szCs w:val="18"/>
              </w:rPr>
            </w:pPr>
            <w:r w:rsidRPr="00847F0F">
              <w:rPr>
                <w:sz w:val="18"/>
                <w:szCs w:val="18"/>
              </w:rPr>
              <w:t>67,2</w:t>
            </w:r>
          </w:p>
        </w:tc>
        <w:tc>
          <w:tcPr>
            <w:tcW w:w="0" w:type="auto"/>
          </w:tcPr>
          <w:p w:rsidR="00847F0F" w:rsidRPr="00847F0F" w:rsidRDefault="00847F0F" w:rsidP="0072581A">
            <w:pPr>
              <w:jc w:val="center"/>
              <w:rPr>
                <w:sz w:val="18"/>
                <w:szCs w:val="18"/>
              </w:rPr>
            </w:pPr>
            <w:r w:rsidRPr="00847F0F">
              <w:rPr>
                <w:sz w:val="18"/>
                <w:szCs w:val="18"/>
              </w:rPr>
              <w:t>200</w:t>
            </w:r>
          </w:p>
        </w:tc>
        <w:tc>
          <w:tcPr>
            <w:tcW w:w="0" w:type="auto"/>
          </w:tcPr>
          <w:p w:rsidR="00847F0F" w:rsidRPr="00847F0F" w:rsidRDefault="00847F0F" w:rsidP="0072581A">
            <w:pPr>
              <w:jc w:val="center"/>
              <w:rPr>
                <w:sz w:val="18"/>
                <w:szCs w:val="18"/>
              </w:rPr>
            </w:pPr>
            <w:r w:rsidRPr="00847F0F">
              <w:rPr>
                <w:sz w:val="18"/>
                <w:szCs w:val="18"/>
              </w:rPr>
              <w:t>88,3</w:t>
            </w:r>
          </w:p>
        </w:tc>
      </w:tr>
    </w:tbl>
    <w:p w:rsidR="00C36204" w:rsidRPr="00847F0F" w:rsidRDefault="00C36204" w:rsidP="00C36204">
      <w:pPr>
        <w:jc w:val="both"/>
      </w:pPr>
    </w:p>
    <w:p w:rsidR="00847F0F" w:rsidRPr="00847F0F" w:rsidRDefault="00847F0F" w:rsidP="00847F0F">
      <w:pPr>
        <w:jc w:val="both"/>
      </w:pPr>
      <w:r w:rsidRPr="00847F0F">
        <w:t>Eğitim verilmeden önce anket katılan öğrencilerin % 71,1’i evlerinde çöpe hiç ekmek atılmadığını, % 52,5’i hiç yemek atılmadığını ve % 67,2’si alışveriş sırasında gıda ürünlerinin son kullanma tarihine genellikle baktığını</w:t>
      </w:r>
      <w:r w:rsidR="00937A9F">
        <w:t xml:space="preserve"> bildirmiştir (Grafik 6</w:t>
      </w:r>
      <w:r w:rsidRPr="00847F0F">
        <w:t xml:space="preserve"> a).</w:t>
      </w:r>
    </w:p>
    <w:p w:rsidR="00C36204" w:rsidRDefault="00C36204" w:rsidP="00C36204">
      <w:pPr>
        <w:jc w:val="both"/>
      </w:pPr>
      <w:r w:rsidRPr="00847F0F">
        <w:t>Çalışmaya katılan Tarsus Üniversitesi öğrencileri verilen eğitimden sonra yapılan anket sonuçlarına göre gıda israfı ve çevre sorunlarına karşı yüksek bir duyarlılık göstermişlerdir. Anket katılan öğrencilerin % 83,3’ü evlerinde çöpe hiç ekmek atılmadığını, % 64,5’i hiç yemek atılmadığını ve % 88,3’ü alışveriş sırasında gıda ürünlerinin son kullanma tarihine genellikle b</w:t>
      </w:r>
      <w:r w:rsidR="00937A9F">
        <w:t>aktığını bildirmiştir (Grafik 6</w:t>
      </w:r>
      <w:r w:rsidR="00847F0F" w:rsidRPr="00847F0F">
        <w:t xml:space="preserve"> b</w:t>
      </w:r>
      <w:r w:rsidRPr="00847F0F">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74"/>
        <w:gridCol w:w="4812"/>
      </w:tblGrid>
      <w:tr w:rsidR="005A3C5B" w:rsidTr="00805AA4">
        <w:tc>
          <w:tcPr>
            <w:tcW w:w="4606" w:type="dxa"/>
          </w:tcPr>
          <w:p w:rsidR="005A3C5B" w:rsidRDefault="005A3C5B" w:rsidP="00C36204">
            <w:pPr>
              <w:jc w:val="both"/>
            </w:pPr>
            <w:r w:rsidRPr="00847F0F">
              <w:rPr>
                <w:noProof/>
              </w:rPr>
              <w:lastRenderedPageBreak/>
              <w:drawing>
                <wp:inline distT="0" distB="0" distL="0" distR="0">
                  <wp:extent cx="2843483" cy="2108579"/>
                  <wp:effectExtent l="19050" t="0" r="14017" b="5971"/>
                  <wp:docPr id="22"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4606" w:type="dxa"/>
          </w:tcPr>
          <w:p w:rsidR="005A3C5B" w:rsidRDefault="005A3C5B" w:rsidP="00C36204">
            <w:pPr>
              <w:jc w:val="both"/>
            </w:pPr>
            <w:r w:rsidRPr="00847F0F">
              <w:rPr>
                <w:noProof/>
                <w:lang w:eastAsia="tr-TR"/>
              </w:rPr>
              <w:drawing>
                <wp:inline distT="0" distB="0" distL="0" distR="0">
                  <wp:extent cx="3066765" cy="2176818"/>
                  <wp:effectExtent l="19050" t="0" r="19335" b="0"/>
                  <wp:docPr id="23"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5A3C5B" w:rsidTr="00805AA4">
        <w:tc>
          <w:tcPr>
            <w:tcW w:w="4606" w:type="dxa"/>
          </w:tcPr>
          <w:p w:rsidR="005A3C5B" w:rsidRDefault="001A6F18" w:rsidP="001A6F18">
            <w:pPr>
              <w:jc w:val="center"/>
            </w:pPr>
            <w:r>
              <w:t xml:space="preserve">a: </w:t>
            </w:r>
            <w:r w:rsidR="005A3C5B" w:rsidRPr="00847F0F">
              <w:t>Eğitimden önce</w:t>
            </w:r>
          </w:p>
        </w:tc>
        <w:tc>
          <w:tcPr>
            <w:tcW w:w="4606" w:type="dxa"/>
          </w:tcPr>
          <w:p w:rsidR="005A3C5B" w:rsidRDefault="001A6F18" w:rsidP="001A6F18">
            <w:pPr>
              <w:jc w:val="center"/>
            </w:pPr>
            <w:r>
              <w:t xml:space="preserve">b: </w:t>
            </w:r>
            <w:r w:rsidRPr="00847F0F">
              <w:t>Eğitimden sonra</w:t>
            </w:r>
          </w:p>
        </w:tc>
      </w:tr>
    </w:tbl>
    <w:p w:rsidR="00C36204" w:rsidRPr="00847F0F" w:rsidRDefault="00805AA4" w:rsidP="00C36204">
      <w:pPr>
        <w:jc w:val="center"/>
      </w:pPr>
      <w:r>
        <w:t>Grafik 6</w:t>
      </w:r>
      <w:r w:rsidR="00C36204" w:rsidRPr="00847F0F">
        <w:t>: Son kullanma tarihine bakma ve çöpe atılan gıda maddeleri değerlendirmesi</w:t>
      </w:r>
    </w:p>
    <w:p w:rsidR="00C36204" w:rsidRPr="00847F0F" w:rsidRDefault="00C36204" w:rsidP="00C36204">
      <w:pPr>
        <w:pStyle w:val="ListeParagraf"/>
        <w:numPr>
          <w:ilvl w:val="2"/>
          <w:numId w:val="19"/>
        </w:numPr>
        <w:jc w:val="both"/>
        <w:rPr>
          <w:b/>
        </w:rPr>
      </w:pPr>
      <w:r w:rsidRPr="00847F0F">
        <w:rPr>
          <w:b/>
        </w:rPr>
        <w:t>Planlı ve Akıllı Alışveriş, Saklamayı Bilme ve Atılmayı Önleme</w:t>
      </w:r>
    </w:p>
    <w:p w:rsidR="00847F0F" w:rsidRPr="00847F0F" w:rsidRDefault="00847F0F" w:rsidP="00847F0F">
      <w:pPr>
        <w:tabs>
          <w:tab w:val="left" w:pos="5103"/>
        </w:tabs>
        <w:spacing w:after="0" w:line="240" w:lineRule="auto"/>
        <w:jc w:val="both"/>
      </w:pPr>
      <w:r w:rsidRPr="00847F0F">
        <w:t xml:space="preserve">Çalışmaya katılan Tarsus Üniversitesi öğrencileri verilen eğitimden önce yapılan anket sonuçlarına göre planlı ve akıllı alışveriş, saklamayı bilme ve atılmayı önleme konularını genellikle daha az olarak bildiklerini belirmişlerdir. Anket katılan öğrencilerin ortalama olarak </w:t>
      </w:r>
      <w:r>
        <w:t>159</w:t>
      </w:r>
      <w:r w:rsidRPr="00847F0F">
        <w:t>’</w:t>
      </w:r>
      <w:r>
        <w:t>u</w:t>
      </w:r>
      <w:r w:rsidRPr="00847F0F">
        <w:t xml:space="preserve">, planlı ve akıllı alışveriş yapmayı </w:t>
      </w:r>
      <w:r>
        <w:t>14</w:t>
      </w:r>
      <w:r w:rsidRPr="00847F0F">
        <w:t>6’sı gıdaların doğru bir şekilde saklanmasını 1</w:t>
      </w:r>
      <w:r>
        <w:t>50</w:t>
      </w:r>
      <w:r w:rsidRPr="00847F0F">
        <w:t>’</w:t>
      </w:r>
      <w:r>
        <w:t>s</w:t>
      </w:r>
      <w:r w:rsidRPr="00847F0F">
        <w:t xml:space="preserve">i gıdaların raf ömrünü etkileyen faktörleri, </w:t>
      </w:r>
      <w:r>
        <w:t>167</w:t>
      </w:r>
      <w:r w:rsidRPr="00847F0F">
        <w:t>’</w:t>
      </w:r>
      <w:r>
        <w:t>si</w:t>
      </w:r>
      <w:r w:rsidRPr="00847F0F">
        <w:t xml:space="preserve"> gıda ürünlerini buzdolabında saklamayı, 1</w:t>
      </w:r>
      <w:r>
        <w:t>29</w:t>
      </w:r>
      <w:r w:rsidRPr="00847F0F">
        <w:t>’</w:t>
      </w:r>
      <w:r>
        <w:t>u</w:t>
      </w:r>
      <w:r w:rsidRPr="00847F0F">
        <w:t xml:space="preserve"> gıdaların dondurulmasını, 1</w:t>
      </w:r>
      <w:r>
        <w:t>65</w:t>
      </w:r>
      <w:r w:rsidRPr="00847F0F">
        <w:t>’i porsiyon hesabı yapmayı ve 1</w:t>
      </w:r>
      <w:r>
        <w:t>57</w:t>
      </w:r>
      <w:r w:rsidRPr="00847F0F">
        <w:t>’</w:t>
      </w:r>
      <w:r>
        <w:t>s</w:t>
      </w:r>
      <w:r w:rsidRPr="00847F0F">
        <w:t xml:space="preserve">i davetlerde gıda israfını önlemeyi bildiklerini söylemişlerdir (Tablo </w:t>
      </w:r>
      <w:r w:rsidR="00937A9F">
        <w:t>7</w:t>
      </w:r>
      <w:r w:rsidRPr="00847F0F">
        <w:t>).</w:t>
      </w:r>
    </w:p>
    <w:p w:rsidR="00847F0F" w:rsidRPr="00847F0F" w:rsidRDefault="00847F0F" w:rsidP="00C36204">
      <w:pPr>
        <w:spacing w:after="0" w:line="240" w:lineRule="auto"/>
        <w:jc w:val="both"/>
      </w:pPr>
    </w:p>
    <w:p w:rsidR="00C36204" w:rsidRPr="00847F0F" w:rsidRDefault="00C36204" w:rsidP="00C36204">
      <w:pPr>
        <w:spacing w:after="0" w:line="240" w:lineRule="auto"/>
        <w:jc w:val="both"/>
      </w:pPr>
      <w:r w:rsidRPr="00847F0F">
        <w:t xml:space="preserve">Çalışmaya katılan Tarsus Üniversitesi öğrencileri verilen eğitimden sonra yapılan anket sonuçlarına göre planlı ve akıllı alışveriş, saklamayı bilme ve atılmayı önleme konularını genellikle bildiklerini belirmişlerdir. Anket katılan öğrencilerin ortalama olarak 205’i, planlı ve akıllı alışveriş yapmayı 215’i </w:t>
      </w:r>
      <w:r w:rsidR="00847F0F" w:rsidRPr="00847F0F">
        <w:t>g</w:t>
      </w:r>
      <w:r w:rsidRPr="00847F0F">
        <w:t>ıdaların doğru bir şekilde saklanmasını 173’ü gıdaların raf ömrünü etkileyen faktörleri, 208’i gıda ürünlerini buzdolabında saklamayı, 192’si gıdaların dondurulmasını ve porsiyon hesabı yapmayı ve 180’i davetlerde gıda israfını önlemeyi bildi</w:t>
      </w:r>
      <w:r w:rsidR="00937A9F">
        <w:t>klerini söylemişlerdir (Tablo 7</w:t>
      </w:r>
      <w:r w:rsidRPr="00847F0F">
        <w:t>).</w:t>
      </w:r>
    </w:p>
    <w:p w:rsidR="00912F3B" w:rsidRPr="00847F0F" w:rsidRDefault="00912F3B" w:rsidP="00C36204">
      <w:pPr>
        <w:spacing w:after="0" w:line="240" w:lineRule="auto"/>
        <w:jc w:val="both"/>
      </w:pPr>
    </w:p>
    <w:p w:rsidR="00C36204" w:rsidRPr="00847F0F" w:rsidRDefault="00C36204" w:rsidP="00C36204">
      <w:pPr>
        <w:jc w:val="center"/>
      </w:pPr>
      <w:r w:rsidRPr="00847F0F">
        <w:t>Tablo 29: Alışveriş yapmayı ve saklamayı bilme ve atılmayı önleme konularını bilenlerin oranları</w:t>
      </w:r>
    </w:p>
    <w:tbl>
      <w:tblPr>
        <w:tblStyle w:val="TabloKlavuzu"/>
        <w:tblW w:w="0" w:type="auto"/>
        <w:jc w:val="center"/>
        <w:tblLook w:val="04A0"/>
      </w:tblPr>
      <w:tblGrid>
        <w:gridCol w:w="3783"/>
        <w:gridCol w:w="814"/>
        <w:gridCol w:w="844"/>
        <w:gridCol w:w="842"/>
        <w:gridCol w:w="873"/>
      </w:tblGrid>
      <w:tr w:rsidR="00912F3B" w:rsidRPr="00847F0F" w:rsidTr="00912F3B">
        <w:trPr>
          <w:jc w:val="center"/>
        </w:trPr>
        <w:tc>
          <w:tcPr>
            <w:tcW w:w="0" w:type="auto"/>
            <w:vMerge w:val="restart"/>
            <w:vAlign w:val="center"/>
          </w:tcPr>
          <w:p w:rsidR="00912F3B" w:rsidRPr="00847F0F" w:rsidRDefault="00912F3B" w:rsidP="0072581A">
            <w:pPr>
              <w:jc w:val="center"/>
              <w:rPr>
                <w:b/>
              </w:rPr>
            </w:pPr>
            <w:r w:rsidRPr="00847F0F">
              <w:rPr>
                <w:b/>
              </w:rPr>
              <w:t>Anket Soruları</w:t>
            </w:r>
          </w:p>
        </w:tc>
        <w:tc>
          <w:tcPr>
            <w:tcW w:w="0" w:type="auto"/>
            <w:gridSpan w:val="4"/>
          </w:tcPr>
          <w:p w:rsidR="00912F3B" w:rsidRPr="00847F0F" w:rsidRDefault="00912F3B" w:rsidP="0072581A">
            <w:pPr>
              <w:jc w:val="center"/>
              <w:rPr>
                <w:b/>
              </w:rPr>
            </w:pPr>
            <w:r w:rsidRPr="00847F0F">
              <w:rPr>
                <w:b/>
              </w:rPr>
              <w:t>Dağılım</w:t>
            </w:r>
          </w:p>
        </w:tc>
      </w:tr>
      <w:tr w:rsidR="00912F3B" w:rsidRPr="00847F0F" w:rsidTr="00912F3B">
        <w:trPr>
          <w:jc w:val="center"/>
        </w:trPr>
        <w:tc>
          <w:tcPr>
            <w:tcW w:w="0" w:type="auto"/>
            <w:vMerge/>
          </w:tcPr>
          <w:p w:rsidR="00912F3B" w:rsidRPr="00847F0F" w:rsidRDefault="00912F3B" w:rsidP="0072581A">
            <w:pPr>
              <w:jc w:val="center"/>
              <w:rPr>
                <w:b/>
              </w:rPr>
            </w:pPr>
          </w:p>
        </w:tc>
        <w:tc>
          <w:tcPr>
            <w:tcW w:w="0" w:type="auto"/>
            <w:gridSpan w:val="2"/>
          </w:tcPr>
          <w:p w:rsidR="00912F3B" w:rsidRPr="00847F0F" w:rsidRDefault="00912F3B" w:rsidP="0072581A">
            <w:pPr>
              <w:jc w:val="center"/>
              <w:rPr>
                <w:b/>
              </w:rPr>
            </w:pPr>
            <w:r w:rsidRPr="00847F0F">
              <w:rPr>
                <w:b/>
              </w:rPr>
              <w:t>Eğitimden Önce</w:t>
            </w:r>
          </w:p>
        </w:tc>
        <w:tc>
          <w:tcPr>
            <w:tcW w:w="0" w:type="auto"/>
            <w:gridSpan w:val="2"/>
          </w:tcPr>
          <w:p w:rsidR="00912F3B" w:rsidRPr="00847F0F" w:rsidRDefault="00912F3B" w:rsidP="0072581A">
            <w:pPr>
              <w:jc w:val="center"/>
              <w:rPr>
                <w:b/>
              </w:rPr>
            </w:pPr>
            <w:r w:rsidRPr="00847F0F">
              <w:rPr>
                <w:b/>
              </w:rPr>
              <w:t>Eğitimden Sonra</w:t>
            </w:r>
          </w:p>
        </w:tc>
      </w:tr>
      <w:tr w:rsidR="00912F3B" w:rsidRPr="00847F0F" w:rsidTr="00912F3B">
        <w:trPr>
          <w:jc w:val="center"/>
        </w:trPr>
        <w:tc>
          <w:tcPr>
            <w:tcW w:w="0" w:type="auto"/>
            <w:vMerge/>
          </w:tcPr>
          <w:p w:rsidR="00912F3B" w:rsidRPr="00847F0F" w:rsidRDefault="00912F3B" w:rsidP="0072581A">
            <w:pPr>
              <w:jc w:val="center"/>
              <w:rPr>
                <w:b/>
              </w:rPr>
            </w:pPr>
          </w:p>
        </w:tc>
        <w:tc>
          <w:tcPr>
            <w:tcW w:w="0" w:type="auto"/>
          </w:tcPr>
          <w:p w:rsidR="00912F3B" w:rsidRPr="00847F0F" w:rsidRDefault="00912F3B" w:rsidP="008C397B">
            <w:pPr>
              <w:jc w:val="center"/>
              <w:rPr>
                <w:b/>
              </w:rPr>
            </w:pPr>
            <w:r w:rsidRPr="00847F0F">
              <w:rPr>
                <w:b/>
              </w:rPr>
              <w:t>Sayı</w:t>
            </w:r>
          </w:p>
        </w:tc>
        <w:tc>
          <w:tcPr>
            <w:tcW w:w="0" w:type="auto"/>
          </w:tcPr>
          <w:p w:rsidR="00912F3B" w:rsidRPr="00847F0F" w:rsidRDefault="00912F3B" w:rsidP="008C397B">
            <w:pPr>
              <w:jc w:val="center"/>
              <w:rPr>
                <w:b/>
              </w:rPr>
            </w:pPr>
            <w:r w:rsidRPr="00847F0F">
              <w:rPr>
                <w:b/>
              </w:rPr>
              <w:t>%</w:t>
            </w:r>
          </w:p>
        </w:tc>
        <w:tc>
          <w:tcPr>
            <w:tcW w:w="0" w:type="auto"/>
          </w:tcPr>
          <w:p w:rsidR="00912F3B" w:rsidRPr="00847F0F" w:rsidRDefault="00912F3B" w:rsidP="0072581A">
            <w:pPr>
              <w:jc w:val="center"/>
              <w:rPr>
                <w:b/>
              </w:rPr>
            </w:pPr>
            <w:r w:rsidRPr="00847F0F">
              <w:rPr>
                <w:b/>
              </w:rPr>
              <w:t>Sayı</w:t>
            </w:r>
          </w:p>
        </w:tc>
        <w:tc>
          <w:tcPr>
            <w:tcW w:w="0" w:type="auto"/>
          </w:tcPr>
          <w:p w:rsidR="00912F3B" w:rsidRPr="00847F0F" w:rsidRDefault="00912F3B" w:rsidP="0072581A">
            <w:pPr>
              <w:jc w:val="center"/>
              <w:rPr>
                <w:b/>
              </w:rPr>
            </w:pPr>
            <w:r w:rsidRPr="00847F0F">
              <w:rPr>
                <w:b/>
              </w:rPr>
              <w:t>%</w:t>
            </w:r>
          </w:p>
        </w:tc>
      </w:tr>
      <w:tr w:rsidR="00847F0F" w:rsidRPr="00847F0F" w:rsidTr="008C397B">
        <w:trPr>
          <w:jc w:val="center"/>
        </w:trPr>
        <w:tc>
          <w:tcPr>
            <w:tcW w:w="0" w:type="auto"/>
          </w:tcPr>
          <w:p w:rsidR="00847F0F" w:rsidRPr="00847F0F" w:rsidRDefault="00847F0F" w:rsidP="0072581A">
            <w:r w:rsidRPr="00847F0F">
              <w:t>Planlı ve akıllı alışveriş yapma</w:t>
            </w:r>
          </w:p>
        </w:tc>
        <w:tc>
          <w:tcPr>
            <w:tcW w:w="0" w:type="auto"/>
            <w:vAlign w:val="center"/>
          </w:tcPr>
          <w:p w:rsidR="00847F0F" w:rsidRDefault="00847F0F">
            <w:pPr>
              <w:jc w:val="center"/>
              <w:rPr>
                <w:rFonts w:ascii="Calibri" w:hAnsi="Calibri"/>
                <w:color w:val="000000"/>
              </w:rPr>
            </w:pPr>
            <w:r>
              <w:rPr>
                <w:rFonts w:ascii="Calibri" w:hAnsi="Calibri"/>
                <w:color w:val="000000"/>
              </w:rPr>
              <w:t>159</w:t>
            </w:r>
          </w:p>
        </w:tc>
        <w:tc>
          <w:tcPr>
            <w:tcW w:w="0" w:type="auto"/>
          </w:tcPr>
          <w:p w:rsidR="00847F0F" w:rsidRPr="00847F0F" w:rsidRDefault="00847F0F" w:rsidP="0072581A">
            <w:pPr>
              <w:jc w:val="center"/>
            </w:pPr>
            <w:r w:rsidRPr="00847F0F">
              <w:t>70,4</w:t>
            </w:r>
          </w:p>
        </w:tc>
        <w:tc>
          <w:tcPr>
            <w:tcW w:w="0" w:type="auto"/>
          </w:tcPr>
          <w:p w:rsidR="00847F0F" w:rsidRPr="00847F0F" w:rsidRDefault="00847F0F" w:rsidP="0072581A">
            <w:pPr>
              <w:jc w:val="center"/>
            </w:pPr>
            <w:r w:rsidRPr="00847F0F">
              <w:t>205</w:t>
            </w:r>
          </w:p>
        </w:tc>
        <w:tc>
          <w:tcPr>
            <w:tcW w:w="0" w:type="auto"/>
          </w:tcPr>
          <w:p w:rsidR="00847F0F" w:rsidRPr="00847F0F" w:rsidRDefault="00847F0F" w:rsidP="0072581A">
            <w:pPr>
              <w:jc w:val="center"/>
            </w:pPr>
            <w:r w:rsidRPr="00847F0F">
              <w:t>90,3</w:t>
            </w:r>
          </w:p>
        </w:tc>
      </w:tr>
      <w:tr w:rsidR="00847F0F" w:rsidRPr="00847F0F" w:rsidTr="008C397B">
        <w:trPr>
          <w:jc w:val="center"/>
        </w:trPr>
        <w:tc>
          <w:tcPr>
            <w:tcW w:w="0" w:type="auto"/>
          </w:tcPr>
          <w:p w:rsidR="00847F0F" w:rsidRPr="00847F0F" w:rsidRDefault="00847F0F" w:rsidP="0072581A">
            <w:r w:rsidRPr="00847F0F">
              <w:t>Gıdaların doğru saklanması</w:t>
            </w:r>
          </w:p>
        </w:tc>
        <w:tc>
          <w:tcPr>
            <w:tcW w:w="0" w:type="auto"/>
            <w:vAlign w:val="center"/>
          </w:tcPr>
          <w:p w:rsidR="00847F0F" w:rsidRDefault="00847F0F">
            <w:pPr>
              <w:jc w:val="center"/>
              <w:rPr>
                <w:rFonts w:ascii="Calibri" w:hAnsi="Calibri"/>
                <w:color w:val="000000"/>
              </w:rPr>
            </w:pPr>
            <w:r>
              <w:rPr>
                <w:rFonts w:ascii="Calibri" w:hAnsi="Calibri"/>
                <w:color w:val="000000"/>
              </w:rPr>
              <w:t>146</w:t>
            </w:r>
          </w:p>
        </w:tc>
        <w:tc>
          <w:tcPr>
            <w:tcW w:w="0" w:type="auto"/>
          </w:tcPr>
          <w:p w:rsidR="00847F0F" w:rsidRPr="00847F0F" w:rsidRDefault="00847F0F" w:rsidP="0072581A">
            <w:pPr>
              <w:jc w:val="center"/>
            </w:pPr>
            <w:r w:rsidRPr="00847F0F">
              <w:t>64,4</w:t>
            </w:r>
          </w:p>
        </w:tc>
        <w:tc>
          <w:tcPr>
            <w:tcW w:w="0" w:type="auto"/>
          </w:tcPr>
          <w:p w:rsidR="00847F0F" w:rsidRPr="00847F0F" w:rsidRDefault="00847F0F" w:rsidP="0072581A">
            <w:pPr>
              <w:jc w:val="center"/>
            </w:pPr>
            <w:r w:rsidRPr="00847F0F">
              <w:t>215</w:t>
            </w:r>
          </w:p>
        </w:tc>
        <w:tc>
          <w:tcPr>
            <w:tcW w:w="0" w:type="auto"/>
          </w:tcPr>
          <w:p w:rsidR="00847F0F" w:rsidRPr="00847F0F" w:rsidRDefault="00847F0F" w:rsidP="0072581A">
            <w:pPr>
              <w:jc w:val="center"/>
            </w:pPr>
            <w:r w:rsidRPr="00847F0F">
              <w:t>94,4</w:t>
            </w:r>
          </w:p>
        </w:tc>
      </w:tr>
      <w:tr w:rsidR="00847F0F" w:rsidRPr="00847F0F" w:rsidTr="008C397B">
        <w:trPr>
          <w:jc w:val="center"/>
        </w:trPr>
        <w:tc>
          <w:tcPr>
            <w:tcW w:w="0" w:type="auto"/>
          </w:tcPr>
          <w:p w:rsidR="00847F0F" w:rsidRPr="00847F0F" w:rsidRDefault="00847F0F" w:rsidP="0072581A">
            <w:r w:rsidRPr="00847F0F">
              <w:t>Gıdaların raf ömrünü etkileyen faktörler</w:t>
            </w:r>
          </w:p>
        </w:tc>
        <w:tc>
          <w:tcPr>
            <w:tcW w:w="0" w:type="auto"/>
            <w:vAlign w:val="center"/>
          </w:tcPr>
          <w:p w:rsidR="00847F0F" w:rsidRDefault="00847F0F">
            <w:pPr>
              <w:jc w:val="center"/>
              <w:rPr>
                <w:rFonts w:ascii="Calibri" w:hAnsi="Calibri"/>
                <w:color w:val="000000"/>
              </w:rPr>
            </w:pPr>
            <w:r>
              <w:rPr>
                <w:rFonts w:ascii="Calibri" w:hAnsi="Calibri"/>
                <w:color w:val="000000"/>
              </w:rPr>
              <w:t>150</w:t>
            </w:r>
          </w:p>
        </w:tc>
        <w:tc>
          <w:tcPr>
            <w:tcW w:w="0" w:type="auto"/>
          </w:tcPr>
          <w:p w:rsidR="00847F0F" w:rsidRPr="00847F0F" w:rsidRDefault="00847F0F" w:rsidP="0072581A">
            <w:pPr>
              <w:jc w:val="center"/>
            </w:pPr>
            <w:r w:rsidRPr="00847F0F">
              <w:t>65,8</w:t>
            </w:r>
          </w:p>
        </w:tc>
        <w:tc>
          <w:tcPr>
            <w:tcW w:w="0" w:type="auto"/>
          </w:tcPr>
          <w:p w:rsidR="00847F0F" w:rsidRPr="00847F0F" w:rsidRDefault="00847F0F" w:rsidP="0072581A">
            <w:pPr>
              <w:jc w:val="center"/>
            </w:pPr>
            <w:r w:rsidRPr="00847F0F">
              <w:t>173</w:t>
            </w:r>
          </w:p>
        </w:tc>
        <w:tc>
          <w:tcPr>
            <w:tcW w:w="0" w:type="auto"/>
          </w:tcPr>
          <w:p w:rsidR="00847F0F" w:rsidRPr="00847F0F" w:rsidRDefault="00847F0F" w:rsidP="0072581A">
            <w:pPr>
              <w:jc w:val="center"/>
            </w:pPr>
            <w:r w:rsidRPr="00847F0F">
              <w:t>75,8</w:t>
            </w:r>
          </w:p>
        </w:tc>
      </w:tr>
      <w:tr w:rsidR="00847F0F" w:rsidRPr="00847F0F" w:rsidTr="008C397B">
        <w:trPr>
          <w:jc w:val="center"/>
        </w:trPr>
        <w:tc>
          <w:tcPr>
            <w:tcW w:w="0" w:type="auto"/>
          </w:tcPr>
          <w:p w:rsidR="00847F0F" w:rsidRPr="00847F0F" w:rsidRDefault="00847F0F" w:rsidP="0072581A">
            <w:r w:rsidRPr="00847F0F">
              <w:t>Gıda ürünlerini buzdolabında saklama</w:t>
            </w:r>
          </w:p>
        </w:tc>
        <w:tc>
          <w:tcPr>
            <w:tcW w:w="0" w:type="auto"/>
            <w:vAlign w:val="center"/>
          </w:tcPr>
          <w:p w:rsidR="00847F0F" w:rsidRDefault="00847F0F">
            <w:pPr>
              <w:jc w:val="center"/>
              <w:rPr>
                <w:rFonts w:ascii="Calibri" w:hAnsi="Calibri"/>
                <w:color w:val="000000"/>
              </w:rPr>
            </w:pPr>
            <w:r>
              <w:rPr>
                <w:rFonts w:ascii="Calibri" w:hAnsi="Calibri"/>
                <w:color w:val="000000"/>
              </w:rPr>
              <w:t>167</w:t>
            </w:r>
          </w:p>
        </w:tc>
        <w:tc>
          <w:tcPr>
            <w:tcW w:w="0" w:type="auto"/>
          </w:tcPr>
          <w:p w:rsidR="00847F0F" w:rsidRPr="00847F0F" w:rsidRDefault="00847F0F" w:rsidP="0072581A">
            <w:pPr>
              <w:jc w:val="center"/>
            </w:pPr>
            <w:r w:rsidRPr="00847F0F">
              <w:t>73,5</w:t>
            </w:r>
          </w:p>
        </w:tc>
        <w:tc>
          <w:tcPr>
            <w:tcW w:w="0" w:type="auto"/>
          </w:tcPr>
          <w:p w:rsidR="00847F0F" w:rsidRPr="00847F0F" w:rsidRDefault="00847F0F" w:rsidP="0072581A">
            <w:pPr>
              <w:jc w:val="center"/>
            </w:pPr>
            <w:r w:rsidRPr="00847F0F">
              <w:t>208</w:t>
            </w:r>
          </w:p>
        </w:tc>
        <w:tc>
          <w:tcPr>
            <w:tcW w:w="0" w:type="auto"/>
          </w:tcPr>
          <w:p w:rsidR="00847F0F" w:rsidRPr="00847F0F" w:rsidRDefault="00847F0F" w:rsidP="0072581A">
            <w:pPr>
              <w:jc w:val="center"/>
            </w:pPr>
            <w:r w:rsidRPr="00847F0F">
              <w:t>91,9</w:t>
            </w:r>
          </w:p>
        </w:tc>
      </w:tr>
      <w:tr w:rsidR="00847F0F" w:rsidRPr="00847F0F" w:rsidTr="008C397B">
        <w:trPr>
          <w:jc w:val="center"/>
        </w:trPr>
        <w:tc>
          <w:tcPr>
            <w:tcW w:w="0" w:type="auto"/>
            <w:vAlign w:val="center"/>
          </w:tcPr>
          <w:p w:rsidR="00847F0F" w:rsidRPr="00847F0F" w:rsidRDefault="00847F0F" w:rsidP="0072581A">
            <w:r w:rsidRPr="00847F0F">
              <w:t>Gıdaların dondurulmasını bilme</w:t>
            </w:r>
          </w:p>
        </w:tc>
        <w:tc>
          <w:tcPr>
            <w:tcW w:w="0" w:type="auto"/>
            <w:vAlign w:val="center"/>
          </w:tcPr>
          <w:p w:rsidR="00847F0F" w:rsidRDefault="00847F0F">
            <w:pPr>
              <w:jc w:val="center"/>
              <w:rPr>
                <w:rFonts w:ascii="Calibri" w:hAnsi="Calibri"/>
                <w:color w:val="000000"/>
              </w:rPr>
            </w:pPr>
            <w:r>
              <w:rPr>
                <w:rFonts w:ascii="Calibri" w:hAnsi="Calibri"/>
                <w:color w:val="000000"/>
              </w:rPr>
              <w:t>129</w:t>
            </w:r>
          </w:p>
        </w:tc>
        <w:tc>
          <w:tcPr>
            <w:tcW w:w="0" w:type="auto"/>
          </w:tcPr>
          <w:p w:rsidR="00847F0F" w:rsidRPr="00847F0F" w:rsidRDefault="00847F0F" w:rsidP="0072581A">
            <w:pPr>
              <w:jc w:val="center"/>
            </w:pPr>
            <w:r w:rsidRPr="00847F0F">
              <w:t>56,9</w:t>
            </w:r>
          </w:p>
        </w:tc>
        <w:tc>
          <w:tcPr>
            <w:tcW w:w="0" w:type="auto"/>
          </w:tcPr>
          <w:p w:rsidR="00847F0F" w:rsidRPr="00847F0F" w:rsidRDefault="00847F0F" w:rsidP="0072581A">
            <w:pPr>
              <w:jc w:val="center"/>
            </w:pPr>
            <w:r w:rsidRPr="00847F0F">
              <w:t>192</w:t>
            </w:r>
          </w:p>
        </w:tc>
        <w:tc>
          <w:tcPr>
            <w:tcW w:w="0" w:type="auto"/>
          </w:tcPr>
          <w:p w:rsidR="00847F0F" w:rsidRPr="00847F0F" w:rsidRDefault="00847F0F" w:rsidP="0072581A">
            <w:pPr>
              <w:jc w:val="center"/>
            </w:pPr>
            <w:r w:rsidRPr="00847F0F">
              <w:t>84,9</w:t>
            </w:r>
          </w:p>
        </w:tc>
      </w:tr>
      <w:tr w:rsidR="00847F0F" w:rsidRPr="00847F0F" w:rsidTr="008C397B">
        <w:trPr>
          <w:trHeight w:val="96"/>
          <w:jc w:val="center"/>
        </w:trPr>
        <w:tc>
          <w:tcPr>
            <w:tcW w:w="0" w:type="auto"/>
          </w:tcPr>
          <w:p w:rsidR="00847F0F" w:rsidRPr="00847F0F" w:rsidRDefault="00847F0F" w:rsidP="0072581A">
            <w:pPr>
              <w:rPr>
                <w:b/>
              </w:rPr>
            </w:pPr>
            <w:r w:rsidRPr="00847F0F">
              <w:t>Porsiyon hesabı yapmayı bilme</w:t>
            </w:r>
          </w:p>
        </w:tc>
        <w:tc>
          <w:tcPr>
            <w:tcW w:w="0" w:type="auto"/>
            <w:vAlign w:val="center"/>
          </w:tcPr>
          <w:p w:rsidR="00847F0F" w:rsidRDefault="00847F0F">
            <w:pPr>
              <w:jc w:val="center"/>
              <w:rPr>
                <w:rFonts w:ascii="Calibri" w:hAnsi="Calibri"/>
                <w:color w:val="000000"/>
              </w:rPr>
            </w:pPr>
            <w:r>
              <w:rPr>
                <w:rFonts w:ascii="Calibri" w:hAnsi="Calibri"/>
                <w:color w:val="000000"/>
              </w:rPr>
              <w:t>165</w:t>
            </w:r>
          </w:p>
        </w:tc>
        <w:tc>
          <w:tcPr>
            <w:tcW w:w="0" w:type="auto"/>
          </w:tcPr>
          <w:p w:rsidR="00847F0F" w:rsidRPr="00847F0F" w:rsidRDefault="00847F0F" w:rsidP="0072581A">
            <w:pPr>
              <w:jc w:val="center"/>
            </w:pPr>
            <w:r w:rsidRPr="00847F0F">
              <w:t>72,8</w:t>
            </w:r>
          </w:p>
        </w:tc>
        <w:tc>
          <w:tcPr>
            <w:tcW w:w="0" w:type="auto"/>
          </w:tcPr>
          <w:p w:rsidR="00847F0F" w:rsidRPr="00847F0F" w:rsidRDefault="00847F0F" w:rsidP="0072581A">
            <w:pPr>
              <w:jc w:val="center"/>
            </w:pPr>
            <w:r w:rsidRPr="00847F0F">
              <w:t xml:space="preserve">183 </w:t>
            </w:r>
          </w:p>
        </w:tc>
        <w:tc>
          <w:tcPr>
            <w:tcW w:w="0" w:type="auto"/>
          </w:tcPr>
          <w:p w:rsidR="00847F0F" w:rsidRPr="00847F0F" w:rsidRDefault="00847F0F" w:rsidP="0072581A">
            <w:pPr>
              <w:jc w:val="center"/>
            </w:pPr>
            <w:r w:rsidRPr="00847F0F">
              <w:t>80,5</w:t>
            </w:r>
          </w:p>
        </w:tc>
      </w:tr>
      <w:tr w:rsidR="00847F0F" w:rsidRPr="00847F0F" w:rsidTr="008C397B">
        <w:trPr>
          <w:trHeight w:val="96"/>
          <w:jc w:val="center"/>
        </w:trPr>
        <w:tc>
          <w:tcPr>
            <w:tcW w:w="0" w:type="auto"/>
          </w:tcPr>
          <w:p w:rsidR="00847F0F" w:rsidRPr="00847F0F" w:rsidRDefault="00847F0F" w:rsidP="0072581A">
            <w:r w:rsidRPr="00847F0F">
              <w:t>Davetlerde gıda israfını önlemeyi bilme</w:t>
            </w:r>
          </w:p>
        </w:tc>
        <w:tc>
          <w:tcPr>
            <w:tcW w:w="0" w:type="auto"/>
            <w:vAlign w:val="center"/>
          </w:tcPr>
          <w:p w:rsidR="00847F0F" w:rsidRDefault="00847F0F">
            <w:pPr>
              <w:jc w:val="center"/>
              <w:rPr>
                <w:rFonts w:ascii="Calibri" w:hAnsi="Calibri"/>
                <w:color w:val="000000"/>
              </w:rPr>
            </w:pPr>
            <w:r>
              <w:rPr>
                <w:rFonts w:ascii="Calibri" w:hAnsi="Calibri"/>
                <w:color w:val="000000"/>
              </w:rPr>
              <w:t>157</w:t>
            </w:r>
          </w:p>
        </w:tc>
        <w:tc>
          <w:tcPr>
            <w:tcW w:w="0" w:type="auto"/>
          </w:tcPr>
          <w:p w:rsidR="00847F0F" w:rsidRPr="00847F0F" w:rsidRDefault="00847F0F" w:rsidP="0072581A">
            <w:pPr>
              <w:jc w:val="center"/>
            </w:pPr>
            <w:r w:rsidRPr="00847F0F">
              <w:t>69</w:t>
            </w:r>
          </w:p>
        </w:tc>
        <w:tc>
          <w:tcPr>
            <w:tcW w:w="0" w:type="auto"/>
          </w:tcPr>
          <w:p w:rsidR="00847F0F" w:rsidRPr="00847F0F" w:rsidRDefault="00847F0F" w:rsidP="0072581A">
            <w:pPr>
              <w:jc w:val="center"/>
            </w:pPr>
            <w:r w:rsidRPr="00847F0F">
              <w:t>180</w:t>
            </w:r>
          </w:p>
        </w:tc>
        <w:tc>
          <w:tcPr>
            <w:tcW w:w="0" w:type="auto"/>
          </w:tcPr>
          <w:p w:rsidR="00847F0F" w:rsidRPr="00847F0F" w:rsidRDefault="00847F0F" w:rsidP="0072581A">
            <w:pPr>
              <w:jc w:val="center"/>
            </w:pPr>
            <w:r w:rsidRPr="00847F0F">
              <w:t>79</w:t>
            </w:r>
          </w:p>
        </w:tc>
      </w:tr>
      <w:tr w:rsidR="00847F0F" w:rsidRPr="00847F0F" w:rsidTr="008C397B">
        <w:trPr>
          <w:trHeight w:val="96"/>
          <w:jc w:val="center"/>
        </w:trPr>
        <w:tc>
          <w:tcPr>
            <w:tcW w:w="0" w:type="auto"/>
          </w:tcPr>
          <w:p w:rsidR="00847F0F" w:rsidRPr="00847F0F" w:rsidRDefault="00847F0F" w:rsidP="0072581A">
            <w:pPr>
              <w:jc w:val="right"/>
              <w:rPr>
                <w:b/>
              </w:rPr>
            </w:pPr>
            <w:r w:rsidRPr="00847F0F">
              <w:rPr>
                <w:b/>
              </w:rPr>
              <w:t>Ortalama</w:t>
            </w:r>
          </w:p>
        </w:tc>
        <w:tc>
          <w:tcPr>
            <w:tcW w:w="0" w:type="auto"/>
            <w:vAlign w:val="center"/>
          </w:tcPr>
          <w:p w:rsidR="00847F0F" w:rsidRPr="00847F0F" w:rsidRDefault="00847F0F">
            <w:pPr>
              <w:jc w:val="center"/>
              <w:rPr>
                <w:rFonts w:ascii="Calibri" w:hAnsi="Calibri"/>
                <w:b/>
                <w:color w:val="000000"/>
              </w:rPr>
            </w:pPr>
            <w:r w:rsidRPr="00847F0F">
              <w:rPr>
                <w:rFonts w:ascii="Calibri" w:hAnsi="Calibri"/>
                <w:b/>
                <w:color w:val="000000"/>
              </w:rPr>
              <w:t>153</w:t>
            </w:r>
          </w:p>
        </w:tc>
        <w:tc>
          <w:tcPr>
            <w:tcW w:w="0" w:type="auto"/>
          </w:tcPr>
          <w:p w:rsidR="00847F0F" w:rsidRPr="00847F0F" w:rsidRDefault="00847F0F" w:rsidP="0072581A">
            <w:pPr>
              <w:jc w:val="center"/>
              <w:rPr>
                <w:b/>
              </w:rPr>
            </w:pPr>
            <w:r w:rsidRPr="00847F0F">
              <w:rPr>
                <w:b/>
              </w:rPr>
              <w:t>67,5</w:t>
            </w:r>
          </w:p>
        </w:tc>
        <w:tc>
          <w:tcPr>
            <w:tcW w:w="0" w:type="auto"/>
          </w:tcPr>
          <w:p w:rsidR="00847F0F" w:rsidRPr="00847F0F" w:rsidRDefault="00847F0F" w:rsidP="0072581A">
            <w:pPr>
              <w:jc w:val="center"/>
              <w:rPr>
                <w:b/>
              </w:rPr>
            </w:pPr>
            <w:r w:rsidRPr="00847F0F">
              <w:rPr>
                <w:b/>
              </w:rPr>
              <w:t>195</w:t>
            </w:r>
          </w:p>
        </w:tc>
        <w:tc>
          <w:tcPr>
            <w:tcW w:w="0" w:type="auto"/>
          </w:tcPr>
          <w:p w:rsidR="00847F0F" w:rsidRPr="00847F0F" w:rsidRDefault="00847F0F" w:rsidP="0072581A">
            <w:pPr>
              <w:jc w:val="center"/>
              <w:rPr>
                <w:b/>
              </w:rPr>
            </w:pPr>
            <w:r w:rsidRPr="00847F0F">
              <w:rPr>
                <w:b/>
              </w:rPr>
              <w:t>85,9</w:t>
            </w:r>
          </w:p>
        </w:tc>
      </w:tr>
    </w:tbl>
    <w:p w:rsidR="00C36204" w:rsidRPr="00847F0F" w:rsidRDefault="00C36204" w:rsidP="00C36204">
      <w:pPr>
        <w:jc w:val="both"/>
        <w:rPr>
          <w:b/>
        </w:rPr>
      </w:pPr>
    </w:p>
    <w:p w:rsidR="00847F0F" w:rsidRPr="00847F0F" w:rsidRDefault="00847F0F" w:rsidP="00847F0F">
      <w:pPr>
        <w:spacing w:after="0" w:line="240" w:lineRule="auto"/>
        <w:jc w:val="both"/>
      </w:pPr>
      <w:r w:rsidRPr="00847F0F">
        <w:t>Ankete katılan öğrencilere eğitim verilmeden önce uygulanan ankete göre % 70,4’ü, planlı ve akıllı alışveriş yapmayı % 64,4’ü gıdaların doğru bir şekilde saklanmasını % 65,8’i gıdaların raf ömrünü etkileyen faktörleri, % 73,5’i gıda ürünlerini buzdolabında saklamayı, % 56,9’u gıdaların dondurulmasını % 72,8’i porsiyon hesabı yapmayı ve % 69’u davetlerde gıda israfını önlemeyi bildiklerini söylemişlerdir (Gr</w:t>
      </w:r>
      <w:r w:rsidR="00937A9F">
        <w:t>afik 7</w:t>
      </w:r>
      <w:r w:rsidRPr="00847F0F">
        <w:t xml:space="preserve"> a).</w:t>
      </w:r>
    </w:p>
    <w:p w:rsidR="00847F0F" w:rsidRDefault="00847F0F" w:rsidP="00847F0F">
      <w:pPr>
        <w:spacing w:after="0" w:line="240" w:lineRule="auto"/>
        <w:jc w:val="both"/>
      </w:pPr>
    </w:p>
    <w:tbl>
      <w:tblPr>
        <w:tblStyle w:val="TabloKlavuzu"/>
        <w:tblW w:w="0" w:type="auto"/>
        <w:tblLook w:val="04A0"/>
      </w:tblPr>
      <w:tblGrid>
        <w:gridCol w:w="4643"/>
        <w:gridCol w:w="4643"/>
      </w:tblGrid>
      <w:tr w:rsidR="00805AA4" w:rsidTr="00805AA4">
        <w:tc>
          <w:tcPr>
            <w:tcW w:w="4643" w:type="dxa"/>
          </w:tcPr>
          <w:p w:rsidR="00805AA4" w:rsidRDefault="00805AA4" w:rsidP="00847F0F">
            <w:pPr>
              <w:jc w:val="both"/>
            </w:pPr>
            <w:r w:rsidRPr="00847F0F">
              <w:rPr>
                <w:noProof/>
              </w:rPr>
              <w:drawing>
                <wp:inline distT="0" distB="0" distL="0" distR="0">
                  <wp:extent cx="3154055" cy="2142699"/>
                  <wp:effectExtent l="19050" t="0" r="27295" b="0"/>
                  <wp:docPr id="24"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43" w:type="dxa"/>
          </w:tcPr>
          <w:p w:rsidR="00805AA4" w:rsidRDefault="00805AA4" w:rsidP="00805AA4">
            <w:pPr>
              <w:jc w:val="center"/>
            </w:pPr>
            <w:r w:rsidRPr="00847F0F">
              <w:rPr>
                <w:b/>
                <w:noProof/>
              </w:rPr>
              <w:drawing>
                <wp:inline distT="0" distB="0" distL="0" distR="0">
                  <wp:extent cx="3160879" cy="2026693"/>
                  <wp:effectExtent l="19050" t="0" r="20471" b="0"/>
                  <wp:docPr id="2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805AA4" w:rsidTr="00805AA4">
        <w:tc>
          <w:tcPr>
            <w:tcW w:w="4643" w:type="dxa"/>
          </w:tcPr>
          <w:p w:rsidR="00805AA4" w:rsidRDefault="00805AA4" w:rsidP="00805AA4">
            <w:pPr>
              <w:jc w:val="center"/>
            </w:pPr>
            <w:r w:rsidRPr="00847F0F">
              <w:t>a: Eğitimden önce</w:t>
            </w:r>
          </w:p>
        </w:tc>
        <w:tc>
          <w:tcPr>
            <w:tcW w:w="4643" w:type="dxa"/>
          </w:tcPr>
          <w:p w:rsidR="00805AA4" w:rsidRDefault="00805AA4" w:rsidP="00805AA4">
            <w:pPr>
              <w:jc w:val="center"/>
            </w:pPr>
            <w:r w:rsidRPr="00847F0F">
              <w:t>b: Eğitimden Sonra</w:t>
            </w:r>
          </w:p>
        </w:tc>
      </w:tr>
    </w:tbl>
    <w:p w:rsidR="00805AA4" w:rsidRPr="00847F0F" w:rsidRDefault="00937A9F" w:rsidP="00805AA4">
      <w:pPr>
        <w:jc w:val="center"/>
      </w:pPr>
      <w:r>
        <w:t>Grafik 7</w:t>
      </w:r>
      <w:r w:rsidR="00805AA4" w:rsidRPr="00847F0F">
        <w:t>: Alışveriş yapmayı ve saklamayı bilme ve atılmayı önleme konularını bilenlerin oranları</w:t>
      </w:r>
    </w:p>
    <w:p w:rsidR="00847F0F" w:rsidRPr="00847F0F" w:rsidRDefault="00847F0F" w:rsidP="00847F0F">
      <w:pPr>
        <w:spacing w:after="0" w:line="240" w:lineRule="auto"/>
        <w:jc w:val="both"/>
      </w:pPr>
      <w:r w:rsidRPr="00847F0F">
        <w:t>Eğitimden sonra ankete katılan öğrencilerin ortalama olarak % 90,3’ü, planlı ve akıllı alışveriş yapmayı % 94,4’ü Gıdaların doğru bir şekilde saklanmasını % 75,8’i gıdaların raf ömrünü etkileyen faktörleri, % 91,9’u gıda ürünlerini buzdolabında saklamayı, % 84,9’u gıdaların dondurulmasını % 80,5’i porsiyon hesabı yapmayı ve % 79’u’i davetlerde gıda israfını önlemeyi bildi</w:t>
      </w:r>
      <w:r w:rsidR="00937A9F">
        <w:t>klerini söylemişlerdir (Grafik 7</w:t>
      </w:r>
      <w:r w:rsidRPr="00847F0F">
        <w:t xml:space="preserve"> b).</w:t>
      </w:r>
    </w:p>
    <w:p w:rsidR="00847F0F" w:rsidRPr="00847F0F" w:rsidRDefault="00847F0F" w:rsidP="00847F0F">
      <w:pPr>
        <w:spacing w:after="0" w:line="240" w:lineRule="auto"/>
        <w:jc w:val="both"/>
      </w:pPr>
    </w:p>
    <w:p w:rsidR="00C36204" w:rsidRPr="00847F0F" w:rsidRDefault="00C36204" w:rsidP="00C36204">
      <w:pPr>
        <w:jc w:val="both"/>
      </w:pPr>
      <w:r w:rsidRPr="00847F0F">
        <w:t>Elde edilen bu yüksek oranlar, üniversite öğrencilerinin gıda israfı ve çevre konularında duyarlı olduklarını ve verilen eğitimin başarıya ulaştığını göstermektedir.</w:t>
      </w:r>
    </w:p>
    <w:p w:rsidR="00C36204" w:rsidRPr="00847F0F" w:rsidRDefault="00C36204" w:rsidP="00C36204">
      <w:pPr>
        <w:jc w:val="both"/>
        <w:rPr>
          <w:b/>
        </w:rPr>
      </w:pPr>
      <w:r w:rsidRPr="00847F0F">
        <w:rPr>
          <w:b/>
        </w:rPr>
        <w:t>Kaynakça</w:t>
      </w:r>
    </w:p>
    <w:p w:rsidR="00C36204" w:rsidRPr="00847F0F" w:rsidRDefault="00C36204" w:rsidP="00C36204">
      <w:pPr>
        <w:pStyle w:val="ListeParagraf"/>
        <w:numPr>
          <w:ilvl w:val="0"/>
          <w:numId w:val="2"/>
        </w:numPr>
        <w:ind w:left="426" w:hanging="426"/>
        <w:jc w:val="both"/>
      </w:pPr>
      <w:r w:rsidRPr="00847F0F">
        <w:t>Y. ÖZEN, Sorumluluk Duygusu Ve Davranışı Ölçeğinin Geliştirilmesi, güvenirliği ve Geçerliği Gümüşhane Üniversitesi Sosyal Bilimler Elektronik Dergisi  Sayı 7 Ocak 2013</w:t>
      </w:r>
    </w:p>
    <w:p w:rsidR="00C36204" w:rsidRPr="00847F0F" w:rsidRDefault="00C36204" w:rsidP="00C36204">
      <w:pPr>
        <w:pStyle w:val="ListeParagraf"/>
        <w:numPr>
          <w:ilvl w:val="0"/>
          <w:numId w:val="2"/>
        </w:numPr>
        <w:ind w:left="426" w:hanging="426"/>
        <w:jc w:val="both"/>
      </w:pPr>
      <w:r w:rsidRPr="00847F0F">
        <w:t>Sosyal Sorumluluk Anlayışının İşletmelerde Algılanma Düzeylerinin Belirlenmesi Üzerine Bir Araştırma, Doç. Dr. Mikail EROL, Yrd. Doç. Dr. İsmail ELAGÖZ, Öğr. Gör. Ahmet ŞAHBAZ, Çanakkale Onsekiz Mart Üniv., Biga İİBF, Muhasebe ve Finansman Dergisi Sayı 46, Cilt , Sayı 46, Sayfalar 58 - 65</w:t>
      </w:r>
    </w:p>
    <w:p w:rsidR="00C36204" w:rsidRPr="00847F0F" w:rsidRDefault="00C36204" w:rsidP="00C36204">
      <w:pPr>
        <w:pStyle w:val="ListeParagraf"/>
        <w:numPr>
          <w:ilvl w:val="0"/>
          <w:numId w:val="2"/>
        </w:numPr>
        <w:ind w:left="426" w:hanging="426"/>
        <w:jc w:val="both"/>
      </w:pPr>
      <w:r w:rsidRPr="00847F0F">
        <w:t>F.B. PELTEKOGLU, Halkla İlişkiler ve Sosyal Sorumluluk, Marmara İletişim Dergisi Say 2, Nisan 1993</w:t>
      </w:r>
    </w:p>
    <w:p w:rsidR="00C36204" w:rsidRPr="00847F0F" w:rsidRDefault="00C36204" w:rsidP="00C36204">
      <w:pPr>
        <w:pStyle w:val="ListeParagraf"/>
        <w:numPr>
          <w:ilvl w:val="0"/>
          <w:numId w:val="2"/>
        </w:numPr>
        <w:ind w:left="426" w:hanging="426"/>
        <w:jc w:val="both"/>
      </w:pPr>
      <w:r w:rsidRPr="00847F0F">
        <w:t>GÖZTAŞ, Aylin; BAYTEKİN, Pelin. (2012). "Sosyal Sorumluluk Kampanyaları ile Çocukların Bilinçlendirilmesi ve Eğitimi Türkiye'den Bir Uygulama Örneği: Aygaz 'Dikkatli Çocuk' Kazalara Karşı Bilinçlendirme Kampanyası", Journal Of Yasar University, No:13, Vol: 4  http://joy.yasar.edu.tr/wpcontent/uploads /2012/05/ no13_vol4_06_ goztas_baytekin.pdf</w:t>
      </w:r>
    </w:p>
    <w:p w:rsidR="00C36204" w:rsidRPr="00847F0F" w:rsidRDefault="00C36204" w:rsidP="00C36204">
      <w:pPr>
        <w:pStyle w:val="ListeParagraf"/>
        <w:numPr>
          <w:ilvl w:val="0"/>
          <w:numId w:val="2"/>
        </w:numPr>
        <w:ind w:left="426" w:hanging="426"/>
        <w:jc w:val="both"/>
      </w:pPr>
      <w:r w:rsidRPr="00847F0F">
        <w:t>ÖRS, Ferlal, "Meslek Yüksekokullarının Toplumsal İşlevi, Bir Meslek Yüksekokulunun Kurumsal İmaj Araştırması" Muğla Üniversitesi Sosyal Bilimler Enstitüsü Dergisi Bahar 2003 Sayı 10 http://akademik.mu.edu.tr/data/06020000/resim/file/10-5%20ferl%C3%83%C2%A2l%20%C3%83%C2%B 6rs.pdf</w:t>
      </w:r>
    </w:p>
    <w:p w:rsidR="00C36204" w:rsidRPr="00847F0F" w:rsidRDefault="00C36204"/>
    <w:sectPr w:rsidR="00C36204" w:rsidRPr="00847F0F" w:rsidSect="00EF3FFD">
      <w:footerReference w:type="default" r:id="rId18"/>
      <w:pgSz w:w="11906" w:h="16838" w:code="9"/>
      <w:pgMar w:top="1418" w:right="1418" w:bottom="1134" w:left="1418" w:header="284"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3E86" w:rsidRDefault="00E93E86" w:rsidP="00EF3FFD">
      <w:pPr>
        <w:spacing w:after="0" w:line="240" w:lineRule="auto"/>
      </w:pPr>
      <w:r>
        <w:separator/>
      </w:r>
    </w:p>
  </w:endnote>
  <w:endnote w:type="continuationSeparator" w:id="1">
    <w:p w:rsidR="00E93E86" w:rsidRDefault="00E93E86" w:rsidP="00EF3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65901"/>
      <w:docPartObj>
        <w:docPartGallery w:val="Page Numbers (Bottom of Page)"/>
        <w:docPartUnique/>
      </w:docPartObj>
    </w:sdtPr>
    <w:sdtContent>
      <w:sdt>
        <w:sdtPr>
          <w:id w:val="861459857"/>
          <w:docPartObj>
            <w:docPartGallery w:val="Page Numbers (Top of Page)"/>
            <w:docPartUnique/>
          </w:docPartObj>
        </w:sdtPr>
        <w:sdtContent>
          <w:p w:rsidR="00EF3FFD" w:rsidRDefault="00EF3FFD">
            <w:pPr>
              <w:pStyle w:val="Altbilgi"/>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sdtContent>
      </w:sdt>
    </w:sdtContent>
  </w:sdt>
  <w:p w:rsidR="00EF3FFD" w:rsidRDefault="00EF3FFD">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3E86" w:rsidRDefault="00E93E86" w:rsidP="00EF3FFD">
      <w:pPr>
        <w:spacing w:after="0" w:line="240" w:lineRule="auto"/>
      </w:pPr>
      <w:r>
        <w:separator/>
      </w:r>
    </w:p>
  </w:footnote>
  <w:footnote w:type="continuationSeparator" w:id="1">
    <w:p w:rsidR="00E93E86" w:rsidRDefault="00E93E86" w:rsidP="00EF3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F94"/>
    <w:multiLevelType w:val="hybridMultilevel"/>
    <w:tmpl w:val="465E05C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84761B"/>
    <w:multiLevelType w:val="multilevel"/>
    <w:tmpl w:val="698A2DE4"/>
    <w:lvl w:ilvl="0">
      <w:start w:val="4"/>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BB6BC8"/>
    <w:multiLevelType w:val="multilevel"/>
    <w:tmpl w:val="6114A69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7944430"/>
    <w:multiLevelType w:val="hybridMultilevel"/>
    <w:tmpl w:val="706A0E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046898"/>
    <w:multiLevelType w:val="hybridMultilevel"/>
    <w:tmpl w:val="2BA6C7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A962A7C"/>
    <w:multiLevelType w:val="hybridMultilevel"/>
    <w:tmpl w:val="FE3ABBE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nsid w:val="23681358"/>
    <w:multiLevelType w:val="hybridMultilevel"/>
    <w:tmpl w:val="FE3ABBE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E360AB9"/>
    <w:multiLevelType w:val="multilevel"/>
    <w:tmpl w:val="FF1EC8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2510032"/>
    <w:multiLevelType w:val="multilevel"/>
    <w:tmpl w:val="9716D1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2E95E5C"/>
    <w:multiLevelType w:val="hybridMultilevel"/>
    <w:tmpl w:val="B00C3E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7D81096"/>
    <w:multiLevelType w:val="hybridMultilevel"/>
    <w:tmpl w:val="C3EE0920"/>
    <w:lvl w:ilvl="0" w:tplc="C2EED49A">
      <w:numFmt w:val="bullet"/>
      <w:lvlText w:val="-"/>
      <w:lvlJc w:val="left"/>
      <w:pPr>
        <w:ind w:left="1065" w:hanging="360"/>
      </w:pPr>
      <w:rPr>
        <w:rFonts w:ascii="Calibri" w:eastAsiaTheme="minorHAnsi" w:hAnsi="Calibri" w:cstheme="minorBidi"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11">
    <w:nsid w:val="3F0610C2"/>
    <w:multiLevelType w:val="hybridMultilevel"/>
    <w:tmpl w:val="FE3ABBE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40913338"/>
    <w:multiLevelType w:val="multilevel"/>
    <w:tmpl w:val="60C01BDE"/>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7B3450"/>
    <w:multiLevelType w:val="multilevel"/>
    <w:tmpl w:val="9716D1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AC70124"/>
    <w:multiLevelType w:val="multilevel"/>
    <w:tmpl w:val="E74E43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F954B40"/>
    <w:multiLevelType w:val="hybridMultilevel"/>
    <w:tmpl w:val="BBF8C834"/>
    <w:lvl w:ilvl="0" w:tplc="6BD417AE">
      <w:start w:val="1"/>
      <w:numFmt w:val="decimal"/>
      <w:lvlText w:val="%1."/>
      <w:lvlJc w:val="left"/>
      <w:pPr>
        <w:ind w:left="705" w:hanging="705"/>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nsid w:val="5ACD32BC"/>
    <w:multiLevelType w:val="multilevel"/>
    <w:tmpl w:val="35E62414"/>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69A6D7C"/>
    <w:multiLevelType w:val="multilevel"/>
    <w:tmpl w:val="10CCA0A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6AA87093"/>
    <w:multiLevelType w:val="multilevel"/>
    <w:tmpl w:val="001EE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C9D125A"/>
    <w:multiLevelType w:val="multilevel"/>
    <w:tmpl w:val="6B76F592"/>
    <w:lvl w:ilvl="0">
      <w:start w:val="4"/>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5"/>
  </w:num>
  <w:num w:numId="3">
    <w:abstractNumId w:val="10"/>
  </w:num>
  <w:num w:numId="4">
    <w:abstractNumId w:val="6"/>
  </w:num>
  <w:num w:numId="5">
    <w:abstractNumId w:val="5"/>
  </w:num>
  <w:num w:numId="6">
    <w:abstractNumId w:val="17"/>
  </w:num>
  <w:num w:numId="7">
    <w:abstractNumId w:val="8"/>
  </w:num>
  <w:num w:numId="8">
    <w:abstractNumId w:val="4"/>
  </w:num>
  <w:num w:numId="9">
    <w:abstractNumId w:val="11"/>
  </w:num>
  <w:num w:numId="10">
    <w:abstractNumId w:val="13"/>
  </w:num>
  <w:num w:numId="11">
    <w:abstractNumId w:val="12"/>
  </w:num>
  <w:num w:numId="12">
    <w:abstractNumId w:val="0"/>
  </w:num>
  <w:num w:numId="13">
    <w:abstractNumId w:val="9"/>
  </w:num>
  <w:num w:numId="14">
    <w:abstractNumId w:val="18"/>
  </w:num>
  <w:num w:numId="15">
    <w:abstractNumId w:val="1"/>
  </w:num>
  <w:num w:numId="16">
    <w:abstractNumId w:val="2"/>
  </w:num>
  <w:num w:numId="17">
    <w:abstractNumId w:val="19"/>
  </w:num>
  <w:num w:numId="18">
    <w:abstractNumId w:val="16"/>
  </w:num>
  <w:num w:numId="19">
    <w:abstractNumId w:val="7"/>
  </w:num>
  <w:num w:numId="20">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9218"/>
  </w:hdrShapeDefaults>
  <w:footnotePr>
    <w:footnote w:id="0"/>
    <w:footnote w:id="1"/>
  </w:footnotePr>
  <w:endnotePr>
    <w:endnote w:id="0"/>
    <w:endnote w:id="1"/>
  </w:endnotePr>
  <w:compat>
    <w:useFELayout/>
  </w:compat>
  <w:rsids>
    <w:rsidRoot w:val="000D480C"/>
    <w:rsid w:val="000320F3"/>
    <w:rsid w:val="000D480C"/>
    <w:rsid w:val="001A6F18"/>
    <w:rsid w:val="001B58D5"/>
    <w:rsid w:val="00285820"/>
    <w:rsid w:val="00483DDC"/>
    <w:rsid w:val="004D4EDB"/>
    <w:rsid w:val="00555FB1"/>
    <w:rsid w:val="005A3C5B"/>
    <w:rsid w:val="00640571"/>
    <w:rsid w:val="006E2426"/>
    <w:rsid w:val="0072581A"/>
    <w:rsid w:val="00805AA4"/>
    <w:rsid w:val="00847F0F"/>
    <w:rsid w:val="00871183"/>
    <w:rsid w:val="008C397B"/>
    <w:rsid w:val="008F4A27"/>
    <w:rsid w:val="00912F3B"/>
    <w:rsid w:val="00937A9F"/>
    <w:rsid w:val="00956707"/>
    <w:rsid w:val="009E5F3E"/>
    <w:rsid w:val="00BA6CD3"/>
    <w:rsid w:val="00BE3E2C"/>
    <w:rsid w:val="00C36204"/>
    <w:rsid w:val="00D951F9"/>
    <w:rsid w:val="00E93E86"/>
    <w:rsid w:val="00EB1569"/>
    <w:rsid w:val="00EF3FFD"/>
    <w:rsid w:val="00F326EA"/>
    <w:rsid w:val="00FA777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ED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0D480C"/>
    <w:rPr>
      <w:color w:val="0000FF" w:themeColor="hyperlink"/>
      <w:u w:val="single"/>
    </w:rPr>
  </w:style>
  <w:style w:type="table" w:styleId="TabloKlavuzu">
    <w:name w:val="Table Grid"/>
    <w:basedOn w:val="NormalTablo"/>
    <w:uiPriority w:val="59"/>
    <w:rsid w:val="00C3620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36204"/>
    <w:pPr>
      <w:ind w:left="720"/>
      <w:contextualSpacing/>
    </w:pPr>
    <w:rPr>
      <w:rFonts w:eastAsiaTheme="minorHAnsi"/>
      <w:lang w:eastAsia="en-US"/>
    </w:rPr>
  </w:style>
  <w:style w:type="paragraph" w:styleId="stbilgi">
    <w:name w:val="header"/>
    <w:basedOn w:val="Normal"/>
    <w:link w:val="stbilgiChar"/>
    <w:uiPriority w:val="99"/>
    <w:unhideWhenUsed/>
    <w:rsid w:val="00C36204"/>
    <w:pPr>
      <w:tabs>
        <w:tab w:val="center" w:pos="4536"/>
        <w:tab w:val="right" w:pos="9072"/>
      </w:tabs>
      <w:spacing w:after="0" w:line="240" w:lineRule="auto"/>
    </w:pPr>
    <w:rPr>
      <w:rFonts w:eastAsiaTheme="minorHAnsi"/>
      <w:lang w:eastAsia="en-US"/>
    </w:rPr>
  </w:style>
  <w:style w:type="character" w:customStyle="1" w:styleId="stbilgiChar">
    <w:name w:val="Üstbilgi Char"/>
    <w:basedOn w:val="VarsaylanParagrafYazTipi"/>
    <w:link w:val="stbilgi"/>
    <w:uiPriority w:val="99"/>
    <w:rsid w:val="00C36204"/>
    <w:rPr>
      <w:rFonts w:eastAsiaTheme="minorHAnsi"/>
      <w:lang w:eastAsia="en-US"/>
    </w:rPr>
  </w:style>
  <w:style w:type="paragraph" w:styleId="Altbilgi">
    <w:name w:val="footer"/>
    <w:basedOn w:val="Normal"/>
    <w:link w:val="AltbilgiChar"/>
    <w:uiPriority w:val="99"/>
    <w:unhideWhenUsed/>
    <w:rsid w:val="00C36204"/>
    <w:pPr>
      <w:tabs>
        <w:tab w:val="center" w:pos="4536"/>
        <w:tab w:val="right" w:pos="9072"/>
      </w:tabs>
      <w:spacing w:after="0" w:line="240" w:lineRule="auto"/>
    </w:pPr>
    <w:rPr>
      <w:rFonts w:eastAsiaTheme="minorHAnsi"/>
      <w:lang w:eastAsia="en-US"/>
    </w:rPr>
  </w:style>
  <w:style w:type="character" w:customStyle="1" w:styleId="AltbilgiChar">
    <w:name w:val="Altbilgi Char"/>
    <w:basedOn w:val="VarsaylanParagrafYazTipi"/>
    <w:link w:val="Altbilgi"/>
    <w:uiPriority w:val="99"/>
    <w:rsid w:val="00C36204"/>
    <w:rPr>
      <w:rFonts w:eastAsiaTheme="minorHAnsi"/>
      <w:lang w:eastAsia="en-US"/>
    </w:rPr>
  </w:style>
  <w:style w:type="paragraph" w:styleId="BalonMetni">
    <w:name w:val="Balloon Text"/>
    <w:basedOn w:val="Normal"/>
    <w:link w:val="BalonMetniChar"/>
    <w:uiPriority w:val="99"/>
    <w:semiHidden/>
    <w:unhideWhenUsed/>
    <w:rsid w:val="00C36204"/>
    <w:pPr>
      <w:spacing w:after="0" w:line="240" w:lineRule="auto"/>
    </w:pPr>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C36204"/>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206105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AKADEM&#304;K\PROJE\&#214;&#286;RENC&#304;%20PROJELER&#304;\7.%20GIDA%20&#304;SRAFI%20VE%20&#199;EVRE\HESAPLAMALA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KB%2024\AKT&#304;F\AKADEM&#304;K\PROJE\&#214;&#286;RENC&#304;%20PROJELER&#304;\5.%20GIDA%20&#304;SRAFI%20VE%20&#199;EVRE\SONU&#199;%20RAPORU.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KADEM&#304;K\PROJE\&#214;&#286;RENC&#304;%20PROJELER&#304;\7.%20GIDA%20&#304;SRAFI%20VE%20&#199;EVRE\HESAPLAMALAR.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KB%2024\AKT&#304;F\AKADEM&#304;K\PROJE\&#214;&#286;RENC&#304;%20PROJELER&#304;\5.%20GIDA%20&#304;SRAFI%20VE%20&#199;EVRE\SONU&#199;%20RAPOR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KADEM&#304;K\PROJE\&#214;&#286;RENC&#304;%20PROJELER&#304;\7.%20GIDA%20&#304;SRAFI%20VE%20&#199;EVRE\HESAPLAMALAR.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G:\KB%2024\AKT&#304;F\AKADEM&#304;K\PROJE\&#214;&#286;RENC&#304;%20PROJELER&#304;\5.%20GIDA%20&#304;SRAFI%20VE%20&#199;EVRE\SONU&#199;%20RAPOR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0602331225502599"/>
          <c:y val="1.7981740745775004E-2"/>
          <c:w val="0.42987276046367306"/>
          <c:h val="0.93706390738978762"/>
        </c:manualLayout>
      </c:layout>
      <c:pieChart>
        <c:varyColors val="1"/>
        <c:ser>
          <c:idx val="0"/>
          <c:order val="0"/>
          <c:dLbls>
            <c:dLblPos val="ctr"/>
            <c:showVal val="1"/>
          </c:dLbls>
          <c:cat>
            <c:strRef>
              <c:f>Sayfa1!$N$14:$N$18</c:f>
              <c:strCache>
                <c:ptCount val="5"/>
                <c:pt idx="0">
                  <c:v>Kesinlikle benim sorunum değil</c:v>
                </c:pt>
                <c:pt idx="1">
                  <c:v>Benim sorunum değil</c:v>
                </c:pt>
                <c:pt idx="2">
                  <c:v>Sorun yapıyorum</c:v>
                </c:pt>
                <c:pt idx="3">
                  <c:v>Oldukça sorun yapıyorum</c:v>
                </c:pt>
                <c:pt idx="4">
                  <c:v>Kesinlikle sorun yapıyorum</c:v>
                </c:pt>
              </c:strCache>
            </c:strRef>
          </c:cat>
          <c:val>
            <c:numRef>
              <c:f>Sayfa1!$P$14:$P$18</c:f>
              <c:numCache>
                <c:formatCode>0%</c:formatCode>
                <c:ptCount val="5"/>
                <c:pt idx="0" formatCode="0.0%">
                  <c:v>0.14400000000000004</c:v>
                </c:pt>
                <c:pt idx="1">
                  <c:v>0.16000000000000011</c:v>
                </c:pt>
                <c:pt idx="2" formatCode="0.0%">
                  <c:v>0.12200000000000009</c:v>
                </c:pt>
                <c:pt idx="3" formatCode="0.0%">
                  <c:v>0.1510000000000003</c:v>
                </c:pt>
                <c:pt idx="4" formatCode="0.0%">
                  <c:v>0.42300000000000032</c:v>
                </c:pt>
              </c:numCache>
            </c:numRef>
          </c:val>
        </c:ser>
        <c:dLbls>
          <c:showVal val="1"/>
        </c:dLbls>
        <c:firstSliceAng val="0"/>
      </c:pieChart>
    </c:plotArea>
    <c:legend>
      <c:legendPos val="r"/>
      <c:txPr>
        <a:bodyPr/>
        <a:lstStyle/>
        <a:p>
          <a:pPr>
            <a:defRPr sz="800"/>
          </a:pPr>
          <a:endParaRPr lang="tr-TR"/>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5.1816637059351488E-2"/>
          <c:y val="0.14000983188871519"/>
          <c:w val="0.49707217924439373"/>
          <c:h val="0.78187394397691712"/>
        </c:manualLayout>
      </c:layout>
      <c:pieChart>
        <c:varyColors val="1"/>
        <c:ser>
          <c:idx val="0"/>
          <c:order val="0"/>
          <c:dLbls>
            <c:showVal val="1"/>
          </c:dLbls>
          <c:cat>
            <c:strRef>
              <c:f>Sayfa1!$N$8:$N$12</c:f>
              <c:strCache>
                <c:ptCount val="5"/>
                <c:pt idx="0">
                  <c:v>Kesinlikle benim sorunum değil</c:v>
                </c:pt>
                <c:pt idx="1">
                  <c:v>Benim sorunum değil</c:v>
                </c:pt>
                <c:pt idx="2">
                  <c:v>Sorun yapıyorum</c:v>
                </c:pt>
                <c:pt idx="3">
                  <c:v>Oldukça sorun yapıyorum</c:v>
                </c:pt>
                <c:pt idx="4">
                  <c:v>Kesinlikle sorun yapıyorum</c:v>
                </c:pt>
              </c:strCache>
            </c:strRef>
          </c:cat>
          <c:val>
            <c:numRef>
              <c:f>Sayfa1!$O$8:$O$12</c:f>
              <c:numCache>
                <c:formatCode>0%</c:formatCode>
                <c:ptCount val="5"/>
                <c:pt idx="0">
                  <c:v>3.0000000000000082E-2</c:v>
                </c:pt>
                <c:pt idx="1">
                  <c:v>4.0000000000000112E-2</c:v>
                </c:pt>
                <c:pt idx="2">
                  <c:v>0.23</c:v>
                </c:pt>
                <c:pt idx="3">
                  <c:v>0.2</c:v>
                </c:pt>
                <c:pt idx="4">
                  <c:v>0.5</c:v>
                </c:pt>
              </c:numCache>
            </c:numRef>
          </c:val>
        </c:ser>
        <c:dLbls>
          <c:showVal val="1"/>
        </c:dLbls>
        <c:firstSliceAng val="0"/>
      </c:pieChart>
    </c:plotArea>
    <c:legend>
      <c:legendPos val="r"/>
      <c:layout>
        <c:manualLayout>
          <c:xMode val="edge"/>
          <c:yMode val="edge"/>
          <c:x val="0.63994627326427045"/>
          <c:y val="0.13248106341841567"/>
          <c:w val="0.33178040309893442"/>
          <c:h val="0.86751893658158463"/>
        </c:manualLayout>
      </c:layout>
      <c:txPr>
        <a:bodyPr/>
        <a:lstStyle/>
        <a:p>
          <a:pPr>
            <a:defRPr sz="800"/>
          </a:pPr>
          <a:endParaRPr lang="tr-TR"/>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dLbls>
            <c:txPr>
              <a:bodyPr/>
              <a:lstStyle/>
              <a:p>
                <a:pPr>
                  <a:defRPr sz="800"/>
                </a:pPr>
                <a:endParaRPr lang="tr-TR"/>
              </a:p>
            </c:txPr>
            <c:dLblPos val="outEnd"/>
            <c:showVal val="1"/>
          </c:dLbls>
          <c:cat>
            <c:multiLvlStrRef>
              <c:f>Sayfa1!$N$3:$O$5</c:f>
              <c:multiLvlStrCache>
                <c:ptCount val="3"/>
                <c:lvl>
                  <c:pt idx="0">
                    <c:v>Hiç atılmıyor</c:v>
                  </c:pt>
                  <c:pt idx="1">
                    <c:v>Hiç atılmıyor</c:v>
                  </c:pt>
                  <c:pt idx="2">
                    <c:v>Ara sıra, sıklıkla, her zaman bakarım</c:v>
                  </c:pt>
                </c:lvl>
                <c:lvl>
                  <c:pt idx="0">
                    <c:v>Çöpe Atılan Ekmek Sayısı</c:v>
                  </c:pt>
                  <c:pt idx="1">
                    <c:v>Çöpe Atılan Yemek Miktarı</c:v>
                  </c:pt>
                  <c:pt idx="2">
                    <c:v>Gıda Ürünlerinin Son Kullanma Tarihi</c:v>
                  </c:pt>
                </c:lvl>
              </c:multiLvlStrCache>
            </c:multiLvlStrRef>
          </c:cat>
          <c:val>
            <c:numRef>
              <c:f>Sayfa1!$Q$3:$Q$5</c:f>
              <c:numCache>
                <c:formatCode>0.0%</c:formatCode>
                <c:ptCount val="3"/>
                <c:pt idx="0">
                  <c:v>0.71100000000000063</c:v>
                </c:pt>
                <c:pt idx="1">
                  <c:v>0.52500000000000002</c:v>
                </c:pt>
                <c:pt idx="2">
                  <c:v>0.67200000000000171</c:v>
                </c:pt>
              </c:numCache>
            </c:numRef>
          </c:val>
        </c:ser>
        <c:dLbls>
          <c:showVal val="1"/>
        </c:dLbls>
        <c:axId val="96618368"/>
        <c:axId val="100015488"/>
      </c:barChart>
      <c:catAx>
        <c:axId val="96618368"/>
        <c:scaling>
          <c:orientation val="minMax"/>
        </c:scaling>
        <c:axPos val="b"/>
        <c:tickLblPos val="nextTo"/>
        <c:txPr>
          <a:bodyPr/>
          <a:lstStyle/>
          <a:p>
            <a:pPr>
              <a:defRPr sz="800"/>
            </a:pPr>
            <a:endParaRPr lang="tr-TR"/>
          </a:p>
        </c:txPr>
        <c:crossAx val="100015488"/>
        <c:crosses val="autoZero"/>
        <c:auto val="1"/>
        <c:lblAlgn val="ctr"/>
        <c:lblOffset val="100"/>
      </c:catAx>
      <c:valAx>
        <c:axId val="100015488"/>
        <c:scaling>
          <c:orientation val="minMax"/>
        </c:scaling>
        <c:axPos val="l"/>
        <c:majorGridlines/>
        <c:numFmt formatCode="0.0%" sourceLinked="1"/>
        <c:tickLblPos val="nextTo"/>
        <c:txPr>
          <a:bodyPr/>
          <a:lstStyle/>
          <a:p>
            <a:pPr>
              <a:defRPr sz="800"/>
            </a:pPr>
            <a:endParaRPr lang="tr-TR"/>
          </a:p>
        </c:txPr>
        <c:crossAx val="9661836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plotArea>
      <c:layout/>
      <c:barChart>
        <c:barDir val="col"/>
        <c:grouping val="clustered"/>
        <c:ser>
          <c:idx val="0"/>
          <c:order val="0"/>
          <c:dLbls>
            <c:txPr>
              <a:bodyPr/>
              <a:lstStyle/>
              <a:p>
                <a:pPr>
                  <a:defRPr sz="800"/>
                </a:pPr>
                <a:endParaRPr lang="tr-TR"/>
              </a:p>
            </c:txPr>
            <c:dLblPos val="ctr"/>
            <c:showVal val="1"/>
          </c:dLbls>
          <c:cat>
            <c:multiLvlStrRef>
              <c:f>Sayfa1!$N$3:$O$5</c:f>
              <c:multiLvlStrCache>
                <c:ptCount val="3"/>
                <c:lvl>
                  <c:pt idx="0">
                    <c:v>Hiç atılmıyor</c:v>
                  </c:pt>
                  <c:pt idx="1">
                    <c:v>Hiç atılmıyor</c:v>
                  </c:pt>
                  <c:pt idx="2">
                    <c:v>Ara sıra, sıklıkla, her zaman bakarım</c:v>
                  </c:pt>
                </c:lvl>
                <c:lvl>
                  <c:pt idx="0">
                    <c:v>Çöpe Atılan Ekmek Sayısı</c:v>
                  </c:pt>
                  <c:pt idx="1">
                    <c:v>Çöpe Atılan Yemek Miktarı</c:v>
                  </c:pt>
                  <c:pt idx="2">
                    <c:v>Gıda Ürünlerinin Son Kullanma Tarihi</c:v>
                  </c:pt>
                </c:lvl>
              </c:multiLvlStrCache>
            </c:multiLvlStrRef>
          </c:cat>
          <c:val>
            <c:numRef>
              <c:f>Sayfa1!$Q$3:$Q$5</c:f>
              <c:numCache>
                <c:formatCode>0.0%</c:formatCode>
                <c:ptCount val="3"/>
                <c:pt idx="0">
                  <c:v>0.83300000000000063</c:v>
                </c:pt>
                <c:pt idx="1">
                  <c:v>0.64500000000000335</c:v>
                </c:pt>
                <c:pt idx="2">
                  <c:v>0.88300000000000001</c:v>
                </c:pt>
              </c:numCache>
            </c:numRef>
          </c:val>
        </c:ser>
        <c:dLbls>
          <c:showVal val="1"/>
        </c:dLbls>
        <c:axId val="100574336"/>
        <c:axId val="100607488"/>
      </c:barChart>
      <c:catAx>
        <c:axId val="100574336"/>
        <c:scaling>
          <c:orientation val="minMax"/>
        </c:scaling>
        <c:axPos val="b"/>
        <c:tickLblPos val="nextTo"/>
        <c:txPr>
          <a:bodyPr/>
          <a:lstStyle/>
          <a:p>
            <a:pPr>
              <a:defRPr sz="800"/>
            </a:pPr>
            <a:endParaRPr lang="tr-TR"/>
          </a:p>
        </c:txPr>
        <c:crossAx val="100607488"/>
        <c:crosses val="autoZero"/>
        <c:auto val="1"/>
        <c:lblAlgn val="ctr"/>
        <c:lblOffset val="100"/>
      </c:catAx>
      <c:valAx>
        <c:axId val="100607488"/>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0%" sourceLinked="1"/>
        <c:tickLblPos val="nextTo"/>
        <c:txPr>
          <a:bodyPr/>
          <a:lstStyle/>
          <a:p>
            <a:pPr>
              <a:defRPr sz="800"/>
            </a:pPr>
            <a:endParaRPr lang="tr-TR"/>
          </a:p>
        </c:txPr>
        <c:crossAx val="10057433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8382811967451421"/>
          <c:y val="6.5198144956431128E-2"/>
          <c:w val="0.63264274085264838"/>
          <c:h val="0.47176388284122034"/>
        </c:manualLayout>
      </c:layout>
      <c:barChart>
        <c:barDir val="col"/>
        <c:grouping val="clustered"/>
        <c:ser>
          <c:idx val="0"/>
          <c:order val="0"/>
          <c:dLbls>
            <c:txPr>
              <a:bodyPr/>
              <a:lstStyle/>
              <a:p>
                <a:pPr>
                  <a:defRPr sz="800"/>
                </a:pPr>
                <a:endParaRPr lang="tr-TR"/>
              </a:p>
            </c:txPr>
            <c:dLblPos val="outEnd"/>
            <c:showVal val="1"/>
          </c:dLbls>
          <c:cat>
            <c:strRef>
              <c:f>Sayfa1!$N$21:$N$27</c:f>
              <c:strCache>
                <c:ptCount val="7"/>
                <c:pt idx="0">
                  <c:v>Planlı ve Akıllı Alışveriş</c:v>
                </c:pt>
                <c:pt idx="1">
                  <c:v>Gıdaları Saklama</c:v>
                </c:pt>
                <c:pt idx="2">
                  <c:v>Raf Ömrünü Bilme</c:v>
                </c:pt>
                <c:pt idx="3">
                  <c:v>Buzdolabında Saklama</c:v>
                </c:pt>
                <c:pt idx="4">
                  <c:v>Gıdaları Dondurma</c:v>
                </c:pt>
                <c:pt idx="5">
                  <c:v>Porsiyon Hesabı</c:v>
                </c:pt>
                <c:pt idx="6">
                  <c:v>Davetlerde İsraf</c:v>
                </c:pt>
              </c:strCache>
            </c:strRef>
          </c:cat>
          <c:val>
            <c:numRef>
              <c:f>Sayfa1!$P$21:$P$27</c:f>
              <c:numCache>
                <c:formatCode>0.0%</c:formatCode>
                <c:ptCount val="7"/>
                <c:pt idx="0">
                  <c:v>0.70400000000000063</c:v>
                </c:pt>
                <c:pt idx="1">
                  <c:v>0.64400000000000135</c:v>
                </c:pt>
                <c:pt idx="2">
                  <c:v>0.65800000000000158</c:v>
                </c:pt>
                <c:pt idx="3">
                  <c:v>0.73500000000000065</c:v>
                </c:pt>
                <c:pt idx="4">
                  <c:v>0.56899999999999995</c:v>
                </c:pt>
                <c:pt idx="5">
                  <c:v>0.72800000000000065</c:v>
                </c:pt>
                <c:pt idx="6" formatCode="0%">
                  <c:v>0.69000000000000061</c:v>
                </c:pt>
              </c:numCache>
            </c:numRef>
          </c:val>
        </c:ser>
        <c:dLbls>
          <c:showVal val="1"/>
        </c:dLbls>
        <c:axId val="100883456"/>
        <c:axId val="100890880"/>
      </c:barChart>
      <c:catAx>
        <c:axId val="100883456"/>
        <c:scaling>
          <c:orientation val="minMax"/>
        </c:scaling>
        <c:axPos val="b"/>
        <c:tickLblPos val="nextTo"/>
        <c:txPr>
          <a:bodyPr/>
          <a:lstStyle/>
          <a:p>
            <a:pPr>
              <a:defRPr sz="800"/>
            </a:pPr>
            <a:endParaRPr lang="tr-TR"/>
          </a:p>
        </c:txPr>
        <c:crossAx val="100890880"/>
        <c:crosses val="autoZero"/>
        <c:auto val="1"/>
        <c:lblAlgn val="ctr"/>
        <c:lblOffset val="100"/>
      </c:catAx>
      <c:valAx>
        <c:axId val="100890880"/>
        <c:scaling>
          <c:orientation val="minMax"/>
        </c:scaling>
        <c:axPos val="l"/>
        <c:majorGridlines/>
        <c:numFmt formatCode="0.0%" sourceLinked="1"/>
        <c:tickLblPos val="nextTo"/>
        <c:txPr>
          <a:bodyPr/>
          <a:lstStyle/>
          <a:p>
            <a:pPr>
              <a:defRPr sz="800"/>
            </a:pPr>
            <a:endParaRPr lang="tr-TR"/>
          </a:p>
        </c:txPr>
        <c:crossAx val="1008834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plotArea>
      <c:layout>
        <c:manualLayout>
          <c:layoutTarget val="inner"/>
          <c:xMode val="edge"/>
          <c:yMode val="edge"/>
          <c:x val="0.18327686697276296"/>
          <c:y val="6.8930025415788188E-2"/>
          <c:w val="0.68413343250405989"/>
          <c:h val="0.44152814461785783"/>
        </c:manualLayout>
      </c:layout>
      <c:barChart>
        <c:barDir val="col"/>
        <c:grouping val="clustered"/>
        <c:ser>
          <c:idx val="0"/>
          <c:order val="0"/>
          <c:dLbls>
            <c:txPr>
              <a:bodyPr/>
              <a:lstStyle/>
              <a:p>
                <a:pPr>
                  <a:defRPr sz="800"/>
                </a:pPr>
                <a:endParaRPr lang="tr-TR"/>
              </a:p>
            </c:txPr>
            <c:dLblPos val="outEnd"/>
            <c:showVal val="1"/>
          </c:dLbls>
          <c:cat>
            <c:strRef>
              <c:f>Sayfa1!$N$21:$N$27</c:f>
              <c:strCache>
                <c:ptCount val="7"/>
                <c:pt idx="0">
                  <c:v>Planlı ve Akıllı Alışveriş</c:v>
                </c:pt>
                <c:pt idx="1">
                  <c:v>Gıdaları Saklama</c:v>
                </c:pt>
                <c:pt idx="2">
                  <c:v>Raf Ömrünü Bilme</c:v>
                </c:pt>
                <c:pt idx="3">
                  <c:v>Buzdolabında Saklama</c:v>
                </c:pt>
                <c:pt idx="4">
                  <c:v>Gıdaları Dondurma</c:v>
                </c:pt>
                <c:pt idx="5">
                  <c:v>Porsiyon Hesabı</c:v>
                </c:pt>
                <c:pt idx="6">
                  <c:v>Davetlerde İsraf</c:v>
                </c:pt>
              </c:strCache>
            </c:strRef>
          </c:cat>
          <c:val>
            <c:numRef>
              <c:f>Sayfa1!$P$21:$P$27</c:f>
              <c:numCache>
                <c:formatCode>0.0%</c:formatCode>
                <c:ptCount val="7"/>
                <c:pt idx="0">
                  <c:v>0.90300000000000002</c:v>
                </c:pt>
                <c:pt idx="1">
                  <c:v>0.94399999999999995</c:v>
                </c:pt>
                <c:pt idx="2">
                  <c:v>0.75800000000000334</c:v>
                </c:pt>
                <c:pt idx="3">
                  <c:v>0.91900000000000004</c:v>
                </c:pt>
                <c:pt idx="4">
                  <c:v>0.84900000000000064</c:v>
                </c:pt>
                <c:pt idx="5">
                  <c:v>0.84900000000000064</c:v>
                </c:pt>
                <c:pt idx="6" formatCode="0%">
                  <c:v>0.79</c:v>
                </c:pt>
              </c:numCache>
            </c:numRef>
          </c:val>
        </c:ser>
        <c:dLbls>
          <c:showVal val="1"/>
        </c:dLbls>
        <c:axId val="101334400"/>
        <c:axId val="101378304"/>
      </c:barChart>
      <c:catAx>
        <c:axId val="101334400"/>
        <c:scaling>
          <c:orientation val="minMax"/>
        </c:scaling>
        <c:axPos val="b"/>
        <c:tickLblPos val="nextTo"/>
        <c:txPr>
          <a:bodyPr/>
          <a:lstStyle/>
          <a:p>
            <a:pPr>
              <a:defRPr sz="800"/>
            </a:pPr>
            <a:endParaRPr lang="tr-TR"/>
          </a:p>
        </c:txPr>
        <c:crossAx val="101378304"/>
        <c:crosses val="autoZero"/>
        <c:auto val="1"/>
        <c:lblAlgn val="ctr"/>
        <c:lblOffset val="100"/>
      </c:catAx>
      <c:valAx>
        <c:axId val="101378304"/>
        <c:scaling>
          <c:orientation val="minMax"/>
        </c:scaling>
        <c:axPos val="l"/>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numFmt formatCode="0.0%" sourceLinked="1"/>
        <c:tickLblPos val="nextTo"/>
        <c:txPr>
          <a:bodyPr/>
          <a:lstStyle/>
          <a:p>
            <a:pPr>
              <a:defRPr sz="800"/>
            </a:pPr>
            <a:endParaRPr lang="tr-TR"/>
          </a:p>
        </c:txPr>
        <c:crossAx val="101334400"/>
        <c:crosses val="autoZero"/>
        <c:crossBetween val="between"/>
      </c:valAx>
    </c:plotArea>
    <c:plotVisOnly val="1"/>
  </c:chart>
  <c:externalData r:id="rId1"/>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7577A-4E11-49C1-974D-A28742FA4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3716</Words>
  <Characters>21182</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2021-03-10T09:45:00Z</dcterms:created>
  <dcterms:modified xsi:type="dcterms:W3CDTF">2021-03-20T09:16:00Z</dcterms:modified>
</cp:coreProperties>
</file>