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6C1EF" w14:textId="455417F1" w:rsidR="00672AE6" w:rsidRPr="00672AE6" w:rsidRDefault="00672AE6" w:rsidP="00672AE6">
      <w:pPr>
        <w:spacing w:before="120"/>
        <w:jc w:val="center"/>
        <w:rPr>
          <w:rFonts w:ascii="Times New Roman" w:hAnsi="Times New Roman" w:cs="Times New Roman"/>
          <w:b/>
          <w:bCs/>
        </w:rPr>
      </w:pPr>
      <w:r w:rsidRPr="00672AE6">
        <w:rPr>
          <w:rFonts w:ascii="Times New Roman" w:hAnsi="Times New Roman" w:cs="Times New Roman"/>
          <w:b/>
          <w:bCs/>
        </w:rPr>
        <w:t>KÜRESEL DEĞER Z</w:t>
      </w:r>
      <w:r>
        <w:rPr>
          <w:rFonts w:ascii="Times New Roman" w:hAnsi="Times New Roman" w:cs="Times New Roman"/>
          <w:b/>
          <w:bCs/>
        </w:rPr>
        <w:t>İ</w:t>
      </w:r>
      <w:r w:rsidRPr="00672AE6">
        <w:rPr>
          <w:rFonts w:ascii="Times New Roman" w:hAnsi="Times New Roman" w:cs="Times New Roman"/>
          <w:b/>
          <w:bCs/>
        </w:rPr>
        <w:t>NC</w:t>
      </w:r>
      <w:r>
        <w:rPr>
          <w:rFonts w:ascii="Times New Roman" w:hAnsi="Times New Roman" w:cs="Times New Roman"/>
          <w:b/>
          <w:bCs/>
        </w:rPr>
        <w:t>İ</w:t>
      </w:r>
      <w:r w:rsidRPr="00672AE6">
        <w:rPr>
          <w:rFonts w:ascii="Times New Roman" w:hAnsi="Times New Roman" w:cs="Times New Roman"/>
          <w:b/>
          <w:bCs/>
        </w:rPr>
        <w:t>R</w:t>
      </w:r>
      <w:r>
        <w:rPr>
          <w:rFonts w:ascii="Times New Roman" w:hAnsi="Times New Roman" w:cs="Times New Roman"/>
          <w:b/>
          <w:bCs/>
        </w:rPr>
        <w:t>İ</w:t>
      </w:r>
      <w:r w:rsidRPr="00672AE6">
        <w:rPr>
          <w:rFonts w:ascii="Times New Roman" w:hAnsi="Times New Roman" w:cs="Times New Roman"/>
          <w:b/>
          <w:bCs/>
        </w:rPr>
        <w:t>NE KATILIM SÜREC</w:t>
      </w:r>
      <w:r>
        <w:rPr>
          <w:rFonts w:ascii="Times New Roman" w:hAnsi="Times New Roman" w:cs="Times New Roman"/>
          <w:b/>
          <w:bCs/>
        </w:rPr>
        <w:t>İ</w:t>
      </w:r>
      <w:r w:rsidRPr="00672AE6">
        <w:rPr>
          <w:rFonts w:ascii="Times New Roman" w:hAnsi="Times New Roman" w:cs="Times New Roman"/>
          <w:b/>
          <w:bCs/>
        </w:rPr>
        <w:t>NDE YAŞANAN ARZ VE TALEP ŞOKLARININ TÜRK</w:t>
      </w:r>
      <w:r>
        <w:rPr>
          <w:rFonts w:ascii="Times New Roman" w:hAnsi="Times New Roman" w:cs="Times New Roman"/>
          <w:b/>
          <w:bCs/>
        </w:rPr>
        <w:t>İ</w:t>
      </w:r>
      <w:r w:rsidRPr="00672AE6">
        <w:rPr>
          <w:rFonts w:ascii="Times New Roman" w:hAnsi="Times New Roman" w:cs="Times New Roman"/>
          <w:b/>
          <w:bCs/>
        </w:rPr>
        <w:t>YE’N</w:t>
      </w:r>
      <w:r>
        <w:rPr>
          <w:rFonts w:ascii="Times New Roman" w:hAnsi="Times New Roman" w:cs="Times New Roman"/>
          <w:b/>
          <w:bCs/>
        </w:rPr>
        <w:t>İ</w:t>
      </w:r>
      <w:r w:rsidRPr="00672AE6">
        <w:rPr>
          <w:rFonts w:ascii="Times New Roman" w:hAnsi="Times New Roman" w:cs="Times New Roman"/>
          <w:b/>
          <w:bCs/>
        </w:rPr>
        <w:t>N DIŞ T</w:t>
      </w:r>
      <w:r>
        <w:rPr>
          <w:rFonts w:ascii="Times New Roman" w:hAnsi="Times New Roman" w:cs="Times New Roman"/>
          <w:b/>
          <w:bCs/>
        </w:rPr>
        <w:t>İ</w:t>
      </w:r>
      <w:r w:rsidRPr="00672AE6">
        <w:rPr>
          <w:rFonts w:ascii="Times New Roman" w:hAnsi="Times New Roman" w:cs="Times New Roman"/>
          <w:b/>
          <w:bCs/>
        </w:rPr>
        <w:t>CARET</w:t>
      </w:r>
      <w:r>
        <w:rPr>
          <w:rFonts w:ascii="Times New Roman" w:hAnsi="Times New Roman" w:cs="Times New Roman"/>
          <w:b/>
          <w:bCs/>
        </w:rPr>
        <w:t>İ</w:t>
      </w:r>
      <w:r w:rsidRPr="00672AE6">
        <w:rPr>
          <w:rFonts w:ascii="Times New Roman" w:hAnsi="Times New Roman" w:cs="Times New Roman"/>
          <w:b/>
          <w:bCs/>
        </w:rPr>
        <w:t>NE ETK</w:t>
      </w:r>
      <w:r>
        <w:rPr>
          <w:rFonts w:ascii="Times New Roman" w:hAnsi="Times New Roman" w:cs="Times New Roman"/>
          <w:b/>
          <w:bCs/>
        </w:rPr>
        <w:t>İ</w:t>
      </w:r>
      <w:r w:rsidRPr="00672AE6">
        <w:rPr>
          <w:rFonts w:ascii="Times New Roman" w:hAnsi="Times New Roman" w:cs="Times New Roman"/>
          <w:b/>
          <w:bCs/>
        </w:rPr>
        <w:t>S</w:t>
      </w:r>
      <w:r>
        <w:rPr>
          <w:rFonts w:ascii="Times New Roman" w:hAnsi="Times New Roman" w:cs="Times New Roman"/>
          <w:b/>
          <w:bCs/>
        </w:rPr>
        <w:t>İ</w:t>
      </w:r>
    </w:p>
    <w:p w14:paraId="57AFBC8D" w14:textId="77777777" w:rsidR="00A72324" w:rsidRDefault="00A72324" w:rsidP="00A72324">
      <w:pPr>
        <w:spacing w:before="120"/>
        <w:jc w:val="both"/>
        <w:rPr>
          <w:rFonts w:ascii="Times New Roman" w:hAnsi="Times New Roman" w:cs="Times New Roman"/>
        </w:rPr>
      </w:pPr>
    </w:p>
    <w:p w14:paraId="0BE1462B" w14:textId="77777777" w:rsidR="00A72324" w:rsidRDefault="00A72324" w:rsidP="00A72324">
      <w:pPr>
        <w:spacing w:before="120"/>
        <w:jc w:val="both"/>
        <w:rPr>
          <w:rFonts w:ascii="Times New Roman" w:hAnsi="Times New Roman" w:cs="Times New Roman"/>
          <w:sz w:val="22"/>
          <w:szCs w:val="22"/>
        </w:rPr>
      </w:pPr>
      <w:proofErr w:type="spellStart"/>
      <w:proofErr w:type="gramStart"/>
      <w:r>
        <w:rPr>
          <w:rFonts w:ascii="Times New Roman" w:hAnsi="Times New Roman" w:cs="Times New Roman"/>
          <w:sz w:val="22"/>
          <w:szCs w:val="22"/>
        </w:rPr>
        <w:t>Prof.Dr.Mine</w:t>
      </w:r>
      <w:proofErr w:type="spellEnd"/>
      <w:proofErr w:type="gramEnd"/>
      <w:r>
        <w:rPr>
          <w:rFonts w:ascii="Times New Roman" w:hAnsi="Times New Roman" w:cs="Times New Roman"/>
          <w:sz w:val="22"/>
          <w:szCs w:val="22"/>
        </w:rPr>
        <w:t xml:space="preserve"> Yılmazer</w:t>
      </w:r>
      <w:r>
        <w:rPr>
          <w:rStyle w:val="DipnotBavurusu"/>
          <w:rFonts w:ascii="Times New Roman" w:hAnsi="Times New Roman" w:cs="Times New Roman"/>
          <w:sz w:val="22"/>
          <w:szCs w:val="22"/>
        </w:rPr>
        <w:footnoteReference w:id="1"/>
      </w:r>
      <w:r>
        <w:rPr>
          <w:rFonts w:ascii="Times New Roman" w:hAnsi="Times New Roman" w:cs="Times New Roman"/>
          <w:sz w:val="22"/>
          <w:szCs w:val="22"/>
        </w:rPr>
        <w:tab/>
      </w:r>
      <w:r>
        <w:rPr>
          <w:rFonts w:ascii="Times New Roman" w:hAnsi="Times New Roman" w:cs="Times New Roman"/>
          <w:sz w:val="22"/>
          <w:szCs w:val="22"/>
        </w:rPr>
        <w:tab/>
      </w:r>
      <w:proofErr w:type="spellStart"/>
      <w:r>
        <w:rPr>
          <w:rFonts w:ascii="Times New Roman" w:hAnsi="Times New Roman" w:cs="Times New Roman"/>
          <w:sz w:val="22"/>
          <w:szCs w:val="22"/>
        </w:rPr>
        <w:t>Doç.Dr.Serkan</w:t>
      </w:r>
      <w:proofErr w:type="spellEnd"/>
      <w:r>
        <w:rPr>
          <w:rFonts w:ascii="Times New Roman" w:hAnsi="Times New Roman" w:cs="Times New Roman"/>
          <w:sz w:val="22"/>
          <w:szCs w:val="22"/>
        </w:rPr>
        <w:t xml:space="preserve"> Çınar</w:t>
      </w:r>
      <w:r>
        <w:rPr>
          <w:rStyle w:val="DipnotBavurusu"/>
          <w:rFonts w:ascii="Times New Roman" w:hAnsi="Times New Roman" w:cs="Times New Roman"/>
          <w:sz w:val="22"/>
          <w:szCs w:val="22"/>
        </w:rPr>
        <w:footnoteReference w:id="2"/>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Hatice Duva</w:t>
      </w:r>
      <w:r>
        <w:rPr>
          <w:rStyle w:val="DipnotBavurusu"/>
          <w:rFonts w:ascii="Times New Roman" w:hAnsi="Times New Roman" w:cs="Times New Roman"/>
          <w:sz w:val="22"/>
          <w:szCs w:val="22"/>
        </w:rPr>
        <w:footnoteReference w:id="3"/>
      </w:r>
      <w:r>
        <w:rPr>
          <w:rFonts w:ascii="Times New Roman" w:hAnsi="Times New Roman" w:cs="Times New Roman"/>
          <w:sz w:val="22"/>
          <w:szCs w:val="22"/>
        </w:rPr>
        <w:t xml:space="preserve"> </w:t>
      </w:r>
    </w:p>
    <w:p w14:paraId="5C4D8409" w14:textId="77777777" w:rsidR="00A72324" w:rsidRDefault="00A72324" w:rsidP="00A72324">
      <w:pPr>
        <w:spacing w:before="120"/>
        <w:jc w:val="both"/>
        <w:rPr>
          <w:rFonts w:ascii="Times New Roman" w:hAnsi="Times New Roman" w:cs="Times New Roman"/>
          <w:b/>
          <w:bCs/>
        </w:rPr>
      </w:pPr>
    </w:p>
    <w:p w14:paraId="24CF31C0" w14:textId="77777777" w:rsidR="00A72324" w:rsidRDefault="00A72324" w:rsidP="00A72324">
      <w:pPr>
        <w:spacing w:before="120"/>
        <w:rPr>
          <w:rFonts w:ascii="Times New Roman" w:hAnsi="Times New Roman" w:cs="Times New Roman"/>
          <w:b/>
          <w:bCs/>
        </w:rPr>
      </w:pPr>
      <w:r>
        <w:rPr>
          <w:rFonts w:ascii="Times New Roman" w:hAnsi="Times New Roman" w:cs="Times New Roman"/>
          <w:b/>
          <w:bCs/>
        </w:rPr>
        <w:t>ÖZET</w:t>
      </w:r>
    </w:p>
    <w:p w14:paraId="3BB45C7B"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Bu çalışmada, öncelikle Türkiye’nin küresel değer zinciri içindeki konumu değerlendirilmeye çalışılmıştır. Küresel değer zinciri, bir yandan ülkeler arasındaki ticaretin artmasına yol açarken diğer yandan karşılıklı bağımlılığı yükseltmektedir. Bağımlılık, arz ve talep yönlü şoklardan etkilenme olasılığını yükseltmektedir. Küresel değer zinciri içindeki bir ülkenin ileriye dönük katılımda talep şoku, geriye dönük katılımda arz şoku ile karşılaşma olasılığı söz konusudur. Bu çalışmada, Covid-19 salgınını da kapsayan dönemde meydana gelen arz ve talep şoklarının Türkiye’nin dış ticaretine etkisi incelenmiştir. Bu amaçla, Ocak 2014-Ocak 2021 dönemini kapsayan aylık veriler kullanılarak yapısal kırılmalı birim kök testi, </w:t>
      </w:r>
      <w:proofErr w:type="spellStart"/>
      <w:r>
        <w:rPr>
          <w:rFonts w:ascii="Times New Roman" w:hAnsi="Times New Roman" w:cs="Times New Roman"/>
        </w:rPr>
        <w:t>eşbütünleşme</w:t>
      </w:r>
      <w:proofErr w:type="spellEnd"/>
      <w:r>
        <w:rPr>
          <w:rFonts w:ascii="Times New Roman" w:hAnsi="Times New Roman" w:cs="Times New Roman"/>
        </w:rPr>
        <w:t xml:space="preserve"> analizi ve uzun dönem katsayılarına ulaşmak için ARDL Sınır Testi uygulanmıştır. Modelin analiz sonuçları, arz ve talep şoklarının ortak yıllarda oluştuğunu göstermiştir. Ayrıca elde edilen </w:t>
      </w:r>
      <w:proofErr w:type="gramStart"/>
      <w:r>
        <w:rPr>
          <w:rFonts w:ascii="Times New Roman" w:hAnsi="Times New Roman" w:cs="Times New Roman"/>
        </w:rPr>
        <w:t>bulgular</w:t>
      </w:r>
      <w:proofErr w:type="gramEnd"/>
      <w:r>
        <w:rPr>
          <w:rFonts w:ascii="Times New Roman" w:hAnsi="Times New Roman" w:cs="Times New Roman"/>
        </w:rPr>
        <w:t>, arz ve talep şoklarını yansıtan göstergelerin Türkiye’nin ihracatı üzerinde uzun dönemli etkiler yarattığını ortaya çıkarmıştır. Türkiye’nin küresel değer zincirine entegrasyonu, ihracatta dışa bağımlılığı ve ekonominin kırılganlığını artırmaktadır. Bu çalışmadan elde edilen sonuçların, ortaya çıkan şoklardan etkilenme durumunu ve kırılganlık noktalarını açıklama gücü olduğu düşünülmektedir.</w:t>
      </w:r>
    </w:p>
    <w:p w14:paraId="114CAA56" w14:textId="77777777" w:rsidR="00A72324" w:rsidRDefault="00A72324" w:rsidP="00A72324">
      <w:pPr>
        <w:spacing w:before="120"/>
        <w:jc w:val="both"/>
        <w:rPr>
          <w:rFonts w:ascii="Times New Roman" w:hAnsi="Times New Roman" w:cs="Times New Roman"/>
        </w:rPr>
      </w:pPr>
      <w:r>
        <w:rPr>
          <w:rFonts w:ascii="Times New Roman" w:hAnsi="Times New Roman" w:cs="Times New Roman"/>
          <w:b/>
          <w:bCs/>
        </w:rPr>
        <w:t>Anahtar Kelimeler</w:t>
      </w:r>
      <w:r>
        <w:rPr>
          <w:rFonts w:ascii="Times New Roman" w:hAnsi="Times New Roman" w:cs="Times New Roman"/>
        </w:rPr>
        <w:t xml:space="preserve">: Küresel değer zinciri, </w:t>
      </w:r>
      <w:proofErr w:type="spellStart"/>
      <w:r>
        <w:rPr>
          <w:rFonts w:ascii="Times New Roman" w:hAnsi="Times New Roman" w:cs="Times New Roman"/>
        </w:rPr>
        <w:t>Covid</w:t>
      </w:r>
      <w:proofErr w:type="spellEnd"/>
      <w:r>
        <w:rPr>
          <w:rFonts w:ascii="Times New Roman" w:hAnsi="Times New Roman" w:cs="Times New Roman"/>
        </w:rPr>
        <w:t xml:space="preserve"> 19, yapısal kırılmalı birim kök testi, ARDL sınır testi </w:t>
      </w:r>
    </w:p>
    <w:p w14:paraId="452F5BF1"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Giriş</w:t>
      </w:r>
    </w:p>
    <w:p w14:paraId="44E6F6F4"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Küreselleşmeyle değişen ticari anlayış ve artan rekabet ortamı, üretimin ve dış ticaretin yaygın olarak küresel değer zincirlerinin (KDZ) etrafında toplanmasına neden olmuştur. Küresel piyasalarda sermayenin serbest dolaşımı nedeniyle uluslararası firmalar, parçalara ayırdıkları üretimlerini ülke sınırları dışına çıkarmaya başlamıştır. Ülkelerin farklı uzmanlık alanlarına sahip olması, bilgi ve ulaşım teknolojilerindeki gelişmeler, uluslararası ticaretteki engellerin yaygın bir şekilde azaltılması ve ucuz işgücünden yararlanma isteği üretimin küresel ölçekte parçalanmasıyla sonuçlanmıştır </w:t>
      </w:r>
      <w:bookmarkStart w:id="0" w:name="_Hlk65956791"/>
      <w:r>
        <w:rPr>
          <w:rFonts w:ascii="Times New Roman" w:hAnsi="Times New Roman" w:cs="Times New Roman"/>
        </w:rPr>
        <w:t xml:space="preserve">(Eraslan vd., 2008: 1-4). </w:t>
      </w:r>
      <w:bookmarkEnd w:id="0"/>
      <w:r>
        <w:rPr>
          <w:rFonts w:ascii="Times New Roman" w:hAnsi="Times New Roman" w:cs="Times New Roman"/>
        </w:rPr>
        <w:t xml:space="preserve">KDZ, parçalara ayrılan üretimin her aşamasının farklı bir ülkede gerçekleşmesidir. Bu süreçte bir ürün hammaddeden nihai haline gelen kadar ülkeler arasında ara ve yatırım malı ticareti gerçekleştirilmekte, her ülkede yaratılan katma değer sonucunda tüketiciye ulaştırılmaktadır. Uluslararası firmaların KDZ içinde yer almalarının temel amacı, genel olarak sektördeki rekabetçilik düzeylerini ve kârlılıklarını artırma isteğidir. Bu yeni küresel düzende, ülkelerin uluslararası ticarete katılmalarının, bunun yanı sıra ulusal ticaretlerini ve ekonomik kalkınma düzeylerini arttırmalarının yolu </w:t>
      </w:r>
      <w:proofErr w:type="spellStart"/>
      <w:r>
        <w:rPr>
          <w:rFonts w:ascii="Times New Roman" w:hAnsi="Times New Roman" w:cs="Times New Roman"/>
        </w:rPr>
        <w:t>KDZ’ye</w:t>
      </w:r>
      <w:proofErr w:type="spellEnd"/>
      <w:r>
        <w:rPr>
          <w:rFonts w:ascii="Times New Roman" w:hAnsi="Times New Roman" w:cs="Times New Roman"/>
        </w:rPr>
        <w:t xml:space="preserve"> eklenmekten geçmektedir (</w:t>
      </w:r>
      <w:proofErr w:type="spellStart"/>
      <w:r>
        <w:rPr>
          <w:rFonts w:ascii="Times New Roman" w:hAnsi="Times New Roman" w:cs="Times New Roman"/>
        </w:rPr>
        <w:t>Küçükahmetoğlu</w:t>
      </w:r>
      <w:proofErr w:type="spellEnd"/>
      <w:r>
        <w:rPr>
          <w:rFonts w:ascii="Times New Roman" w:hAnsi="Times New Roman" w:cs="Times New Roman"/>
        </w:rPr>
        <w:t xml:space="preserve"> ve Balcı Varol, 2018: 1-3). Küreselleşmenin hız kazandığı 1990’lı yıllardan itibaren, birçok gelişmekte olan ülke gibi Türkiye de KDZ faaliyetleriyle uluslararası ticarete entegre olmuştur. Bu süreçte Türkiye’nin ihracat ve ithalat verileri içinde ara ve yatırım mallarının payı artmıştır. Sonuç olarak Türkiye, üretimini ve ihracatını büyük ölçüde dışa bağımlı olarak yapmaya başlamıştır. Aynı zamanda, farklı </w:t>
      </w:r>
      <w:r>
        <w:rPr>
          <w:rFonts w:ascii="Times New Roman" w:hAnsi="Times New Roman" w:cs="Times New Roman"/>
        </w:rPr>
        <w:lastRenderedPageBreak/>
        <w:t>ülkelerin ara ve yatırım malı tedarikçisi olduğu için bu ülkelerdeki makro ekonomik dalgalanmaların etkisi altında kalmaktadır.</w:t>
      </w:r>
    </w:p>
    <w:p w14:paraId="6B9CD6A4"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Bu çalışmanın amacı, Türkiye’nin öncelikle KDZ içindeki konumunu ortaya çıkarmak daha sonra küresel entegrasyonun ihracat üzerindeki etkisini analiz edebilmektir. Bu amaçla, </w:t>
      </w:r>
      <w:proofErr w:type="spellStart"/>
      <w:r>
        <w:rPr>
          <w:rFonts w:ascii="Times New Roman" w:hAnsi="Times New Roman" w:cs="Times New Roman"/>
        </w:rPr>
        <w:t>KDZ’nin</w:t>
      </w:r>
      <w:proofErr w:type="spellEnd"/>
      <w:r>
        <w:rPr>
          <w:rFonts w:ascii="Times New Roman" w:hAnsi="Times New Roman" w:cs="Times New Roman"/>
        </w:rPr>
        <w:t xml:space="preserve"> tanımı, bileşenleri ve yapısı üzerinde durulmuş, KDZ sürecinde yer alan Türkiye’nin dış ticaret yapısı incelenmiştir. Daha sonra </w:t>
      </w:r>
      <w:proofErr w:type="spellStart"/>
      <w:r>
        <w:rPr>
          <w:rFonts w:ascii="Times New Roman" w:hAnsi="Times New Roman" w:cs="Times New Roman"/>
        </w:rPr>
        <w:t>Covid</w:t>
      </w:r>
      <w:proofErr w:type="spellEnd"/>
      <w:r>
        <w:rPr>
          <w:rFonts w:ascii="Times New Roman" w:hAnsi="Times New Roman" w:cs="Times New Roman"/>
        </w:rPr>
        <w:t xml:space="preserve"> 19 salgınını da içeren bir dönemde, Türkiye ihracat değerinin küresel piyasalarda ortaya çıkan arz ve talep şoklarından etkilenme olasılığı yapısal kırılmalı birim kök testi, </w:t>
      </w:r>
      <w:proofErr w:type="spellStart"/>
      <w:r>
        <w:rPr>
          <w:rFonts w:ascii="Times New Roman" w:hAnsi="Times New Roman" w:cs="Times New Roman"/>
        </w:rPr>
        <w:t>eşbütünleşme</w:t>
      </w:r>
      <w:proofErr w:type="spellEnd"/>
      <w:r>
        <w:rPr>
          <w:rFonts w:ascii="Times New Roman" w:hAnsi="Times New Roman" w:cs="Times New Roman"/>
        </w:rPr>
        <w:t xml:space="preserve"> testi ve ARDL Sınır Testi yardımıyla analiz edilmiştir.</w:t>
      </w:r>
    </w:p>
    <w:p w14:paraId="7AE32FE9"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Küresel Değer Zinciri ve Uluslararası Ticaret</w:t>
      </w:r>
    </w:p>
    <w:p w14:paraId="78B1F1DB"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Uluslararası ticari faaliyetlerde yaşanmakta olan dönüşümün en temel kaynaklarından biri olan küresel ekonomik yapı ve beraberinde getirdiği yenilikler, üretim sürecinde köklü değişimlere yol açmıştır. Küresel düzende ürün ve hizmet biçimleri değişirken, küreselleşmeye ayak uydurmak zorunda kalan ve dış ticaret pazarında yer almak isteyen firmalar iş yapma biçimlerini, üretim şekillerini ve teknoloji düzeylerini bu değişime göre şekillendirmeye çalışmaktadırlar. Firmalar, ürün ve hizmetlerini rekabet edebilir bir şekilde pazarlayabilmeyi amaçlamaktadır. Bu amaçla </w:t>
      </w:r>
      <w:proofErr w:type="spellStart"/>
      <w:r>
        <w:rPr>
          <w:rFonts w:ascii="Times New Roman" w:hAnsi="Times New Roman" w:cs="Times New Roman"/>
        </w:rPr>
        <w:t>KDZ’ye</w:t>
      </w:r>
      <w:proofErr w:type="spellEnd"/>
      <w:r>
        <w:rPr>
          <w:rFonts w:ascii="Times New Roman" w:hAnsi="Times New Roman" w:cs="Times New Roman"/>
        </w:rPr>
        <w:t xml:space="preserve"> katılmak isteyen şirketler diğer ulusal ve uluslararası şirketlerle iş birliğine giderek daha kaliteli ürün elde etmek bunun yanı sıra daha hızlı ve daha ucuz üretim gerçekleştirebilmek amacıyla değer zincirlerine katılım sağlamaktadır. Üretimin aşamalara bölünmesi, ülkelerin uzmanlıkları doğrultusunda her bir aşamayı iş bölümüne dayalı olarak gerçekleştirmeye başlaması ve söz konusu mal ve hizmetlerin pazarlanması süreçlerinin tamamı KDZ olarak ifade edilmektedir (</w:t>
      </w:r>
      <w:proofErr w:type="spellStart"/>
      <w:r>
        <w:rPr>
          <w:rFonts w:ascii="Times New Roman" w:hAnsi="Times New Roman" w:cs="Times New Roman"/>
        </w:rPr>
        <w:t>Backer</w:t>
      </w:r>
      <w:proofErr w:type="spellEnd"/>
      <w:r>
        <w:rPr>
          <w:rFonts w:ascii="Times New Roman" w:hAnsi="Times New Roman" w:cs="Times New Roman"/>
        </w:rPr>
        <w:t xml:space="preserve"> ve </w:t>
      </w:r>
      <w:proofErr w:type="spellStart"/>
      <w:r>
        <w:rPr>
          <w:rFonts w:ascii="Times New Roman" w:hAnsi="Times New Roman" w:cs="Times New Roman"/>
        </w:rPr>
        <w:t>Miroudot</w:t>
      </w:r>
      <w:proofErr w:type="spellEnd"/>
      <w:r>
        <w:rPr>
          <w:rFonts w:ascii="Times New Roman" w:hAnsi="Times New Roman" w:cs="Times New Roman"/>
        </w:rPr>
        <w:t>, 2013: 7).</w:t>
      </w:r>
    </w:p>
    <w:p w14:paraId="5D985445" w14:textId="77777777" w:rsidR="00A72324" w:rsidRDefault="00A72324" w:rsidP="00A72324">
      <w:pPr>
        <w:spacing w:before="120"/>
        <w:jc w:val="both"/>
        <w:rPr>
          <w:rFonts w:ascii="Times New Roman" w:hAnsi="Times New Roman" w:cs="Times New Roman"/>
        </w:rPr>
      </w:pPr>
      <w:proofErr w:type="spellStart"/>
      <w:r>
        <w:rPr>
          <w:rFonts w:ascii="Times New Roman" w:hAnsi="Times New Roman" w:cs="Times New Roman"/>
        </w:rPr>
        <w:t>KDZ’ye</w:t>
      </w:r>
      <w:proofErr w:type="spellEnd"/>
      <w:r>
        <w:rPr>
          <w:rFonts w:ascii="Times New Roman" w:hAnsi="Times New Roman" w:cs="Times New Roman"/>
        </w:rPr>
        <w:t xml:space="preserve"> en büyük katkıyı sağlayanlar, gelişmiş ülkelerin uluslararası ölçekte faaliyette bulunan firmalarıdır. Söz konusu firmalar, üretimin farklı aşamalarını maliyet avantajı ya da pazara yakınlık gibi etkenlerle gelişmekte olan ülkelerde gerçekleştirmeyi tercih edebilmektedir. Bu süreçte, ülkeler arasındaki serbest ticaret anlaşmaları ve gümrük engellerinin azaltılması üretimin ülke sınırları dışına taşınmasında büyük rol oynamaktadır. Gelişmekte olan ülkeler için </w:t>
      </w:r>
      <w:proofErr w:type="spellStart"/>
      <w:r>
        <w:rPr>
          <w:rFonts w:ascii="Times New Roman" w:hAnsi="Times New Roman" w:cs="Times New Roman"/>
        </w:rPr>
        <w:t>KDZ’ye</w:t>
      </w:r>
      <w:proofErr w:type="spellEnd"/>
      <w:r>
        <w:rPr>
          <w:rFonts w:ascii="Times New Roman" w:hAnsi="Times New Roman" w:cs="Times New Roman"/>
        </w:rPr>
        <w:t xml:space="preserve"> katılmak, gelişmiş ülkelerin ürün standartlarına ve üretim teknolojisine uygun bir performans göstermek anlamına gelmektedir. Sonuçta, gelişmekte olan ülkelerin sanayileşme sürecini hızlandıran, verimliliği ve yaşam standardını yükselten bir üretim ve ticaret sistemi oluşmuştur. </w:t>
      </w:r>
      <w:proofErr w:type="spellStart"/>
      <w:r>
        <w:rPr>
          <w:rFonts w:ascii="Times New Roman" w:hAnsi="Times New Roman" w:cs="Times New Roman"/>
        </w:rPr>
        <w:t>KDZ’nin</w:t>
      </w:r>
      <w:proofErr w:type="spellEnd"/>
      <w:r>
        <w:rPr>
          <w:rFonts w:ascii="Times New Roman" w:hAnsi="Times New Roman" w:cs="Times New Roman"/>
        </w:rPr>
        <w:t xml:space="preserve"> yaygınlaşması, bir yandan gelişmiş ülke menşeli firmaların kârlılığını artırmakta diğer yandan gelişmekte olan ülkelerde üretim, istihdam ve ihracatı yükselterek yoksulluğun önlenmesi, teknolojinin geliştirilmesi şansı yaratmaktadır. </w:t>
      </w:r>
    </w:p>
    <w:p w14:paraId="37E5C2B1" w14:textId="77777777" w:rsidR="00A72324" w:rsidRDefault="00A72324" w:rsidP="00A72324">
      <w:pPr>
        <w:spacing w:before="120"/>
        <w:jc w:val="both"/>
        <w:rPr>
          <w:rFonts w:ascii="Times New Roman" w:hAnsi="Times New Roman" w:cs="Times New Roman"/>
          <w:b/>
          <w:bCs/>
          <w:sz w:val="22"/>
          <w:szCs w:val="22"/>
        </w:rPr>
      </w:pPr>
      <w:r>
        <w:rPr>
          <w:rFonts w:ascii="Times New Roman" w:hAnsi="Times New Roman" w:cs="Times New Roman"/>
          <w:b/>
          <w:bCs/>
          <w:sz w:val="22"/>
          <w:szCs w:val="22"/>
        </w:rPr>
        <w:t>Şekil 1. Küresel Değer Zincirinde İhracatın Yapısı</w:t>
      </w:r>
    </w:p>
    <w:p w14:paraId="046AE229" w14:textId="6E2A0E15" w:rsidR="00A72324" w:rsidRDefault="00A72324" w:rsidP="00A72324">
      <w:pPr>
        <w:jc w:val="both"/>
        <w:rPr>
          <w:rFonts w:ascii="Times New Roman" w:hAnsi="Times New Roman" w:cs="Times New Roman"/>
        </w:rPr>
      </w:pPr>
      <w:r>
        <w:rPr>
          <w:rFonts w:ascii="Times New Roman" w:hAnsi="Times New Roman" w:cs="Times New Roman"/>
          <w:noProof/>
        </w:rPr>
        <w:drawing>
          <wp:inline distT="0" distB="0" distL="0" distR="0" wp14:anchorId="4B38848E" wp14:editId="43BABE79">
            <wp:extent cx="5768340" cy="2186940"/>
            <wp:effectExtent l="12700" t="0" r="22860" b="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372FAEA"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w:t>
      </w:r>
      <w:proofErr w:type="spellStart"/>
      <w:r>
        <w:rPr>
          <w:rFonts w:ascii="Times New Roman" w:hAnsi="Times New Roman" w:cs="Times New Roman"/>
          <w:sz w:val="22"/>
          <w:szCs w:val="22"/>
        </w:rPr>
        <w:t>Trading</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for</w:t>
      </w:r>
      <w:proofErr w:type="spellEnd"/>
      <w:r>
        <w:rPr>
          <w:rFonts w:ascii="Times New Roman" w:hAnsi="Times New Roman" w:cs="Times New Roman"/>
          <w:sz w:val="22"/>
          <w:szCs w:val="22"/>
        </w:rPr>
        <w:t xml:space="preserve"> Development in </w:t>
      </w:r>
      <w:proofErr w:type="spellStart"/>
      <w:r>
        <w:rPr>
          <w:rFonts w:ascii="Times New Roman" w:hAnsi="Times New Roman" w:cs="Times New Roman"/>
          <w:sz w:val="22"/>
          <w:szCs w:val="22"/>
        </w:rPr>
        <w:t>the</w:t>
      </w:r>
      <w:proofErr w:type="spellEnd"/>
      <w:r>
        <w:rPr>
          <w:rFonts w:ascii="Times New Roman" w:hAnsi="Times New Roman" w:cs="Times New Roman"/>
          <w:sz w:val="22"/>
          <w:szCs w:val="22"/>
        </w:rPr>
        <w:t xml:space="preserve"> Age of Global Value </w:t>
      </w:r>
      <w:proofErr w:type="spellStart"/>
      <w:r>
        <w:rPr>
          <w:rFonts w:ascii="Times New Roman" w:hAnsi="Times New Roman" w:cs="Times New Roman"/>
          <w:sz w:val="22"/>
          <w:szCs w:val="22"/>
        </w:rPr>
        <w:t>Chain</w:t>
      </w:r>
      <w:proofErr w:type="spellEnd"/>
      <w:r>
        <w:rPr>
          <w:rFonts w:ascii="Times New Roman" w:hAnsi="Times New Roman" w:cs="Times New Roman"/>
          <w:sz w:val="22"/>
          <w:szCs w:val="22"/>
        </w:rPr>
        <w:t>, World Bank Report, s.1.</w:t>
      </w:r>
    </w:p>
    <w:p w14:paraId="3D10A971"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lastRenderedPageBreak/>
        <w:t xml:space="preserve">Üretimin parçalara ayrılarak birden fazla ülkede gerçekleştirilmesi, ülkeler arasındaki ara ve yatırım malı ihracatını artırmaktadır. KDZ sürecinde, bir nihai ürünün tüketicisinin bulunduğu ülkeye ulaştırılmasından önce en az iki ülke arasında ara ve yatırım malı ile hizmet girdilerinin ticareti söz konusudur (Şekil 1). Çoğu ülke, ihraç ettiği ürünlerde yabancı girdilere bağımlılığı artırmıştır. Bununla birlikte, sistemden beklenen gelişmekte olan ülkelerin bu ilave ithalatı ihraç ettiği ürünlerin katma değerini ve ürün fiyatını yükseltecek, </w:t>
      </w:r>
      <w:proofErr w:type="gramStart"/>
      <w:r>
        <w:rPr>
          <w:rFonts w:ascii="Times New Roman" w:hAnsi="Times New Roman" w:cs="Times New Roman"/>
        </w:rPr>
        <w:t>beşeri</w:t>
      </w:r>
      <w:proofErr w:type="gramEnd"/>
      <w:r>
        <w:rPr>
          <w:rFonts w:ascii="Times New Roman" w:hAnsi="Times New Roman" w:cs="Times New Roman"/>
        </w:rPr>
        <w:t xml:space="preserve"> sermaye becerisini artıracak şekilde kullanması ve uzun vadede ülkenin kalkınmasına katkı sağlanmasıdır. Türkiye, Çin, Polonya, Tayvan ve Vietnam gibi ülkeler nispeten ihracatta yerel katma değerin payını yükseltebilen ülkelerdir (</w:t>
      </w:r>
      <w:proofErr w:type="spellStart"/>
      <w:r>
        <w:rPr>
          <w:rFonts w:ascii="Times New Roman" w:hAnsi="Times New Roman" w:cs="Times New Roman"/>
        </w:rPr>
        <w:t>Taglioni</w:t>
      </w:r>
      <w:proofErr w:type="spellEnd"/>
      <w:r>
        <w:rPr>
          <w:rFonts w:ascii="Times New Roman" w:hAnsi="Times New Roman" w:cs="Times New Roman"/>
        </w:rPr>
        <w:t xml:space="preserve"> ve </w:t>
      </w:r>
      <w:proofErr w:type="spellStart"/>
      <w:r>
        <w:rPr>
          <w:rFonts w:ascii="Times New Roman" w:hAnsi="Times New Roman" w:cs="Times New Roman"/>
        </w:rPr>
        <w:t>Winkler</w:t>
      </w:r>
      <w:proofErr w:type="spellEnd"/>
      <w:r>
        <w:rPr>
          <w:rFonts w:ascii="Times New Roman" w:hAnsi="Times New Roman" w:cs="Times New Roman"/>
        </w:rPr>
        <w:t>, 2016: 17).</w:t>
      </w:r>
    </w:p>
    <w:p w14:paraId="43412400"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KDZ içinde faaliyette bulunan firmalar ürünün tamamını üretmemekte, belirli bir alanda uzmanlaşarak iş bölümüne gitmektedirler. Küresel sistemin bir parçası olmak isteyen firmalar yeni pazarlara ulaşabilmek, maliyet avantajı elde edebilmek ve kârlılıklarını arttırabilmek için </w:t>
      </w:r>
      <w:proofErr w:type="spellStart"/>
      <w:r>
        <w:rPr>
          <w:rFonts w:ascii="Times New Roman" w:hAnsi="Times New Roman" w:cs="Times New Roman"/>
        </w:rPr>
        <w:t>KDZ’ye</w:t>
      </w:r>
      <w:proofErr w:type="spellEnd"/>
      <w:r>
        <w:rPr>
          <w:rFonts w:ascii="Times New Roman" w:hAnsi="Times New Roman" w:cs="Times New Roman"/>
        </w:rPr>
        <w:t xml:space="preserve"> katılmayı tercih etmektedirler. Bu sayede uluslararası ölçekte bir tüketici portföyü oluşturabilmekte ve daha rekabetçi konuma gelmektedirler. Firmaların üretim maliyetlerini düşürme çabaları dünya kaynaklarının etkin kullanımına yol açabilmektedir. </w:t>
      </w:r>
      <w:proofErr w:type="spellStart"/>
      <w:r>
        <w:rPr>
          <w:rFonts w:ascii="Times New Roman" w:hAnsi="Times New Roman" w:cs="Times New Roman"/>
        </w:rPr>
        <w:t>KDZ’nin</w:t>
      </w:r>
      <w:proofErr w:type="spellEnd"/>
      <w:r>
        <w:rPr>
          <w:rFonts w:ascii="Times New Roman" w:hAnsi="Times New Roman" w:cs="Times New Roman"/>
        </w:rPr>
        <w:t>, devlet politikalarında da etkili olduğu söylenebilir. Yabancı yatırımları özendirmek ve serbest ticaret aracılığı ile sanayileşmeyi sağlamak isteyen ülkeler uluslararası firmalara ithalat ve ihracat işlemlerinde gümrük muafiyeti, katma değer vergi muafiyeti, hammadde ithalatında vergi muafiyeti ve ihracat gelirlerinin imtiyazlı kullanılması gibi teşvikler uygulamayı tercih edebilmektedir. Tüm bu uygulamalar sayesinde ülkeler, küreselleşmeye entegre olarak karşılıklı sosyal ve siyasi ilişkileri geliştirebilmektedir (</w:t>
      </w:r>
      <w:proofErr w:type="spellStart"/>
      <w:r>
        <w:rPr>
          <w:rFonts w:ascii="Times New Roman" w:hAnsi="Times New Roman" w:cs="Times New Roman"/>
        </w:rPr>
        <w:t>Erkök</w:t>
      </w:r>
      <w:proofErr w:type="spellEnd"/>
      <w:r>
        <w:rPr>
          <w:rFonts w:ascii="Times New Roman" w:hAnsi="Times New Roman" w:cs="Times New Roman"/>
        </w:rPr>
        <w:t xml:space="preserve">, 2019: 5). </w:t>
      </w:r>
    </w:p>
    <w:p w14:paraId="350EE692"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KDZ, ülkelere bazı olumlu etkiler sağlamanın yanında olumsuz sonuçlara da yol açabilmektedir. </w:t>
      </w:r>
      <w:proofErr w:type="spellStart"/>
      <w:r>
        <w:rPr>
          <w:rFonts w:ascii="Times New Roman" w:hAnsi="Times New Roman" w:cs="Times New Roman"/>
        </w:rPr>
        <w:t>KDZ’de</w:t>
      </w:r>
      <w:proofErr w:type="spellEnd"/>
      <w:r>
        <w:rPr>
          <w:rFonts w:ascii="Times New Roman" w:hAnsi="Times New Roman" w:cs="Times New Roman"/>
        </w:rPr>
        <w:t xml:space="preserve"> yer almanın olumsuz etkilerinden biri, ülkeler arasındaki bağımlılığı artırmasıdır. Ülkeler iş ve yatırımları çekmek için birbirleri ile rekabet ederken, diğer ülkelerin talep durumuna, sermaye ve üretim seviyesine giderek daha bağımlı hale gelmektedir (Alkın, 2020: 2-3). Bu süreçte ülkeler makro ölçekte küresel, bölgesel ve ulusal iletişimi sağlamak zorunda kalmaktadır. Diğer taraftan ülkelerin mikro ölçekte, sektör ve firma düzeyinde iş birliği yaparak hareket etmeleri gerekmektedir. Yapılan iş birlikleri sayesinde firmalar entegre hale gelmekte ve böylece ulaşım, iletişim ve teknoloji alanındaki gelişmelerle birbirlerine katkı sağlamaktadırlar (</w:t>
      </w:r>
      <w:proofErr w:type="spellStart"/>
      <w:r>
        <w:rPr>
          <w:rFonts w:ascii="Times New Roman" w:hAnsi="Times New Roman" w:cs="Times New Roman"/>
        </w:rPr>
        <w:t>Jones</w:t>
      </w:r>
      <w:proofErr w:type="spellEnd"/>
      <w:r>
        <w:rPr>
          <w:rFonts w:ascii="Times New Roman" w:hAnsi="Times New Roman" w:cs="Times New Roman"/>
        </w:rPr>
        <w:t xml:space="preserve"> vd., 2019: 3). Dünya ticaret sistemindeki bu değişim, ülkelerin küresel ihracattaki paylarını arttırmakta ve dolayısıyla firmalar arasında rekabetçi bir ortam yaratmaktadır (Alkın, 2018: 3). Rekabet sürecinde, bilgi ve teknoloji üretemeyen ülkelerde dışa bağımlılık yaşanmaktadır. Ülkeler arasında artan bağımlılık, çoğu zaman ithalat hacminin yükselmesine ve dış ticaret açıklarına neden olabilir. Bununla birlikte, KDZ içinde yer alan herhangi bir ülkenin yaşadığı kriz ya da tedarik sıkıntısı diğer ülkeleri yakından etkilemektedir. </w:t>
      </w:r>
    </w:p>
    <w:p w14:paraId="17B04F53"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Küresel Değer Zincirinin Bileşenleri ve Yapısı</w:t>
      </w:r>
    </w:p>
    <w:p w14:paraId="61DFE649" w14:textId="77777777" w:rsidR="00A72324" w:rsidRDefault="00A72324" w:rsidP="00A72324">
      <w:pPr>
        <w:pStyle w:val="Default"/>
        <w:spacing w:before="120"/>
        <w:jc w:val="both"/>
        <w:rPr>
          <w:color w:val="auto"/>
        </w:rPr>
      </w:pPr>
      <w:r>
        <w:rPr>
          <w:color w:val="auto"/>
        </w:rPr>
        <w:t xml:space="preserve">Son 30 yılda küresel ticaretin serbestleşmesi uluslararası firmaları güçlendirmiş, KDZ ile küresel endüstriler ortaya çıkmıştır. </w:t>
      </w:r>
      <w:proofErr w:type="spellStart"/>
      <w:r>
        <w:rPr>
          <w:color w:val="auto"/>
        </w:rPr>
        <w:t>KDZ’de</w:t>
      </w:r>
      <w:proofErr w:type="spellEnd"/>
      <w:r>
        <w:rPr>
          <w:color w:val="auto"/>
        </w:rPr>
        <w:t xml:space="preserve"> lider konumunda olan uluslararası firmalar yatırım ve tedarik faaliyetlerini hammadde sunan, düşük ücretli işçi kapasitesine sahip, hızlı büyüme ve sanayileşme potansiyeli olan ve aynı zamanda iç pazar kapasitesi bulunan gelişmekte olan ülkelere yönlendirmiştir (Dağıstan, 2017: 3-4). Ülkeler, </w:t>
      </w:r>
      <w:proofErr w:type="spellStart"/>
      <w:r>
        <w:rPr>
          <w:color w:val="auto"/>
        </w:rPr>
        <w:t>KDZ’ye</w:t>
      </w:r>
      <w:proofErr w:type="spellEnd"/>
      <w:r>
        <w:rPr>
          <w:color w:val="auto"/>
        </w:rPr>
        <w:t xml:space="preserve"> iki farklı şekilde katılmaktadır. Birincisinde, ihraç edilen ara ve nihai ürünleri üretmek için yabancı girdi kullanımını gösteren geriye dönük entegrasyon söz konusudur. Geriye dönük entegrasyonda, ihracat gerçekleştiren yerli firmalar maliyeti düşürmek için ithal girdi kullanımında en rekabetçi firmayla anlaşmaya çalışmaktadır. Bu şekilde yapılan ticaret, bilgi ve teknolojinin dolaylı olarak tedarikçiler kanalıyla ya da doğrudan yatırımlarla yayılmasını sağlamaktadır. İkincisi yani ileriye dönük entegrasyon, farklı bir ülkenin ihracatında yerli ara girdilerin kullanılmasıdır. İleriye dönük entegrasyon, yerli ürünlerin </w:t>
      </w:r>
      <w:proofErr w:type="gramStart"/>
      <w:r>
        <w:rPr>
          <w:color w:val="auto"/>
        </w:rPr>
        <w:t>beşeri</w:t>
      </w:r>
      <w:proofErr w:type="gramEnd"/>
      <w:r>
        <w:rPr>
          <w:color w:val="auto"/>
        </w:rPr>
        <w:t xml:space="preserve"> sermaye, teknoloji, verimlilik ve fiyat avantajı ile uluslararası standartlarda üretimi sağladığını göstermektedir (</w:t>
      </w:r>
      <w:proofErr w:type="spellStart"/>
      <w:r>
        <w:rPr>
          <w:color w:val="auto"/>
        </w:rPr>
        <w:t>Ziemann</w:t>
      </w:r>
      <w:proofErr w:type="spellEnd"/>
      <w:r>
        <w:rPr>
          <w:color w:val="auto"/>
        </w:rPr>
        <w:t xml:space="preserve"> ve </w:t>
      </w:r>
      <w:proofErr w:type="spellStart"/>
      <w:r>
        <w:rPr>
          <w:color w:val="auto"/>
        </w:rPr>
        <w:t>Guérard</w:t>
      </w:r>
      <w:proofErr w:type="spellEnd"/>
      <w:r>
        <w:rPr>
          <w:color w:val="auto"/>
        </w:rPr>
        <w:t xml:space="preserve">, 2016: 6). </w:t>
      </w:r>
      <w:r>
        <w:rPr>
          <w:color w:val="auto"/>
        </w:rPr>
        <w:lastRenderedPageBreak/>
        <w:t>Günümüzde üretim büyük ölçüde küresel endüstriye entegre firmalar tarafından yapılmakta, ticarete konu olan nihai ürünler birden fazla ülkeden temin edilen ara ve yatırım malları ile gerçekleştirilmektedir. Bu ortamda, bir yandan üretim maliyetlerini düşürerek kârlılığını ve rekabetçiliğini artırmaya diğer taraftan yeni pazarlara katılmaya ve müşteri portföyünü geliştirmeye çalışan firmalar dikey uzmanlaşmaya dayalı iş bölümünü tercih etmeye başlamıştır (</w:t>
      </w:r>
      <w:proofErr w:type="spellStart"/>
      <w:r>
        <w:rPr>
          <w:color w:val="auto"/>
        </w:rPr>
        <w:t>Küçükahmetoğlu</w:t>
      </w:r>
      <w:proofErr w:type="spellEnd"/>
      <w:r>
        <w:rPr>
          <w:color w:val="auto"/>
        </w:rPr>
        <w:t xml:space="preserve"> ve Balcı Varol, 2018: 2-5). Dikey uzmanlaşmada ülkeler sahip oldukları faktör donanımına ve elde edilen verimliliğe göre üretim yapmakta, ithal edilen ara malları ihraç ürününe dönüştürülmektedir. </w:t>
      </w:r>
    </w:p>
    <w:p w14:paraId="65927521" w14:textId="77777777" w:rsidR="00A72324" w:rsidRDefault="00A72324" w:rsidP="00A72324">
      <w:pPr>
        <w:pStyle w:val="Default"/>
        <w:spacing w:before="120"/>
        <w:jc w:val="both"/>
        <w:rPr>
          <w:color w:val="auto"/>
        </w:rPr>
      </w:pPr>
      <w:r>
        <w:rPr>
          <w:color w:val="auto"/>
        </w:rPr>
        <w:t>KDZ kavramı yeni olmamakla birlikte, nicel değerlendirmeleri son derece yenidir. Uluslararası standarttaki sayısal veriler, OECD’nin öncülüğünde ülkeler arasındaki girdi-çıktı tablolarının geliştirilmesi ile mümkün olmuştur. OECD-DTÖ Katma Değer Ticareti (TIVA) veri tabanı, ülkelerin brüt ihracatında yer alan katma değer kaynağının belirlenmesine olanak tanımaktadır (</w:t>
      </w:r>
      <w:proofErr w:type="spellStart"/>
      <w:r>
        <w:rPr>
          <w:color w:val="auto"/>
        </w:rPr>
        <w:t>Ziemann</w:t>
      </w:r>
      <w:proofErr w:type="spellEnd"/>
      <w:r>
        <w:rPr>
          <w:color w:val="auto"/>
        </w:rPr>
        <w:t xml:space="preserve"> ve </w:t>
      </w:r>
      <w:proofErr w:type="spellStart"/>
      <w:r>
        <w:rPr>
          <w:color w:val="auto"/>
        </w:rPr>
        <w:t>Guérard</w:t>
      </w:r>
      <w:proofErr w:type="spellEnd"/>
      <w:r>
        <w:rPr>
          <w:color w:val="auto"/>
        </w:rPr>
        <w:t>, 2016: 6). OECD girdi-çıktı tablolarının güncellenmesi belirli bir zaman gerektirdiği için 2020 yılı itibariyle 2005-2015 dönemine ait veri setine ulaşılabilmektedir.</w:t>
      </w:r>
    </w:p>
    <w:p w14:paraId="3EA4616F" w14:textId="77777777" w:rsidR="00A72324" w:rsidRDefault="00A72324" w:rsidP="00A72324">
      <w:pPr>
        <w:spacing w:before="120"/>
        <w:jc w:val="both"/>
        <w:rPr>
          <w:rFonts w:ascii="Times New Roman" w:hAnsi="Times New Roman" w:cs="Times New Roman"/>
          <w:b/>
          <w:bCs/>
          <w:sz w:val="22"/>
          <w:szCs w:val="22"/>
        </w:rPr>
      </w:pPr>
      <w:r>
        <w:rPr>
          <w:rFonts w:ascii="Times New Roman" w:hAnsi="Times New Roman" w:cs="Times New Roman"/>
          <w:b/>
          <w:bCs/>
          <w:sz w:val="22"/>
          <w:szCs w:val="22"/>
        </w:rPr>
        <w:t>Şekil 2. Seçilmiş Ülkelerde İleriye ve Geriye Dönük Küresel Değer Zinciri, 2005-2015</w:t>
      </w:r>
    </w:p>
    <w:p w14:paraId="433AAF1F" w14:textId="18184048" w:rsidR="00A72324" w:rsidRDefault="00A72324" w:rsidP="00A72324">
      <w:pPr>
        <w:jc w:val="both"/>
        <w:rPr>
          <w:rFonts w:ascii="Times New Roman" w:hAnsi="Times New Roman" w:cs="Times New Roman"/>
          <w:highlight w:val="yellow"/>
        </w:rPr>
      </w:pPr>
      <w:r>
        <w:rPr>
          <w:rFonts w:ascii="Times New Roman" w:hAnsi="Times New Roman" w:cs="Times New Roman"/>
          <w:noProof/>
        </w:rPr>
        <w:drawing>
          <wp:inline distT="0" distB="0" distL="0" distR="0" wp14:anchorId="52422250" wp14:editId="0F7BB696">
            <wp:extent cx="2887980" cy="1958340"/>
            <wp:effectExtent l="0" t="0" r="7620" b="3810"/>
            <wp:docPr id="21" name="Grafik 21">
              <a:extLst xmlns:a="http://schemas.openxmlformats.org/drawingml/2006/main">
                <a:ext uri="{FF2B5EF4-FFF2-40B4-BE49-F238E27FC236}">
                  <a16:creationId xmlns:a16="http://schemas.microsoft.com/office/drawing/2014/main" id="{7A427450-18EB-984B-9E10-5D01A2AF87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noProof/>
        </w:rPr>
        <w:t xml:space="preserve"> </w:t>
      </w:r>
      <w:r>
        <w:rPr>
          <w:rFonts w:ascii="Times New Roman" w:hAnsi="Times New Roman" w:cs="Times New Roman"/>
          <w:noProof/>
        </w:rPr>
        <w:drawing>
          <wp:inline distT="0" distB="0" distL="0" distR="0" wp14:anchorId="4E2B3206" wp14:editId="6F4AC615">
            <wp:extent cx="2819400" cy="1958340"/>
            <wp:effectExtent l="0" t="0" r="0" b="3810"/>
            <wp:docPr id="20" name="Grafik 20">
              <a:extLst xmlns:a="http://schemas.openxmlformats.org/drawingml/2006/main">
                <a:ext uri="{FF2B5EF4-FFF2-40B4-BE49-F238E27FC236}">
                  <a16:creationId xmlns:a16="http://schemas.microsoft.com/office/drawing/2014/main" id="{0875D50C-7CCA-BF4B-B134-FA886DF6AD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D5D2343"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OECD, </w:t>
      </w:r>
      <w:hyperlink r:id="rId14" w:history="1">
        <w:r>
          <w:rPr>
            <w:rStyle w:val="Kpr"/>
            <w:rFonts w:ascii="Times New Roman" w:hAnsi="Times New Roman" w:cs="Times New Roman"/>
            <w:sz w:val="22"/>
            <w:szCs w:val="22"/>
          </w:rPr>
          <w:t>https://stats.oecd.org/Index.aspx?datasetcode=TIVA_2018_C1</w:t>
        </w:r>
      </w:hyperlink>
      <w:r>
        <w:rPr>
          <w:rFonts w:ascii="Times New Roman" w:hAnsi="Times New Roman" w:cs="Times New Roman"/>
          <w:sz w:val="22"/>
          <w:szCs w:val="22"/>
        </w:rPr>
        <w:t>, 2020.</w:t>
      </w:r>
    </w:p>
    <w:p w14:paraId="391E8381"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Şekil 2’de bazı gelişmiş ve gelişmekte olan ülkeler ile Türkiye’de 2005 ve 2015 yıllarına ait geriye ve ileriye dönük KDZ değerleri karşılaştırılmıştır. Türkiye’de geriye dönük KDZ 2005 yılında 15,4’den 2015 yılında 16,8’e, ileriye dönük KDZ ise 2005 yılında 13,5’den 2015 yılında 16,6’ye yükselmiştir. Türkiye’de 2005 yılında geriye dönük katılımın nispeten yüksek olması ihracat gerçekleştirilirken yabancı girdiye duyulan ihtiyacın bir göstergesidir. 2015 yılına kadar geriye doğru katılımın yükseldiği ve yabancı girdi bağımlılığının arttığı görülmektedir. Diğer taraftan ileriye doğru katılımda çok daha yüksek bir artış ortaya çıkmıştır. Bu durumda, Türkiye’nin farklı ülkelerin girdi tedarikçisi konumunu yükselttiği söylenebilir. 2005 yılında söz konusu ülkeler arasında geriye dönük katılım oranları en yüksek ülkeler sırasıyla; Singapur 42.5, Vietnam 36.1, Güney Kore 32.7, Çin 26.3’dir. Buna karşılık ABD, İngiltere, Almanya ve Japonya gibi ülkelerde geriye doğru katılım oranı yüksek değildir. 2015 yılında, Vietnam Singapur’u geçerek geriye dönük katılım oranını 44,5’a yükseltmiş, Çin’de bu oran 26,3’den 17,3’e düşmüştür (Şekil 2).</w:t>
      </w:r>
    </w:p>
    <w:p w14:paraId="62A7AE3F"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Ülkelerin geriye ve ileriye dönük </w:t>
      </w:r>
      <w:proofErr w:type="spellStart"/>
      <w:r>
        <w:rPr>
          <w:rFonts w:ascii="Times New Roman" w:hAnsi="Times New Roman" w:cs="Times New Roman"/>
        </w:rPr>
        <w:t>KDZ’ye</w:t>
      </w:r>
      <w:proofErr w:type="spellEnd"/>
      <w:r>
        <w:rPr>
          <w:rFonts w:ascii="Times New Roman" w:hAnsi="Times New Roman" w:cs="Times New Roman"/>
        </w:rPr>
        <w:t xml:space="preserve"> katılımı küresel ticarete entegrasyonu için bir ölçü olarak kullanılabilmektedir. Şekil 2’deki verilere göre, 2005-2015 yılları arasında geriye ve ileriye dönük KDZ toplamı artan ülkeler Vietnam, Türkiye, Fransa, Almanya, İngiltere, Japonya ve </w:t>
      </w:r>
      <w:proofErr w:type="spellStart"/>
      <w:r>
        <w:rPr>
          <w:rFonts w:ascii="Times New Roman" w:hAnsi="Times New Roman" w:cs="Times New Roman"/>
        </w:rPr>
        <w:t>Norveç’dir</w:t>
      </w:r>
      <w:proofErr w:type="spellEnd"/>
      <w:r>
        <w:rPr>
          <w:rFonts w:ascii="Times New Roman" w:hAnsi="Times New Roman" w:cs="Times New Roman"/>
        </w:rPr>
        <w:t xml:space="preserve">. Söz konusu ülkelerin genel olarak geriye dönük katılımı artarken, Türkiye hem geriye hem de ileriye dönük katılımla KDZ içindeki payını yükseltmiştir. ABD, ihracatında yabancı girdi kullanımını azaltmıştır. Benzer şekilde Singapur, Çin ve Endonezya gibi Asya ülkelerinde de geriye dönük katılım düşmüştür. </w:t>
      </w:r>
    </w:p>
    <w:p w14:paraId="55D4A48A"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lastRenderedPageBreak/>
        <w:t xml:space="preserve">Ülkelerin </w:t>
      </w:r>
      <w:proofErr w:type="spellStart"/>
      <w:r>
        <w:rPr>
          <w:rFonts w:ascii="Times New Roman" w:hAnsi="Times New Roman" w:cs="Times New Roman"/>
        </w:rPr>
        <w:t>KDZ’ye</w:t>
      </w:r>
      <w:proofErr w:type="spellEnd"/>
      <w:r>
        <w:rPr>
          <w:rFonts w:ascii="Times New Roman" w:hAnsi="Times New Roman" w:cs="Times New Roman"/>
        </w:rPr>
        <w:t xml:space="preserve"> geriye veya ileriye dönük katılımları ile gelişmişlik düzeyleri arasında birebir ilişki kurmak zordur. Bununla birlikte sürecin gelişmekte olan ülkelerde üretimi ve verimliliği artırarak imalat sanayi ihracatına katkı sağladığından söz edilebilir. </w:t>
      </w:r>
      <w:proofErr w:type="spellStart"/>
      <w:r>
        <w:rPr>
          <w:rFonts w:ascii="Times New Roman" w:hAnsi="Times New Roman" w:cs="Times New Roman"/>
        </w:rPr>
        <w:t>KDZ’nin</w:t>
      </w:r>
      <w:proofErr w:type="spellEnd"/>
      <w:r>
        <w:rPr>
          <w:rFonts w:ascii="Times New Roman" w:hAnsi="Times New Roman" w:cs="Times New Roman"/>
        </w:rPr>
        <w:t xml:space="preserve"> temel belirleyicileri olan uluslararası firmalar, genellikle fikri mülkiyet hakkının, marka ve tasarımın ana kaynağıdır ancak kendi ülkelerinde faktör istihdamı görece pahalı olduğu için imalat, montaj, pazarlama gibi diğer üretim aşamalarını gelişmekte olan ülkelerde gerçekleştirebilmektedir. Bu süreçte bir ürünün tasarım ve </w:t>
      </w:r>
      <w:proofErr w:type="spellStart"/>
      <w:r>
        <w:rPr>
          <w:rFonts w:ascii="Times New Roman" w:hAnsi="Times New Roman" w:cs="Times New Roman"/>
        </w:rPr>
        <w:t>inovasyon</w:t>
      </w:r>
      <w:proofErr w:type="spellEnd"/>
      <w:r>
        <w:rPr>
          <w:rFonts w:ascii="Times New Roman" w:hAnsi="Times New Roman" w:cs="Times New Roman"/>
        </w:rPr>
        <w:t xml:space="preserve"> süreci gelişmiş ülkelerde, imalat süreci ise gelişmekte olan ülkelerde ortaya çıkmaktadır. Diğer taraftan gelişmekte olan ülkelerde sanayi ürünleri ihracatının yabancı girdi ithalatına bağımlı olması, bu ülkelerde dışa bağımlılığı ve dış ticaret açıklarını artırmaktadır. </w:t>
      </w:r>
    </w:p>
    <w:p w14:paraId="59B9336C"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Literatür Taraması</w:t>
      </w:r>
    </w:p>
    <w:p w14:paraId="30F6A8A7"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Son yıllarda küreselleşmenin yaygınlaşması </w:t>
      </w:r>
      <w:proofErr w:type="spellStart"/>
      <w:r>
        <w:rPr>
          <w:rFonts w:ascii="Times New Roman" w:hAnsi="Times New Roman" w:cs="Times New Roman"/>
        </w:rPr>
        <w:t>KDZ’nin</w:t>
      </w:r>
      <w:proofErr w:type="spellEnd"/>
      <w:r>
        <w:rPr>
          <w:rFonts w:ascii="Times New Roman" w:hAnsi="Times New Roman" w:cs="Times New Roman"/>
        </w:rPr>
        <w:t xml:space="preserve"> önemini artırmış, buna bağlı olarak literatürdeki uygulamalı çalışmaların sayısı yükselmiştir. Uluslararası çalışmaların bir kısmında farklı coğrafi bölgelerde yer alan gelişmiş ya da gelişmekte olan ülkelerin </w:t>
      </w:r>
      <w:proofErr w:type="spellStart"/>
      <w:r>
        <w:rPr>
          <w:rFonts w:ascii="Times New Roman" w:hAnsi="Times New Roman" w:cs="Times New Roman"/>
        </w:rPr>
        <w:t>KDZ’ye</w:t>
      </w:r>
      <w:proofErr w:type="spellEnd"/>
      <w:r>
        <w:rPr>
          <w:rFonts w:ascii="Times New Roman" w:hAnsi="Times New Roman" w:cs="Times New Roman"/>
        </w:rPr>
        <w:t xml:space="preserve"> katılımlarını etkileyen değişkenler incelenmiştir (</w:t>
      </w:r>
      <w:proofErr w:type="spellStart"/>
      <w:r>
        <w:rPr>
          <w:rFonts w:ascii="Times New Roman" w:hAnsi="Times New Roman" w:cs="Times New Roman"/>
        </w:rPr>
        <w:t>Fernandes</w:t>
      </w:r>
      <w:proofErr w:type="spellEnd"/>
      <w:r>
        <w:rPr>
          <w:rFonts w:ascii="Times New Roman" w:hAnsi="Times New Roman" w:cs="Times New Roman"/>
        </w:rPr>
        <w:t xml:space="preserve"> vd. 2020, </w:t>
      </w:r>
      <w:proofErr w:type="spellStart"/>
      <w:r>
        <w:rPr>
          <w:rFonts w:ascii="Times New Roman" w:hAnsi="Times New Roman" w:cs="Times New Roman"/>
        </w:rPr>
        <w:t>Obasaju</w:t>
      </w:r>
      <w:proofErr w:type="spellEnd"/>
      <w:r>
        <w:rPr>
          <w:rFonts w:ascii="Times New Roman" w:hAnsi="Times New Roman" w:cs="Times New Roman"/>
        </w:rPr>
        <w:t xml:space="preserve"> vd., 2021; </w:t>
      </w:r>
      <w:proofErr w:type="spellStart"/>
      <w:r>
        <w:rPr>
          <w:rFonts w:ascii="Times New Roman" w:hAnsi="Times New Roman" w:cs="Times New Roman"/>
        </w:rPr>
        <w:t>Tran</w:t>
      </w:r>
      <w:proofErr w:type="spellEnd"/>
      <w:r>
        <w:rPr>
          <w:rFonts w:ascii="Times New Roman" w:hAnsi="Times New Roman" w:cs="Times New Roman"/>
        </w:rPr>
        <w:t xml:space="preserve"> vd., 2020). </w:t>
      </w:r>
      <w:proofErr w:type="spellStart"/>
      <w:r>
        <w:rPr>
          <w:rFonts w:ascii="Times New Roman" w:hAnsi="Times New Roman" w:cs="Times New Roman"/>
        </w:rPr>
        <w:t>Fernandes</w:t>
      </w:r>
      <w:proofErr w:type="spellEnd"/>
      <w:r>
        <w:rPr>
          <w:rFonts w:ascii="Times New Roman" w:hAnsi="Times New Roman" w:cs="Times New Roman"/>
        </w:rPr>
        <w:t xml:space="preserve"> vd. (2020) tarafından yapılan çalışmada </w:t>
      </w:r>
      <w:proofErr w:type="spellStart"/>
      <w:r>
        <w:rPr>
          <w:rFonts w:ascii="Times New Roman" w:hAnsi="Times New Roman" w:cs="Times New Roman"/>
        </w:rPr>
        <w:t>KDZ’ye</w:t>
      </w:r>
      <w:proofErr w:type="spellEnd"/>
      <w:r>
        <w:rPr>
          <w:rFonts w:ascii="Times New Roman" w:hAnsi="Times New Roman" w:cs="Times New Roman"/>
        </w:rPr>
        <w:t xml:space="preserve"> etkin bir şekilde katılan Çin, Polonya, Vietnam gibi ülkeler ile küreselleşmeye ayak uydurmakta güçlük çeken Afrika ülkelerindeki durum araştırılmıştır. Bu bağlamda OECD-DTÖ TIVA veri setinden yararlanarak bir analiz gerçekleştirilmiştir. Çalışmanın sonucunda, ülkelerin bulunduğu coğrafi konumun, siyasi istikrarın, benimsenen ticaret politikalarının, doğrudan yabancı yatırımların, endüstriyel niteliklerin </w:t>
      </w:r>
      <w:proofErr w:type="spellStart"/>
      <w:r>
        <w:rPr>
          <w:rFonts w:ascii="Times New Roman" w:hAnsi="Times New Roman" w:cs="Times New Roman"/>
        </w:rPr>
        <w:t>KDZ’ye</w:t>
      </w:r>
      <w:proofErr w:type="spellEnd"/>
      <w:r>
        <w:rPr>
          <w:rFonts w:ascii="Times New Roman" w:hAnsi="Times New Roman" w:cs="Times New Roman"/>
        </w:rPr>
        <w:t xml:space="preserve"> katılımları etkilediği görülmüştür. </w:t>
      </w:r>
      <w:proofErr w:type="spellStart"/>
      <w:r>
        <w:rPr>
          <w:rFonts w:ascii="Times New Roman" w:hAnsi="Times New Roman" w:cs="Times New Roman"/>
        </w:rPr>
        <w:t>Obasaju</w:t>
      </w:r>
      <w:proofErr w:type="spellEnd"/>
      <w:r>
        <w:rPr>
          <w:rFonts w:ascii="Times New Roman" w:hAnsi="Times New Roman" w:cs="Times New Roman"/>
        </w:rPr>
        <w:t xml:space="preserve"> vd. (2021) tarafından hazırlanan çalışmada ise, 2000’den 2015’e kadar Doğu Afrika Topluluğu (EAC), Güney Afrika Gümrük Birliği (SACU) ve Ekonomik Batı Afrika Devletleri Topluluğu (ECOWAS) özelinde bölgesel ekonomik entegrasyonun </w:t>
      </w:r>
      <w:proofErr w:type="spellStart"/>
      <w:r>
        <w:rPr>
          <w:rFonts w:ascii="Times New Roman" w:hAnsi="Times New Roman" w:cs="Times New Roman"/>
        </w:rPr>
        <w:t>KDZ’ye</w:t>
      </w:r>
      <w:proofErr w:type="spellEnd"/>
      <w:r>
        <w:rPr>
          <w:rFonts w:ascii="Times New Roman" w:hAnsi="Times New Roman" w:cs="Times New Roman"/>
        </w:rPr>
        <w:t xml:space="preserve"> katılımı ve ekonomik gelişmeyi etkileme gücü incelenmiştir. Elde edilen bulgular, ekonomik entegrasyonun ekonomik gelişmenin önemli bir faktörü olmadığını göstermektedir. </w:t>
      </w:r>
      <w:proofErr w:type="spellStart"/>
      <w:r>
        <w:rPr>
          <w:rFonts w:ascii="Times New Roman" w:hAnsi="Times New Roman" w:cs="Times New Roman"/>
        </w:rPr>
        <w:t>Tran</w:t>
      </w:r>
      <w:proofErr w:type="spellEnd"/>
      <w:r>
        <w:rPr>
          <w:rFonts w:ascii="Times New Roman" w:hAnsi="Times New Roman" w:cs="Times New Roman"/>
        </w:rPr>
        <w:t xml:space="preserve"> vd. (2020) panel veri analizi kullanarak yaptıkları çalışmalarında 1995-2015 yılları arasında, Asya ve Latin Amerika’nın orta gelirli ülkelerindeki doğrudan yabancı yatırımlar ile </w:t>
      </w:r>
      <w:proofErr w:type="spellStart"/>
      <w:r>
        <w:rPr>
          <w:rFonts w:ascii="Times New Roman" w:hAnsi="Times New Roman" w:cs="Times New Roman"/>
        </w:rPr>
        <w:t>KDZ’ye</w:t>
      </w:r>
      <w:proofErr w:type="spellEnd"/>
      <w:r>
        <w:rPr>
          <w:rFonts w:ascii="Times New Roman" w:hAnsi="Times New Roman" w:cs="Times New Roman"/>
        </w:rPr>
        <w:t xml:space="preserve"> katılımlar ve ortaya çıkan krizler arasındaki ilişkiyi incelemişlerdir. Çalışmanın sonucunda, ihracattaki gelişmenin ekonomideki kur dalgalanmalarını azaltmış olduğu ortaya çıkmıştır. </w:t>
      </w:r>
    </w:p>
    <w:p w14:paraId="01B0D029"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KDZ içinde yer alan gelişmiş ve gelişmekte olan ülkelerdeki uzmanlaşma düzeyini karşılaştırmalı olarak test eden çalışmaların bir kısmında Türkiye’nin rekabet gücü hakkında bilgiler elde etmek mümkündür.  Örneğin </w:t>
      </w:r>
      <w:proofErr w:type="spellStart"/>
      <w:r>
        <w:rPr>
          <w:rFonts w:ascii="Times New Roman" w:hAnsi="Times New Roman" w:cs="Times New Roman"/>
        </w:rPr>
        <w:t>Erkök</w:t>
      </w:r>
      <w:proofErr w:type="spellEnd"/>
      <w:r>
        <w:rPr>
          <w:rFonts w:ascii="Times New Roman" w:hAnsi="Times New Roman" w:cs="Times New Roman"/>
        </w:rPr>
        <w:t xml:space="preserve"> (2019) tarafından gerçekleştirilen çalışmada, birçok gelişmekte olan ülkeyle birlikte Türkiye’nin </w:t>
      </w:r>
      <w:proofErr w:type="spellStart"/>
      <w:r>
        <w:rPr>
          <w:rFonts w:ascii="Times New Roman" w:hAnsi="Times New Roman" w:cs="Times New Roman"/>
        </w:rPr>
        <w:t>KDZ’deki</w:t>
      </w:r>
      <w:proofErr w:type="spellEnd"/>
      <w:r>
        <w:rPr>
          <w:rFonts w:ascii="Times New Roman" w:hAnsi="Times New Roman" w:cs="Times New Roman"/>
        </w:rPr>
        <w:t xml:space="preserve"> rekabet gücü belirlenmeye çalışılmıştır. OECD-DTÖ TIVA veri seti kullanılarak BRICS, yeni sanayileşen ülkeler ve OECD ülkelerinin yer aldığı 1995, 2000, 2005, 2008, 2009 yıllarını içeren girdi çıktı tabloları incelenmiştir. Çalışmada, Türkiye’nin KDZ içerisindeki yeri ve ihracatındaki yabancı ve yerli katma değerin oranı belirlenmeye çalışılmıştır. Elde edilen sonuçlar, Türkiye’nin katma değeri yüksek teknoloji ürünlerindeki imalat miktarının arttırılması gerektiğini göstermektedir. Bu nedenle, ihracatı artırmanın tek başına yeterli olmadığı bunun yanında rekabet gücü elde edebilmek için yapısal reformlara ihtiyaç duyulduğu vurgulanmıştır. Benzer şekilde </w:t>
      </w:r>
      <w:proofErr w:type="spellStart"/>
      <w:r>
        <w:rPr>
          <w:rFonts w:ascii="Times New Roman" w:hAnsi="Times New Roman" w:cs="Times New Roman"/>
        </w:rPr>
        <w:t>Özeş</w:t>
      </w:r>
      <w:proofErr w:type="spellEnd"/>
      <w:r>
        <w:rPr>
          <w:rFonts w:ascii="Times New Roman" w:hAnsi="Times New Roman" w:cs="Times New Roman"/>
        </w:rPr>
        <w:t xml:space="preserve"> Özgür ve </w:t>
      </w:r>
      <w:proofErr w:type="spellStart"/>
      <w:r>
        <w:rPr>
          <w:rFonts w:ascii="Times New Roman" w:hAnsi="Times New Roman" w:cs="Times New Roman"/>
        </w:rPr>
        <w:t>Zanbak</w:t>
      </w:r>
      <w:proofErr w:type="spellEnd"/>
      <w:r>
        <w:rPr>
          <w:rFonts w:ascii="Times New Roman" w:hAnsi="Times New Roman" w:cs="Times New Roman"/>
        </w:rPr>
        <w:t xml:space="preserve"> (2019), Türkiye’nin 2005-2017 yılları arasında toplam ve endüstriyel dikey uzmanlaşma eğilimini analiz etmeye çalışmıştır. Araştırma sonucunda, Türkiye’nin 2005-2017 yılları arasında dikey uzmanlaşma durumunda artış olduğu ortaya çıkmıştır. Türkiye’nin ekonomik yapısında dikey uzmanlaşma içerisindeki en yüksek paya Metal ve Metalden Eşya ve Kok Kömürü, Rafine Edilmiş Petrol Ürünleri ve Nükleer Yakıt İmalatı sektörlerinin sahip olduğu görülmüştür. Metal ve Metalden Eşya ve Kok Kömürü, Rafine Edilmiş Petrol Ürünleri ve Nükleer Yakıt İmalatı sektörlerinin ithal girdi bağımlılığının yüksek olduğu belirtilmiştir.</w:t>
      </w:r>
    </w:p>
    <w:p w14:paraId="772E5EED"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lastRenderedPageBreak/>
        <w:t xml:space="preserve">Gerçekleştirilen uygulamalı çalışmalar çoğunlukla gelişmekte olan ülkelerin ve Türkiye’nin brüt ihracatı içinde yabancı katma değerinin yüksek olduğunu göstermektedir. Bu bağlamda </w:t>
      </w:r>
      <w:proofErr w:type="spellStart"/>
      <w:r>
        <w:rPr>
          <w:rFonts w:ascii="Times New Roman" w:hAnsi="Times New Roman" w:cs="Times New Roman"/>
        </w:rPr>
        <w:t>Hummels</w:t>
      </w:r>
      <w:proofErr w:type="spellEnd"/>
      <w:r>
        <w:rPr>
          <w:rFonts w:ascii="Times New Roman" w:hAnsi="Times New Roman" w:cs="Times New Roman"/>
        </w:rPr>
        <w:t xml:space="preserve"> (1998) tarafından hazırlanan girdi-çıktı tablolarında, 1965-1994 yılları arasında OECD ülkelerinin ticaretindeki dikey uzmanlaşma düzeyi analiz edilmeye çalışılmıştır. </w:t>
      </w:r>
      <w:proofErr w:type="spellStart"/>
      <w:r>
        <w:rPr>
          <w:rFonts w:ascii="Times New Roman" w:hAnsi="Times New Roman" w:cs="Times New Roman"/>
        </w:rPr>
        <w:t>Hummels’ın</w:t>
      </w:r>
      <w:proofErr w:type="spellEnd"/>
      <w:r>
        <w:rPr>
          <w:rFonts w:ascii="Times New Roman" w:hAnsi="Times New Roman" w:cs="Times New Roman"/>
        </w:rPr>
        <w:t xml:space="preserve"> analizinden elde edilen sonuçlar, görece küçük OECD ülkelerinde dikey uzmanlaşmanın yüksek olduğunu kanıtlamaktadır. </w:t>
      </w:r>
      <w:proofErr w:type="spellStart"/>
      <w:r>
        <w:rPr>
          <w:rFonts w:ascii="Times New Roman" w:hAnsi="Times New Roman" w:cs="Times New Roman"/>
        </w:rPr>
        <w:t>Hummels</w:t>
      </w:r>
      <w:proofErr w:type="spellEnd"/>
      <w:r>
        <w:rPr>
          <w:rFonts w:ascii="Times New Roman" w:hAnsi="Times New Roman" w:cs="Times New Roman"/>
        </w:rPr>
        <w:t xml:space="preserve"> (2001) tarafından yapılan başka bir çalışmada ise, 1968-1995 yılları arasında OECD ve G-7 ülkelerine ait dikey uzmanlaşma test edilmiştir. Benzer şekilde, OECD içerisindeki küçük ülkelerin dikey uzmanlaşma paylarının yüksek olduğu sonucuna ulaşılmıştır. Dağıstan (2017) ise OECD TIVA veri tabanındaki 1995, 2000, 2005, 2008, 2009 ve 2011 yıllarına ait 61 ülke ve 34 sektör verilerine dayanarak ülkelerin uzmanlaşma düzeyini ölçmeye çalışmıştır. Çalışmanın Türkiye’ye ilişkin sonuçları, yüksek teknoloji ürünlerinde karşılaştırmalı üstünlüğün arttığını göstermektedir (Dağıstan, 2017: 11). Benzer şekilde </w:t>
      </w:r>
      <w:proofErr w:type="spellStart"/>
      <w:r>
        <w:rPr>
          <w:rFonts w:ascii="Times New Roman" w:hAnsi="Times New Roman" w:cs="Times New Roman"/>
        </w:rPr>
        <w:t>Erkök</w:t>
      </w:r>
      <w:proofErr w:type="spellEnd"/>
      <w:r>
        <w:rPr>
          <w:rFonts w:ascii="Times New Roman" w:hAnsi="Times New Roman" w:cs="Times New Roman"/>
        </w:rPr>
        <w:t xml:space="preserve"> (2018)’ün girdi-çıktı analizinden elde ettiği sonuçlar, Türkiye’nin otomotiv sektöründeki üretiminin yabancı hammaddeye bağımlı oluğunu göstermektedir. Ampirik çalışmalar, bir ülkenin KDZ içindeki konumunun gelişmişlik düzeyi, üretim hacmi, coğrafi konum, ticaret politikaları, doğrudan yabancı sermaye miktarı ve sektöre göre değişim gösterdiğini kanıtlamaktadır.</w:t>
      </w:r>
    </w:p>
    <w:p w14:paraId="48FCA67B"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Türkiye’nin Küresel Değer Zincirine Katılımı</w:t>
      </w:r>
    </w:p>
    <w:p w14:paraId="1F8B9B52"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1980’li yıllardan itibaren küreselleşmenin ve serbest piyasa yaklaşımının yaygınlaşması ile KDZ uygulamalarının hız kazandığı görülmektedir. Birçok ülke gibi Türkiye’de de 1980 yılında dışa dönük sanayileşme politikaları benimsenmiştir. Bu dönemde dış ticarette </w:t>
      </w:r>
      <w:proofErr w:type="spellStart"/>
      <w:r>
        <w:rPr>
          <w:rFonts w:ascii="Times New Roman" w:hAnsi="Times New Roman" w:cs="Times New Roman"/>
        </w:rPr>
        <w:t>liberalizasyona</w:t>
      </w:r>
      <w:proofErr w:type="spellEnd"/>
      <w:r>
        <w:rPr>
          <w:rFonts w:ascii="Times New Roman" w:hAnsi="Times New Roman" w:cs="Times New Roman"/>
        </w:rPr>
        <w:t xml:space="preserve"> gidilirken sermaye hareketleri serbest hale getirilmiştir. Türkiye’nin yabancı sermaye için cazip kılınması, yerli üreticinin rekabet gücünün artırılarak dış ticaretin arttırılması düşüncesiyle, 1996 yılında gümrük birliği anlaşması imzalanmıştır. Dış ticaret işlemlerinin ve politikalarının Avrupa Birliği standartlarına uygun hale gelmesinin üçüncü ülkelerden gelecek yatırımları desteklemesi en temel hedefler arasındaydı. Bu dönemde, Türkiye ekonomisi büyük ölçüde yabancı sermayeye bağımlı hale gelmiş ve buna bağlı olarak ekonomik kırılganlık artmıştır. Diğer taraftan, Türkiye’nin sanayileşme sürecinde ve ihracat yapısında belirgin değişimler ortaya çıkmıştır. 1990’ların ilk yarısında ihracatın içinde gıda sektörünün payı düşerken, tekstil ve hazır giyim sektörü artış göstermiştir. 1990’ların ortalarından itibaren ise toplam ihracatta orta-teknoloji olarak tanımlanan makine, otomotiv ve haberleşme cihazlarının önem kazandığı görülmektedir (</w:t>
      </w:r>
      <w:proofErr w:type="spellStart"/>
      <w:r>
        <w:rPr>
          <w:rFonts w:ascii="Times New Roman" w:hAnsi="Times New Roman" w:cs="Times New Roman"/>
        </w:rPr>
        <w:t>Erkök</w:t>
      </w:r>
      <w:proofErr w:type="spellEnd"/>
      <w:r>
        <w:rPr>
          <w:rFonts w:ascii="Times New Roman" w:hAnsi="Times New Roman" w:cs="Times New Roman"/>
        </w:rPr>
        <w:t xml:space="preserve">, 2019: 17-18). 2000’li yılların başında, daha sonra </w:t>
      </w:r>
      <w:proofErr w:type="spellStart"/>
      <w:r>
        <w:rPr>
          <w:rFonts w:ascii="Times New Roman" w:hAnsi="Times New Roman" w:cs="Times New Roman"/>
        </w:rPr>
        <w:t>mortgage</w:t>
      </w:r>
      <w:proofErr w:type="spellEnd"/>
      <w:r>
        <w:rPr>
          <w:rFonts w:ascii="Times New Roman" w:hAnsi="Times New Roman" w:cs="Times New Roman"/>
        </w:rPr>
        <w:t xml:space="preserve"> krizinin ana kaynağını oluşturacak olan ABD’nin genişletici para politikası, ABD Dolar arzında artışa, küresel üretimin ve ticaretin canlanmasına yol açmıştır. Bu olumlu havanın etkisiyle, Türkiye’nin ekonomik büyüme oranı ve dış ticaret hacmi hızlı bir şekilde yükselmiştir. Bu dönemde, Türkiye’nin KDZ içindeki payı artmaya başlamıştır. Geriye ve ileriye dönük değer zincirinde yer alan Türkiye’de ara ve yatırım mallarının dış ticarete oranı yükselmiştir. </w:t>
      </w:r>
      <w:proofErr w:type="spellStart"/>
      <w:r>
        <w:rPr>
          <w:rFonts w:ascii="Times New Roman" w:hAnsi="Times New Roman" w:cs="Times New Roman"/>
        </w:rPr>
        <w:t>KDZ’ye</w:t>
      </w:r>
      <w:proofErr w:type="spellEnd"/>
      <w:r>
        <w:rPr>
          <w:rFonts w:ascii="Times New Roman" w:hAnsi="Times New Roman" w:cs="Times New Roman"/>
        </w:rPr>
        <w:t xml:space="preserve"> katılım sonrasında artan dış ticaret açığı ise küresel piyasalardan gelen doğrudan ve dolaylı yabancı sermaye ile finanse edilmiştir. Türkiye, 2008 yılında ortaya çıkan küresel finans krizinin etkilerini özellikle 2009 yılında hissetmeye başlamıştır. Yaşanan yerel ve küresel resesyon, dış ticaret hacminde daralmaya yol açmıştır. Kriz sonrasında ABD’nin yeniden genişletici para politikasına öncelik vermesi ve buna paralel olarak uluslararası piyasalarda yaşanan canlanma, Türkiye’nin dış ticaret hacminin tekrar artmasına neden olmuştur. Buna rağmen, dış ticaretteki canlanmanın uzun süre devam etmediği ve 2012 yılından itibaren uluslararası piyasalarda durgunluğun ortaya çıktığı görülmektedir. Türkiye’nin dış ticaretinin hızla arttığı 2000’li yıllarda, bu artışın daha çok geriye dönük katılım ile gerçekleşmiş olduğu görülmektedir. Bu dönemde, ileriye dönük katılım yatay kalmıştır. 2011 yılı sonrasında ise geriye dönük katılım oranı azalmış, ileriye dönük katılım ise artarak geriye doğru katılım oranına yaklaşmıştır (Şekil 4).</w:t>
      </w:r>
    </w:p>
    <w:p w14:paraId="49D25C13"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lastRenderedPageBreak/>
        <w:t xml:space="preserve">Türkiye, imalat sanayi ihracatını gerçekleştirebilmek için büyük ölçüde yabancı katma değer kullanmaktadır. Bu nedenle Türkiye’nin geriye dönük KDZ entegrasyonu, OECD ve Avrupa Birliği ülkeleri ortalamasının üzerindedir. Türkiye’nin geriye dönük KDZ değerindeki değişimlerin küresel ekonomik konjonktürden etkilendiği, OECD ve Avrupa Birliği ülkelerine paralel olduğu görülmektedir. 2009 yılında küresel krizin etkisiyle azalan göstergenin, tekrar toparlanarak 2008 değerine ulaştığı görülmektedir. 2012 yılından itibaren geriye dönük KDZ, özellikle Türkiye’de tekrar azalmaya başlamış, 2015 yılında 2009 krizine yakın bir seviyeye geri dönmüştür. Sonuç olarak 2005-2015 döneminde, geriye dönük </w:t>
      </w:r>
      <w:proofErr w:type="spellStart"/>
      <w:r>
        <w:rPr>
          <w:rFonts w:ascii="Times New Roman" w:hAnsi="Times New Roman" w:cs="Times New Roman"/>
        </w:rPr>
        <w:t>KDZ’nin</w:t>
      </w:r>
      <w:proofErr w:type="spellEnd"/>
      <w:r>
        <w:rPr>
          <w:rFonts w:ascii="Times New Roman" w:hAnsi="Times New Roman" w:cs="Times New Roman"/>
        </w:rPr>
        <w:t xml:space="preserve"> dalgalanmalar gösterdiği ve artışların uzun süre devam edemediği görülmektedir. Bu dalgalanmaların, ABD Doları ve Euro gibi rezerv paraların değişim oranı, ekonomik kriz ya da canlanma, talep düşüşü ve resesyon, serbest/korumacı ticaret politikaları ile ilişkili olduğu söylenebilir (Şekil 3). Söz konusu yerel ya da küresel arz ve talep şokları değer zincirindeki hareketliliği etkileyebilmektedir.</w:t>
      </w:r>
    </w:p>
    <w:p w14:paraId="26232317" w14:textId="77777777" w:rsidR="00A72324" w:rsidRDefault="00A72324" w:rsidP="00A72324">
      <w:pPr>
        <w:tabs>
          <w:tab w:val="num" w:pos="720"/>
        </w:tabs>
        <w:autoSpaceDE w:val="0"/>
        <w:autoSpaceDN w:val="0"/>
        <w:adjustRightInd w:val="0"/>
        <w:spacing w:before="120"/>
        <w:jc w:val="both"/>
        <w:rPr>
          <w:rFonts w:ascii="Times New Roman" w:hAnsi="Times New Roman" w:cs="Times New Roman"/>
          <w:b/>
          <w:bCs/>
          <w:sz w:val="22"/>
          <w:szCs w:val="22"/>
        </w:rPr>
      </w:pPr>
      <w:r>
        <w:rPr>
          <w:rFonts w:ascii="Times New Roman" w:hAnsi="Times New Roman" w:cs="Times New Roman"/>
          <w:b/>
          <w:bCs/>
          <w:sz w:val="22"/>
          <w:szCs w:val="22"/>
        </w:rPr>
        <w:t>Şekil 3. Geriye Dönük Küresel Değer Zinciri, yabancı katma değerin brüt ihracattaki payı, 2005-2015.</w:t>
      </w:r>
    </w:p>
    <w:p w14:paraId="2D05E932" w14:textId="031AC69C" w:rsidR="00A72324" w:rsidRDefault="00A72324" w:rsidP="00A72324">
      <w:pPr>
        <w:tabs>
          <w:tab w:val="num" w:pos="720"/>
        </w:tabs>
        <w:autoSpaceDE w:val="0"/>
        <w:autoSpaceDN w:val="0"/>
        <w:adjustRightInd w:val="0"/>
        <w:jc w:val="both"/>
        <w:rPr>
          <w:rFonts w:ascii="Times New Roman" w:hAnsi="Times New Roman" w:cs="Times New Roman"/>
        </w:rPr>
      </w:pPr>
      <w:r>
        <w:rPr>
          <w:rFonts w:ascii="Times New Roman" w:hAnsi="Times New Roman" w:cs="Times New Roman"/>
          <w:noProof/>
        </w:rPr>
        <w:drawing>
          <wp:inline distT="0" distB="0" distL="0" distR="0" wp14:anchorId="6A2AFDA6" wp14:editId="78C044C2">
            <wp:extent cx="5783580" cy="2385060"/>
            <wp:effectExtent l="0" t="0" r="7620" b="15240"/>
            <wp:docPr id="19" name="Grafik 19">
              <a:extLst xmlns:a="http://schemas.openxmlformats.org/drawingml/2006/main">
                <a:ext uri="{FF2B5EF4-FFF2-40B4-BE49-F238E27FC236}">
                  <a16:creationId xmlns:a16="http://schemas.microsoft.com/office/drawing/2014/main" id="{67FA2DE5-354D-8C4A-AF1F-73CD02DE5F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CFF3B6"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OECD, </w:t>
      </w:r>
      <w:hyperlink r:id="rId16" w:history="1">
        <w:r>
          <w:rPr>
            <w:rStyle w:val="Kpr"/>
            <w:rFonts w:ascii="Times New Roman" w:hAnsi="Times New Roman" w:cs="Times New Roman"/>
            <w:sz w:val="22"/>
            <w:szCs w:val="22"/>
          </w:rPr>
          <w:t>https://stats.oecd.org/Index.aspx?datasetcode=TIVA_2018_C1</w:t>
        </w:r>
      </w:hyperlink>
      <w:r>
        <w:rPr>
          <w:rFonts w:ascii="Times New Roman" w:hAnsi="Times New Roman" w:cs="Times New Roman"/>
          <w:sz w:val="22"/>
          <w:szCs w:val="22"/>
        </w:rPr>
        <w:t>, 2020.</w:t>
      </w:r>
    </w:p>
    <w:p w14:paraId="02C57113"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Şekil 4’de Türkiye’nin 2005-2015 yılları arasında, geriye ve ileriye dönük </w:t>
      </w:r>
      <w:proofErr w:type="spellStart"/>
      <w:r>
        <w:rPr>
          <w:rFonts w:ascii="Times New Roman" w:hAnsi="Times New Roman" w:cs="Times New Roman"/>
        </w:rPr>
        <w:t>KDZ’ye</w:t>
      </w:r>
      <w:proofErr w:type="spellEnd"/>
      <w:r>
        <w:rPr>
          <w:rFonts w:ascii="Times New Roman" w:hAnsi="Times New Roman" w:cs="Times New Roman"/>
        </w:rPr>
        <w:t xml:space="preserve"> katılım oranları ile dış ticaret dengesi karşılaştırmalı olarak gösterilmiştir. </w:t>
      </w:r>
      <w:proofErr w:type="spellStart"/>
      <w:r>
        <w:rPr>
          <w:rFonts w:ascii="Times New Roman" w:hAnsi="Times New Roman" w:cs="Times New Roman"/>
        </w:rPr>
        <w:t>KDZ’ye</w:t>
      </w:r>
      <w:proofErr w:type="spellEnd"/>
      <w:r>
        <w:rPr>
          <w:rFonts w:ascii="Times New Roman" w:hAnsi="Times New Roman" w:cs="Times New Roman"/>
        </w:rPr>
        <w:t xml:space="preserve"> katılım ve dış ticaret dengesi arasında negatif ama güçlü bir korelasyondan söz edilebilir. Söz konusu dönemde geriye dönük KDZ ile dış ticaret dengesi </w:t>
      </w:r>
      <w:proofErr w:type="gramStart"/>
      <w:r>
        <w:rPr>
          <w:rFonts w:ascii="Times New Roman" w:hAnsi="Times New Roman" w:cs="Times New Roman"/>
        </w:rPr>
        <w:t>arasında -</w:t>
      </w:r>
      <w:proofErr w:type="gramEnd"/>
      <w:r>
        <w:rPr>
          <w:rFonts w:ascii="Times New Roman" w:hAnsi="Times New Roman" w:cs="Times New Roman"/>
        </w:rPr>
        <w:t>0,791 ve ileriye dönük KDZ ile dış ticaret dengesi arasında -0,630 oranında güçlü bir korelasyon vardır. Türkiye, yabancı ara malı kullanıp nihai ürün ihracatı gerçekleştirirken, yerli ve nitelikli katma değer yaratma konusunda büyük ölçüde yetersiz kalmaktadır. Bu nedenle, Türkiye’de üretim ve ihracat dışa bağımlı bir şekilde gerçekleştirilmektedir. 2005-2015 döneminde, geriye ve ileriye dönük entegrasyonun (dış ticaret hacminin) arttığı yıllarda dış ticaret açığı yükselmiş, tam tersi dış ticaret hacminin daraldığı yıllarda ise dış ticaret açığı azalmaya başlamıştır (Şekil 4).</w:t>
      </w:r>
    </w:p>
    <w:p w14:paraId="6B8FA537" w14:textId="77777777" w:rsidR="00A72324" w:rsidRDefault="00A72324" w:rsidP="00A72324">
      <w:pPr>
        <w:jc w:val="both"/>
        <w:rPr>
          <w:rFonts w:ascii="Times New Roman" w:hAnsi="Times New Roman" w:cs="Times New Roman"/>
        </w:rPr>
      </w:pPr>
    </w:p>
    <w:p w14:paraId="00C21B7C" w14:textId="77777777" w:rsidR="00A72324" w:rsidRDefault="00A72324" w:rsidP="00A72324">
      <w:pPr>
        <w:jc w:val="both"/>
        <w:rPr>
          <w:rFonts w:ascii="Times New Roman" w:hAnsi="Times New Roman" w:cs="Times New Roman"/>
          <w:b/>
          <w:bCs/>
          <w:sz w:val="22"/>
          <w:szCs w:val="22"/>
        </w:rPr>
      </w:pPr>
      <w:r>
        <w:rPr>
          <w:rFonts w:ascii="Times New Roman" w:hAnsi="Times New Roman" w:cs="Times New Roman"/>
          <w:b/>
          <w:bCs/>
          <w:sz w:val="22"/>
          <w:szCs w:val="22"/>
        </w:rPr>
        <w:t>Şekil 4. Türkiye’de Yıllar İtibariyle İleriye ve Geriye Dönük Küresel Değer Zinciri ve Dış Ticaret Dengesi, 2005-2015</w:t>
      </w:r>
    </w:p>
    <w:p w14:paraId="31A508D6" w14:textId="04125A3E" w:rsidR="00A72324" w:rsidRDefault="00A72324" w:rsidP="00A72324">
      <w:pPr>
        <w:jc w:val="both"/>
        <w:rPr>
          <w:rFonts w:ascii="Times New Roman" w:hAnsi="Times New Roman" w:cs="Times New Roman"/>
        </w:rPr>
      </w:pPr>
      <w:r>
        <w:rPr>
          <w:rFonts w:ascii="Times New Roman" w:hAnsi="Times New Roman" w:cs="Times New Roman"/>
          <w:noProof/>
        </w:rPr>
        <w:lastRenderedPageBreak/>
        <w:drawing>
          <wp:inline distT="0" distB="0" distL="0" distR="0" wp14:anchorId="0E51B19C" wp14:editId="08DF92E0">
            <wp:extent cx="5646420" cy="1927860"/>
            <wp:effectExtent l="0" t="0" r="0" b="0"/>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8"/>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46420" cy="1927860"/>
                    </a:xfrm>
                    <a:prstGeom prst="rect">
                      <a:avLst/>
                    </a:prstGeom>
                    <a:noFill/>
                    <a:ln>
                      <a:noFill/>
                    </a:ln>
                  </pic:spPr>
                </pic:pic>
              </a:graphicData>
            </a:graphic>
          </wp:inline>
        </w:drawing>
      </w:r>
    </w:p>
    <w:p w14:paraId="2350DAB4" w14:textId="60E8A75C" w:rsidR="00A72324" w:rsidRDefault="00A72324" w:rsidP="00A72324">
      <w:pPr>
        <w:jc w:val="both"/>
        <w:rPr>
          <w:rFonts w:ascii="Times New Roman" w:hAnsi="Times New Roman" w:cs="Times New Roman"/>
        </w:rPr>
      </w:pPr>
      <w:r>
        <w:rPr>
          <w:rFonts w:ascii="Times New Roman" w:hAnsi="Times New Roman" w:cs="Times New Roman"/>
          <w:noProof/>
        </w:rPr>
        <w:drawing>
          <wp:inline distT="0" distB="0" distL="0" distR="0" wp14:anchorId="6F175B27" wp14:editId="786BF6D1">
            <wp:extent cx="5646420" cy="1844040"/>
            <wp:effectExtent l="0" t="0" r="0" b="3810"/>
            <wp:docPr id="17" name="Resim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7"/>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6420" cy="1844040"/>
                    </a:xfrm>
                    <a:prstGeom prst="rect">
                      <a:avLst/>
                    </a:prstGeom>
                    <a:noFill/>
                    <a:ln>
                      <a:noFill/>
                    </a:ln>
                  </pic:spPr>
                </pic:pic>
              </a:graphicData>
            </a:graphic>
          </wp:inline>
        </w:drawing>
      </w:r>
    </w:p>
    <w:p w14:paraId="6FE2EC04"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OECD, </w:t>
      </w:r>
      <w:hyperlink r:id="rId19" w:history="1">
        <w:r>
          <w:rPr>
            <w:rStyle w:val="Kpr"/>
            <w:rFonts w:ascii="Times New Roman" w:hAnsi="Times New Roman" w:cs="Times New Roman"/>
            <w:sz w:val="22"/>
            <w:szCs w:val="22"/>
          </w:rPr>
          <w:t>https://stats.oecd.org/Index.aspx?datasetcode=TIVA_2018_C1</w:t>
        </w:r>
      </w:hyperlink>
      <w:r>
        <w:rPr>
          <w:rFonts w:ascii="Times New Roman" w:hAnsi="Times New Roman" w:cs="Times New Roman"/>
          <w:sz w:val="22"/>
          <w:szCs w:val="22"/>
        </w:rPr>
        <w:t>, 2020.</w:t>
      </w:r>
    </w:p>
    <w:p w14:paraId="6F85359F"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İleriye dönük KDZ içinde yer alabilen ülkeler nispeten gelişmiş ülkelerdir. Türkiye’nin ileriye dönük küresel entegrasyonu 2005 yılından beri yukarı yönlü bir seyir izlemektedir. Bu gelişmenin en önemli nedeni, imalat sanayi ihracatı içinde orta ve yüksek teknolojili ürünlerin payının giderek artmasıdır (Şat Sezgin, 2020: 8-9). Bu olumlu gelişmeye rağmen Türkiye’nin ileriye dönük entegrasyonu ve yüksek teknoloji ihracatı, birçok ülkeye göre düşük düzeydedir. </w:t>
      </w:r>
    </w:p>
    <w:p w14:paraId="64670707" w14:textId="77777777" w:rsidR="00A72324" w:rsidRDefault="00A72324" w:rsidP="00A72324">
      <w:pPr>
        <w:spacing w:before="120"/>
        <w:jc w:val="both"/>
        <w:rPr>
          <w:rFonts w:ascii="Times New Roman" w:hAnsi="Times New Roman" w:cs="Times New Roman"/>
          <w:b/>
          <w:bCs/>
          <w:sz w:val="22"/>
          <w:szCs w:val="22"/>
        </w:rPr>
      </w:pPr>
      <w:r>
        <w:rPr>
          <w:rFonts w:ascii="Times New Roman" w:hAnsi="Times New Roman" w:cs="Times New Roman"/>
          <w:b/>
          <w:bCs/>
          <w:sz w:val="22"/>
          <w:szCs w:val="22"/>
        </w:rPr>
        <w:t>Şekil 5. İleriye Doğru Küresel Değer Zincirine Katılımda Türkiye’nin Önemli Sanayi Merkezleri ile Karşılaştırılması, 2005-2015 (Diğer ülkelerin brüt ihracatında yerli katma değerin payı)</w:t>
      </w:r>
    </w:p>
    <w:p w14:paraId="5F857188" w14:textId="02D5C8EE" w:rsidR="00A72324" w:rsidRDefault="00A72324" w:rsidP="00A72324">
      <w:pPr>
        <w:jc w:val="both"/>
        <w:rPr>
          <w:rFonts w:ascii="Times New Roman" w:hAnsi="Times New Roman" w:cs="Times New Roman"/>
        </w:rPr>
      </w:pPr>
      <w:r>
        <w:rPr>
          <w:rFonts w:ascii="Times New Roman" w:hAnsi="Times New Roman" w:cs="Times New Roman"/>
          <w:noProof/>
        </w:rPr>
        <w:drawing>
          <wp:inline distT="0" distB="0" distL="0" distR="0" wp14:anchorId="6E10CAD2" wp14:editId="65442895">
            <wp:extent cx="5707380" cy="2232660"/>
            <wp:effectExtent l="0" t="0" r="7620" b="0"/>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6"/>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07380" cy="2232660"/>
                    </a:xfrm>
                    <a:prstGeom prst="rect">
                      <a:avLst/>
                    </a:prstGeom>
                    <a:noFill/>
                    <a:ln>
                      <a:noFill/>
                    </a:ln>
                  </pic:spPr>
                </pic:pic>
              </a:graphicData>
            </a:graphic>
          </wp:inline>
        </w:drawing>
      </w:r>
    </w:p>
    <w:p w14:paraId="1D614E04"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OECD, </w:t>
      </w:r>
      <w:hyperlink r:id="rId21" w:history="1">
        <w:r>
          <w:rPr>
            <w:rStyle w:val="Kpr"/>
            <w:rFonts w:ascii="Times New Roman" w:hAnsi="Times New Roman" w:cs="Times New Roman"/>
            <w:sz w:val="22"/>
            <w:szCs w:val="22"/>
          </w:rPr>
          <w:t>https://stats.oecd.org/Index.aspx?datasetcode=TIVA_2018_C1</w:t>
        </w:r>
      </w:hyperlink>
      <w:r>
        <w:rPr>
          <w:rFonts w:ascii="Times New Roman" w:hAnsi="Times New Roman" w:cs="Times New Roman"/>
          <w:sz w:val="22"/>
          <w:szCs w:val="22"/>
        </w:rPr>
        <w:t>, 2020.</w:t>
      </w:r>
    </w:p>
    <w:p w14:paraId="38FAC09A" w14:textId="77777777" w:rsidR="00A72324" w:rsidRDefault="00A72324" w:rsidP="00A72324">
      <w:pPr>
        <w:spacing w:before="120"/>
        <w:jc w:val="both"/>
      </w:pPr>
      <w:r>
        <w:rPr>
          <w:rFonts w:ascii="Times New Roman" w:hAnsi="Times New Roman" w:cs="Times New Roman"/>
        </w:rPr>
        <w:t xml:space="preserve">ABD, </w:t>
      </w:r>
      <w:proofErr w:type="gramStart"/>
      <w:r>
        <w:rPr>
          <w:rFonts w:ascii="Times New Roman" w:hAnsi="Times New Roman" w:cs="Times New Roman"/>
        </w:rPr>
        <w:t>beşeri</w:t>
      </w:r>
      <w:proofErr w:type="gramEnd"/>
      <w:r>
        <w:rPr>
          <w:rFonts w:ascii="Times New Roman" w:hAnsi="Times New Roman" w:cs="Times New Roman"/>
        </w:rPr>
        <w:t xml:space="preserve"> sermaye ve ileri teknoloji geliştirme kapasitesi nedeniyle </w:t>
      </w:r>
      <w:proofErr w:type="spellStart"/>
      <w:r>
        <w:rPr>
          <w:rFonts w:ascii="Times New Roman" w:hAnsi="Times New Roman" w:cs="Times New Roman"/>
        </w:rPr>
        <w:t>KDZ’ne</w:t>
      </w:r>
      <w:proofErr w:type="spellEnd"/>
      <w:r>
        <w:rPr>
          <w:rFonts w:ascii="Times New Roman" w:hAnsi="Times New Roman" w:cs="Times New Roman"/>
        </w:rPr>
        <w:t xml:space="preserve"> büyük ölçüde ileriye dönük katılım gerçekleştirmektedir. Bu bağlamda, yüksek teknoloji üretimini ve ihracatını artırmak isteyen ülkelerin ara malı tedarikçisidir. Avrupa Birliği ülkeleri ise yüksek teknoloji üretimini ve bu ürünlerin ara malı ihracatını daha çok Almanya’nın öncülüğünde gerçekleştirmektedir. Buna karşılık Avrupa Birliği’nin 28 ülkesi tek bir ülke gibi değerlendirildiğinde, ABD’nin performansına ulaşamadıkları görülmektedir. Ayrıca son </w:t>
      </w:r>
      <w:r>
        <w:rPr>
          <w:rFonts w:ascii="Times New Roman" w:hAnsi="Times New Roman" w:cs="Times New Roman"/>
        </w:rPr>
        <w:lastRenderedPageBreak/>
        <w:t>yıllarda bir miktar gerilemişlerdir. Gelişen piyasa ekonomileri arasında yer alan Çin ve Türkiye, 2009 yılı hariç 2005 yılından itibaren ileriye dönük katılımda artış trendindedir. Türkiye aleyhine olan fark ise 2015 yılında büyük ölçüde kapanmıştır (Şekil 5).</w:t>
      </w:r>
    </w:p>
    <w:p w14:paraId="06BBA2EC" w14:textId="77777777" w:rsidR="00A72324" w:rsidRDefault="00A72324" w:rsidP="00A72324">
      <w:pPr>
        <w:spacing w:before="120"/>
        <w:jc w:val="both"/>
        <w:rPr>
          <w:rFonts w:ascii="Times New Roman" w:hAnsi="Times New Roman" w:cs="Times New Roman"/>
          <w:b/>
          <w:bCs/>
          <w:sz w:val="22"/>
          <w:szCs w:val="22"/>
        </w:rPr>
      </w:pPr>
      <w:r>
        <w:rPr>
          <w:rFonts w:ascii="Times New Roman" w:hAnsi="Times New Roman" w:cs="Times New Roman"/>
          <w:b/>
          <w:bCs/>
          <w:sz w:val="22"/>
          <w:szCs w:val="22"/>
        </w:rPr>
        <w:t>Şekil 6. Türkiye’de Sektörlere Göre Brüt İhracattaki Katma Değerin Kökeni, 2015 (%)</w:t>
      </w:r>
    </w:p>
    <w:p w14:paraId="6765FC71" w14:textId="2B6EEBD5" w:rsidR="00A72324" w:rsidRDefault="00A72324" w:rsidP="00A72324">
      <w:pPr>
        <w:jc w:val="both"/>
        <w:rPr>
          <w:rFonts w:ascii="Times New Roman" w:hAnsi="Times New Roman" w:cs="Times New Roman"/>
        </w:rPr>
      </w:pPr>
      <w:r>
        <w:rPr>
          <w:rFonts w:ascii="Times New Roman" w:hAnsi="Times New Roman" w:cs="Times New Roman"/>
          <w:noProof/>
        </w:rPr>
        <w:drawing>
          <wp:inline distT="0" distB="0" distL="0" distR="0" wp14:anchorId="1541CA9C" wp14:editId="142A0783">
            <wp:extent cx="5676900" cy="2278380"/>
            <wp:effectExtent l="0" t="0" r="0" b="7620"/>
            <wp:docPr id="15" name="Grafik 15">
              <a:extLst xmlns:a="http://schemas.openxmlformats.org/drawingml/2006/main">
                <a:ext uri="{FF2B5EF4-FFF2-40B4-BE49-F238E27FC236}">
                  <a16:creationId xmlns:a16="http://schemas.microsoft.com/office/drawing/2014/main" id="{AA7A3426-7A32-0440-A4BE-ABF74E2AD7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926A8B" w14:textId="77777777" w:rsidR="00A72324" w:rsidRDefault="00A72324" w:rsidP="00A72324">
      <w:pPr>
        <w:jc w:val="both"/>
        <w:rPr>
          <w:rFonts w:ascii="Times New Roman" w:hAnsi="Times New Roman" w:cs="Times New Roman"/>
          <w:sz w:val="22"/>
          <w:szCs w:val="22"/>
        </w:rPr>
      </w:pPr>
      <w:r>
        <w:rPr>
          <w:rFonts w:ascii="Times New Roman" w:hAnsi="Times New Roman" w:cs="Times New Roman"/>
          <w:sz w:val="22"/>
          <w:szCs w:val="22"/>
        </w:rPr>
        <w:t xml:space="preserve">Kaynak: </w:t>
      </w:r>
      <w:bookmarkStart w:id="1" w:name="OLE_LINK1"/>
      <w:r>
        <w:rPr>
          <w:rFonts w:ascii="Times New Roman" w:hAnsi="Times New Roman" w:cs="Times New Roman"/>
          <w:sz w:val="22"/>
          <w:szCs w:val="22"/>
        </w:rPr>
        <w:t xml:space="preserve">OECD, </w:t>
      </w:r>
      <w:hyperlink r:id="rId23" w:history="1">
        <w:r>
          <w:rPr>
            <w:rStyle w:val="Kpr"/>
            <w:rFonts w:ascii="Times New Roman" w:hAnsi="Times New Roman" w:cs="Times New Roman"/>
            <w:sz w:val="22"/>
            <w:szCs w:val="22"/>
          </w:rPr>
          <w:t>https://stats.oecd.org/Index.aspx?datasetcode=TIVA_2018_C1</w:t>
        </w:r>
      </w:hyperlink>
      <w:r>
        <w:rPr>
          <w:rFonts w:ascii="Times New Roman" w:hAnsi="Times New Roman" w:cs="Times New Roman"/>
          <w:sz w:val="22"/>
          <w:szCs w:val="22"/>
        </w:rPr>
        <w:t>, 2020.</w:t>
      </w:r>
    </w:p>
    <w:bookmarkEnd w:id="1"/>
    <w:p w14:paraId="620E3B1F" w14:textId="77777777" w:rsidR="00A72324" w:rsidRDefault="00A72324" w:rsidP="00A72324">
      <w:pPr>
        <w:tabs>
          <w:tab w:val="num" w:pos="720"/>
        </w:tabs>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Türkiye’nin ihracatında en yüksek paya sahip sektörlerde yabancı ara malı kullanımı oldukça yüksektir. Özellikle bilgisayar, elektronik (%31,8), otomotiv (%25,9) ve makine (%24,1) gibi sermaye ve teknoloji yoğun sektörlerde ithal girdi kullanımı görece yüksek düzeydedir. Diğer ülkelerin ihracatında yerli katma değerin payının en yüksek olduğu sektör %3,3 ile otomotivdir. Yüksek teknoloji içeren ürünlerin ihracatında yaşanan dışa bağımlılık, Türkiye’nin nitelikli işgücü ve Ar-Ge yatırımlarında henüz yetersiz kaldığını göstermektedir. Tarım, madencilik ve tekstil gibi nispeten katma değeri düşük sektörlerde yerli girdi kullanımı yüksektir (Şekil 6). </w:t>
      </w:r>
    </w:p>
    <w:p w14:paraId="56FF124A"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Covid-19 Salgınının Ticaret, Yatırım ve Küresel Değer Zincirine Etkileri</w:t>
      </w:r>
    </w:p>
    <w:p w14:paraId="126D8EA8"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2019 yılı sonunda dünyayı ekonomik, sosyal ve özellikle sağlık gibi insanlığı tehdit eden birçok alanda etkisi altına alan Covid-19 salgını son yılların eşi görülmemiş insani gelişme krizini ortaya çıkarmıştır (</w:t>
      </w:r>
      <w:r>
        <w:rPr>
          <w:rFonts w:ascii="Times New Roman" w:hAnsi="Times New Roman" w:cs="Times New Roman"/>
          <w:lang w:val="en"/>
        </w:rPr>
        <w:t>UNEP</w:t>
      </w:r>
      <w:r>
        <w:rPr>
          <w:rFonts w:ascii="Times New Roman" w:hAnsi="Times New Roman" w:cs="Times New Roman"/>
        </w:rPr>
        <w:t xml:space="preserve">, 2020). Covid-19, dünya üzerinde toplumlar arasındaki adaletsizlikleri yükseltmekte, ekonominin istikrarsızlaşmasıyla birlikte birçok ülkede insan refahını ve insan haysiyetine yakışır yaşam koşullarını sağlamayı güçleştirmektedir (UNDP, 2020). Dünya Bankası baş ekonomisti </w:t>
      </w:r>
      <w:proofErr w:type="spellStart"/>
      <w:r>
        <w:rPr>
          <w:rFonts w:ascii="Times New Roman" w:hAnsi="Times New Roman" w:cs="Times New Roman"/>
        </w:rPr>
        <w:t>Carmen</w:t>
      </w:r>
      <w:proofErr w:type="spellEnd"/>
      <w:r>
        <w:rPr>
          <w:rFonts w:ascii="Times New Roman" w:hAnsi="Times New Roman" w:cs="Times New Roman"/>
        </w:rPr>
        <w:t xml:space="preserve"> </w:t>
      </w:r>
      <w:proofErr w:type="spellStart"/>
      <w:r>
        <w:rPr>
          <w:rFonts w:ascii="Times New Roman" w:hAnsi="Times New Roman" w:cs="Times New Roman"/>
        </w:rPr>
        <w:t>Reinhart’ın</w:t>
      </w:r>
      <w:proofErr w:type="spellEnd"/>
      <w:r>
        <w:rPr>
          <w:rFonts w:ascii="Times New Roman" w:hAnsi="Times New Roman" w:cs="Times New Roman"/>
        </w:rPr>
        <w:t xml:space="preserve"> tanımlamasıyla “Covid-19 salgını küreselleşmenin tabutuna çakılan son çivi” olarak nitelendirilmektedir. Bu söylemden de anlaşılacağı gibi, dünyayı etkisi altına alan salgın, küreselleşme tartışmalarını gündemde tutacaktır (Tekin Koru, 2020: 89). </w:t>
      </w:r>
      <w:proofErr w:type="spellStart"/>
      <w:r>
        <w:rPr>
          <w:rFonts w:ascii="Times New Roman" w:hAnsi="Times New Roman" w:cs="Times New Roman"/>
        </w:rPr>
        <w:t>Reinhart’a</w:t>
      </w:r>
      <w:proofErr w:type="spellEnd"/>
      <w:r>
        <w:rPr>
          <w:rFonts w:ascii="Times New Roman" w:hAnsi="Times New Roman" w:cs="Times New Roman"/>
        </w:rPr>
        <w:t xml:space="preserve"> göre, sağlık krizinin ekonomide yaratacağı hasarın ne kadar derin olacağı belirsizliğini korumaktadır. Son yıllarda dünyanın ilk kez bu denli yaygın ve derin bir problemle karşılaşmış olması, gelecekle ilgili tahmin yapmayı zorlaştırmaktadır. En azından, küresel üretimdeki ve dış ticaretteki daralmanın belirli bir süre daha devam edeceği öngörülebilir (Yazgan, 2020: 141). Ekonomilerdeki dalgalanmaların en önemli nedeni, küreselleşmenin ülkeler arasındaki bağımlılığı giderek artırmasıdır. Covid-19 krizi, bu bağımlılığı gün yüzüne çıkaran en önemli gelişmedir. Salgın döneminde ülkeler gıda ve sağlık sektöründeki birçok ürüne ihracat yasağı getirmiş, merkez bankaları aracılığı ile para arzını artırarak ekonomiyi canlı tutmaya çalışmıştır. Buna rağmen, uluslararası kurumların ve ülke yönetimlerinin iyi bir sınav verdiğinden bahsetmek oldukça zordur. Küresel bağımlılığın geldiği noktada, hiçbir ülke uluslararası bir kriz ya da salgının etkilerinden kaçamamaktadır.</w:t>
      </w:r>
    </w:p>
    <w:p w14:paraId="10067A7B"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Covid-19 salgını ile yaşanan talep ve arz yönlü şoklar dünyanın gelir kaybına uğramasına yol açmış, bu durum firmaların ekonomik kayıplarını yükseltmiştir. Bir firmanın ileriye dönük yani ara malı ihracatı yaparak </w:t>
      </w:r>
      <w:proofErr w:type="spellStart"/>
      <w:r>
        <w:rPr>
          <w:rFonts w:ascii="Times New Roman" w:hAnsi="Times New Roman" w:cs="Times New Roman"/>
        </w:rPr>
        <w:t>KDZ’ye</w:t>
      </w:r>
      <w:proofErr w:type="spellEnd"/>
      <w:r>
        <w:rPr>
          <w:rFonts w:ascii="Times New Roman" w:hAnsi="Times New Roman" w:cs="Times New Roman"/>
        </w:rPr>
        <w:t xml:space="preserve"> katılması talep şoku ile karşılaşmasına yol açmaktadır. </w:t>
      </w:r>
      <w:proofErr w:type="spellStart"/>
      <w:r>
        <w:rPr>
          <w:rFonts w:ascii="Times New Roman" w:hAnsi="Times New Roman" w:cs="Times New Roman"/>
        </w:rPr>
        <w:lastRenderedPageBreak/>
        <w:t>KDZ’ye</w:t>
      </w:r>
      <w:proofErr w:type="spellEnd"/>
      <w:r>
        <w:rPr>
          <w:rFonts w:ascii="Times New Roman" w:hAnsi="Times New Roman" w:cs="Times New Roman"/>
        </w:rPr>
        <w:t xml:space="preserve"> geriye dönük katılım sağlayan firmalar ise, girdi bulamamaları sebebiyle üretim aksaması yaşamakta ve arz yönlü şokların etkisi altında kalmaktadırlar (Yazgan, 2020: 154-155). Bununla birlikte, Covid-19 salgını sonrasında ülke sınırlarındaki gümrükleme faaliyetleri, lojistik süreçleri ve üretimdeki aksamalar </w:t>
      </w:r>
      <w:proofErr w:type="spellStart"/>
      <w:r>
        <w:rPr>
          <w:rFonts w:ascii="Times New Roman" w:hAnsi="Times New Roman" w:cs="Times New Roman"/>
        </w:rPr>
        <w:t>KDZ’de</w:t>
      </w:r>
      <w:proofErr w:type="spellEnd"/>
      <w:r>
        <w:rPr>
          <w:rFonts w:ascii="Times New Roman" w:hAnsi="Times New Roman" w:cs="Times New Roman"/>
        </w:rPr>
        <w:t xml:space="preserve"> olumsuzluğa neden olmaktadır (Tekin Koru, 2020: 91-93). Dolayısıyla her ülkenin uyguladığı dış ticaret politikası, diğer ülkeleri yakından ilgilendirmektedir. Serbest ticaret anlaşmaları gerçekleştiren, geriye ve ileriye dönük KDZ entegrasyonunu sürekli artıran Türkiye’nin kendini bu bağımlılıktan soyutlaması mümkün değildir. Bu çalışmanın uygulama kısmında, Türkiye ihracatının son yıllarda ortaya çıkan arz ve talep şoklarından ne ölçüde etkilendiği ortaya çıkarılmaya çalışılacaktır. </w:t>
      </w:r>
      <w:proofErr w:type="spellStart"/>
      <w:r>
        <w:rPr>
          <w:rFonts w:ascii="Times New Roman" w:hAnsi="Times New Roman" w:cs="Times New Roman"/>
        </w:rPr>
        <w:t>KDZ’ye</w:t>
      </w:r>
      <w:proofErr w:type="spellEnd"/>
      <w:r>
        <w:rPr>
          <w:rFonts w:ascii="Times New Roman" w:hAnsi="Times New Roman" w:cs="Times New Roman"/>
        </w:rPr>
        <w:t xml:space="preserve"> katılımın özellikle Türkiye’nin ihracatta rekabetçi olduğu bilgisayar, elektronik, otomotiv ve makine gibi sermaye ve teknoloji yoğun sektörlerde ithalata ve dolayısıyla dış şoklara bağımlılığını yükselttiği yadsınamaz bir gerçektir. OECD’nin KDZ veri seti 2005-2015 yıllarını kapsamakta, günümüze kadar gelmemektedir. Buna karşılık veriler, Türkiye’nin küresel entegrasyonu, ihracatta ithalata bağımlılığı ve kırılganlığı artırdığını göstermektedir. Sonuç olarak bu kırılganlığın Türkiye’nin ihracatına etkisi, </w:t>
      </w:r>
      <w:proofErr w:type="spellStart"/>
      <w:r>
        <w:rPr>
          <w:rFonts w:ascii="Times New Roman" w:hAnsi="Times New Roman" w:cs="Times New Roman"/>
        </w:rPr>
        <w:t>Covid</w:t>
      </w:r>
      <w:proofErr w:type="spellEnd"/>
      <w:r>
        <w:rPr>
          <w:rFonts w:ascii="Times New Roman" w:hAnsi="Times New Roman" w:cs="Times New Roman"/>
        </w:rPr>
        <w:t xml:space="preserve"> 19 salgınını da kapsayan 2014-2021 yılları arasında test edilmeye çalışılmıştır. </w:t>
      </w:r>
    </w:p>
    <w:p w14:paraId="6395840B" w14:textId="77777777" w:rsidR="00A72324" w:rsidRDefault="00A72324" w:rsidP="00A72324">
      <w:pPr>
        <w:pStyle w:val="ListeParagraf"/>
        <w:numPr>
          <w:ilvl w:val="0"/>
          <w:numId w:val="1"/>
        </w:numPr>
        <w:spacing w:before="120"/>
        <w:jc w:val="both"/>
        <w:rPr>
          <w:rFonts w:ascii="Times New Roman" w:hAnsi="Times New Roman" w:cs="Times New Roman"/>
          <w:b/>
          <w:bCs/>
        </w:rPr>
      </w:pPr>
      <w:r>
        <w:rPr>
          <w:rFonts w:ascii="Times New Roman" w:hAnsi="Times New Roman" w:cs="Times New Roman"/>
          <w:b/>
          <w:bCs/>
        </w:rPr>
        <w:t>Metodoloji ve Modelin Analiz Sonuçları</w:t>
      </w:r>
    </w:p>
    <w:p w14:paraId="79F77F25"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Çalışmanın ampirik analiz bölümünde, </w:t>
      </w:r>
      <w:proofErr w:type="spellStart"/>
      <w:r>
        <w:rPr>
          <w:rFonts w:ascii="Times New Roman" w:hAnsi="Times New Roman" w:cs="Times New Roman"/>
        </w:rPr>
        <w:t>KDZ’ye</w:t>
      </w:r>
      <w:proofErr w:type="spellEnd"/>
      <w:r>
        <w:rPr>
          <w:rFonts w:ascii="Times New Roman" w:hAnsi="Times New Roman" w:cs="Times New Roman"/>
        </w:rPr>
        <w:t xml:space="preserve"> katılım sürecinde olan Türkiye Ekonomisinin meydana gelen arz ve talep şokları karşısındaki değişimlerini incelenmektedir. Arz ve talep şoklarını temsil etmesi için model dahil edilen makro ekonomik değişkenler, geriye dönük ve ileriye dönük </w:t>
      </w:r>
      <w:proofErr w:type="spellStart"/>
      <w:r>
        <w:rPr>
          <w:rFonts w:ascii="Times New Roman" w:hAnsi="Times New Roman" w:cs="Times New Roman"/>
        </w:rPr>
        <w:t>KDZ’ye</w:t>
      </w:r>
      <w:proofErr w:type="spellEnd"/>
      <w:r>
        <w:rPr>
          <w:rFonts w:ascii="Times New Roman" w:hAnsi="Times New Roman" w:cs="Times New Roman"/>
        </w:rPr>
        <w:t xml:space="preserve"> katılım süreçlerinin Türkiye’nin ihracatı üzerindeki etkilerini göstermektedir. Modele dahil edilen makro ekonomik değişkenlerin seçiminde </w:t>
      </w:r>
      <w:proofErr w:type="spellStart"/>
      <w:r>
        <w:rPr>
          <w:rFonts w:ascii="Times New Roman" w:hAnsi="Times New Roman" w:cs="Times New Roman"/>
        </w:rPr>
        <w:t>Büchel</w:t>
      </w:r>
      <w:proofErr w:type="spellEnd"/>
      <w:r>
        <w:rPr>
          <w:rFonts w:ascii="Times New Roman" w:hAnsi="Times New Roman" w:cs="Times New Roman"/>
        </w:rPr>
        <w:t xml:space="preserve"> vd. (2020) çalışması referans alınmıştır. </w:t>
      </w:r>
      <w:proofErr w:type="spellStart"/>
      <w:r>
        <w:rPr>
          <w:rFonts w:ascii="Times New Roman" w:hAnsi="Times New Roman" w:cs="Times New Roman"/>
        </w:rPr>
        <w:t>Ekonometrik</w:t>
      </w:r>
      <w:proofErr w:type="spellEnd"/>
      <w:r>
        <w:rPr>
          <w:rFonts w:ascii="Times New Roman" w:hAnsi="Times New Roman" w:cs="Times New Roman"/>
        </w:rPr>
        <w:t xml:space="preserve"> analizde, Ocak 2014-Ocak 2021 dönemini kapsayan aylık veriler kullanılarak yapısal kırılmalı birim kök testi, yapısal kırılmalı </w:t>
      </w:r>
      <w:proofErr w:type="spellStart"/>
      <w:r>
        <w:rPr>
          <w:rFonts w:ascii="Times New Roman" w:hAnsi="Times New Roman" w:cs="Times New Roman"/>
        </w:rPr>
        <w:t>eşbütünleşme</w:t>
      </w:r>
      <w:proofErr w:type="spellEnd"/>
      <w:r>
        <w:rPr>
          <w:rFonts w:ascii="Times New Roman" w:hAnsi="Times New Roman" w:cs="Times New Roman"/>
        </w:rPr>
        <w:t xml:space="preserve"> testi ve uzun dönem katsayılarına ulaşmak için ARDL Sınır Testi uygulanmıştır. Çalışmanın analizinde aşağıdaki model tahmin edilmektedir.</w:t>
      </w:r>
    </w:p>
    <w:p w14:paraId="26D5B6E3" w14:textId="387C15DB" w:rsidR="00A72324" w:rsidRDefault="00A72324" w:rsidP="00A72324">
      <w:pPr>
        <w:rPr>
          <w:rFonts w:ascii="Times New Roman" w:eastAsiaTheme="minorEastAsia" w:hAnsi="Times New Roman" w:cs="Times New Roman"/>
        </w:rPr>
      </w:pPr>
      <w:r>
        <w:rPr>
          <w:noProof/>
        </w:rPr>
        <w:drawing>
          <wp:inline distT="0" distB="0" distL="0" distR="0" wp14:anchorId="180680F1" wp14:editId="492C0301">
            <wp:extent cx="4122420" cy="1981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22420" cy="198120"/>
                    </a:xfrm>
                    <a:prstGeom prst="rect">
                      <a:avLst/>
                    </a:prstGeom>
                    <a:noFill/>
                    <a:ln>
                      <a:noFill/>
                    </a:ln>
                  </pic:spPr>
                </pic:pic>
              </a:graphicData>
            </a:graphic>
          </wp:inline>
        </w:drawing>
      </w:r>
    </w:p>
    <w:p w14:paraId="6FD5F376"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Eşitlikte;</w:t>
      </w:r>
    </w:p>
    <w:p w14:paraId="7DE9DD44" w14:textId="77777777" w:rsidR="00A72324" w:rsidRDefault="00A72324" w:rsidP="00A72324">
      <w:pPr>
        <w:jc w:val="both"/>
        <w:rPr>
          <w:rFonts w:ascii="Times New Roman" w:hAnsi="Times New Roman" w:cs="Times New Roman"/>
          <w:i/>
          <w:iCs/>
        </w:rPr>
      </w:pPr>
      <w:r>
        <w:rPr>
          <w:rFonts w:ascii="Times New Roman" w:hAnsi="Times New Roman" w:cs="Times New Roman"/>
          <w:i/>
          <w:iCs/>
        </w:rPr>
        <w:t>EXP: İhracat Değeri (Türkiye)</w:t>
      </w:r>
    </w:p>
    <w:p w14:paraId="0FDA6D05" w14:textId="77777777" w:rsidR="00A72324" w:rsidRDefault="00A72324" w:rsidP="00A72324">
      <w:pPr>
        <w:jc w:val="both"/>
        <w:rPr>
          <w:rFonts w:ascii="Times New Roman" w:hAnsi="Times New Roman" w:cs="Times New Roman"/>
          <w:i/>
          <w:iCs/>
        </w:rPr>
      </w:pPr>
      <w:r>
        <w:rPr>
          <w:rFonts w:ascii="Times New Roman" w:hAnsi="Times New Roman" w:cs="Times New Roman"/>
          <w:i/>
          <w:iCs/>
        </w:rPr>
        <w:t>EXC: Reel Efektif Döviz Kuru (2003=100) (Türkiye)</w:t>
      </w:r>
    </w:p>
    <w:p w14:paraId="49952146" w14:textId="77777777" w:rsidR="00A72324" w:rsidRDefault="00A72324" w:rsidP="00A72324">
      <w:pPr>
        <w:jc w:val="both"/>
        <w:rPr>
          <w:rFonts w:ascii="Times New Roman" w:hAnsi="Times New Roman" w:cs="Times New Roman"/>
          <w:i/>
          <w:iCs/>
        </w:rPr>
      </w:pPr>
      <w:r>
        <w:rPr>
          <w:rFonts w:ascii="Times New Roman" w:hAnsi="Times New Roman" w:cs="Times New Roman"/>
          <w:i/>
          <w:iCs/>
        </w:rPr>
        <w:t>IMP: İthalat Değeri (Türkiye)</w:t>
      </w:r>
    </w:p>
    <w:p w14:paraId="792A46B4" w14:textId="77777777" w:rsidR="00A72324" w:rsidRDefault="00A72324" w:rsidP="00A72324">
      <w:pPr>
        <w:jc w:val="both"/>
        <w:rPr>
          <w:rFonts w:ascii="Times New Roman" w:hAnsi="Times New Roman" w:cs="Times New Roman"/>
          <w:i/>
          <w:iCs/>
        </w:rPr>
      </w:pPr>
      <w:r>
        <w:rPr>
          <w:rFonts w:ascii="Times New Roman" w:hAnsi="Times New Roman" w:cs="Times New Roman"/>
          <w:i/>
          <w:iCs/>
        </w:rPr>
        <w:t>IND</w:t>
      </w:r>
      <w:r>
        <w:rPr>
          <w:rFonts w:ascii="Times New Roman" w:hAnsi="Times New Roman" w:cs="Times New Roman"/>
          <w:i/>
          <w:iCs/>
          <w:vertAlign w:val="subscript"/>
        </w:rPr>
        <w:t>TR</w:t>
      </w:r>
      <w:r>
        <w:rPr>
          <w:rFonts w:ascii="Times New Roman" w:hAnsi="Times New Roman" w:cs="Times New Roman"/>
          <w:i/>
          <w:iCs/>
        </w:rPr>
        <w:t>: İmalat Sanayi Üretim Endeksi (Türkiye)</w:t>
      </w:r>
    </w:p>
    <w:p w14:paraId="65E76425" w14:textId="77777777" w:rsidR="00A72324" w:rsidRDefault="00A72324" w:rsidP="00A72324">
      <w:pPr>
        <w:jc w:val="both"/>
        <w:rPr>
          <w:rFonts w:ascii="Times New Roman" w:hAnsi="Times New Roman" w:cs="Times New Roman"/>
          <w:i/>
          <w:iCs/>
        </w:rPr>
      </w:pPr>
      <w:r>
        <w:rPr>
          <w:rFonts w:ascii="Times New Roman" w:hAnsi="Times New Roman" w:cs="Times New Roman"/>
          <w:i/>
          <w:iCs/>
        </w:rPr>
        <w:t>IND</w:t>
      </w:r>
      <w:r>
        <w:rPr>
          <w:rFonts w:ascii="Times New Roman" w:hAnsi="Times New Roman" w:cs="Times New Roman"/>
          <w:i/>
          <w:iCs/>
          <w:vertAlign w:val="subscript"/>
        </w:rPr>
        <w:t>OECD</w:t>
      </w:r>
      <w:r>
        <w:rPr>
          <w:rFonts w:ascii="Times New Roman" w:hAnsi="Times New Roman" w:cs="Times New Roman"/>
          <w:i/>
          <w:iCs/>
        </w:rPr>
        <w:t>: İmalat Sanayi Üretim Endeksi (OECD)</w:t>
      </w:r>
    </w:p>
    <w:p w14:paraId="78F9C9E9" w14:textId="77777777" w:rsidR="00A72324" w:rsidRDefault="00A72324" w:rsidP="00A72324">
      <w:pPr>
        <w:jc w:val="both"/>
        <w:rPr>
          <w:rFonts w:ascii="Times New Roman" w:hAnsi="Times New Roman" w:cs="Times New Roman"/>
          <w:i/>
          <w:iCs/>
        </w:rPr>
      </w:pPr>
      <w:r>
        <w:rPr>
          <w:rFonts w:ascii="Times New Roman" w:hAnsi="Times New Roman" w:cs="Times New Roman"/>
          <w:i/>
          <w:iCs/>
        </w:rPr>
        <w:t>CCI</w:t>
      </w:r>
      <w:r>
        <w:rPr>
          <w:rFonts w:ascii="Times New Roman" w:hAnsi="Times New Roman" w:cs="Times New Roman"/>
          <w:i/>
          <w:iCs/>
          <w:vertAlign w:val="subscript"/>
        </w:rPr>
        <w:t>TR</w:t>
      </w:r>
      <w:r>
        <w:rPr>
          <w:rFonts w:ascii="Times New Roman" w:hAnsi="Times New Roman" w:cs="Times New Roman"/>
          <w:i/>
          <w:iCs/>
        </w:rPr>
        <w:t>: Tüketici Güven Endeksi (Türkiye)</w:t>
      </w:r>
    </w:p>
    <w:p w14:paraId="21C3F41F" w14:textId="77777777" w:rsidR="00A72324" w:rsidRDefault="00A72324" w:rsidP="00A72324">
      <w:pPr>
        <w:jc w:val="both"/>
        <w:rPr>
          <w:rFonts w:ascii="Times New Roman" w:hAnsi="Times New Roman" w:cs="Times New Roman"/>
          <w:i/>
          <w:iCs/>
        </w:rPr>
      </w:pPr>
      <w:r>
        <w:rPr>
          <w:rFonts w:ascii="Times New Roman" w:hAnsi="Times New Roman" w:cs="Times New Roman"/>
          <w:i/>
          <w:iCs/>
        </w:rPr>
        <w:t>CCI</w:t>
      </w:r>
      <w:r>
        <w:rPr>
          <w:rFonts w:ascii="Times New Roman" w:hAnsi="Times New Roman" w:cs="Times New Roman"/>
          <w:i/>
          <w:iCs/>
          <w:vertAlign w:val="subscript"/>
        </w:rPr>
        <w:t>OECD</w:t>
      </w:r>
      <w:r>
        <w:rPr>
          <w:rFonts w:ascii="Times New Roman" w:hAnsi="Times New Roman" w:cs="Times New Roman"/>
          <w:i/>
          <w:iCs/>
        </w:rPr>
        <w:t>: Tüketici Güven Endeksi (OECD)</w:t>
      </w:r>
    </w:p>
    <w:p w14:paraId="75790221"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 xml:space="preserve">Uygulamada kullanılan veriler, aylık olarak </w:t>
      </w:r>
      <w:proofErr w:type="spellStart"/>
      <w:r>
        <w:rPr>
          <w:rFonts w:ascii="Times New Roman" w:hAnsi="Times New Roman" w:cs="Times New Roman"/>
        </w:rPr>
        <w:t>OECD.Stat</w:t>
      </w:r>
      <w:proofErr w:type="spellEnd"/>
      <w:r>
        <w:rPr>
          <w:rFonts w:ascii="Times New Roman" w:hAnsi="Times New Roman" w:cs="Times New Roman"/>
        </w:rPr>
        <w:t xml:space="preserve"> ve TCMB-EVDS veri bankalarından derlenmiştir.</w:t>
      </w:r>
    </w:p>
    <w:p w14:paraId="3E53A705" w14:textId="77777777" w:rsidR="00A72324" w:rsidRDefault="00A72324" w:rsidP="00A72324">
      <w:pPr>
        <w:pStyle w:val="ListeParagraf"/>
        <w:spacing w:before="120"/>
        <w:ind w:left="360"/>
        <w:jc w:val="both"/>
        <w:rPr>
          <w:rFonts w:ascii="Times New Roman" w:hAnsi="Times New Roman" w:cs="Times New Roman"/>
          <w:b/>
          <w:bCs/>
        </w:rPr>
      </w:pPr>
      <w:r>
        <w:rPr>
          <w:rFonts w:ascii="Times New Roman" w:hAnsi="Times New Roman" w:cs="Times New Roman"/>
          <w:b/>
          <w:bCs/>
        </w:rPr>
        <w:t>7.1. Birim Kök Testleri</w:t>
      </w:r>
    </w:p>
    <w:p w14:paraId="2A3B4E8C" w14:textId="77777777" w:rsidR="00A72324" w:rsidRDefault="00A72324" w:rsidP="00A72324">
      <w:pPr>
        <w:spacing w:before="120"/>
        <w:jc w:val="both"/>
        <w:rPr>
          <w:rFonts w:ascii="Times New Roman" w:hAnsi="Times New Roman" w:cs="Times New Roman"/>
        </w:rPr>
      </w:pPr>
      <w:r>
        <w:rPr>
          <w:rFonts w:ascii="Times New Roman" w:hAnsi="Times New Roman" w:cs="Times New Roman"/>
        </w:rPr>
        <w:t>Zaman serisi analizlerinde anlamlı ve güvenilir sonuçlara ulaşmak için ilk olarak, serilerin durağan durumda olup olmadığının test edilmesi gerekmektedir. Durağanlığın test edildiği trend içeren ekonomik değişkenlerde kırılmaların varlığı ve bunların dikkate alınması, ulaşılan sonuçların doğruluğu açısından büyük önem taşımaktadır. Lee-</w:t>
      </w:r>
      <w:proofErr w:type="spellStart"/>
      <w:r>
        <w:rPr>
          <w:rFonts w:ascii="Times New Roman" w:hAnsi="Times New Roman" w:cs="Times New Roman"/>
        </w:rPr>
        <w:t>Strazicich</w:t>
      </w:r>
      <w:proofErr w:type="spellEnd"/>
      <w:r>
        <w:rPr>
          <w:rFonts w:ascii="Times New Roman" w:hAnsi="Times New Roman" w:cs="Times New Roman"/>
        </w:rPr>
        <w:t xml:space="preserve"> (2003), uzun dönemli serilerde iki yapısal kırılmaya kadar izin veren birim kök analiz testidir. Ulaşılan t istatistiği değerleri ve λ</w:t>
      </w:r>
      <w:r>
        <w:rPr>
          <w:rFonts w:ascii="Times New Roman" w:hAnsi="Times New Roman" w:cs="Times New Roman"/>
          <w:vertAlign w:val="subscript"/>
        </w:rPr>
        <w:t>2</w:t>
      </w:r>
      <w:r>
        <w:rPr>
          <w:rFonts w:ascii="Times New Roman" w:hAnsi="Times New Roman" w:cs="Times New Roman"/>
        </w:rPr>
        <w:t xml:space="preserve"> sonuçları referans makaledeki sabitli-</w:t>
      </w:r>
      <w:proofErr w:type="spellStart"/>
      <w:r>
        <w:rPr>
          <w:rFonts w:ascii="Times New Roman" w:hAnsi="Times New Roman" w:cs="Times New Roman"/>
        </w:rPr>
        <w:t>trendli</w:t>
      </w:r>
      <w:proofErr w:type="spellEnd"/>
      <w:r>
        <w:rPr>
          <w:rFonts w:ascii="Times New Roman" w:hAnsi="Times New Roman" w:cs="Times New Roman"/>
        </w:rPr>
        <w:t xml:space="preserve"> ve iki yapısal kırılmalı model (MODEL C(II)) kritik değerleri ile karşılaştırılarak serilerin durağan olup olmadığı tahmin edilmektedir. Serilerde birim kök olduğu H</w:t>
      </w:r>
      <w:r>
        <w:rPr>
          <w:rFonts w:ascii="Times New Roman" w:hAnsi="Times New Roman" w:cs="Times New Roman"/>
          <w:vertAlign w:val="subscript"/>
        </w:rPr>
        <w:t>0</w:t>
      </w:r>
      <w:r>
        <w:rPr>
          <w:rFonts w:ascii="Times New Roman" w:hAnsi="Times New Roman" w:cs="Times New Roman"/>
        </w:rPr>
        <w:t xml:space="preserve"> hipotezi, t istatistiği değeri tablodaki %1 anlamlılık düzeyindeki kritik değerlerden daha büyük olduğunda reddedilmekte ve serilerin durağan </w:t>
      </w:r>
      <w:r>
        <w:rPr>
          <w:rFonts w:ascii="Times New Roman" w:hAnsi="Times New Roman" w:cs="Times New Roman"/>
        </w:rPr>
        <w:lastRenderedPageBreak/>
        <w:t>olduğu kabul edilmektedir. İki yapısal kırılmalı LM birim kök analizinin tahmin edilmesinde aşağıdaki eşitlik test edilmektedir.</w:t>
      </w:r>
    </w:p>
    <w:p w14:paraId="404121A2" w14:textId="4414C5E9" w:rsidR="00A72324" w:rsidRDefault="00A72324" w:rsidP="00A72324">
      <w:pPr>
        <w:spacing w:before="120"/>
        <w:jc w:val="both"/>
        <w:rPr>
          <w:rFonts w:ascii="Times New Roman" w:eastAsiaTheme="minorEastAsia" w:hAnsi="Times New Roman" w:cs="Times New Roman"/>
        </w:rPr>
      </w:pPr>
      <w:r>
        <w:rPr>
          <w:noProof/>
        </w:rPr>
        <w:drawing>
          <wp:inline distT="0" distB="0" distL="0" distR="0" wp14:anchorId="4C8D4EDA" wp14:editId="5AA9EDCD">
            <wp:extent cx="1668780" cy="182880"/>
            <wp:effectExtent l="0" t="0" r="7620" b="762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68780" cy="182880"/>
                    </a:xfrm>
                    <a:prstGeom prst="rect">
                      <a:avLst/>
                    </a:prstGeom>
                    <a:noFill/>
                    <a:ln>
                      <a:noFill/>
                    </a:ln>
                  </pic:spPr>
                </pic:pic>
              </a:graphicData>
            </a:graphic>
          </wp:inline>
        </w:drawing>
      </w:r>
    </w:p>
    <w:p w14:paraId="1DB4165A" w14:textId="181A2D9C" w:rsidR="00A72324" w:rsidRDefault="00A72324" w:rsidP="00A72324">
      <w:pPr>
        <w:spacing w:before="120"/>
        <w:jc w:val="both"/>
        <w:rPr>
          <w:rFonts w:ascii="Times New Roman" w:eastAsiaTheme="minorEastAsia" w:hAnsi="Times New Roman" w:cs="Times New Roman"/>
        </w:rPr>
      </w:pPr>
      <w:r>
        <w:rPr>
          <w:rFonts w:ascii="Times New Roman" w:eastAsiaTheme="minorEastAsia" w:hAnsi="Times New Roman" w:cs="Times New Roman"/>
        </w:rPr>
        <w:t xml:space="preserve">Eşitlikte </w:t>
      </w:r>
      <w:r>
        <w:rPr>
          <w:noProof/>
          <w:position w:val="-5"/>
        </w:rPr>
        <w:drawing>
          <wp:inline distT="0" distB="0" distL="0" distR="0" wp14:anchorId="6416EEF7" wp14:editId="2758E371">
            <wp:extent cx="2209800" cy="1905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09800" cy="190500"/>
                    </a:xfrm>
                    <a:prstGeom prst="rect">
                      <a:avLst/>
                    </a:prstGeom>
                    <a:noFill/>
                    <a:ln>
                      <a:noFill/>
                    </a:ln>
                  </pic:spPr>
                </pic:pic>
              </a:graphicData>
            </a:graphic>
          </wp:inline>
        </w:drawing>
      </w:r>
      <w:r>
        <w:rPr>
          <w:rFonts w:ascii="Times New Roman" w:hAnsi="Times New Roman" w:cs="Times New Roman"/>
        </w:rPr>
        <w:t xml:space="preserve">  değişkenleri </w:t>
      </w:r>
      <w:r>
        <w:rPr>
          <w:noProof/>
          <w:position w:val="-5"/>
        </w:rPr>
        <w:drawing>
          <wp:inline distT="0" distB="0" distL="0" distR="0" wp14:anchorId="5EDA578A" wp14:editId="15E9AF6A">
            <wp:extent cx="228600" cy="17526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pic:cNvPicPr>
                      <a:picLocks noChangeAspect="1" noChangeArrowheads="1"/>
                    </pic:cNvPicPr>
                  </pic:nvPicPr>
                  <pic:blipFill>
                    <a:blip r:embed="rId2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8600" cy="175260"/>
                    </a:xfrm>
                    <a:prstGeom prst="rect">
                      <a:avLst/>
                    </a:prstGeom>
                    <a:noFill/>
                    <a:ln>
                      <a:noFill/>
                    </a:ln>
                  </pic:spPr>
                </pic:pic>
              </a:graphicData>
            </a:graphic>
          </wp:inline>
        </w:drawing>
      </w:r>
      <w:r>
        <w:rPr>
          <w:rFonts w:ascii="Times New Roman" w:eastAsiaTheme="minorEastAsia" w:hAnsi="Times New Roman" w:cs="Times New Roman"/>
        </w:rPr>
        <w:t xml:space="preserve"> için regresyon katsayılarıdır. Birim kök boş hipotezi </w:t>
      </w:r>
      <w:r>
        <w:rPr>
          <w:noProof/>
          <w:position w:val="-5"/>
        </w:rPr>
        <w:drawing>
          <wp:inline distT="0" distB="0" distL="0" distR="0" wp14:anchorId="795D32DA" wp14:editId="7B2CA1B0">
            <wp:extent cx="381000" cy="1752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81000" cy="175260"/>
                    </a:xfrm>
                    <a:prstGeom prst="rect">
                      <a:avLst/>
                    </a:prstGeom>
                    <a:noFill/>
                    <a:ln>
                      <a:noFill/>
                    </a:ln>
                  </pic:spPr>
                </pic:pic>
              </a:graphicData>
            </a:graphic>
          </wp:inline>
        </w:drawing>
      </w:r>
      <w:r>
        <w:rPr>
          <w:rFonts w:ascii="Times New Roman" w:eastAsiaTheme="minorEastAsia" w:hAnsi="Times New Roman" w:cs="Times New Roman"/>
        </w:rPr>
        <w:t xml:space="preserve"> olarak verilmiştir ve LM test istatistiği ile karşılaştırılır. LM test istatistiğinin karşılaştırıldığı </w:t>
      </w:r>
      <w:r>
        <w:rPr>
          <w:noProof/>
          <w:position w:val="-5"/>
        </w:rPr>
        <w:drawing>
          <wp:inline distT="0" distB="0" distL="0" distR="0" wp14:anchorId="0774E0B7" wp14:editId="5C483D38">
            <wp:extent cx="266700" cy="17526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9"/>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66700" cy="175260"/>
                    </a:xfrm>
                    <a:prstGeom prst="rect">
                      <a:avLst/>
                    </a:prstGeom>
                    <a:noFill/>
                    <a:ln>
                      <a:noFill/>
                    </a:ln>
                  </pic:spPr>
                </pic:pic>
              </a:graphicData>
            </a:graphic>
          </wp:inline>
        </w:drawing>
      </w:r>
      <w:r>
        <w:rPr>
          <w:rFonts w:ascii="Times New Roman" w:eastAsiaTheme="minorEastAsia" w:hAnsi="Times New Roman" w:cs="Times New Roman"/>
        </w:rPr>
        <w:t xml:space="preserve"> kritik değerleri T=100 olması durumunda 20.000 </w:t>
      </w:r>
      <w:proofErr w:type="spellStart"/>
      <w:r>
        <w:rPr>
          <w:rFonts w:ascii="Times New Roman" w:eastAsiaTheme="minorEastAsia" w:hAnsi="Times New Roman" w:cs="Times New Roman"/>
        </w:rPr>
        <w:t>iterasyon</w:t>
      </w:r>
      <w:proofErr w:type="spellEnd"/>
      <w:r>
        <w:rPr>
          <w:rFonts w:ascii="Times New Roman" w:eastAsiaTheme="minorEastAsia" w:hAnsi="Times New Roman" w:cs="Times New Roman"/>
        </w:rPr>
        <w:t xml:space="preserve"> ile ulaşılan değerlerdir. </w:t>
      </w:r>
    </w:p>
    <w:p w14:paraId="20CA2DA6" w14:textId="77777777" w:rsidR="00A72324" w:rsidRDefault="00A72324" w:rsidP="00A72324">
      <w:pPr>
        <w:spacing w:before="120"/>
        <w:jc w:val="both"/>
        <w:rPr>
          <w:rFonts w:ascii="Times New Roman" w:hAnsi="Times New Roman" w:cs="Times New Roman"/>
          <w:b/>
          <w:bCs/>
          <w:sz w:val="22"/>
          <w:szCs w:val="22"/>
        </w:rPr>
      </w:pPr>
      <w:r>
        <w:rPr>
          <w:rFonts w:ascii="Times New Roman" w:hAnsi="Times New Roman" w:cs="Times New Roman"/>
          <w:b/>
          <w:bCs/>
          <w:sz w:val="22"/>
          <w:szCs w:val="22"/>
        </w:rPr>
        <w:t xml:space="preserve">Tablo 1. LS İki Yapısal Kırılmalı </w:t>
      </w:r>
      <w:proofErr w:type="spellStart"/>
      <w:r>
        <w:rPr>
          <w:rFonts w:ascii="Times New Roman" w:hAnsi="Times New Roman" w:cs="Times New Roman"/>
          <w:b/>
          <w:bCs/>
          <w:sz w:val="22"/>
          <w:szCs w:val="22"/>
        </w:rPr>
        <w:t>Min</w:t>
      </w:r>
      <w:proofErr w:type="spellEnd"/>
      <w:r>
        <w:rPr>
          <w:rFonts w:ascii="Times New Roman" w:hAnsi="Times New Roman" w:cs="Times New Roman"/>
          <w:b/>
          <w:bCs/>
          <w:sz w:val="22"/>
          <w:szCs w:val="22"/>
        </w:rPr>
        <w:t xml:space="preserve"> LM ve KPSS Birim Kök Test Sonuçları </w:t>
      </w:r>
    </w:p>
    <w:tbl>
      <w:tblPr>
        <w:tblStyle w:val="TabloKlavuzu"/>
        <w:tblW w:w="0" w:type="auto"/>
        <w:tblInd w:w="-5" w:type="dxa"/>
        <w:tblLook w:val="04A0" w:firstRow="1" w:lastRow="0" w:firstColumn="1" w:lastColumn="0" w:noHBand="0" w:noVBand="1"/>
      </w:tblPr>
      <w:tblGrid>
        <w:gridCol w:w="1798"/>
        <w:gridCol w:w="1297"/>
        <w:gridCol w:w="1660"/>
        <w:gridCol w:w="2736"/>
      </w:tblGrid>
      <w:tr w:rsidR="00A72324" w14:paraId="7560510A" w14:textId="77777777" w:rsidTr="00A72324">
        <w:trPr>
          <w:trHeight w:val="245"/>
        </w:trPr>
        <w:tc>
          <w:tcPr>
            <w:tcW w:w="1798" w:type="dxa"/>
            <w:tcBorders>
              <w:top w:val="single" w:sz="4" w:space="0" w:color="auto"/>
              <w:left w:val="single" w:sz="4" w:space="0" w:color="auto"/>
              <w:bottom w:val="single" w:sz="4" w:space="0" w:color="auto"/>
              <w:right w:val="nil"/>
            </w:tcBorders>
          </w:tcPr>
          <w:p w14:paraId="07460091" w14:textId="77777777" w:rsidR="00A72324" w:rsidRDefault="00A72324">
            <w:pPr>
              <w:jc w:val="both"/>
              <w:rPr>
                <w:rFonts w:ascii="Times New Roman" w:hAnsi="Times New Roman" w:cs="Times New Roman"/>
                <w:sz w:val="20"/>
                <w:szCs w:val="20"/>
              </w:rPr>
            </w:pPr>
          </w:p>
        </w:tc>
        <w:tc>
          <w:tcPr>
            <w:tcW w:w="5693" w:type="dxa"/>
            <w:gridSpan w:val="3"/>
            <w:tcBorders>
              <w:top w:val="single" w:sz="4" w:space="0" w:color="auto"/>
              <w:left w:val="nil"/>
              <w:bottom w:val="single" w:sz="4" w:space="0" w:color="auto"/>
              <w:right w:val="single" w:sz="4" w:space="0" w:color="auto"/>
            </w:tcBorders>
            <w:hideMark/>
          </w:tcPr>
          <w:p w14:paraId="23906430"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LS</w:t>
            </w:r>
          </w:p>
        </w:tc>
      </w:tr>
      <w:tr w:rsidR="00A72324" w14:paraId="2A2268D5" w14:textId="77777777" w:rsidTr="00A72324">
        <w:trPr>
          <w:trHeight w:val="505"/>
        </w:trPr>
        <w:tc>
          <w:tcPr>
            <w:tcW w:w="1798" w:type="dxa"/>
            <w:tcBorders>
              <w:top w:val="single" w:sz="4" w:space="0" w:color="auto"/>
              <w:left w:val="single" w:sz="4" w:space="0" w:color="auto"/>
              <w:bottom w:val="single" w:sz="4" w:space="0" w:color="auto"/>
              <w:right w:val="nil"/>
            </w:tcBorders>
          </w:tcPr>
          <w:p w14:paraId="0B11D10A" w14:textId="77777777" w:rsidR="00A72324" w:rsidRDefault="00A72324">
            <w:pPr>
              <w:jc w:val="both"/>
              <w:rPr>
                <w:rFonts w:ascii="Times New Roman" w:hAnsi="Times New Roman" w:cs="Times New Roman"/>
                <w:sz w:val="20"/>
                <w:szCs w:val="20"/>
              </w:rPr>
            </w:pPr>
          </w:p>
        </w:tc>
        <w:tc>
          <w:tcPr>
            <w:tcW w:w="1297" w:type="dxa"/>
            <w:tcBorders>
              <w:top w:val="single" w:sz="4" w:space="0" w:color="auto"/>
              <w:left w:val="nil"/>
              <w:bottom w:val="single" w:sz="4" w:space="0" w:color="auto"/>
              <w:right w:val="nil"/>
            </w:tcBorders>
            <w:hideMark/>
          </w:tcPr>
          <w:p w14:paraId="458D2F65"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LM Test İstatistiği</w:t>
            </w:r>
          </w:p>
        </w:tc>
        <w:tc>
          <w:tcPr>
            <w:tcW w:w="1660" w:type="dxa"/>
            <w:tcBorders>
              <w:top w:val="single" w:sz="4" w:space="0" w:color="auto"/>
              <w:left w:val="nil"/>
              <w:bottom w:val="single" w:sz="4" w:space="0" w:color="auto"/>
              <w:right w:val="nil"/>
            </w:tcBorders>
            <w:hideMark/>
          </w:tcPr>
          <w:p w14:paraId="54600976" w14:textId="678B4E1F" w:rsidR="00A72324" w:rsidRDefault="00A72324">
            <w:pPr>
              <w:jc w:val="center"/>
              <w:rPr>
                <w:rFonts w:ascii="Times New Roman" w:hAnsi="Times New Roman" w:cs="Times New Roman"/>
                <w:b/>
                <w:bCs/>
                <w:sz w:val="20"/>
                <w:szCs w:val="20"/>
              </w:rPr>
            </w:pPr>
            <w:r>
              <w:rPr>
                <w:noProof/>
              </w:rPr>
              <w:drawing>
                <wp:inline distT="0" distB="0" distL="0" distR="0" wp14:anchorId="29DD885A" wp14:editId="6218ABFF">
                  <wp:extent cx="236220" cy="1524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3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52400"/>
                          </a:xfrm>
                          <a:prstGeom prst="rect">
                            <a:avLst/>
                          </a:prstGeom>
                          <a:noFill/>
                          <a:ln>
                            <a:noFill/>
                          </a:ln>
                        </pic:spPr>
                      </pic:pic>
                    </a:graphicData>
                  </a:graphic>
                </wp:inline>
              </w:drawing>
            </w:r>
          </w:p>
        </w:tc>
        <w:tc>
          <w:tcPr>
            <w:tcW w:w="2736" w:type="dxa"/>
            <w:tcBorders>
              <w:top w:val="single" w:sz="4" w:space="0" w:color="auto"/>
              <w:left w:val="nil"/>
              <w:bottom w:val="single" w:sz="4" w:space="0" w:color="auto"/>
              <w:right w:val="single" w:sz="4" w:space="0" w:color="auto"/>
            </w:tcBorders>
            <w:hideMark/>
          </w:tcPr>
          <w:p w14:paraId="0357D08F"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Kırılma Noktaları</w:t>
            </w:r>
          </w:p>
          <w:p w14:paraId="5AE8A583"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(D</w:t>
            </w:r>
            <w:r>
              <w:rPr>
                <w:rFonts w:ascii="Times New Roman" w:hAnsi="Times New Roman" w:cs="Times New Roman"/>
                <w:b/>
                <w:bCs/>
                <w:sz w:val="20"/>
                <w:szCs w:val="20"/>
                <w:vertAlign w:val="subscript"/>
              </w:rPr>
              <w:t>1t</w:t>
            </w:r>
            <w:r>
              <w:rPr>
                <w:rFonts w:ascii="Times New Roman" w:hAnsi="Times New Roman" w:cs="Times New Roman"/>
                <w:b/>
                <w:bCs/>
                <w:sz w:val="20"/>
                <w:szCs w:val="20"/>
              </w:rPr>
              <w:t>-D</w:t>
            </w:r>
            <w:r>
              <w:rPr>
                <w:rFonts w:ascii="Times New Roman" w:hAnsi="Times New Roman" w:cs="Times New Roman"/>
                <w:b/>
                <w:bCs/>
                <w:sz w:val="20"/>
                <w:szCs w:val="20"/>
                <w:vertAlign w:val="subscript"/>
              </w:rPr>
              <w:t>2t</w:t>
            </w:r>
            <w:r>
              <w:rPr>
                <w:rFonts w:ascii="Times New Roman" w:hAnsi="Times New Roman" w:cs="Times New Roman"/>
                <w:b/>
                <w:bCs/>
                <w:sz w:val="20"/>
                <w:szCs w:val="20"/>
              </w:rPr>
              <w:t>)</w:t>
            </w:r>
          </w:p>
        </w:tc>
      </w:tr>
      <w:tr w:rsidR="00A72324" w14:paraId="34729368"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051C8FD8"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EXP</w:t>
            </w:r>
          </w:p>
        </w:tc>
        <w:tc>
          <w:tcPr>
            <w:tcW w:w="1297" w:type="dxa"/>
            <w:tcBorders>
              <w:top w:val="single" w:sz="4" w:space="0" w:color="auto"/>
              <w:left w:val="nil"/>
              <w:bottom w:val="single" w:sz="4" w:space="0" w:color="auto"/>
              <w:right w:val="nil"/>
            </w:tcBorders>
            <w:hideMark/>
          </w:tcPr>
          <w:p w14:paraId="33C70A7E"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-7,74*</w:t>
            </w:r>
          </w:p>
        </w:tc>
        <w:tc>
          <w:tcPr>
            <w:tcW w:w="1660" w:type="dxa"/>
            <w:tcBorders>
              <w:top w:val="single" w:sz="4" w:space="0" w:color="auto"/>
              <w:left w:val="nil"/>
              <w:bottom w:val="single" w:sz="4" w:space="0" w:color="auto"/>
              <w:right w:val="nil"/>
            </w:tcBorders>
            <w:hideMark/>
          </w:tcPr>
          <w:p w14:paraId="75EA400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-6,45</w:t>
            </w:r>
          </w:p>
        </w:tc>
        <w:tc>
          <w:tcPr>
            <w:tcW w:w="2736" w:type="dxa"/>
            <w:tcBorders>
              <w:top w:val="single" w:sz="4" w:space="0" w:color="auto"/>
              <w:left w:val="nil"/>
              <w:bottom w:val="single" w:sz="4" w:space="0" w:color="auto"/>
              <w:right w:val="single" w:sz="4" w:space="0" w:color="auto"/>
            </w:tcBorders>
            <w:hideMark/>
          </w:tcPr>
          <w:p w14:paraId="36A6B4CB"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 2016-Haz. 2019</w:t>
            </w:r>
          </w:p>
        </w:tc>
      </w:tr>
      <w:tr w:rsidR="00A72324" w14:paraId="43C3C0A4"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2A8DD772"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EXC</w:t>
            </w:r>
          </w:p>
        </w:tc>
        <w:tc>
          <w:tcPr>
            <w:tcW w:w="1297" w:type="dxa"/>
            <w:tcBorders>
              <w:top w:val="single" w:sz="4" w:space="0" w:color="auto"/>
              <w:left w:val="nil"/>
              <w:bottom w:val="single" w:sz="4" w:space="0" w:color="auto"/>
              <w:right w:val="nil"/>
            </w:tcBorders>
            <w:hideMark/>
          </w:tcPr>
          <w:p w14:paraId="1E8F020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-8,38*</w:t>
            </w:r>
          </w:p>
        </w:tc>
        <w:tc>
          <w:tcPr>
            <w:tcW w:w="1660" w:type="dxa"/>
            <w:tcBorders>
              <w:top w:val="single" w:sz="4" w:space="0" w:color="auto"/>
              <w:left w:val="nil"/>
              <w:bottom w:val="single" w:sz="4" w:space="0" w:color="auto"/>
              <w:right w:val="nil"/>
            </w:tcBorders>
            <w:hideMark/>
          </w:tcPr>
          <w:p w14:paraId="6F4CFF82"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-6,41</w:t>
            </w:r>
          </w:p>
        </w:tc>
        <w:tc>
          <w:tcPr>
            <w:tcW w:w="2736" w:type="dxa"/>
            <w:tcBorders>
              <w:top w:val="single" w:sz="4" w:space="0" w:color="auto"/>
              <w:left w:val="nil"/>
              <w:bottom w:val="single" w:sz="4" w:space="0" w:color="auto"/>
              <w:right w:val="single" w:sz="4" w:space="0" w:color="auto"/>
            </w:tcBorders>
            <w:hideMark/>
          </w:tcPr>
          <w:p w14:paraId="77F316EF"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 2016-Haz. 2019</w:t>
            </w:r>
          </w:p>
        </w:tc>
      </w:tr>
      <w:tr w:rsidR="00A72324" w14:paraId="1D5F4BB1"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47C22A1F"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IMP</w:t>
            </w:r>
          </w:p>
        </w:tc>
        <w:tc>
          <w:tcPr>
            <w:tcW w:w="1297" w:type="dxa"/>
            <w:tcBorders>
              <w:top w:val="single" w:sz="4" w:space="0" w:color="auto"/>
              <w:left w:val="nil"/>
              <w:bottom w:val="single" w:sz="4" w:space="0" w:color="auto"/>
              <w:right w:val="nil"/>
            </w:tcBorders>
            <w:hideMark/>
          </w:tcPr>
          <w:p w14:paraId="7ED6B93B"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-12,46*</w:t>
            </w:r>
          </w:p>
        </w:tc>
        <w:tc>
          <w:tcPr>
            <w:tcW w:w="1660" w:type="dxa"/>
            <w:tcBorders>
              <w:top w:val="single" w:sz="4" w:space="0" w:color="auto"/>
              <w:left w:val="nil"/>
              <w:bottom w:val="single" w:sz="4" w:space="0" w:color="auto"/>
              <w:right w:val="nil"/>
            </w:tcBorders>
            <w:hideMark/>
          </w:tcPr>
          <w:p w14:paraId="0E8D01B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-6,16</w:t>
            </w:r>
          </w:p>
        </w:tc>
        <w:tc>
          <w:tcPr>
            <w:tcW w:w="2736" w:type="dxa"/>
            <w:tcBorders>
              <w:top w:val="single" w:sz="4" w:space="0" w:color="auto"/>
              <w:left w:val="nil"/>
              <w:bottom w:val="single" w:sz="4" w:space="0" w:color="auto"/>
              <w:right w:val="single" w:sz="4" w:space="0" w:color="auto"/>
            </w:tcBorders>
            <w:hideMark/>
          </w:tcPr>
          <w:p w14:paraId="5286EDD8"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 2016-Haz.2017</w:t>
            </w:r>
          </w:p>
        </w:tc>
      </w:tr>
      <w:tr w:rsidR="00A72324" w14:paraId="079978F2"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6BE77F11"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PIND(TR)</w:t>
            </w:r>
          </w:p>
        </w:tc>
        <w:tc>
          <w:tcPr>
            <w:tcW w:w="1297" w:type="dxa"/>
            <w:tcBorders>
              <w:top w:val="single" w:sz="4" w:space="0" w:color="auto"/>
              <w:left w:val="nil"/>
              <w:bottom w:val="single" w:sz="4" w:space="0" w:color="auto"/>
              <w:right w:val="nil"/>
            </w:tcBorders>
            <w:hideMark/>
          </w:tcPr>
          <w:p w14:paraId="2B02B11A"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-11,77*</w:t>
            </w:r>
          </w:p>
        </w:tc>
        <w:tc>
          <w:tcPr>
            <w:tcW w:w="1660" w:type="dxa"/>
            <w:tcBorders>
              <w:top w:val="single" w:sz="4" w:space="0" w:color="auto"/>
              <w:left w:val="nil"/>
              <w:bottom w:val="single" w:sz="4" w:space="0" w:color="auto"/>
              <w:right w:val="nil"/>
            </w:tcBorders>
            <w:hideMark/>
          </w:tcPr>
          <w:p w14:paraId="21510B16"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-6,45</w:t>
            </w:r>
          </w:p>
        </w:tc>
        <w:tc>
          <w:tcPr>
            <w:tcW w:w="2736" w:type="dxa"/>
            <w:tcBorders>
              <w:top w:val="single" w:sz="4" w:space="0" w:color="auto"/>
              <w:left w:val="nil"/>
              <w:bottom w:val="single" w:sz="4" w:space="0" w:color="auto"/>
              <w:right w:val="single" w:sz="4" w:space="0" w:color="auto"/>
            </w:tcBorders>
            <w:hideMark/>
          </w:tcPr>
          <w:p w14:paraId="3D23204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 2018-Nis. 2019</w:t>
            </w:r>
          </w:p>
        </w:tc>
      </w:tr>
      <w:tr w:rsidR="00A72324" w14:paraId="3CE5E7A0" w14:textId="77777777" w:rsidTr="00A72324">
        <w:trPr>
          <w:trHeight w:val="259"/>
        </w:trPr>
        <w:tc>
          <w:tcPr>
            <w:tcW w:w="1798" w:type="dxa"/>
            <w:tcBorders>
              <w:top w:val="single" w:sz="4" w:space="0" w:color="auto"/>
              <w:left w:val="single" w:sz="4" w:space="0" w:color="auto"/>
              <w:bottom w:val="single" w:sz="4" w:space="0" w:color="auto"/>
              <w:right w:val="nil"/>
            </w:tcBorders>
            <w:hideMark/>
          </w:tcPr>
          <w:p w14:paraId="25C17DC9"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PIND(OECD)</w:t>
            </w:r>
          </w:p>
        </w:tc>
        <w:tc>
          <w:tcPr>
            <w:tcW w:w="1297" w:type="dxa"/>
            <w:tcBorders>
              <w:top w:val="single" w:sz="4" w:space="0" w:color="auto"/>
              <w:left w:val="nil"/>
              <w:bottom w:val="single" w:sz="4" w:space="0" w:color="auto"/>
              <w:right w:val="nil"/>
            </w:tcBorders>
            <w:hideMark/>
          </w:tcPr>
          <w:p w14:paraId="0B033F65"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-15,76*</w:t>
            </w:r>
          </w:p>
        </w:tc>
        <w:tc>
          <w:tcPr>
            <w:tcW w:w="1660" w:type="dxa"/>
            <w:tcBorders>
              <w:top w:val="single" w:sz="4" w:space="0" w:color="auto"/>
              <w:left w:val="nil"/>
              <w:bottom w:val="single" w:sz="4" w:space="0" w:color="auto"/>
              <w:right w:val="nil"/>
            </w:tcBorders>
            <w:hideMark/>
          </w:tcPr>
          <w:p w14:paraId="16A3C216"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-6,45</w:t>
            </w:r>
          </w:p>
        </w:tc>
        <w:tc>
          <w:tcPr>
            <w:tcW w:w="2736" w:type="dxa"/>
            <w:tcBorders>
              <w:top w:val="single" w:sz="4" w:space="0" w:color="auto"/>
              <w:left w:val="nil"/>
              <w:bottom w:val="single" w:sz="4" w:space="0" w:color="auto"/>
              <w:right w:val="single" w:sz="4" w:space="0" w:color="auto"/>
            </w:tcBorders>
            <w:hideMark/>
          </w:tcPr>
          <w:p w14:paraId="235988E8"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Kas. 2018-Nis. 2019</w:t>
            </w:r>
          </w:p>
        </w:tc>
      </w:tr>
      <w:tr w:rsidR="00A72324" w14:paraId="184C04C9"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5AF3B991"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CCI(TR)</w:t>
            </w:r>
          </w:p>
        </w:tc>
        <w:tc>
          <w:tcPr>
            <w:tcW w:w="1297" w:type="dxa"/>
            <w:tcBorders>
              <w:top w:val="single" w:sz="4" w:space="0" w:color="auto"/>
              <w:left w:val="nil"/>
              <w:bottom w:val="single" w:sz="4" w:space="0" w:color="auto"/>
              <w:right w:val="nil"/>
            </w:tcBorders>
            <w:hideMark/>
          </w:tcPr>
          <w:p w14:paraId="5322E4B7"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-11,56*</w:t>
            </w:r>
          </w:p>
        </w:tc>
        <w:tc>
          <w:tcPr>
            <w:tcW w:w="1660" w:type="dxa"/>
            <w:tcBorders>
              <w:top w:val="single" w:sz="4" w:space="0" w:color="auto"/>
              <w:left w:val="nil"/>
              <w:bottom w:val="single" w:sz="4" w:space="0" w:color="auto"/>
              <w:right w:val="nil"/>
            </w:tcBorders>
            <w:hideMark/>
          </w:tcPr>
          <w:p w14:paraId="7CAD0FAD"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-6,41</w:t>
            </w:r>
          </w:p>
        </w:tc>
        <w:tc>
          <w:tcPr>
            <w:tcW w:w="2736" w:type="dxa"/>
            <w:tcBorders>
              <w:top w:val="single" w:sz="4" w:space="0" w:color="auto"/>
              <w:left w:val="nil"/>
              <w:bottom w:val="single" w:sz="4" w:space="0" w:color="auto"/>
              <w:right w:val="single" w:sz="4" w:space="0" w:color="auto"/>
            </w:tcBorders>
            <w:hideMark/>
          </w:tcPr>
          <w:p w14:paraId="163F5FD4"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Haz. 2016-Ağu. 2019</w:t>
            </w:r>
          </w:p>
        </w:tc>
      </w:tr>
      <w:tr w:rsidR="00A72324" w14:paraId="2790B921" w14:textId="77777777" w:rsidTr="00A72324">
        <w:trPr>
          <w:trHeight w:val="245"/>
        </w:trPr>
        <w:tc>
          <w:tcPr>
            <w:tcW w:w="1798" w:type="dxa"/>
            <w:tcBorders>
              <w:top w:val="single" w:sz="4" w:space="0" w:color="auto"/>
              <w:left w:val="single" w:sz="4" w:space="0" w:color="auto"/>
              <w:bottom w:val="single" w:sz="4" w:space="0" w:color="auto"/>
              <w:right w:val="nil"/>
            </w:tcBorders>
            <w:hideMark/>
          </w:tcPr>
          <w:p w14:paraId="37605269" w14:textId="77777777" w:rsidR="00A72324" w:rsidRDefault="00A72324">
            <w:pPr>
              <w:jc w:val="both"/>
              <w:rPr>
                <w:rFonts w:ascii="Times New Roman" w:hAnsi="Times New Roman" w:cs="Times New Roman"/>
                <w:b/>
                <w:bCs/>
                <w:i/>
                <w:iCs/>
                <w:sz w:val="20"/>
                <w:szCs w:val="20"/>
              </w:rPr>
            </w:pPr>
            <w:r>
              <w:rPr>
                <w:rFonts w:ascii="Times New Roman" w:hAnsi="Times New Roman" w:cs="Times New Roman"/>
                <w:b/>
                <w:bCs/>
                <w:i/>
                <w:iCs/>
                <w:sz w:val="20"/>
                <w:szCs w:val="20"/>
              </w:rPr>
              <w:t>CCI(OECD)</w:t>
            </w:r>
          </w:p>
        </w:tc>
        <w:tc>
          <w:tcPr>
            <w:tcW w:w="1297" w:type="dxa"/>
            <w:tcBorders>
              <w:top w:val="single" w:sz="4" w:space="0" w:color="auto"/>
              <w:left w:val="nil"/>
              <w:bottom w:val="single" w:sz="4" w:space="0" w:color="auto"/>
              <w:right w:val="nil"/>
            </w:tcBorders>
            <w:hideMark/>
          </w:tcPr>
          <w:p w14:paraId="05465340"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-18,26*</w:t>
            </w:r>
          </w:p>
        </w:tc>
        <w:tc>
          <w:tcPr>
            <w:tcW w:w="1660" w:type="dxa"/>
            <w:tcBorders>
              <w:top w:val="single" w:sz="4" w:space="0" w:color="auto"/>
              <w:left w:val="nil"/>
              <w:bottom w:val="single" w:sz="4" w:space="0" w:color="auto"/>
              <w:right w:val="nil"/>
            </w:tcBorders>
            <w:hideMark/>
          </w:tcPr>
          <w:p w14:paraId="75F46E3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-6.16</w:t>
            </w:r>
          </w:p>
        </w:tc>
        <w:tc>
          <w:tcPr>
            <w:tcW w:w="2736" w:type="dxa"/>
            <w:tcBorders>
              <w:top w:val="single" w:sz="4" w:space="0" w:color="auto"/>
              <w:left w:val="nil"/>
              <w:bottom w:val="single" w:sz="4" w:space="0" w:color="auto"/>
              <w:right w:val="single" w:sz="4" w:space="0" w:color="auto"/>
            </w:tcBorders>
            <w:hideMark/>
          </w:tcPr>
          <w:p w14:paraId="3D34A452"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 2015-Ekim 2016</w:t>
            </w:r>
          </w:p>
        </w:tc>
      </w:tr>
    </w:tbl>
    <w:p w14:paraId="761AEA92" w14:textId="77777777" w:rsidR="00A72324" w:rsidRDefault="00A72324" w:rsidP="00A72324">
      <w:pPr>
        <w:jc w:val="both"/>
        <w:rPr>
          <w:rFonts w:ascii="Times New Roman" w:hAnsi="Times New Roman" w:cs="Times New Roman"/>
          <w:color w:val="FF0000"/>
          <w:sz w:val="20"/>
          <w:szCs w:val="20"/>
        </w:rPr>
      </w:pPr>
      <w:r>
        <w:rPr>
          <w:rFonts w:ascii="Times New Roman" w:hAnsi="Times New Roman" w:cs="Times New Roman"/>
          <w:b/>
          <w:bCs/>
          <w:sz w:val="20"/>
          <w:szCs w:val="20"/>
        </w:rPr>
        <w:t>Notlar:</w:t>
      </w:r>
      <w:r>
        <w:rPr>
          <w:rFonts w:ascii="Times New Roman" w:hAnsi="Times New Roman" w:cs="Times New Roman"/>
          <w:sz w:val="20"/>
          <w:szCs w:val="20"/>
        </w:rPr>
        <w:t xml:space="preserve"> *, %1 güvenirlik düzeyinde istatiksel olarak anlamlı olduğunu göstermektedir. </w:t>
      </w:r>
    </w:p>
    <w:p w14:paraId="01A5DD1A" w14:textId="77777777" w:rsidR="00A72324" w:rsidRDefault="00A72324" w:rsidP="00A72324">
      <w:pPr>
        <w:spacing w:before="120" w:after="120"/>
        <w:jc w:val="both"/>
        <w:rPr>
          <w:rFonts w:ascii="Times New Roman" w:hAnsi="Times New Roman" w:cs="Times New Roman"/>
          <w:b/>
          <w:bCs/>
        </w:rPr>
      </w:pPr>
      <w:r>
        <w:rPr>
          <w:rFonts w:ascii="Times New Roman" w:hAnsi="Times New Roman" w:cs="Times New Roman"/>
        </w:rPr>
        <w:t>Modelde ele alınan serilerin düzeyde %1 anlamlılık düzeyinde durağan olduğu görülmektedir.</w:t>
      </w:r>
    </w:p>
    <w:p w14:paraId="531FDDE0" w14:textId="77777777" w:rsidR="00A72324" w:rsidRDefault="00A72324" w:rsidP="00A72324">
      <w:pPr>
        <w:spacing w:before="120" w:after="120"/>
        <w:ind w:firstLine="708"/>
        <w:jc w:val="both"/>
        <w:rPr>
          <w:rFonts w:ascii="Times New Roman" w:hAnsi="Times New Roman" w:cs="Times New Roman"/>
          <w:b/>
          <w:bCs/>
        </w:rPr>
      </w:pPr>
      <w:r>
        <w:rPr>
          <w:rFonts w:ascii="Times New Roman" w:hAnsi="Times New Roman" w:cs="Times New Roman"/>
          <w:b/>
          <w:bCs/>
        </w:rPr>
        <w:t xml:space="preserve">7.2. </w:t>
      </w:r>
      <w:proofErr w:type="spellStart"/>
      <w:r>
        <w:rPr>
          <w:rFonts w:ascii="Times New Roman" w:hAnsi="Times New Roman" w:cs="Times New Roman"/>
          <w:b/>
          <w:bCs/>
        </w:rPr>
        <w:t>Eşbütünleşme</w:t>
      </w:r>
      <w:proofErr w:type="spellEnd"/>
      <w:r>
        <w:rPr>
          <w:rFonts w:ascii="Times New Roman" w:hAnsi="Times New Roman" w:cs="Times New Roman"/>
          <w:b/>
          <w:bCs/>
        </w:rPr>
        <w:t xml:space="preserve"> Analizi</w:t>
      </w:r>
    </w:p>
    <w:p w14:paraId="088FB365"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Ampirik analizde ikinci aşama olarak, modeldeki bağımlı ve bağımsız değişkenler arasında uzun dönemli ilişkinin varlığını test etmek için, değişkenler arasında </w:t>
      </w:r>
      <w:proofErr w:type="spellStart"/>
      <w:r>
        <w:rPr>
          <w:rFonts w:ascii="Times New Roman" w:hAnsi="Times New Roman" w:cs="Times New Roman"/>
        </w:rPr>
        <w:t>eşbütünleşik</w:t>
      </w:r>
      <w:proofErr w:type="spellEnd"/>
      <w:r>
        <w:rPr>
          <w:rFonts w:ascii="Times New Roman" w:hAnsi="Times New Roman" w:cs="Times New Roman"/>
        </w:rPr>
        <w:t xml:space="preserve"> ilişki olup olmadığı </w:t>
      </w:r>
      <w:proofErr w:type="spellStart"/>
      <w:r>
        <w:rPr>
          <w:rFonts w:ascii="Times New Roman" w:hAnsi="Times New Roman" w:cs="Times New Roman"/>
        </w:rPr>
        <w:t>Gregory-Hansen</w:t>
      </w:r>
      <w:proofErr w:type="spellEnd"/>
      <w:r>
        <w:rPr>
          <w:rFonts w:ascii="Times New Roman" w:hAnsi="Times New Roman" w:cs="Times New Roman"/>
        </w:rPr>
        <w:t xml:space="preserve"> (1996) Testi ile analiz edilmektedir. </w:t>
      </w:r>
      <w:proofErr w:type="spellStart"/>
      <w:r>
        <w:rPr>
          <w:rFonts w:ascii="Times New Roman" w:hAnsi="Times New Roman" w:cs="Times New Roman"/>
        </w:rPr>
        <w:t>Gregory-Hansen</w:t>
      </w:r>
      <w:proofErr w:type="spellEnd"/>
      <w:r>
        <w:rPr>
          <w:rFonts w:ascii="Times New Roman" w:hAnsi="Times New Roman" w:cs="Times New Roman"/>
        </w:rPr>
        <w:t xml:space="preserve"> </w:t>
      </w:r>
      <w:proofErr w:type="spellStart"/>
      <w:r>
        <w:rPr>
          <w:rFonts w:ascii="Times New Roman" w:hAnsi="Times New Roman" w:cs="Times New Roman"/>
        </w:rPr>
        <w:t>Eşbütünleşme</w:t>
      </w:r>
      <w:proofErr w:type="spellEnd"/>
      <w:r>
        <w:rPr>
          <w:rFonts w:ascii="Times New Roman" w:hAnsi="Times New Roman" w:cs="Times New Roman"/>
        </w:rPr>
        <w:t xml:space="preserve"> testi, tek yapısal kırılmayı dikkate alan ve kırılma noktasının içsel olarak belirlendiği bir testtir. </w:t>
      </w:r>
      <w:proofErr w:type="spellStart"/>
      <w:r>
        <w:rPr>
          <w:rFonts w:ascii="Times New Roman" w:hAnsi="Times New Roman" w:cs="Times New Roman"/>
        </w:rPr>
        <w:t>Eşbütünleşme</w:t>
      </w:r>
      <w:proofErr w:type="spellEnd"/>
      <w:r>
        <w:rPr>
          <w:rFonts w:ascii="Times New Roman" w:hAnsi="Times New Roman" w:cs="Times New Roman"/>
        </w:rPr>
        <w:t xml:space="preserve"> testinde sabitte kırılma, </w:t>
      </w:r>
      <w:proofErr w:type="spellStart"/>
      <w:r>
        <w:rPr>
          <w:rFonts w:ascii="Times New Roman" w:hAnsi="Times New Roman" w:cs="Times New Roman"/>
        </w:rPr>
        <w:t>trendli</w:t>
      </w:r>
      <w:proofErr w:type="spellEnd"/>
      <w:r>
        <w:rPr>
          <w:rFonts w:ascii="Times New Roman" w:hAnsi="Times New Roman" w:cs="Times New Roman"/>
        </w:rPr>
        <w:t xml:space="preserve"> sabitte kırılma ve rejim değişikliği olarak üç farklı eşitlikle </w:t>
      </w:r>
      <w:proofErr w:type="spellStart"/>
      <w:r>
        <w:rPr>
          <w:rFonts w:ascii="Times New Roman" w:hAnsi="Times New Roman" w:cs="Times New Roman"/>
        </w:rPr>
        <w:t>eşbütünleşme</w:t>
      </w:r>
      <w:proofErr w:type="spellEnd"/>
      <w:r>
        <w:rPr>
          <w:rFonts w:ascii="Times New Roman" w:hAnsi="Times New Roman" w:cs="Times New Roman"/>
        </w:rPr>
        <w:t xml:space="preserve"> varlığı tahmin edilmektedir. Aşağıda üç farklı kırılmalı model eşitliği (Z</w:t>
      </w:r>
      <w:r>
        <w:rPr>
          <w:rFonts w:ascii="Times New Roman" w:hAnsi="Times New Roman" w:cs="Times New Roman"/>
          <w:vertAlign w:val="subscript"/>
        </w:rPr>
        <w:t>α</w:t>
      </w:r>
      <w:r>
        <w:rPr>
          <w:rFonts w:ascii="Times New Roman" w:hAnsi="Times New Roman" w:cs="Times New Roman"/>
        </w:rPr>
        <w:t xml:space="preserve">, </w:t>
      </w:r>
      <w:proofErr w:type="spellStart"/>
      <w:r>
        <w:rPr>
          <w:rFonts w:ascii="Times New Roman" w:hAnsi="Times New Roman" w:cs="Times New Roman"/>
        </w:rPr>
        <w:t>Z</w:t>
      </w:r>
      <w:r>
        <w:rPr>
          <w:rFonts w:ascii="Times New Roman" w:hAnsi="Times New Roman" w:cs="Times New Roman"/>
          <w:vertAlign w:val="subscript"/>
        </w:rPr>
        <w:t>t</w:t>
      </w:r>
      <w:proofErr w:type="spellEnd"/>
      <w:r>
        <w:rPr>
          <w:rFonts w:ascii="Times New Roman" w:hAnsi="Times New Roman" w:cs="Times New Roman"/>
        </w:rPr>
        <w:t xml:space="preserve">, ADF) sırasıyla aşağıda gösterilmektedir. </w:t>
      </w:r>
    </w:p>
    <w:p w14:paraId="0BE1E08B" w14:textId="5E2BC0BD" w:rsidR="00A72324" w:rsidRDefault="00A72324" w:rsidP="00A72324">
      <w:pPr>
        <w:jc w:val="both"/>
        <w:rPr>
          <w:rFonts w:ascii="Times New Roman" w:eastAsiaTheme="minorEastAsia" w:hAnsi="Times New Roman" w:cs="Times New Roman"/>
        </w:rPr>
      </w:pPr>
      <w:r>
        <w:rPr>
          <w:noProof/>
        </w:rPr>
        <w:drawing>
          <wp:inline distT="0" distB="0" distL="0" distR="0" wp14:anchorId="32C49D31" wp14:editId="0927FD44">
            <wp:extent cx="2918460" cy="1905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pic:cNvPicPr>
                      <a:picLocks noChangeAspect="1"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18460" cy="190500"/>
                    </a:xfrm>
                    <a:prstGeom prst="rect">
                      <a:avLst/>
                    </a:prstGeom>
                    <a:noFill/>
                    <a:ln>
                      <a:noFill/>
                    </a:ln>
                  </pic:spPr>
                </pic:pic>
              </a:graphicData>
            </a:graphic>
          </wp:inline>
        </w:drawing>
      </w:r>
    </w:p>
    <w:p w14:paraId="736FE678" w14:textId="4779176A" w:rsidR="00A72324" w:rsidRDefault="00A72324" w:rsidP="00A72324">
      <w:pPr>
        <w:jc w:val="both"/>
        <w:rPr>
          <w:rFonts w:ascii="Times New Roman" w:eastAsiaTheme="minorEastAsia" w:hAnsi="Times New Roman" w:cs="Times New Roman"/>
        </w:rPr>
      </w:pPr>
      <w:r>
        <w:rPr>
          <w:noProof/>
        </w:rPr>
        <w:drawing>
          <wp:inline distT="0" distB="0" distL="0" distR="0" wp14:anchorId="3BCF38FE" wp14:editId="0E900E16">
            <wp:extent cx="3246120" cy="1905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3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46120" cy="190500"/>
                    </a:xfrm>
                    <a:prstGeom prst="rect">
                      <a:avLst/>
                    </a:prstGeom>
                    <a:noFill/>
                    <a:ln>
                      <a:noFill/>
                    </a:ln>
                  </pic:spPr>
                </pic:pic>
              </a:graphicData>
            </a:graphic>
          </wp:inline>
        </w:drawing>
      </w:r>
    </w:p>
    <w:p w14:paraId="26E98FB8" w14:textId="5E4766CB" w:rsidR="00A72324" w:rsidRDefault="00A72324" w:rsidP="00A72324">
      <w:pPr>
        <w:jc w:val="both"/>
        <w:rPr>
          <w:rFonts w:ascii="Times New Roman" w:eastAsiaTheme="minorEastAsia" w:hAnsi="Times New Roman" w:cs="Times New Roman"/>
        </w:rPr>
      </w:pPr>
      <w:r>
        <w:rPr>
          <w:noProof/>
        </w:rPr>
        <w:drawing>
          <wp:inline distT="0" distB="0" distL="0" distR="0" wp14:anchorId="17CA3A19" wp14:editId="66AEE300">
            <wp:extent cx="3718560" cy="1905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3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718560" cy="190500"/>
                    </a:xfrm>
                    <a:prstGeom prst="rect">
                      <a:avLst/>
                    </a:prstGeom>
                    <a:noFill/>
                    <a:ln>
                      <a:noFill/>
                    </a:ln>
                  </pic:spPr>
                </pic:pic>
              </a:graphicData>
            </a:graphic>
          </wp:inline>
        </w:drawing>
      </w:r>
    </w:p>
    <w:p w14:paraId="693B3EB6" w14:textId="3D8A6909" w:rsidR="00A72324" w:rsidRDefault="00A72324" w:rsidP="00A72324">
      <w:pPr>
        <w:spacing w:before="120" w:after="120"/>
        <w:jc w:val="both"/>
        <w:rPr>
          <w:rFonts w:ascii="Times New Roman" w:eastAsiaTheme="minorEastAsia" w:hAnsi="Times New Roman" w:cs="Times New Roman"/>
        </w:rPr>
      </w:pPr>
      <w:r>
        <w:rPr>
          <w:rFonts w:ascii="Times New Roman" w:eastAsiaTheme="minorEastAsia" w:hAnsi="Times New Roman" w:cs="Times New Roman"/>
        </w:rPr>
        <w:t xml:space="preserve">Eşitliklerde, </w:t>
      </w:r>
      <w:r>
        <w:rPr>
          <w:noProof/>
          <w:position w:val="-5"/>
        </w:rPr>
        <w:drawing>
          <wp:inline distT="0" distB="0" distL="0" distR="0" wp14:anchorId="4423920C" wp14:editId="3E2571C5">
            <wp:extent cx="91440" cy="175260"/>
            <wp:effectExtent l="0" t="0" r="381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3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 cy="175260"/>
                    </a:xfrm>
                    <a:prstGeom prst="rect">
                      <a:avLst/>
                    </a:prstGeom>
                    <a:noFill/>
                    <a:ln>
                      <a:noFill/>
                    </a:ln>
                  </pic:spPr>
                </pic:pic>
              </a:graphicData>
            </a:graphic>
          </wp:inline>
        </w:drawing>
      </w:r>
      <w:r>
        <w:rPr>
          <w:rFonts w:ascii="Times New Roman" w:eastAsiaTheme="minorEastAsia" w:hAnsi="Times New Roman" w:cs="Times New Roman"/>
        </w:rPr>
        <w:t xml:space="preserve"> terimleri kırılmaların etkisini, α terimleri ise eğim katsayılarında meydana gelen değişimleri göstermektedir. </w:t>
      </w:r>
    </w:p>
    <w:p w14:paraId="20E1C727" w14:textId="77777777" w:rsidR="00A72324" w:rsidRDefault="00A72324" w:rsidP="00A72324">
      <w:pPr>
        <w:jc w:val="both"/>
        <w:rPr>
          <w:rFonts w:ascii="Times New Roman" w:hAnsi="Times New Roman" w:cs="Times New Roman"/>
          <w:b/>
          <w:bCs/>
          <w:sz w:val="22"/>
          <w:szCs w:val="22"/>
        </w:rPr>
      </w:pPr>
      <w:r>
        <w:rPr>
          <w:rFonts w:ascii="Times New Roman" w:hAnsi="Times New Roman" w:cs="Times New Roman"/>
          <w:b/>
          <w:bCs/>
          <w:sz w:val="22"/>
          <w:szCs w:val="22"/>
        </w:rPr>
        <w:t xml:space="preserve">Tablo 2. </w:t>
      </w:r>
      <w:proofErr w:type="spellStart"/>
      <w:r>
        <w:rPr>
          <w:rFonts w:ascii="Times New Roman" w:hAnsi="Times New Roman" w:cs="Times New Roman"/>
          <w:b/>
          <w:bCs/>
          <w:sz w:val="22"/>
          <w:szCs w:val="22"/>
        </w:rPr>
        <w:t>Gregory-Hansen</w:t>
      </w:r>
      <w:proofErr w:type="spellEnd"/>
      <w:r>
        <w:rPr>
          <w:rFonts w:ascii="Times New Roman" w:hAnsi="Times New Roman" w:cs="Times New Roman"/>
          <w:b/>
          <w:bCs/>
          <w:sz w:val="22"/>
          <w:szCs w:val="22"/>
        </w:rPr>
        <w:t xml:space="preserve"> </w:t>
      </w:r>
      <w:proofErr w:type="spellStart"/>
      <w:r>
        <w:rPr>
          <w:rFonts w:ascii="Times New Roman" w:hAnsi="Times New Roman" w:cs="Times New Roman"/>
          <w:b/>
          <w:bCs/>
          <w:sz w:val="22"/>
          <w:szCs w:val="22"/>
        </w:rPr>
        <w:t>Eşbütünleşme</w:t>
      </w:r>
      <w:proofErr w:type="spellEnd"/>
      <w:r>
        <w:rPr>
          <w:rFonts w:ascii="Times New Roman" w:hAnsi="Times New Roman" w:cs="Times New Roman"/>
          <w:b/>
          <w:bCs/>
          <w:sz w:val="22"/>
          <w:szCs w:val="22"/>
        </w:rPr>
        <w:t xml:space="preserve"> Testi Sonuçları </w:t>
      </w:r>
    </w:p>
    <w:tbl>
      <w:tblPr>
        <w:tblStyle w:val="TabloKlavuzu"/>
        <w:tblW w:w="0" w:type="auto"/>
        <w:tblInd w:w="-5" w:type="dxa"/>
        <w:tblLook w:val="04A0" w:firstRow="1" w:lastRow="0" w:firstColumn="1" w:lastColumn="0" w:noHBand="0" w:noVBand="1"/>
      </w:tblPr>
      <w:tblGrid>
        <w:gridCol w:w="2122"/>
        <w:gridCol w:w="2408"/>
        <w:gridCol w:w="2266"/>
      </w:tblGrid>
      <w:tr w:rsidR="00A72324" w14:paraId="4E9E4C60" w14:textId="77777777" w:rsidTr="00A72324">
        <w:tc>
          <w:tcPr>
            <w:tcW w:w="2122" w:type="dxa"/>
            <w:tcBorders>
              <w:top w:val="single" w:sz="4" w:space="0" w:color="auto"/>
              <w:left w:val="single" w:sz="4" w:space="0" w:color="auto"/>
              <w:bottom w:val="single" w:sz="4" w:space="0" w:color="auto"/>
              <w:right w:val="single" w:sz="4" w:space="0" w:color="auto"/>
            </w:tcBorders>
            <w:hideMark/>
          </w:tcPr>
          <w:p w14:paraId="10A1E063" w14:textId="77777777" w:rsidR="00A72324" w:rsidRDefault="00A72324">
            <w:pPr>
              <w:rPr>
                <w:rFonts w:ascii="Times New Roman" w:hAnsi="Times New Roman" w:cs="Times New Roman"/>
                <w:b/>
                <w:bCs/>
                <w:sz w:val="20"/>
                <w:szCs w:val="20"/>
              </w:rPr>
            </w:pPr>
            <w:proofErr w:type="spellStart"/>
            <w:r>
              <w:rPr>
                <w:rFonts w:ascii="Times New Roman" w:hAnsi="Times New Roman" w:cs="Times New Roman"/>
                <w:b/>
                <w:bCs/>
                <w:sz w:val="20"/>
                <w:szCs w:val="20"/>
              </w:rPr>
              <w:t>Gregory-Hansen</w:t>
            </w:r>
            <w:proofErr w:type="spellEnd"/>
            <w:r>
              <w:rPr>
                <w:rFonts w:ascii="Times New Roman" w:hAnsi="Times New Roman" w:cs="Times New Roman"/>
                <w:b/>
                <w:bCs/>
                <w:sz w:val="20"/>
                <w:szCs w:val="20"/>
              </w:rPr>
              <w:t xml:space="preserve"> </w:t>
            </w:r>
          </w:p>
          <w:p w14:paraId="2D29F8CD"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Model Eşitliği</w:t>
            </w:r>
          </w:p>
        </w:tc>
        <w:tc>
          <w:tcPr>
            <w:tcW w:w="2408" w:type="dxa"/>
            <w:tcBorders>
              <w:top w:val="single" w:sz="4" w:space="0" w:color="auto"/>
              <w:left w:val="single" w:sz="4" w:space="0" w:color="auto"/>
              <w:bottom w:val="single" w:sz="4" w:space="0" w:color="auto"/>
              <w:right w:val="single" w:sz="4" w:space="0" w:color="auto"/>
            </w:tcBorders>
            <w:hideMark/>
          </w:tcPr>
          <w:p w14:paraId="3E3AAB36"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Test İstatistiği</w:t>
            </w:r>
          </w:p>
        </w:tc>
        <w:tc>
          <w:tcPr>
            <w:tcW w:w="2266" w:type="dxa"/>
            <w:tcBorders>
              <w:top w:val="single" w:sz="4" w:space="0" w:color="auto"/>
              <w:left w:val="single" w:sz="4" w:space="0" w:color="auto"/>
              <w:bottom w:val="single" w:sz="4" w:space="0" w:color="auto"/>
              <w:right w:val="single" w:sz="4" w:space="0" w:color="auto"/>
            </w:tcBorders>
            <w:hideMark/>
          </w:tcPr>
          <w:p w14:paraId="6BC70F2E"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Kırılma Noktası</w:t>
            </w:r>
          </w:p>
        </w:tc>
      </w:tr>
      <w:tr w:rsidR="00A72324" w14:paraId="6DC3FC1D" w14:textId="77777777" w:rsidTr="00A72324">
        <w:tc>
          <w:tcPr>
            <w:tcW w:w="2122" w:type="dxa"/>
            <w:tcBorders>
              <w:top w:val="single" w:sz="4" w:space="0" w:color="auto"/>
              <w:left w:val="single" w:sz="4" w:space="0" w:color="auto"/>
              <w:bottom w:val="single" w:sz="4" w:space="0" w:color="auto"/>
              <w:right w:val="single" w:sz="4" w:space="0" w:color="auto"/>
            </w:tcBorders>
            <w:hideMark/>
          </w:tcPr>
          <w:p w14:paraId="29E4D1AC"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Sabitte Kırılma</w:t>
            </w:r>
          </w:p>
        </w:tc>
        <w:tc>
          <w:tcPr>
            <w:tcW w:w="2408" w:type="dxa"/>
            <w:tcBorders>
              <w:top w:val="single" w:sz="4" w:space="0" w:color="auto"/>
              <w:left w:val="single" w:sz="4" w:space="0" w:color="auto"/>
              <w:bottom w:val="single" w:sz="4" w:space="0" w:color="auto"/>
              <w:right w:val="single" w:sz="4" w:space="0" w:color="auto"/>
            </w:tcBorders>
            <w:hideMark/>
          </w:tcPr>
          <w:p w14:paraId="4A4C824F"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-7.5423* (4)</w:t>
            </w:r>
          </w:p>
        </w:tc>
        <w:tc>
          <w:tcPr>
            <w:tcW w:w="2266" w:type="dxa"/>
            <w:tcBorders>
              <w:top w:val="single" w:sz="4" w:space="0" w:color="auto"/>
              <w:left w:val="single" w:sz="4" w:space="0" w:color="auto"/>
              <w:bottom w:val="single" w:sz="4" w:space="0" w:color="auto"/>
              <w:right w:val="single" w:sz="4" w:space="0" w:color="auto"/>
            </w:tcBorders>
            <w:hideMark/>
          </w:tcPr>
          <w:p w14:paraId="742FEDD5"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Haziran 2016</w:t>
            </w:r>
          </w:p>
        </w:tc>
      </w:tr>
      <w:tr w:rsidR="00A72324" w14:paraId="7833F8F0" w14:textId="77777777" w:rsidTr="00A72324">
        <w:tc>
          <w:tcPr>
            <w:tcW w:w="2122" w:type="dxa"/>
            <w:tcBorders>
              <w:top w:val="single" w:sz="4" w:space="0" w:color="auto"/>
              <w:left w:val="single" w:sz="4" w:space="0" w:color="auto"/>
              <w:bottom w:val="single" w:sz="4" w:space="0" w:color="auto"/>
              <w:right w:val="single" w:sz="4" w:space="0" w:color="auto"/>
            </w:tcBorders>
            <w:hideMark/>
          </w:tcPr>
          <w:p w14:paraId="12ABC891" w14:textId="77777777" w:rsidR="00A72324" w:rsidRDefault="00A72324">
            <w:pPr>
              <w:rPr>
                <w:rFonts w:ascii="Times New Roman" w:hAnsi="Times New Roman" w:cs="Times New Roman"/>
                <w:b/>
                <w:bCs/>
                <w:sz w:val="20"/>
                <w:szCs w:val="20"/>
              </w:rPr>
            </w:pPr>
            <w:proofErr w:type="spellStart"/>
            <w:r>
              <w:rPr>
                <w:rFonts w:ascii="Times New Roman" w:hAnsi="Times New Roman" w:cs="Times New Roman"/>
                <w:b/>
                <w:bCs/>
                <w:sz w:val="20"/>
                <w:szCs w:val="20"/>
              </w:rPr>
              <w:t>Trendli</w:t>
            </w:r>
            <w:proofErr w:type="spellEnd"/>
            <w:r>
              <w:rPr>
                <w:rFonts w:ascii="Times New Roman" w:hAnsi="Times New Roman" w:cs="Times New Roman"/>
                <w:b/>
                <w:bCs/>
                <w:sz w:val="20"/>
                <w:szCs w:val="20"/>
              </w:rPr>
              <w:t xml:space="preserve"> Sabitte Kırılma</w:t>
            </w:r>
          </w:p>
        </w:tc>
        <w:tc>
          <w:tcPr>
            <w:tcW w:w="2408" w:type="dxa"/>
            <w:tcBorders>
              <w:top w:val="single" w:sz="4" w:space="0" w:color="auto"/>
              <w:left w:val="single" w:sz="4" w:space="0" w:color="auto"/>
              <w:bottom w:val="single" w:sz="4" w:space="0" w:color="auto"/>
              <w:right w:val="single" w:sz="4" w:space="0" w:color="auto"/>
            </w:tcBorders>
            <w:hideMark/>
          </w:tcPr>
          <w:p w14:paraId="633A2908"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-6.6475* (4)</w:t>
            </w:r>
          </w:p>
        </w:tc>
        <w:tc>
          <w:tcPr>
            <w:tcW w:w="2266" w:type="dxa"/>
            <w:tcBorders>
              <w:top w:val="single" w:sz="4" w:space="0" w:color="auto"/>
              <w:left w:val="single" w:sz="4" w:space="0" w:color="auto"/>
              <w:bottom w:val="single" w:sz="4" w:space="0" w:color="auto"/>
              <w:right w:val="single" w:sz="4" w:space="0" w:color="auto"/>
            </w:tcBorders>
            <w:hideMark/>
          </w:tcPr>
          <w:p w14:paraId="49450740"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Eylül 2016</w:t>
            </w:r>
          </w:p>
        </w:tc>
      </w:tr>
      <w:tr w:rsidR="00A72324" w14:paraId="4D31E8D9" w14:textId="77777777" w:rsidTr="00A72324">
        <w:tc>
          <w:tcPr>
            <w:tcW w:w="2122" w:type="dxa"/>
            <w:tcBorders>
              <w:top w:val="single" w:sz="4" w:space="0" w:color="auto"/>
              <w:left w:val="single" w:sz="4" w:space="0" w:color="auto"/>
              <w:bottom w:val="single" w:sz="4" w:space="0" w:color="auto"/>
              <w:right w:val="single" w:sz="4" w:space="0" w:color="auto"/>
            </w:tcBorders>
            <w:hideMark/>
          </w:tcPr>
          <w:p w14:paraId="7CE21575"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Rejim Değişikliği</w:t>
            </w:r>
          </w:p>
        </w:tc>
        <w:tc>
          <w:tcPr>
            <w:tcW w:w="2408" w:type="dxa"/>
            <w:tcBorders>
              <w:top w:val="single" w:sz="4" w:space="0" w:color="auto"/>
              <w:left w:val="single" w:sz="4" w:space="0" w:color="auto"/>
              <w:bottom w:val="single" w:sz="4" w:space="0" w:color="auto"/>
              <w:right w:val="single" w:sz="4" w:space="0" w:color="auto"/>
            </w:tcBorders>
            <w:hideMark/>
          </w:tcPr>
          <w:p w14:paraId="085E1687"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-6.5673* (4)</w:t>
            </w:r>
          </w:p>
        </w:tc>
        <w:tc>
          <w:tcPr>
            <w:tcW w:w="2266" w:type="dxa"/>
            <w:tcBorders>
              <w:top w:val="single" w:sz="4" w:space="0" w:color="auto"/>
              <w:left w:val="single" w:sz="4" w:space="0" w:color="auto"/>
              <w:bottom w:val="single" w:sz="4" w:space="0" w:color="auto"/>
              <w:right w:val="single" w:sz="4" w:space="0" w:color="auto"/>
            </w:tcBorders>
            <w:hideMark/>
          </w:tcPr>
          <w:p w14:paraId="1C92F79C"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Eylül 2016</w:t>
            </w:r>
          </w:p>
        </w:tc>
      </w:tr>
    </w:tbl>
    <w:p w14:paraId="0EBEAA1F" w14:textId="77777777" w:rsidR="00A72324" w:rsidRDefault="00A72324" w:rsidP="00A72324">
      <w:pPr>
        <w:jc w:val="both"/>
        <w:rPr>
          <w:rFonts w:ascii="Times New Roman" w:hAnsi="Times New Roman" w:cs="Times New Roman"/>
          <w:sz w:val="20"/>
          <w:szCs w:val="20"/>
        </w:rPr>
      </w:pPr>
      <w:r>
        <w:rPr>
          <w:rFonts w:ascii="Times New Roman" w:hAnsi="Times New Roman" w:cs="Times New Roman"/>
          <w:b/>
          <w:bCs/>
          <w:sz w:val="20"/>
          <w:szCs w:val="20"/>
        </w:rPr>
        <w:t>Not:</w:t>
      </w:r>
      <w:r>
        <w:rPr>
          <w:rFonts w:ascii="Times New Roman" w:hAnsi="Times New Roman" w:cs="Times New Roman"/>
          <w:sz w:val="20"/>
          <w:szCs w:val="20"/>
        </w:rPr>
        <w:t xml:space="preserve"> Test istatistiği değerleri </w:t>
      </w:r>
      <w:proofErr w:type="spellStart"/>
      <w:r>
        <w:rPr>
          <w:rFonts w:ascii="Times New Roman" w:hAnsi="Times New Roman" w:cs="Times New Roman"/>
          <w:sz w:val="20"/>
          <w:szCs w:val="20"/>
        </w:rPr>
        <w:t>Gregory-Hansen</w:t>
      </w:r>
      <w:proofErr w:type="spellEnd"/>
      <w:r>
        <w:rPr>
          <w:rFonts w:ascii="Times New Roman" w:hAnsi="Times New Roman" w:cs="Times New Roman"/>
          <w:sz w:val="20"/>
          <w:szCs w:val="20"/>
        </w:rPr>
        <w:t xml:space="preserve"> (1996) Tablo.1 %5 kritik değerleriyle karşılaştırılmıştır. Parantez içindeki değerler gecikme uzunluğunu göstermektedir. *, %5 düzeyinde istatistiksel olarak anlamlılığı göstermektedir. </w:t>
      </w:r>
    </w:p>
    <w:p w14:paraId="43912035" w14:textId="77777777" w:rsidR="00A72324" w:rsidRDefault="00A72324" w:rsidP="00A72324">
      <w:pPr>
        <w:spacing w:before="120" w:after="120"/>
        <w:jc w:val="both"/>
        <w:rPr>
          <w:rFonts w:ascii="Times New Roman" w:hAnsi="Times New Roman" w:cs="Times New Roman"/>
        </w:rPr>
      </w:pPr>
      <w:proofErr w:type="spellStart"/>
      <w:r>
        <w:rPr>
          <w:rFonts w:ascii="Times New Roman" w:hAnsi="Times New Roman" w:cs="Times New Roman"/>
        </w:rPr>
        <w:t>Gregory-Hansen</w:t>
      </w:r>
      <w:proofErr w:type="spellEnd"/>
      <w:r>
        <w:rPr>
          <w:rFonts w:ascii="Times New Roman" w:hAnsi="Times New Roman" w:cs="Times New Roman"/>
        </w:rPr>
        <w:t xml:space="preserve"> </w:t>
      </w:r>
      <w:proofErr w:type="spellStart"/>
      <w:r>
        <w:rPr>
          <w:rFonts w:ascii="Times New Roman" w:hAnsi="Times New Roman" w:cs="Times New Roman"/>
        </w:rPr>
        <w:t>Eşbütünleşme</w:t>
      </w:r>
      <w:proofErr w:type="spellEnd"/>
      <w:r>
        <w:rPr>
          <w:rFonts w:ascii="Times New Roman" w:hAnsi="Times New Roman" w:cs="Times New Roman"/>
        </w:rPr>
        <w:t xml:space="preserve"> Testi sonuçlarına göre, değişkenler arasında </w:t>
      </w:r>
      <w:proofErr w:type="spellStart"/>
      <w:r>
        <w:rPr>
          <w:rFonts w:ascii="Times New Roman" w:hAnsi="Times New Roman" w:cs="Times New Roman"/>
        </w:rPr>
        <w:t>eşbütünleşme</w:t>
      </w:r>
      <w:proofErr w:type="spellEnd"/>
      <w:r>
        <w:rPr>
          <w:rFonts w:ascii="Times New Roman" w:hAnsi="Times New Roman" w:cs="Times New Roman"/>
        </w:rPr>
        <w:t xml:space="preserve"> ilişkinin olmadığını varsayan H</w:t>
      </w:r>
      <w:r>
        <w:rPr>
          <w:rFonts w:ascii="Times New Roman" w:hAnsi="Times New Roman" w:cs="Times New Roman"/>
          <w:vertAlign w:val="subscript"/>
        </w:rPr>
        <w:t>0</w:t>
      </w:r>
      <w:r>
        <w:rPr>
          <w:rFonts w:ascii="Times New Roman" w:hAnsi="Times New Roman" w:cs="Times New Roman"/>
        </w:rPr>
        <w:t xml:space="preserve"> hipotezi reddedilmiş; yapısal kırılmalı değişkenler arası </w:t>
      </w:r>
      <w:proofErr w:type="spellStart"/>
      <w:r>
        <w:rPr>
          <w:rFonts w:ascii="Times New Roman" w:hAnsi="Times New Roman" w:cs="Times New Roman"/>
        </w:rPr>
        <w:t>eşbütünleşme</w:t>
      </w:r>
      <w:proofErr w:type="spellEnd"/>
      <w:r>
        <w:rPr>
          <w:rFonts w:ascii="Times New Roman" w:hAnsi="Times New Roman" w:cs="Times New Roman"/>
        </w:rPr>
        <w:t xml:space="preserve"> ilişkisinin olduğunu varsayan alternatif hipotez kabul edilmiştir (Tablo 2).</w:t>
      </w:r>
    </w:p>
    <w:p w14:paraId="318D6CE4" w14:textId="77777777" w:rsidR="00A72324" w:rsidRDefault="00A72324" w:rsidP="00A72324">
      <w:pPr>
        <w:spacing w:before="120" w:after="120"/>
        <w:ind w:firstLine="708"/>
        <w:jc w:val="both"/>
        <w:rPr>
          <w:rFonts w:ascii="Times New Roman" w:hAnsi="Times New Roman" w:cs="Times New Roman"/>
          <w:b/>
          <w:bCs/>
        </w:rPr>
      </w:pPr>
      <w:r>
        <w:rPr>
          <w:rFonts w:ascii="Times New Roman" w:hAnsi="Times New Roman" w:cs="Times New Roman"/>
          <w:b/>
          <w:bCs/>
        </w:rPr>
        <w:t xml:space="preserve">7.3. Uzun Dönem Katsayıları </w:t>
      </w:r>
    </w:p>
    <w:p w14:paraId="1997464A"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lastRenderedPageBreak/>
        <w:t xml:space="preserve">Yapısal kırılmaya izin veren birim kök ve </w:t>
      </w:r>
      <w:proofErr w:type="spellStart"/>
      <w:r>
        <w:rPr>
          <w:rFonts w:ascii="Times New Roman" w:hAnsi="Times New Roman" w:cs="Times New Roman"/>
        </w:rPr>
        <w:t>eşbütünleşme</w:t>
      </w:r>
      <w:proofErr w:type="spellEnd"/>
      <w:r>
        <w:rPr>
          <w:rFonts w:ascii="Times New Roman" w:hAnsi="Times New Roman" w:cs="Times New Roman"/>
        </w:rPr>
        <w:t xml:space="preserve"> testleri sonucunda, çalışmada analiz edilen model için uzun dönem katsayılarına ulaşmak amacıyla </w:t>
      </w:r>
      <w:proofErr w:type="spellStart"/>
      <w:r>
        <w:rPr>
          <w:rFonts w:ascii="Times New Roman" w:hAnsi="Times New Roman" w:cs="Times New Roman"/>
        </w:rPr>
        <w:t>Peseran</w:t>
      </w:r>
      <w:proofErr w:type="spellEnd"/>
      <w:r>
        <w:rPr>
          <w:rFonts w:ascii="Times New Roman" w:hAnsi="Times New Roman" w:cs="Times New Roman"/>
        </w:rPr>
        <w:t xml:space="preserve"> ve </w:t>
      </w:r>
      <w:proofErr w:type="spellStart"/>
      <w:r>
        <w:rPr>
          <w:rFonts w:ascii="Times New Roman" w:hAnsi="Times New Roman" w:cs="Times New Roman"/>
        </w:rPr>
        <w:t>Shin</w:t>
      </w:r>
      <w:proofErr w:type="spellEnd"/>
      <w:r>
        <w:rPr>
          <w:rFonts w:ascii="Times New Roman" w:hAnsi="Times New Roman" w:cs="Times New Roman"/>
        </w:rPr>
        <w:t xml:space="preserve"> (1999) çalışmasıyla temellenen ARDL (</w:t>
      </w:r>
      <w:proofErr w:type="spellStart"/>
      <w:r>
        <w:rPr>
          <w:rFonts w:ascii="Times New Roman" w:hAnsi="Times New Roman" w:cs="Times New Roman"/>
        </w:rPr>
        <w:t>Otoregresif</w:t>
      </w:r>
      <w:proofErr w:type="spellEnd"/>
      <w:r>
        <w:rPr>
          <w:rFonts w:ascii="Times New Roman" w:hAnsi="Times New Roman" w:cs="Times New Roman"/>
        </w:rPr>
        <w:t xml:space="preserve"> Gecikmeleri Dağıtılmış Model) Sınır Testi ile Hata Düzeltme Modeli (VEC) uygulanmıştır. ARDL Sınır Testi, kısıtlanmamış hata düzeltme modellerini EKK tahminleriyle tahmin etmek için uygulanmaktadır. Çalışmada ARDL Modeli Sınır Testi Yaklaşımında aşağıdaki şekilde karakterize edilerek tahmin edilmektedir. </w:t>
      </w:r>
    </w:p>
    <w:p w14:paraId="5B704818" w14:textId="34AF2FC3" w:rsidR="00A72324" w:rsidRDefault="00A72324" w:rsidP="00A72324">
      <w:pPr>
        <w:jc w:val="both"/>
        <w:rPr>
          <w:rFonts w:ascii="Times New Roman" w:hAnsi="Times New Roman" w:cs="Times New Roman"/>
        </w:rPr>
      </w:pPr>
      <w:r>
        <w:rPr>
          <w:noProof/>
        </w:rPr>
        <w:drawing>
          <wp:inline distT="0" distB="0" distL="0" distR="0" wp14:anchorId="23A69C58" wp14:editId="6EA114FD">
            <wp:extent cx="5760720" cy="1729740"/>
            <wp:effectExtent l="0" t="0" r="0" b="381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3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760720" cy="1729740"/>
                    </a:xfrm>
                    <a:prstGeom prst="rect">
                      <a:avLst/>
                    </a:prstGeom>
                    <a:noFill/>
                    <a:ln>
                      <a:noFill/>
                    </a:ln>
                  </pic:spPr>
                </pic:pic>
              </a:graphicData>
            </a:graphic>
          </wp:inline>
        </w:drawing>
      </w:r>
    </w:p>
    <w:p w14:paraId="7D8A97EF"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Durağan karakteristiğe sahip serilerde, </w:t>
      </w:r>
      <w:proofErr w:type="spellStart"/>
      <w:r>
        <w:rPr>
          <w:rFonts w:ascii="Times New Roman" w:hAnsi="Times New Roman" w:cs="Times New Roman"/>
        </w:rPr>
        <w:t>eşbütünleşme</w:t>
      </w:r>
      <w:proofErr w:type="spellEnd"/>
      <w:r>
        <w:rPr>
          <w:rFonts w:ascii="Times New Roman" w:hAnsi="Times New Roman" w:cs="Times New Roman"/>
        </w:rPr>
        <w:t xml:space="preserve"> varlığı kabul edildikten sonra ARDL Sınır Testi Yaklaşımı ile Kısıtlanmamış Hata Düzeltme Modeli tahmin edilerek aşağıdaki istatistiksel olarak anlamlı uzun dönem katsayılarına ulaşılmaktadır. Modelde, değişen </w:t>
      </w:r>
      <w:proofErr w:type="spellStart"/>
      <w:r>
        <w:rPr>
          <w:rFonts w:ascii="Times New Roman" w:hAnsi="Times New Roman" w:cs="Times New Roman"/>
        </w:rPr>
        <w:t>varyans</w:t>
      </w:r>
      <w:proofErr w:type="spellEnd"/>
      <w:r>
        <w:rPr>
          <w:rFonts w:ascii="Times New Roman" w:hAnsi="Times New Roman" w:cs="Times New Roman"/>
        </w:rPr>
        <w:t xml:space="preserve">, </w:t>
      </w:r>
      <w:proofErr w:type="spellStart"/>
      <w:r>
        <w:rPr>
          <w:rFonts w:ascii="Times New Roman" w:hAnsi="Times New Roman" w:cs="Times New Roman"/>
        </w:rPr>
        <w:t>serisel</w:t>
      </w:r>
      <w:proofErr w:type="spellEnd"/>
      <w:r>
        <w:rPr>
          <w:rFonts w:ascii="Times New Roman" w:hAnsi="Times New Roman" w:cs="Times New Roman"/>
        </w:rPr>
        <w:t xml:space="preserve"> korelasyon (</w:t>
      </w:r>
      <w:proofErr w:type="spellStart"/>
      <w:r>
        <w:rPr>
          <w:rFonts w:ascii="Times New Roman" w:hAnsi="Times New Roman" w:cs="Times New Roman"/>
        </w:rPr>
        <w:t>otokorelasyon</w:t>
      </w:r>
      <w:proofErr w:type="spellEnd"/>
      <w:r>
        <w:rPr>
          <w:rFonts w:ascii="Times New Roman" w:hAnsi="Times New Roman" w:cs="Times New Roman"/>
        </w:rPr>
        <w:t xml:space="preserve">) ve </w:t>
      </w:r>
      <w:proofErr w:type="spellStart"/>
      <w:r>
        <w:rPr>
          <w:rFonts w:ascii="Times New Roman" w:hAnsi="Times New Roman" w:cs="Times New Roman"/>
        </w:rPr>
        <w:t>spesifikasyon</w:t>
      </w:r>
      <w:proofErr w:type="spellEnd"/>
      <w:r>
        <w:rPr>
          <w:rFonts w:ascii="Times New Roman" w:hAnsi="Times New Roman" w:cs="Times New Roman"/>
        </w:rPr>
        <w:t xml:space="preserve"> sorunu olmadığı tanısal testlerle Tablo 3’de gösterilmektedir.</w:t>
      </w:r>
    </w:p>
    <w:p w14:paraId="48F39626" w14:textId="77777777" w:rsidR="00A72324" w:rsidRDefault="00A72324" w:rsidP="00A72324">
      <w:pPr>
        <w:jc w:val="both"/>
        <w:rPr>
          <w:rFonts w:ascii="Times New Roman" w:hAnsi="Times New Roman" w:cs="Times New Roman"/>
          <w:b/>
          <w:bCs/>
          <w:sz w:val="22"/>
          <w:szCs w:val="22"/>
        </w:rPr>
      </w:pPr>
      <w:r>
        <w:rPr>
          <w:rFonts w:ascii="Times New Roman" w:hAnsi="Times New Roman" w:cs="Times New Roman"/>
          <w:b/>
          <w:bCs/>
          <w:sz w:val="22"/>
          <w:szCs w:val="22"/>
        </w:rPr>
        <w:t>Tablo 3. ARDL Sınır Testi Sonuçları (4, 0, 2, 0, 0, 0, 1)</w:t>
      </w:r>
    </w:p>
    <w:tbl>
      <w:tblPr>
        <w:tblStyle w:val="TabloKlavuzu"/>
        <w:tblW w:w="9303" w:type="dxa"/>
        <w:tblInd w:w="-5" w:type="dxa"/>
        <w:tblLook w:val="04A0" w:firstRow="1" w:lastRow="0" w:firstColumn="1" w:lastColumn="0" w:noHBand="0" w:noVBand="1"/>
      </w:tblPr>
      <w:tblGrid>
        <w:gridCol w:w="2835"/>
        <w:gridCol w:w="1931"/>
        <w:gridCol w:w="2266"/>
        <w:gridCol w:w="2271"/>
      </w:tblGrid>
      <w:tr w:rsidR="00A72324" w14:paraId="7F05E22B" w14:textId="77777777" w:rsidTr="00A72324">
        <w:tc>
          <w:tcPr>
            <w:tcW w:w="2835" w:type="dxa"/>
            <w:tcBorders>
              <w:top w:val="single" w:sz="4" w:space="0" w:color="auto"/>
              <w:left w:val="single" w:sz="4" w:space="0" w:color="auto"/>
              <w:bottom w:val="single" w:sz="4" w:space="0" w:color="auto"/>
              <w:right w:val="nil"/>
            </w:tcBorders>
          </w:tcPr>
          <w:p w14:paraId="43D4000E" w14:textId="77777777" w:rsidR="00A72324" w:rsidRDefault="00A72324">
            <w:pPr>
              <w:rPr>
                <w:rFonts w:ascii="Times New Roman" w:hAnsi="Times New Roman" w:cs="Times New Roman"/>
                <w:sz w:val="20"/>
                <w:szCs w:val="20"/>
              </w:rPr>
            </w:pPr>
          </w:p>
        </w:tc>
        <w:tc>
          <w:tcPr>
            <w:tcW w:w="1931" w:type="dxa"/>
            <w:tcBorders>
              <w:top w:val="single" w:sz="4" w:space="0" w:color="auto"/>
              <w:left w:val="nil"/>
              <w:bottom w:val="single" w:sz="4" w:space="0" w:color="auto"/>
              <w:right w:val="nil"/>
            </w:tcBorders>
            <w:hideMark/>
          </w:tcPr>
          <w:p w14:paraId="3712E12B"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ARDL Sınır Testi</w:t>
            </w:r>
          </w:p>
        </w:tc>
        <w:tc>
          <w:tcPr>
            <w:tcW w:w="2266" w:type="dxa"/>
            <w:tcBorders>
              <w:top w:val="single" w:sz="4" w:space="0" w:color="auto"/>
              <w:left w:val="nil"/>
              <w:bottom w:val="single" w:sz="4" w:space="0" w:color="auto"/>
              <w:right w:val="nil"/>
            </w:tcBorders>
          </w:tcPr>
          <w:p w14:paraId="6A54FE6B" w14:textId="77777777" w:rsidR="00A72324" w:rsidRDefault="00A72324">
            <w:pPr>
              <w:jc w:val="center"/>
              <w:rPr>
                <w:rFonts w:ascii="Times New Roman" w:hAnsi="Times New Roman" w:cs="Times New Roman"/>
                <w:sz w:val="20"/>
                <w:szCs w:val="20"/>
              </w:rPr>
            </w:pPr>
          </w:p>
        </w:tc>
        <w:tc>
          <w:tcPr>
            <w:tcW w:w="2271" w:type="dxa"/>
            <w:tcBorders>
              <w:top w:val="single" w:sz="4" w:space="0" w:color="auto"/>
              <w:left w:val="nil"/>
              <w:bottom w:val="single" w:sz="4" w:space="0" w:color="auto"/>
              <w:right w:val="single" w:sz="4" w:space="0" w:color="auto"/>
            </w:tcBorders>
          </w:tcPr>
          <w:p w14:paraId="59B139DE" w14:textId="77777777" w:rsidR="00A72324" w:rsidRDefault="00A72324">
            <w:pPr>
              <w:jc w:val="both"/>
              <w:rPr>
                <w:rFonts w:ascii="Times New Roman" w:hAnsi="Times New Roman" w:cs="Times New Roman"/>
                <w:sz w:val="20"/>
                <w:szCs w:val="20"/>
              </w:rPr>
            </w:pPr>
          </w:p>
        </w:tc>
      </w:tr>
      <w:tr w:rsidR="00A72324" w14:paraId="2DEA65CC" w14:textId="77777777" w:rsidTr="00A72324">
        <w:tc>
          <w:tcPr>
            <w:tcW w:w="2835" w:type="dxa"/>
            <w:tcBorders>
              <w:top w:val="single" w:sz="4" w:space="0" w:color="auto"/>
              <w:left w:val="single" w:sz="4" w:space="0" w:color="auto"/>
              <w:bottom w:val="single" w:sz="4" w:space="0" w:color="auto"/>
              <w:right w:val="nil"/>
            </w:tcBorders>
            <w:hideMark/>
          </w:tcPr>
          <w:p w14:paraId="1FC29ABD"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 xml:space="preserve">Uzun Dönem </w:t>
            </w:r>
          </w:p>
        </w:tc>
        <w:tc>
          <w:tcPr>
            <w:tcW w:w="1931" w:type="dxa"/>
            <w:tcBorders>
              <w:top w:val="single" w:sz="4" w:space="0" w:color="auto"/>
              <w:left w:val="nil"/>
              <w:bottom w:val="single" w:sz="4" w:space="0" w:color="auto"/>
              <w:right w:val="nil"/>
            </w:tcBorders>
            <w:hideMark/>
          </w:tcPr>
          <w:p w14:paraId="07B6F5BE"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 xml:space="preserve">Katsayılar </w:t>
            </w:r>
          </w:p>
        </w:tc>
        <w:tc>
          <w:tcPr>
            <w:tcW w:w="2266" w:type="dxa"/>
            <w:tcBorders>
              <w:top w:val="single" w:sz="4" w:space="0" w:color="auto"/>
              <w:left w:val="nil"/>
              <w:bottom w:val="single" w:sz="4" w:space="0" w:color="auto"/>
              <w:right w:val="nil"/>
            </w:tcBorders>
          </w:tcPr>
          <w:p w14:paraId="10FE2C87" w14:textId="77777777" w:rsidR="00A72324" w:rsidRDefault="00A72324">
            <w:pPr>
              <w:jc w:val="center"/>
              <w:rPr>
                <w:rFonts w:ascii="Times New Roman" w:hAnsi="Times New Roman" w:cs="Times New Roman"/>
                <w:sz w:val="20"/>
                <w:szCs w:val="20"/>
              </w:rPr>
            </w:pPr>
          </w:p>
        </w:tc>
        <w:tc>
          <w:tcPr>
            <w:tcW w:w="2271" w:type="dxa"/>
            <w:tcBorders>
              <w:top w:val="single" w:sz="4" w:space="0" w:color="auto"/>
              <w:left w:val="nil"/>
              <w:bottom w:val="single" w:sz="4" w:space="0" w:color="auto"/>
              <w:right w:val="single" w:sz="4" w:space="0" w:color="auto"/>
            </w:tcBorders>
          </w:tcPr>
          <w:p w14:paraId="01FEFADB" w14:textId="77777777" w:rsidR="00A72324" w:rsidRDefault="00A72324">
            <w:pPr>
              <w:jc w:val="both"/>
              <w:rPr>
                <w:rFonts w:ascii="Times New Roman" w:hAnsi="Times New Roman" w:cs="Times New Roman"/>
                <w:sz w:val="20"/>
                <w:szCs w:val="20"/>
              </w:rPr>
            </w:pPr>
          </w:p>
        </w:tc>
      </w:tr>
      <w:tr w:rsidR="00A72324" w14:paraId="138CCF28" w14:textId="77777777" w:rsidTr="00A72324">
        <w:tc>
          <w:tcPr>
            <w:tcW w:w="2835" w:type="dxa"/>
            <w:tcBorders>
              <w:top w:val="nil"/>
              <w:left w:val="single" w:sz="4" w:space="0" w:color="auto"/>
              <w:bottom w:val="nil"/>
              <w:right w:val="nil"/>
            </w:tcBorders>
            <w:hideMark/>
          </w:tcPr>
          <w:p w14:paraId="14500C78"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EXC</w:t>
            </w:r>
          </w:p>
        </w:tc>
        <w:tc>
          <w:tcPr>
            <w:tcW w:w="1931" w:type="dxa"/>
            <w:tcBorders>
              <w:top w:val="nil"/>
              <w:left w:val="nil"/>
              <w:bottom w:val="nil"/>
              <w:right w:val="nil"/>
            </w:tcBorders>
            <w:hideMark/>
          </w:tcPr>
          <w:p w14:paraId="5DFB1B67"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-0,0092**</w:t>
            </w:r>
          </w:p>
        </w:tc>
        <w:tc>
          <w:tcPr>
            <w:tcW w:w="2266" w:type="dxa"/>
            <w:tcBorders>
              <w:top w:val="nil"/>
              <w:left w:val="nil"/>
              <w:bottom w:val="nil"/>
              <w:right w:val="nil"/>
            </w:tcBorders>
          </w:tcPr>
          <w:p w14:paraId="05572706" w14:textId="77777777" w:rsidR="00A72324" w:rsidRDefault="00A72324">
            <w:pPr>
              <w:jc w:val="center"/>
              <w:rPr>
                <w:rFonts w:ascii="Times New Roman" w:hAnsi="Times New Roman" w:cs="Times New Roman"/>
                <w:sz w:val="20"/>
                <w:szCs w:val="20"/>
              </w:rPr>
            </w:pPr>
          </w:p>
        </w:tc>
        <w:tc>
          <w:tcPr>
            <w:tcW w:w="2271" w:type="dxa"/>
            <w:tcBorders>
              <w:top w:val="nil"/>
              <w:left w:val="nil"/>
              <w:bottom w:val="nil"/>
              <w:right w:val="single" w:sz="4" w:space="0" w:color="auto"/>
            </w:tcBorders>
          </w:tcPr>
          <w:p w14:paraId="7B80B42B" w14:textId="77777777" w:rsidR="00A72324" w:rsidRDefault="00A72324">
            <w:pPr>
              <w:jc w:val="both"/>
              <w:rPr>
                <w:rFonts w:ascii="Times New Roman" w:hAnsi="Times New Roman" w:cs="Times New Roman"/>
                <w:sz w:val="20"/>
                <w:szCs w:val="20"/>
              </w:rPr>
            </w:pPr>
          </w:p>
        </w:tc>
      </w:tr>
      <w:tr w:rsidR="00A72324" w14:paraId="2DE62948" w14:textId="77777777" w:rsidTr="00A72324">
        <w:tc>
          <w:tcPr>
            <w:tcW w:w="2835" w:type="dxa"/>
            <w:tcBorders>
              <w:top w:val="nil"/>
              <w:left w:val="single" w:sz="4" w:space="0" w:color="auto"/>
              <w:bottom w:val="nil"/>
              <w:right w:val="nil"/>
            </w:tcBorders>
            <w:hideMark/>
          </w:tcPr>
          <w:p w14:paraId="1BF3FCFD"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IMP</w:t>
            </w:r>
          </w:p>
        </w:tc>
        <w:tc>
          <w:tcPr>
            <w:tcW w:w="1931" w:type="dxa"/>
            <w:tcBorders>
              <w:top w:val="nil"/>
              <w:left w:val="nil"/>
              <w:bottom w:val="nil"/>
              <w:right w:val="nil"/>
            </w:tcBorders>
            <w:hideMark/>
          </w:tcPr>
          <w:p w14:paraId="7A3D260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0,0986**</w:t>
            </w:r>
          </w:p>
        </w:tc>
        <w:tc>
          <w:tcPr>
            <w:tcW w:w="2266" w:type="dxa"/>
            <w:tcBorders>
              <w:top w:val="nil"/>
              <w:left w:val="nil"/>
              <w:bottom w:val="nil"/>
              <w:right w:val="nil"/>
            </w:tcBorders>
          </w:tcPr>
          <w:p w14:paraId="16E83276" w14:textId="77777777" w:rsidR="00A72324" w:rsidRDefault="00A72324">
            <w:pPr>
              <w:jc w:val="center"/>
              <w:rPr>
                <w:rFonts w:ascii="Times New Roman" w:hAnsi="Times New Roman" w:cs="Times New Roman"/>
                <w:sz w:val="20"/>
                <w:szCs w:val="20"/>
              </w:rPr>
            </w:pPr>
          </w:p>
        </w:tc>
        <w:tc>
          <w:tcPr>
            <w:tcW w:w="2271" w:type="dxa"/>
            <w:tcBorders>
              <w:top w:val="nil"/>
              <w:left w:val="nil"/>
              <w:bottom w:val="nil"/>
              <w:right w:val="single" w:sz="4" w:space="0" w:color="auto"/>
            </w:tcBorders>
          </w:tcPr>
          <w:p w14:paraId="64E48599" w14:textId="77777777" w:rsidR="00A72324" w:rsidRDefault="00A72324">
            <w:pPr>
              <w:jc w:val="both"/>
              <w:rPr>
                <w:rFonts w:ascii="Times New Roman" w:hAnsi="Times New Roman" w:cs="Times New Roman"/>
                <w:sz w:val="20"/>
                <w:szCs w:val="20"/>
              </w:rPr>
            </w:pPr>
          </w:p>
        </w:tc>
      </w:tr>
      <w:tr w:rsidR="00A72324" w14:paraId="59286297" w14:textId="77777777" w:rsidTr="00A72324">
        <w:tc>
          <w:tcPr>
            <w:tcW w:w="2835" w:type="dxa"/>
            <w:tcBorders>
              <w:top w:val="nil"/>
              <w:left w:val="single" w:sz="4" w:space="0" w:color="auto"/>
              <w:bottom w:val="nil"/>
              <w:right w:val="nil"/>
            </w:tcBorders>
            <w:hideMark/>
          </w:tcPr>
          <w:p w14:paraId="71CA7BCE"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PIND</w:t>
            </w:r>
            <w:r>
              <w:rPr>
                <w:rFonts w:ascii="Times New Roman" w:hAnsi="Times New Roman" w:cs="Times New Roman"/>
                <w:i/>
                <w:iCs/>
                <w:sz w:val="20"/>
                <w:szCs w:val="20"/>
                <w:vertAlign w:val="subscript"/>
              </w:rPr>
              <w:t>(TR)</w:t>
            </w:r>
          </w:p>
        </w:tc>
        <w:tc>
          <w:tcPr>
            <w:tcW w:w="1931" w:type="dxa"/>
            <w:tcBorders>
              <w:top w:val="nil"/>
              <w:left w:val="nil"/>
              <w:bottom w:val="nil"/>
              <w:right w:val="nil"/>
            </w:tcBorders>
            <w:hideMark/>
          </w:tcPr>
          <w:p w14:paraId="7FFC8711"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0,0144**</w:t>
            </w:r>
          </w:p>
        </w:tc>
        <w:tc>
          <w:tcPr>
            <w:tcW w:w="2266" w:type="dxa"/>
            <w:tcBorders>
              <w:top w:val="nil"/>
              <w:left w:val="nil"/>
              <w:bottom w:val="nil"/>
              <w:right w:val="nil"/>
            </w:tcBorders>
          </w:tcPr>
          <w:p w14:paraId="15D6937C" w14:textId="77777777" w:rsidR="00A72324" w:rsidRDefault="00A72324">
            <w:pPr>
              <w:jc w:val="center"/>
              <w:rPr>
                <w:rFonts w:ascii="Times New Roman" w:hAnsi="Times New Roman" w:cs="Times New Roman"/>
                <w:sz w:val="20"/>
                <w:szCs w:val="20"/>
              </w:rPr>
            </w:pPr>
          </w:p>
        </w:tc>
        <w:tc>
          <w:tcPr>
            <w:tcW w:w="2271" w:type="dxa"/>
            <w:tcBorders>
              <w:top w:val="nil"/>
              <w:left w:val="nil"/>
              <w:bottom w:val="nil"/>
              <w:right w:val="single" w:sz="4" w:space="0" w:color="auto"/>
            </w:tcBorders>
          </w:tcPr>
          <w:p w14:paraId="63E4BCB5" w14:textId="77777777" w:rsidR="00A72324" w:rsidRDefault="00A72324">
            <w:pPr>
              <w:jc w:val="both"/>
              <w:rPr>
                <w:rFonts w:ascii="Times New Roman" w:hAnsi="Times New Roman" w:cs="Times New Roman"/>
                <w:sz w:val="20"/>
                <w:szCs w:val="20"/>
              </w:rPr>
            </w:pPr>
          </w:p>
        </w:tc>
      </w:tr>
      <w:tr w:rsidR="00A72324" w14:paraId="52A72784" w14:textId="77777777" w:rsidTr="00A72324">
        <w:tc>
          <w:tcPr>
            <w:tcW w:w="2835" w:type="dxa"/>
            <w:tcBorders>
              <w:top w:val="nil"/>
              <w:left w:val="single" w:sz="4" w:space="0" w:color="auto"/>
              <w:bottom w:val="nil"/>
              <w:right w:val="nil"/>
            </w:tcBorders>
            <w:hideMark/>
          </w:tcPr>
          <w:p w14:paraId="7D5B17D7"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PIND</w:t>
            </w:r>
            <w:r>
              <w:rPr>
                <w:rFonts w:ascii="Times New Roman" w:hAnsi="Times New Roman" w:cs="Times New Roman"/>
                <w:i/>
                <w:iCs/>
                <w:sz w:val="20"/>
                <w:szCs w:val="20"/>
                <w:vertAlign w:val="subscript"/>
              </w:rPr>
              <w:t>(OECD)</w:t>
            </w:r>
          </w:p>
        </w:tc>
        <w:tc>
          <w:tcPr>
            <w:tcW w:w="1931" w:type="dxa"/>
            <w:tcBorders>
              <w:top w:val="nil"/>
              <w:left w:val="nil"/>
              <w:bottom w:val="nil"/>
              <w:right w:val="nil"/>
            </w:tcBorders>
            <w:hideMark/>
          </w:tcPr>
          <w:p w14:paraId="2AAE7CE8"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0,575*</w:t>
            </w:r>
          </w:p>
        </w:tc>
        <w:tc>
          <w:tcPr>
            <w:tcW w:w="2266" w:type="dxa"/>
            <w:tcBorders>
              <w:top w:val="nil"/>
              <w:left w:val="nil"/>
              <w:bottom w:val="nil"/>
              <w:right w:val="nil"/>
            </w:tcBorders>
          </w:tcPr>
          <w:p w14:paraId="02FA960B" w14:textId="77777777" w:rsidR="00A72324" w:rsidRDefault="00A72324">
            <w:pPr>
              <w:jc w:val="center"/>
              <w:rPr>
                <w:rFonts w:ascii="Times New Roman" w:hAnsi="Times New Roman" w:cs="Times New Roman"/>
                <w:sz w:val="20"/>
                <w:szCs w:val="20"/>
              </w:rPr>
            </w:pPr>
          </w:p>
        </w:tc>
        <w:tc>
          <w:tcPr>
            <w:tcW w:w="2271" w:type="dxa"/>
            <w:tcBorders>
              <w:top w:val="nil"/>
              <w:left w:val="nil"/>
              <w:bottom w:val="nil"/>
              <w:right w:val="single" w:sz="4" w:space="0" w:color="auto"/>
            </w:tcBorders>
          </w:tcPr>
          <w:p w14:paraId="625ADB97" w14:textId="77777777" w:rsidR="00A72324" w:rsidRDefault="00A72324">
            <w:pPr>
              <w:jc w:val="both"/>
              <w:rPr>
                <w:rFonts w:ascii="Times New Roman" w:hAnsi="Times New Roman" w:cs="Times New Roman"/>
                <w:sz w:val="20"/>
                <w:szCs w:val="20"/>
              </w:rPr>
            </w:pPr>
          </w:p>
        </w:tc>
      </w:tr>
      <w:tr w:rsidR="00A72324" w14:paraId="3485C59F" w14:textId="77777777" w:rsidTr="00A72324">
        <w:tc>
          <w:tcPr>
            <w:tcW w:w="2835" w:type="dxa"/>
            <w:tcBorders>
              <w:top w:val="nil"/>
              <w:left w:val="single" w:sz="4" w:space="0" w:color="auto"/>
              <w:bottom w:val="nil"/>
              <w:right w:val="nil"/>
            </w:tcBorders>
            <w:hideMark/>
          </w:tcPr>
          <w:p w14:paraId="71A3E6DD"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CCI</w:t>
            </w:r>
            <w:r>
              <w:rPr>
                <w:rFonts w:ascii="Times New Roman" w:hAnsi="Times New Roman" w:cs="Times New Roman"/>
                <w:i/>
                <w:iCs/>
                <w:sz w:val="20"/>
                <w:szCs w:val="20"/>
                <w:vertAlign w:val="subscript"/>
              </w:rPr>
              <w:t>(TR)</w:t>
            </w:r>
          </w:p>
        </w:tc>
        <w:tc>
          <w:tcPr>
            <w:tcW w:w="1931" w:type="dxa"/>
            <w:tcBorders>
              <w:top w:val="nil"/>
              <w:left w:val="nil"/>
              <w:bottom w:val="nil"/>
              <w:right w:val="nil"/>
            </w:tcBorders>
            <w:hideMark/>
          </w:tcPr>
          <w:p w14:paraId="37DCAC6A"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-0,0123***</w:t>
            </w:r>
          </w:p>
        </w:tc>
        <w:tc>
          <w:tcPr>
            <w:tcW w:w="2266" w:type="dxa"/>
            <w:tcBorders>
              <w:top w:val="nil"/>
              <w:left w:val="nil"/>
              <w:bottom w:val="nil"/>
              <w:right w:val="nil"/>
            </w:tcBorders>
          </w:tcPr>
          <w:p w14:paraId="27CF295D" w14:textId="77777777" w:rsidR="00A72324" w:rsidRDefault="00A72324">
            <w:pPr>
              <w:jc w:val="center"/>
              <w:rPr>
                <w:rFonts w:ascii="Times New Roman" w:hAnsi="Times New Roman" w:cs="Times New Roman"/>
                <w:sz w:val="20"/>
                <w:szCs w:val="20"/>
              </w:rPr>
            </w:pPr>
          </w:p>
        </w:tc>
        <w:tc>
          <w:tcPr>
            <w:tcW w:w="2271" w:type="dxa"/>
            <w:tcBorders>
              <w:top w:val="nil"/>
              <w:left w:val="nil"/>
              <w:bottom w:val="nil"/>
              <w:right w:val="single" w:sz="4" w:space="0" w:color="auto"/>
            </w:tcBorders>
          </w:tcPr>
          <w:p w14:paraId="517299DE" w14:textId="77777777" w:rsidR="00A72324" w:rsidRDefault="00A72324">
            <w:pPr>
              <w:jc w:val="both"/>
              <w:rPr>
                <w:rFonts w:ascii="Times New Roman" w:hAnsi="Times New Roman" w:cs="Times New Roman"/>
                <w:sz w:val="20"/>
                <w:szCs w:val="20"/>
              </w:rPr>
            </w:pPr>
          </w:p>
        </w:tc>
      </w:tr>
      <w:tr w:rsidR="00A72324" w14:paraId="59942B16" w14:textId="77777777" w:rsidTr="00A72324">
        <w:tc>
          <w:tcPr>
            <w:tcW w:w="2835" w:type="dxa"/>
            <w:tcBorders>
              <w:top w:val="nil"/>
              <w:left w:val="single" w:sz="4" w:space="0" w:color="auto"/>
              <w:bottom w:val="single" w:sz="4" w:space="0" w:color="auto"/>
              <w:right w:val="nil"/>
            </w:tcBorders>
            <w:hideMark/>
          </w:tcPr>
          <w:p w14:paraId="0AFB34CA" w14:textId="77777777" w:rsidR="00A72324" w:rsidRDefault="00A72324">
            <w:pPr>
              <w:rPr>
                <w:rFonts w:ascii="Times New Roman" w:hAnsi="Times New Roman" w:cs="Times New Roman"/>
                <w:sz w:val="20"/>
                <w:szCs w:val="20"/>
              </w:rPr>
            </w:pPr>
            <w:r>
              <w:rPr>
                <w:rFonts w:ascii="Times New Roman" w:hAnsi="Times New Roman" w:cs="Times New Roman"/>
                <w:i/>
                <w:iCs/>
                <w:sz w:val="20"/>
                <w:szCs w:val="20"/>
              </w:rPr>
              <w:t>CCI</w:t>
            </w:r>
            <w:r>
              <w:rPr>
                <w:rFonts w:ascii="Times New Roman" w:hAnsi="Times New Roman" w:cs="Times New Roman"/>
                <w:i/>
                <w:iCs/>
                <w:sz w:val="20"/>
                <w:szCs w:val="20"/>
                <w:vertAlign w:val="subscript"/>
              </w:rPr>
              <w:t>(OECD)</w:t>
            </w:r>
          </w:p>
        </w:tc>
        <w:tc>
          <w:tcPr>
            <w:tcW w:w="1931" w:type="dxa"/>
            <w:tcBorders>
              <w:top w:val="nil"/>
              <w:left w:val="nil"/>
              <w:bottom w:val="single" w:sz="4" w:space="0" w:color="auto"/>
              <w:right w:val="nil"/>
            </w:tcBorders>
            <w:hideMark/>
          </w:tcPr>
          <w:p w14:paraId="6224DC8F"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-1,5868*</w:t>
            </w:r>
          </w:p>
        </w:tc>
        <w:tc>
          <w:tcPr>
            <w:tcW w:w="2266" w:type="dxa"/>
            <w:tcBorders>
              <w:top w:val="nil"/>
              <w:left w:val="nil"/>
              <w:bottom w:val="single" w:sz="4" w:space="0" w:color="auto"/>
              <w:right w:val="nil"/>
            </w:tcBorders>
          </w:tcPr>
          <w:p w14:paraId="3B2E361D" w14:textId="77777777" w:rsidR="00A72324" w:rsidRDefault="00A72324">
            <w:pPr>
              <w:jc w:val="center"/>
              <w:rPr>
                <w:rFonts w:ascii="Times New Roman" w:hAnsi="Times New Roman" w:cs="Times New Roman"/>
                <w:sz w:val="20"/>
                <w:szCs w:val="20"/>
              </w:rPr>
            </w:pPr>
          </w:p>
        </w:tc>
        <w:tc>
          <w:tcPr>
            <w:tcW w:w="2271" w:type="dxa"/>
            <w:tcBorders>
              <w:top w:val="nil"/>
              <w:left w:val="nil"/>
              <w:bottom w:val="single" w:sz="4" w:space="0" w:color="auto"/>
              <w:right w:val="single" w:sz="4" w:space="0" w:color="auto"/>
            </w:tcBorders>
          </w:tcPr>
          <w:p w14:paraId="76DEBA0B" w14:textId="77777777" w:rsidR="00A72324" w:rsidRDefault="00A72324">
            <w:pPr>
              <w:jc w:val="both"/>
              <w:rPr>
                <w:rFonts w:ascii="Times New Roman" w:hAnsi="Times New Roman" w:cs="Times New Roman"/>
                <w:sz w:val="20"/>
                <w:szCs w:val="20"/>
              </w:rPr>
            </w:pPr>
          </w:p>
        </w:tc>
      </w:tr>
      <w:tr w:rsidR="00A72324" w14:paraId="4C9BB398" w14:textId="77777777" w:rsidTr="00A72324">
        <w:tc>
          <w:tcPr>
            <w:tcW w:w="2835" w:type="dxa"/>
            <w:tcBorders>
              <w:top w:val="single" w:sz="4" w:space="0" w:color="auto"/>
              <w:left w:val="single" w:sz="4" w:space="0" w:color="auto"/>
              <w:bottom w:val="single" w:sz="4" w:space="0" w:color="auto"/>
              <w:right w:val="nil"/>
            </w:tcBorders>
            <w:hideMark/>
          </w:tcPr>
          <w:p w14:paraId="2445C4D5"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Hata Düzeltme Katsayısı</w:t>
            </w:r>
          </w:p>
        </w:tc>
        <w:tc>
          <w:tcPr>
            <w:tcW w:w="1931" w:type="dxa"/>
            <w:tcBorders>
              <w:top w:val="single" w:sz="4" w:space="0" w:color="auto"/>
              <w:left w:val="nil"/>
              <w:bottom w:val="single" w:sz="4" w:space="0" w:color="auto"/>
              <w:right w:val="nil"/>
            </w:tcBorders>
            <w:hideMark/>
          </w:tcPr>
          <w:p w14:paraId="239CF10E"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-0,6580*</w:t>
            </w:r>
          </w:p>
        </w:tc>
        <w:tc>
          <w:tcPr>
            <w:tcW w:w="2266" w:type="dxa"/>
            <w:tcBorders>
              <w:top w:val="single" w:sz="4" w:space="0" w:color="auto"/>
              <w:left w:val="nil"/>
              <w:bottom w:val="single" w:sz="4" w:space="0" w:color="auto"/>
              <w:right w:val="nil"/>
            </w:tcBorders>
          </w:tcPr>
          <w:p w14:paraId="56D8591C" w14:textId="77777777" w:rsidR="00A72324" w:rsidRDefault="00A72324">
            <w:pPr>
              <w:jc w:val="center"/>
              <w:rPr>
                <w:rFonts w:ascii="Times New Roman" w:hAnsi="Times New Roman" w:cs="Times New Roman"/>
                <w:sz w:val="20"/>
                <w:szCs w:val="20"/>
              </w:rPr>
            </w:pPr>
          </w:p>
        </w:tc>
        <w:tc>
          <w:tcPr>
            <w:tcW w:w="2271" w:type="dxa"/>
            <w:tcBorders>
              <w:top w:val="single" w:sz="4" w:space="0" w:color="auto"/>
              <w:left w:val="nil"/>
              <w:bottom w:val="single" w:sz="4" w:space="0" w:color="auto"/>
              <w:right w:val="single" w:sz="4" w:space="0" w:color="auto"/>
            </w:tcBorders>
          </w:tcPr>
          <w:p w14:paraId="44DF7BC3" w14:textId="77777777" w:rsidR="00A72324" w:rsidRDefault="00A72324">
            <w:pPr>
              <w:jc w:val="both"/>
              <w:rPr>
                <w:rFonts w:ascii="Times New Roman" w:hAnsi="Times New Roman" w:cs="Times New Roman"/>
                <w:sz w:val="20"/>
                <w:szCs w:val="20"/>
              </w:rPr>
            </w:pPr>
          </w:p>
        </w:tc>
      </w:tr>
      <w:tr w:rsidR="00A72324" w14:paraId="52F4E8AE" w14:textId="77777777" w:rsidTr="00A72324">
        <w:tc>
          <w:tcPr>
            <w:tcW w:w="2835" w:type="dxa"/>
            <w:tcBorders>
              <w:top w:val="single" w:sz="4" w:space="0" w:color="auto"/>
              <w:left w:val="single" w:sz="4" w:space="0" w:color="auto"/>
              <w:bottom w:val="single" w:sz="4" w:space="0" w:color="auto"/>
              <w:right w:val="nil"/>
            </w:tcBorders>
            <w:hideMark/>
          </w:tcPr>
          <w:p w14:paraId="0C459A33" w14:textId="77777777" w:rsidR="00A72324" w:rsidRDefault="00A72324">
            <w:pPr>
              <w:rPr>
                <w:rFonts w:ascii="Times New Roman" w:hAnsi="Times New Roman" w:cs="Times New Roman"/>
                <w:b/>
                <w:bCs/>
                <w:sz w:val="20"/>
                <w:szCs w:val="20"/>
              </w:rPr>
            </w:pPr>
            <w:r>
              <w:rPr>
                <w:rFonts w:ascii="Times New Roman" w:hAnsi="Times New Roman" w:cs="Times New Roman"/>
                <w:b/>
                <w:bCs/>
                <w:sz w:val="20"/>
                <w:szCs w:val="20"/>
              </w:rPr>
              <w:t xml:space="preserve">Tanısal Testler </w:t>
            </w:r>
          </w:p>
        </w:tc>
        <w:tc>
          <w:tcPr>
            <w:tcW w:w="1931" w:type="dxa"/>
            <w:tcBorders>
              <w:top w:val="single" w:sz="4" w:space="0" w:color="auto"/>
              <w:left w:val="nil"/>
              <w:bottom w:val="single" w:sz="4" w:space="0" w:color="auto"/>
              <w:right w:val="nil"/>
            </w:tcBorders>
            <w:hideMark/>
          </w:tcPr>
          <w:p w14:paraId="6539510B"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Test İstatistiği</w:t>
            </w:r>
          </w:p>
        </w:tc>
        <w:tc>
          <w:tcPr>
            <w:tcW w:w="2266" w:type="dxa"/>
            <w:tcBorders>
              <w:top w:val="single" w:sz="4" w:space="0" w:color="auto"/>
              <w:left w:val="nil"/>
              <w:bottom w:val="single" w:sz="4" w:space="0" w:color="auto"/>
              <w:right w:val="nil"/>
            </w:tcBorders>
            <w:hideMark/>
          </w:tcPr>
          <w:p w14:paraId="62E70DE0" w14:textId="77777777" w:rsidR="00A72324" w:rsidRDefault="00A72324">
            <w:pPr>
              <w:jc w:val="center"/>
              <w:rPr>
                <w:rFonts w:ascii="Times New Roman" w:hAnsi="Times New Roman" w:cs="Times New Roman"/>
                <w:b/>
                <w:bCs/>
                <w:sz w:val="20"/>
                <w:szCs w:val="20"/>
              </w:rPr>
            </w:pPr>
            <w:r>
              <w:rPr>
                <w:rFonts w:ascii="Times New Roman" w:hAnsi="Times New Roman" w:cs="Times New Roman"/>
                <w:b/>
                <w:bCs/>
                <w:sz w:val="20"/>
                <w:szCs w:val="20"/>
              </w:rPr>
              <w:t>Olasılık Değeri</w:t>
            </w:r>
          </w:p>
        </w:tc>
        <w:tc>
          <w:tcPr>
            <w:tcW w:w="2271" w:type="dxa"/>
            <w:tcBorders>
              <w:top w:val="single" w:sz="4" w:space="0" w:color="auto"/>
              <w:left w:val="nil"/>
              <w:bottom w:val="single" w:sz="4" w:space="0" w:color="auto"/>
              <w:right w:val="single" w:sz="4" w:space="0" w:color="auto"/>
            </w:tcBorders>
          </w:tcPr>
          <w:p w14:paraId="550C4661" w14:textId="77777777" w:rsidR="00A72324" w:rsidRDefault="00A72324">
            <w:pPr>
              <w:jc w:val="both"/>
              <w:rPr>
                <w:rFonts w:ascii="Times New Roman" w:hAnsi="Times New Roman" w:cs="Times New Roman"/>
                <w:sz w:val="20"/>
                <w:szCs w:val="20"/>
              </w:rPr>
            </w:pPr>
          </w:p>
        </w:tc>
      </w:tr>
      <w:tr w:rsidR="00A72324" w14:paraId="38F8880D" w14:textId="77777777" w:rsidTr="00A72324">
        <w:tc>
          <w:tcPr>
            <w:tcW w:w="2835" w:type="dxa"/>
            <w:tcBorders>
              <w:top w:val="single" w:sz="4" w:space="0" w:color="auto"/>
              <w:left w:val="single" w:sz="4" w:space="0" w:color="auto"/>
              <w:bottom w:val="single" w:sz="4" w:space="0" w:color="auto"/>
              <w:right w:val="nil"/>
            </w:tcBorders>
            <w:hideMark/>
          </w:tcPr>
          <w:p w14:paraId="188F3534" w14:textId="77777777" w:rsidR="00A72324" w:rsidRDefault="00A72324">
            <w:pPr>
              <w:rPr>
                <w:rFonts w:ascii="Times New Roman" w:hAnsi="Times New Roman" w:cs="Times New Roman"/>
                <w:sz w:val="20"/>
                <w:szCs w:val="20"/>
              </w:rPr>
            </w:pPr>
            <w:r>
              <w:rPr>
                <w:rFonts w:ascii="Times New Roman" w:hAnsi="Times New Roman" w:cs="Times New Roman"/>
                <w:sz w:val="20"/>
                <w:szCs w:val="20"/>
              </w:rPr>
              <w:t>Normallik Testi (</w:t>
            </w:r>
            <w:proofErr w:type="spellStart"/>
            <w:r>
              <w:rPr>
                <w:rFonts w:ascii="Times New Roman" w:hAnsi="Times New Roman" w:cs="Times New Roman"/>
                <w:sz w:val="20"/>
                <w:szCs w:val="20"/>
              </w:rPr>
              <w:t>Jarque</w:t>
            </w:r>
            <w:proofErr w:type="spellEnd"/>
            <w:r>
              <w:rPr>
                <w:rFonts w:ascii="Times New Roman" w:hAnsi="Times New Roman" w:cs="Times New Roman"/>
                <w:sz w:val="20"/>
                <w:szCs w:val="20"/>
              </w:rPr>
              <w:t xml:space="preserve">-Bera) </w:t>
            </w:r>
          </w:p>
        </w:tc>
        <w:tc>
          <w:tcPr>
            <w:tcW w:w="1931" w:type="dxa"/>
            <w:tcBorders>
              <w:top w:val="single" w:sz="4" w:space="0" w:color="auto"/>
              <w:left w:val="nil"/>
              <w:bottom w:val="single" w:sz="4" w:space="0" w:color="auto"/>
              <w:right w:val="nil"/>
            </w:tcBorders>
            <w:hideMark/>
          </w:tcPr>
          <w:p w14:paraId="48F8C52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0,5683</w:t>
            </w:r>
          </w:p>
        </w:tc>
        <w:tc>
          <w:tcPr>
            <w:tcW w:w="2266" w:type="dxa"/>
            <w:tcBorders>
              <w:top w:val="single" w:sz="4" w:space="0" w:color="auto"/>
              <w:left w:val="nil"/>
              <w:bottom w:val="single" w:sz="4" w:space="0" w:color="auto"/>
              <w:right w:val="nil"/>
            </w:tcBorders>
            <w:hideMark/>
          </w:tcPr>
          <w:p w14:paraId="0AAFA0DE"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0,7526</w:t>
            </w:r>
          </w:p>
        </w:tc>
        <w:tc>
          <w:tcPr>
            <w:tcW w:w="2271" w:type="dxa"/>
            <w:tcBorders>
              <w:top w:val="single" w:sz="4" w:space="0" w:color="auto"/>
              <w:left w:val="nil"/>
              <w:bottom w:val="single" w:sz="4" w:space="0" w:color="auto"/>
              <w:right w:val="single" w:sz="4" w:space="0" w:color="auto"/>
            </w:tcBorders>
          </w:tcPr>
          <w:p w14:paraId="0EBB0D43" w14:textId="77777777" w:rsidR="00A72324" w:rsidRDefault="00A72324">
            <w:pPr>
              <w:jc w:val="both"/>
              <w:rPr>
                <w:rFonts w:ascii="Times New Roman" w:hAnsi="Times New Roman" w:cs="Times New Roman"/>
                <w:sz w:val="20"/>
                <w:szCs w:val="20"/>
              </w:rPr>
            </w:pPr>
          </w:p>
        </w:tc>
      </w:tr>
      <w:tr w:rsidR="00A72324" w14:paraId="71918CF9" w14:textId="77777777" w:rsidTr="00A72324">
        <w:tc>
          <w:tcPr>
            <w:tcW w:w="2835" w:type="dxa"/>
            <w:tcBorders>
              <w:top w:val="single" w:sz="4" w:space="0" w:color="auto"/>
              <w:left w:val="single" w:sz="4" w:space="0" w:color="auto"/>
              <w:bottom w:val="single" w:sz="4" w:space="0" w:color="auto"/>
              <w:right w:val="nil"/>
            </w:tcBorders>
            <w:hideMark/>
          </w:tcPr>
          <w:p w14:paraId="318823DB" w14:textId="77777777" w:rsidR="00A72324" w:rsidRDefault="00A72324">
            <w:pPr>
              <w:rPr>
                <w:rFonts w:ascii="Times New Roman" w:hAnsi="Times New Roman" w:cs="Times New Roman"/>
                <w:sz w:val="20"/>
                <w:szCs w:val="20"/>
              </w:rPr>
            </w:pPr>
            <w:r>
              <w:rPr>
                <w:rFonts w:ascii="Times New Roman" w:hAnsi="Times New Roman" w:cs="Times New Roman"/>
                <w:sz w:val="20"/>
                <w:szCs w:val="20"/>
              </w:rPr>
              <w:t xml:space="preserve">Değişen </w:t>
            </w:r>
            <w:proofErr w:type="spellStart"/>
            <w:r>
              <w:rPr>
                <w:rFonts w:ascii="Times New Roman" w:hAnsi="Times New Roman" w:cs="Times New Roman"/>
                <w:sz w:val="20"/>
                <w:szCs w:val="20"/>
              </w:rPr>
              <w:t>Varyans</w:t>
            </w:r>
            <w:proofErr w:type="spellEnd"/>
            <w:r>
              <w:rPr>
                <w:rFonts w:ascii="Times New Roman" w:hAnsi="Times New Roman" w:cs="Times New Roman"/>
                <w:sz w:val="20"/>
                <w:szCs w:val="20"/>
              </w:rPr>
              <w:t xml:space="preserve"> Testi (</w:t>
            </w:r>
            <w:proofErr w:type="spellStart"/>
            <w:r>
              <w:rPr>
                <w:rFonts w:ascii="Times New Roman" w:hAnsi="Times New Roman" w:cs="Times New Roman"/>
                <w:sz w:val="20"/>
                <w:szCs w:val="20"/>
              </w:rPr>
              <w:t>Breush</w:t>
            </w:r>
            <w:proofErr w:type="spellEnd"/>
            <w:r>
              <w:rPr>
                <w:rFonts w:ascii="Times New Roman" w:hAnsi="Times New Roman" w:cs="Times New Roman"/>
                <w:sz w:val="20"/>
                <w:szCs w:val="20"/>
              </w:rPr>
              <w:t>-Pagan-</w:t>
            </w:r>
            <w:proofErr w:type="spellStart"/>
            <w:r>
              <w:rPr>
                <w:rFonts w:ascii="Times New Roman" w:hAnsi="Times New Roman" w:cs="Times New Roman"/>
                <w:sz w:val="20"/>
                <w:szCs w:val="20"/>
              </w:rPr>
              <w:t>Godfrey</w:t>
            </w:r>
            <w:proofErr w:type="spellEnd"/>
            <w:r>
              <w:rPr>
                <w:rFonts w:ascii="Times New Roman" w:hAnsi="Times New Roman" w:cs="Times New Roman"/>
                <w:sz w:val="20"/>
                <w:szCs w:val="20"/>
              </w:rPr>
              <w:t>)</w:t>
            </w:r>
          </w:p>
        </w:tc>
        <w:tc>
          <w:tcPr>
            <w:tcW w:w="1931" w:type="dxa"/>
            <w:tcBorders>
              <w:top w:val="single" w:sz="4" w:space="0" w:color="auto"/>
              <w:left w:val="nil"/>
              <w:bottom w:val="single" w:sz="4" w:space="0" w:color="auto"/>
              <w:right w:val="nil"/>
            </w:tcBorders>
            <w:hideMark/>
          </w:tcPr>
          <w:p w14:paraId="4ED446D3"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0,172</w:t>
            </w:r>
          </w:p>
        </w:tc>
        <w:tc>
          <w:tcPr>
            <w:tcW w:w="2266" w:type="dxa"/>
            <w:tcBorders>
              <w:top w:val="single" w:sz="4" w:space="0" w:color="auto"/>
              <w:left w:val="nil"/>
              <w:bottom w:val="single" w:sz="4" w:space="0" w:color="auto"/>
              <w:right w:val="nil"/>
            </w:tcBorders>
            <w:hideMark/>
          </w:tcPr>
          <w:p w14:paraId="40ADE452"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0,8587</w:t>
            </w:r>
          </w:p>
        </w:tc>
        <w:tc>
          <w:tcPr>
            <w:tcW w:w="2271" w:type="dxa"/>
            <w:tcBorders>
              <w:top w:val="single" w:sz="4" w:space="0" w:color="auto"/>
              <w:left w:val="nil"/>
              <w:bottom w:val="single" w:sz="4" w:space="0" w:color="auto"/>
              <w:right w:val="single" w:sz="4" w:space="0" w:color="auto"/>
            </w:tcBorders>
          </w:tcPr>
          <w:p w14:paraId="6A1CE532" w14:textId="77777777" w:rsidR="00A72324" w:rsidRDefault="00A72324">
            <w:pPr>
              <w:jc w:val="both"/>
              <w:rPr>
                <w:rFonts w:ascii="Times New Roman" w:hAnsi="Times New Roman" w:cs="Times New Roman"/>
                <w:sz w:val="20"/>
                <w:szCs w:val="20"/>
              </w:rPr>
            </w:pPr>
          </w:p>
        </w:tc>
      </w:tr>
      <w:tr w:rsidR="00A72324" w14:paraId="30211B11" w14:textId="77777777" w:rsidTr="00A72324">
        <w:tc>
          <w:tcPr>
            <w:tcW w:w="2835" w:type="dxa"/>
            <w:tcBorders>
              <w:top w:val="single" w:sz="4" w:space="0" w:color="auto"/>
              <w:left w:val="single" w:sz="4" w:space="0" w:color="auto"/>
              <w:bottom w:val="single" w:sz="4" w:space="0" w:color="auto"/>
              <w:right w:val="nil"/>
            </w:tcBorders>
            <w:hideMark/>
          </w:tcPr>
          <w:p w14:paraId="77DA162E" w14:textId="77777777" w:rsidR="00A72324" w:rsidRDefault="00A72324">
            <w:pPr>
              <w:rPr>
                <w:rFonts w:ascii="Times New Roman" w:hAnsi="Times New Roman" w:cs="Times New Roman"/>
                <w:sz w:val="20"/>
                <w:szCs w:val="20"/>
              </w:rPr>
            </w:pPr>
            <w:proofErr w:type="spellStart"/>
            <w:r>
              <w:rPr>
                <w:rFonts w:ascii="Times New Roman" w:hAnsi="Times New Roman" w:cs="Times New Roman"/>
                <w:sz w:val="20"/>
                <w:szCs w:val="20"/>
              </w:rPr>
              <w:t>Ramsey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Reset</w:t>
            </w:r>
            <w:proofErr w:type="spellEnd"/>
            <w:r>
              <w:rPr>
                <w:rFonts w:ascii="Times New Roman" w:hAnsi="Times New Roman" w:cs="Times New Roman"/>
                <w:sz w:val="20"/>
                <w:szCs w:val="20"/>
              </w:rPr>
              <w:t xml:space="preserve"> Test </w:t>
            </w:r>
          </w:p>
        </w:tc>
        <w:tc>
          <w:tcPr>
            <w:tcW w:w="1931" w:type="dxa"/>
            <w:tcBorders>
              <w:top w:val="single" w:sz="4" w:space="0" w:color="auto"/>
              <w:left w:val="nil"/>
              <w:bottom w:val="single" w:sz="4" w:space="0" w:color="auto"/>
              <w:right w:val="nil"/>
            </w:tcBorders>
            <w:hideMark/>
          </w:tcPr>
          <w:p w14:paraId="0491C7F1"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0,175</w:t>
            </w:r>
          </w:p>
        </w:tc>
        <w:tc>
          <w:tcPr>
            <w:tcW w:w="2266" w:type="dxa"/>
            <w:tcBorders>
              <w:top w:val="single" w:sz="4" w:space="0" w:color="auto"/>
              <w:left w:val="nil"/>
              <w:bottom w:val="single" w:sz="4" w:space="0" w:color="auto"/>
              <w:right w:val="nil"/>
            </w:tcBorders>
            <w:hideMark/>
          </w:tcPr>
          <w:p w14:paraId="67B02B4F"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0,8616</w:t>
            </w:r>
          </w:p>
        </w:tc>
        <w:tc>
          <w:tcPr>
            <w:tcW w:w="2271" w:type="dxa"/>
            <w:tcBorders>
              <w:top w:val="single" w:sz="4" w:space="0" w:color="auto"/>
              <w:left w:val="nil"/>
              <w:bottom w:val="single" w:sz="4" w:space="0" w:color="auto"/>
              <w:right w:val="single" w:sz="4" w:space="0" w:color="auto"/>
            </w:tcBorders>
          </w:tcPr>
          <w:p w14:paraId="6C7A6FD4" w14:textId="77777777" w:rsidR="00A72324" w:rsidRDefault="00A72324">
            <w:pPr>
              <w:jc w:val="both"/>
              <w:rPr>
                <w:rFonts w:ascii="Times New Roman" w:hAnsi="Times New Roman" w:cs="Times New Roman"/>
                <w:sz w:val="20"/>
                <w:szCs w:val="20"/>
              </w:rPr>
            </w:pPr>
          </w:p>
        </w:tc>
      </w:tr>
      <w:tr w:rsidR="00A72324" w14:paraId="2F6082D0" w14:textId="77777777" w:rsidTr="00A72324">
        <w:tc>
          <w:tcPr>
            <w:tcW w:w="2835" w:type="dxa"/>
            <w:tcBorders>
              <w:top w:val="single" w:sz="4" w:space="0" w:color="auto"/>
              <w:left w:val="single" w:sz="4" w:space="0" w:color="auto"/>
              <w:bottom w:val="single" w:sz="4" w:space="0" w:color="auto"/>
              <w:right w:val="nil"/>
            </w:tcBorders>
            <w:hideMark/>
          </w:tcPr>
          <w:p w14:paraId="0118292E" w14:textId="77777777" w:rsidR="00A72324" w:rsidRDefault="00A72324">
            <w:pPr>
              <w:rPr>
                <w:rFonts w:ascii="Times New Roman" w:hAnsi="Times New Roman" w:cs="Times New Roman"/>
                <w:sz w:val="20"/>
                <w:szCs w:val="20"/>
              </w:rPr>
            </w:pPr>
            <w:proofErr w:type="spellStart"/>
            <w:r>
              <w:rPr>
                <w:rFonts w:ascii="Times New Roman" w:hAnsi="Times New Roman" w:cs="Times New Roman"/>
                <w:sz w:val="20"/>
                <w:szCs w:val="20"/>
              </w:rPr>
              <w:t>Serisel</w:t>
            </w:r>
            <w:proofErr w:type="spellEnd"/>
            <w:r>
              <w:rPr>
                <w:rFonts w:ascii="Times New Roman" w:hAnsi="Times New Roman" w:cs="Times New Roman"/>
                <w:sz w:val="20"/>
                <w:szCs w:val="20"/>
              </w:rPr>
              <w:t xml:space="preserve"> Korelasyon (</w:t>
            </w:r>
            <w:proofErr w:type="spellStart"/>
            <w:r>
              <w:rPr>
                <w:rFonts w:ascii="Times New Roman" w:hAnsi="Times New Roman" w:cs="Times New Roman"/>
                <w:sz w:val="20"/>
                <w:szCs w:val="20"/>
              </w:rPr>
              <w:t>Breush-Godfrey</w:t>
            </w:r>
            <w:proofErr w:type="spellEnd"/>
            <w:r>
              <w:rPr>
                <w:rFonts w:ascii="Times New Roman" w:hAnsi="Times New Roman" w:cs="Times New Roman"/>
                <w:sz w:val="20"/>
                <w:szCs w:val="20"/>
              </w:rPr>
              <w:t>)</w:t>
            </w:r>
          </w:p>
        </w:tc>
        <w:tc>
          <w:tcPr>
            <w:tcW w:w="1931" w:type="dxa"/>
            <w:tcBorders>
              <w:top w:val="single" w:sz="4" w:space="0" w:color="auto"/>
              <w:left w:val="nil"/>
              <w:bottom w:val="single" w:sz="4" w:space="0" w:color="auto"/>
              <w:right w:val="nil"/>
            </w:tcBorders>
            <w:hideMark/>
          </w:tcPr>
          <w:p w14:paraId="16F08090"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0,5938</w:t>
            </w:r>
          </w:p>
        </w:tc>
        <w:tc>
          <w:tcPr>
            <w:tcW w:w="2266" w:type="dxa"/>
            <w:tcBorders>
              <w:top w:val="single" w:sz="4" w:space="0" w:color="auto"/>
              <w:left w:val="nil"/>
              <w:bottom w:val="single" w:sz="4" w:space="0" w:color="auto"/>
              <w:right w:val="nil"/>
            </w:tcBorders>
            <w:hideMark/>
          </w:tcPr>
          <w:p w14:paraId="2380C64B"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0,8422</w:t>
            </w:r>
          </w:p>
        </w:tc>
        <w:tc>
          <w:tcPr>
            <w:tcW w:w="2271" w:type="dxa"/>
            <w:tcBorders>
              <w:top w:val="single" w:sz="4" w:space="0" w:color="auto"/>
              <w:left w:val="nil"/>
              <w:bottom w:val="single" w:sz="4" w:space="0" w:color="auto"/>
              <w:right w:val="single" w:sz="4" w:space="0" w:color="auto"/>
            </w:tcBorders>
          </w:tcPr>
          <w:p w14:paraId="1E43F025" w14:textId="77777777" w:rsidR="00A72324" w:rsidRDefault="00A72324">
            <w:pPr>
              <w:jc w:val="both"/>
              <w:rPr>
                <w:rFonts w:ascii="Times New Roman" w:hAnsi="Times New Roman" w:cs="Times New Roman"/>
                <w:sz w:val="20"/>
                <w:szCs w:val="20"/>
              </w:rPr>
            </w:pPr>
          </w:p>
        </w:tc>
      </w:tr>
      <w:tr w:rsidR="00A72324" w14:paraId="2FE10C29" w14:textId="77777777" w:rsidTr="00A72324">
        <w:tc>
          <w:tcPr>
            <w:tcW w:w="2835" w:type="dxa"/>
            <w:tcBorders>
              <w:top w:val="single" w:sz="4" w:space="0" w:color="auto"/>
              <w:left w:val="single" w:sz="4" w:space="0" w:color="auto"/>
              <w:bottom w:val="single" w:sz="4" w:space="0" w:color="auto"/>
              <w:right w:val="nil"/>
            </w:tcBorders>
            <w:hideMark/>
          </w:tcPr>
          <w:p w14:paraId="24872CB5" w14:textId="77777777" w:rsidR="00A72324" w:rsidRDefault="00A72324">
            <w:pPr>
              <w:rPr>
                <w:rFonts w:ascii="Times New Roman" w:hAnsi="Times New Roman" w:cs="Times New Roman"/>
                <w:sz w:val="20"/>
                <w:szCs w:val="20"/>
              </w:rPr>
            </w:pPr>
            <w:r>
              <w:rPr>
                <w:rFonts w:ascii="Times New Roman" w:hAnsi="Times New Roman" w:cs="Times New Roman"/>
                <w:sz w:val="20"/>
                <w:szCs w:val="20"/>
              </w:rPr>
              <w:t xml:space="preserve">F İstatistiği </w:t>
            </w:r>
          </w:p>
        </w:tc>
        <w:tc>
          <w:tcPr>
            <w:tcW w:w="1931" w:type="dxa"/>
            <w:tcBorders>
              <w:top w:val="single" w:sz="4" w:space="0" w:color="auto"/>
              <w:left w:val="nil"/>
              <w:bottom w:val="single" w:sz="4" w:space="0" w:color="auto"/>
              <w:right w:val="nil"/>
            </w:tcBorders>
            <w:hideMark/>
          </w:tcPr>
          <w:p w14:paraId="70CAF45B" w14:textId="77777777" w:rsidR="00A72324" w:rsidRDefault="00A72324">
            <w:pPr>
              <w:jc w:val="center"/>
              <w:rPr>
                <w:rFonts w:ascii="Times New Roman" w:hAnsi="Times New Roman" w:cs="Times New Roman"/>
                <w:sz w:val="20"/>
                <w:szCs w:val="20"/>
              </w:rPr>
            </w:pPr>
            <w:r>
              <w:rPr>
                <w:rFonts w:ascii="Times New Roman" w:hAnsi="Times New Roman" w:cs="Times New Roman"/>
                <w:sz w:val="20"/>
                <w:szCs w:val="20"/>
              </w:rPr>
              <w:t>12,834*</w:t>
            </w:r>
          </w:p>
        </w:tc>
        <w:tc>
          <w:tcPr>
            <w:tcW w:w="2266" w:type="dxa"/>
            <w:tcBorders>
              <w:top w:val="single" w:sz="4" w:space="0" w:color="auto"/>
              <w:left w:val="nil"/>
              <w:bottom w:val="single" w:sz="4" w:space="0" w:color="auto"/>
              <w:right w:val="nil"/>
            </w:tcBorders>
          </w:tcPr>
          <w:p w14:paraId="350D2C07" w14:textId="77777777" w:rsidR="00A72324" w:rsidRDefault="00A72324">
            <w:pPr>
              <w:jc w:val="center"/>
              <w:rPr>
                <w:rFonts w:ascii="Times New Roman" w:hAnsi="Times New Roman" w:cs="Times New Roman"/>
                <w:sz w:val="20"/>
                <w:szCs w:val="20"/>
              </w:rPr>
            </w:pPr>
          </w:p>
        </w:tc>
        <w:tc>
          <w:tcPr>
            <w:tcW w:w="2271" w:type="dxa"/>
            <w:tcBorders>
              <w:top w:val="single" w:sz="4" w:space="0" w:color="auto"/>
              <w:left w:val="nil"/>
              <w:bottom w:val="single" w:sz="4" w:space="0" w:color="auto"/>
              <w:right w:val="single" w:sz="4" w:space="0" w:color="auto"/>
            </w:tcBorders>
          </w:tcPr>
          <w:p w14:paraId="555EC60F" w14:textId="77777777" w:rsidR="00A72324" w:rsidRDefault="00A72324">
            <w:pPr>
              <w:jc w:val="both"/>
              <w:rPr>
                <w:rFonts w:ascii="Times New Roman" w:hAnsi="Times New Roman" w:cs="Times New Roman"/>
                <w:sz w:val="20"/>
                <w:szCs w:val="20"/>
              </w:rPr>
            </w:pPr>
          </w:p>
        </w:tc>
      </w:tr>
    </w:tbl>
    <w:p w14:paraId="679C4B25" w14:textId="77777777" w:rsidR="00A72324" w:rsidRDefault="00A72324" w:rsidP="00A72324">
      <w:pPr>
        <w:jc w:val="both"/>
        <w:rPr>
          <w:rFonts w:ascii="Times New Roman" w:hAnsi="Times New Roman" w:cs="Times New Roman"/>
          <w:sz w:val="20"/>
          <w:szCs w:val="20"/>
        </w:rPr>
      </w:pPr>
      <w:r>
        <w:rPr>
          <w:rFonts w:ascii="Times New Roman" w:hAnsi="Times New Roman" w:cs="Times New Roman"/>
          <w:b/>
          <w:bCs/>
          <w:sz w:val="20"/>
          <w:szCs w:val="20"/>
        </w:rPr>
        <w:t>Notlar:</w:t>
      </w:r>
      <w:r>
        <w:rPr>
          <w:rFonts w:ascii="Times New Roman" w:hAnsi="Times New Roman" w:cs="Times New Roman"/>
          <w:sz w:val="20"/>
          <w:szCs w:val="20"/>
        </w:rPr>
        <w:t xml:space="preserve"> *, **, *** sırasıyla %1, %5 ve %10 güvenirlik düzeylerinde istatistiksel olarak anlamlı olduğunu göstermektedir. F istatistiği değeri </w:t>
      </w:r>
      <w:proofErr w:type="spellStart"/>
      <w:r>
        <w:rPr>
          <w:rFonts w:ascii="Times New Roman" w:hAnsi="Times New Roman" w:cs="Times New Roman"/>
          <w:sz w:val="20"/>
          <w:szCs w:val="20"/>
        </w:rPr>
        <w:t>Pesaran</w:t>
      </w:r>
      <w:proofErr w:type="spellEnd"/>
      <w:r>
        <w:rPr>
          <w:rFonts w:ascii="Times New Roman" w:hAnsi="Times New Roman" w:cs="Times New Roman"/>
          <w:sz w:val="20"/>
          <w:szCs w:val="20"/>
        </w:rPr>
        <w:t xml:space="preserve"> et al. (2001) çalışmasındaki kritik değerler (düzeyde %1 için 3,173) ile karşılaştırılmıştır. </w:t>
      </w:r>
    </w:p>
    <w:p w14:paraId="71FBCADE"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Analiz edilen modelin değerlendirilmesinde bağımlı ve bağımsız değişkenler arasında uzun dönemli anlamlı bir ilişki olduğu ortaya çıkmaktadır. Modelin analiz kısmında son olarak, Brown, </w:t>
      </w:r>
      <w:proofErr w:type="spellStart"/>
      <w:r>
        <w:rPr>
          <w:rFonts w:ascii="Times New Roman" w:hAnsi="Times New Roman" w:cs="Times New Roman"/>
        </w:rPr>
        <w:t>Durbin</w:t>
      </w:r>
      <w:proofErr w:type="spellEnd"/>
      <w:r>
        <w:rPr>
          <w:rFonts w:ascii="Times New Roman" w:hAnsi="Times New Roman" w:cs="Times New Roman"/>
        </w:rPr>
        <w:t xml:space="preserve"> ve </w:t>
      </w:r>
      <w:proofErr w:type="spellStart"/>
      <w:r>
        <w:rPr>
          <w:rFonts w:ascii="Times New Roman" w:hAnsi="Times New Roman" w:cs="Times New Roman"/>
        </w:rPr>
        <w:t>Evans</w:t>
      </w:r>
      <w:proofErr w:type="spellEnd"/>
      <w:r>
        <w:rPr>
          <w:rFonts w:ascii="Times New Roman" w:hAnsi="Times New Roman" w:cs="Times New Roman"/>
        </w:rPr>
        <w:t xml:space="preserve"> (1975) çalışmasında öne sürülen CUSUM ve CUSUMSQ Analizleri modelin kararlılığını test etmek için uygulanmıştır. Modelin uzun dönem denkleminden elde edilen ardışık kalıntılar veri seti kullanılarak %5 anlamlılık düzeyinde aşağıdaki grafik bulgularına ulaşılmıştır. CUSUM ve CUSUMSQ istatistiği kırmızı çizgiler arasında yer alıyorsa, tahmin edilen model katsayılarının kararlı olduğu öne sürülebilmektedir. </w:t>
      </w:r>
    </w:p>
    <w:p w14:paraId="4B016B28" w14:textId="77777777" w:rsidR="00A72324" w:rsidRDefault="00A72324" w:rsidP="00A72324">
      <w:pPr>
        <w:rPr>
          <w:rFonts w:ascii="Times New Roman" w:hAnsi="Times New Roman" w:cs="Times New Roman"/>
          <w:b/>
          <w:bCs/>
          <w:sz w:val="22"/>
          <w:szCs w:val="22"/>
        </w:rPr>
      </w:pPr>
    </w:p>
    <w:p w14:paraId="5036019E" w14:textId="57935A70" w:rsidR="00A72324" w:rsidRDefault="00A72324" w:rsidP="00A72324">
      <w:pPr>
        <w:rPr>
          <w:rFonts w:ascii="Times New Roman" w:hAnsi="Times New Roman" w:cs="Times New Roman"/>
          <w:b/>
          <w:bCs/>
          <w:sz w:val="22"/>
          <w:szCs w:val="22"/>
        </w:rPr>
      </w:pPr>
      <w:r>
        <w:rPr>
          <w:rFonts w:ascii="Times New Roman" w:hAnsi="Times New Roman" w:cs="Times New Roman"/>
          <w:b/>
          <w:bCs/>
          <w:sz w:val="22"/>
          <w:szCs w:val="22"/>
        </w:rPr>
        <w:t>Şekil 7. Uzun Dönem Modeli için CUSUM ve CUSUMQ Kararlılık Test Bulguları</w:t>
      </w:r>
    </w:p>
    <w:p w14:paraId="42E8DFBE" w14:textId="34B90506" w:rsidR="00A72324" w:rsidRDefault="00A72324" w:rsidP="00A72324">
      <w:pPr>
        <w:rPr>
          <w:rFonts w:ascii="Times New Roman" w:hAnsi="Times New Roman" w:cs="Times New Roman"/>
        </w:rPr>
      </w:pPr>
      <w:r>
        <w:rPr>
          <w:rFonts w:ascii="Times New Roman" w:hAnsi="Times New Roman" w:cs="Times New Roman"/>
          <w:noProof/>
        </w:rPr>
        <w:lastRenderedPageBreak/>
        <w:drawing>
          <wp:inline distT="0" distB="0" distL="0" distR="0" wp14:anchorId="49C8A878" wp14:editId="56707EB0">
            <wp:extent cx="2811780" cy="1729740"/>
            <wp:effectExtent l="0" t="0" r="762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11780" cy="1729740"/>
                    </a:xfrm>
                    <a:prstGeom prst="rect">
                      <a:avLst/>
                    </a:prstGeom>
                    <a:noFill/>
                    <a:ln>
                      <a:noFill/>
                    </a:ln>
                  </pic:spPr>
                </pic:pic>
              </a:graphicData>
            </a:graphic>
          </wp:inline>
        </w:drawing>
      </w:r>
      <w:r>
        <w:rPr>
          <w:rFonts w:ascii="Times New Roman" w:hAnsi="Times New Roman" w:cs="Times New Roman"/>
          <w:noProof/>
        </w:rPr>
        <w:drawing>
          <wp:inline distT="0" distB="0" distL="0" distR="0" wp14:anchorId="31F3EEE4" wp14:editId="65862D80">
            <wp:extent cx="2827020" cy="1729740"/>
            <wp:effectExtent l="0" t="0" r="0" b="381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27020" cy="1729740"/>
                    </a:xfrm>
                    <a:prstGeom prst="rect">
                      <a:avLst/>
                    </a:prstGeom>
                    <a:noFill/>
                    <a:ln>
                      <a:noFill/>
                    </a:ln>
                  </pic:spPr>
                </pic:pic>
              </a:graphicData>
            </a:graphic>
          </wp:inline>
        </w:drawing>
      </w:r>
    </w:p>
    <w:p w14:paraId="7ADC5197" w14:textId="77777777" w:rsidR="00A72324" w:rsidRDefault="00A72324" w:rsidP="00A72324">
      <w:pPr>
        <w:rPr>
          <w:rFonts w:ascii="Times New Roman" w:hAnsi="Times New Roman" w:cs="Times New Roman"/>
          <w:sz w:val="20"/>
          <w:szCs w:val="20"/>
        </w:rPr>
      </w:pPr>
      <w:r>
        <w:rPr>
          <w:rFonts w:ascii="Times New Roman" w:hAnsi="Times New Roman" w:cs="Times New Roman"/>
          <w:b/>
          <w:bCs/>
          <w:sz w:val="20"/>
          <w:szCs w:val="20"/>
        </w:rPr>
        <w:t>Not:</w:t>
      </w:r>
      <w:r>
        <w:rPr>
          <w:rFonts w:ascii="Times New Roman" w:hAnsi="Times New Roman" w:cs="Times New Roman"/>
          <w:sz w:val="20"/>
          <w:szCs w:val="20"/>
        </w:rPr>
        <w:t xml:space="preserve"> </w:t>
      </w:r>
      <w:proofErr w:type="spellStart"/>
      <w:r>
        <w:rPr>
          <w:rFonts w:ascii="Times New Roman" w:hAnsi="Times New Roman" w:cs="Times New Roman"/>
          <w:sz w:val="20"/>
          <w:szCs w:val="20"/>
        </w:rPr>
        <w:t>EViews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ekonometrik</w:t>
      </w:r>
      <w:proofErr w:type="spellEnd"/>
      <w:r>
        <w:rPr>
          <w:rFonts w:ascii="Times New Roman" w:hAnsi="Times New Roman" w:cs="Times New Roman"/>
          <w:sz w:val="20"/>
          <w:szCs w:val="20"/>
        </w:rPr>
        <w:t xml:space="preserve"> analiz paket programı çıktıları</w:t>
      </w:r>
    </w:p>
    <w:p w14:paraId="7132F853"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Şekil 7’deki CUSUM ve CUSUMSQ grafik sonuçlarına göre, Türkiye için tahmin edilen model arz ve talep şoklarının Türkiye’nin ihracatı üzerinde uzun dönemde anlamlı ve kararlı bir etkisi olduğunu ortaya çıkarmaktadır. Model analiz sonuçları, arz ve talep şoklarının ortak yıllarda oluştuğu ve küresel entegrasyonu arttıkça darboğazlardan kolaylıkla etkilenen Türkiye’nin ihracatı üzerinde uzun dönemde anlamlı etkileri olduğunu göstermektedir. </w:t>
      </w:r>
    </w:p>
    <w:p w14:paraId="4B6D8CB3" w14:textId="77777777" w:rsidR="00A72324" w:rsidRDefault="00A72324" w:rsidP="00A72324">
      <w:pPr>
        <w:pStyle w:val="ListeParagraf"/>
        <w:numPr>
          <w:ilvl w:val="0"/>
          <w:numId w:val="1"/>
        </w:numPr>
        <w:spacing w:before="120" w:after="120"/>
        <w:jc w:val="both"/>
        <w:rPr>
          <w:rFonts w:ascii="Times New Roman" w:hAnsi="Times New Roman" w:cs="Times New Roman"/>
          <w:b/>
          <w:bCs/>
        </w:rPr>
      </w:pPr>
      <w:r>
        <w:rPr>
          <w:rFonts w:ascii="Times New Roman" w:hAnsi="Times New Roman" w:cs="Times New Roman"/>
          <w:b/>
          <w:bCs/>
        </w:rPr>
        <w:t>Sonuç</w:t>
      </w:r>
    </w:p>
    <w:p w14:paraId="44BB954E"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t xml:space="preserve">1990’larda hız kazanan küreselleşme süreci, doğrudan yabancı yatırımların yaygınlaşmasına ve uluslararası ticaretin artmasına yol açmıştır. Bu dönemde sürekli genişleyen finansal piyasalar, büyüyen ekonomileri finanse edebilmiştir. Özellikle ABD Merkez Bankası’nın genişletici para politikası uyguladığı 2001 yılı sonrasında, uluslararası piyasalarda ABD Dolarının arzı yükselmiştir. Finansal borçlanma olanağı, bir yandan gelişmekte olan ülkelerin hızlı büyüme süreci yakalamalarına diğer taraftan </w:t>
      </w:r>
      <w:proofErr w:type="spellStart"/>
      <w:r>
        <w:rPr>
          <w:rFonts w:ascii="Times New Roman" w:hAnsi="Times New Roman" w:cs="Times New Roman"/>
        </w:rPr>
        <w:t>KDZ’de</w:t>
      </w:r>
      <w:proofErr w:type="spellEnd"/>
      <w:r>
        <w:rPr>
          <w:rFonts w:ascii="Times New Roman" w:hAnsi="Times New Roman" w:cs="Times New Roman"/>
        </w:rPr>
        <w:t xml:space="preserve"> parlak dönemler yaşanmasına yol açmıştır. Ortaya çıkan finansal balon, 2008 yılında küresel finans krizinin patlak vermesiyle sonuçlanmıştır. Küresel kriz, gelişmiş ülkelerde yaşanan resesyonun etkisiyle dünya </w:t>
      </w:r>
      <w:proofErr w:type="spellStart"/>
      <w:r>
        <w:rPr>
          <w:rFonts w:ascii="Times New Roman" w:hAnsi="Times New Roman" w:cs="Times New Roman"/>
        </w:rPr>
        <w:t>GSYİH’sının</w:t>
      </w:r>
      <w:proofErr w:type="spellEnd"/>
      <w:r>
        <w:rPr>
          <w:rFonts w:ascii="Times New Roman" w:hAnsi="Times New Roman" w:cs="Times New Roman"/>
        </w:rPr>
        <w:t xml:space="preserve"> ve en çok da ihracat miktarının azalmasına, </w:t>
      </w:r>
      <w:proofErr w:type="spellStart"/>
      <w:r>
        <w:rPr>
          <w:rFonts w:ascii="Times New Roman" w:hAnsi="Times New Roman" w:cs="Times New Roman"/>
        </w:rPr>
        <w:t>KDZ’de</w:t>
      </w:r>
      <w:proofErr w:type="spellEnd"/>
      <w:r>
        <w:rPr>
          <w:rFonts w:ascii="Times New Roman" w:hAnsi="Times New Roman" w:cs="Times New Roman"/>
        </w:rPr>
        <w:t xml:space="preserve"> yer alan ülkelerin tamamının olumsuz yönde etkilenmesine yol açmıştır. 2008 krizi, OECD ülkeleri başta olmak üzere </w:t>
      </w:r>
      <w:proofErr w:type="spellStart"/>
      <w:r>
        <w:rPr>
          <w:rFonts w:ascii="Times New Roman" w:hAnsi="Times New Roman" w:cs="Times New Roman"/>
        </w:rPr>
        <w:t>KDZ’ye</w:t>
      </w:r>
      <w:proofErr w:type="spellEnd"/>
      <w:r>
        <w:rPr>
          <w:rFonts w:ascii="Times New Roman" w:hAnsi="Times New Roman" w:cs="Times New Roman"/>
        </w:rPr>
        <w:t xml:space="preserve"> katılan birçok ülke ekonomisinde derin yaralar açmıştır. 2008 küresel finans krizinden günümüz </w:t>
      </w:r>
      <w:proofErr w:type="spellStart"/>
      <w:r>
        <w:rPr>
          <w:rFonts w:ascii="Times New Roman" w:hAnsi="Times New Roman" w:cs="Times New Roman"/>
        </w:rPr>
        <w:t>Covid</w:t>
      </w:r>
      <w:proofErr w:type="spellEnd"/>
      <w:r>
        <w:rPr>
          <w:rFonts w:ascii="Times New Roman" w:hAnsi="Times New Roman" w:cs="Times New Roman"/>
        </w:rPr>
        <w:t xml:space="preserve"> 19 salgınına kadar küresel etkileri çok yüksek olmasa da birtakım küçük krizlerin dış ticaret aracılığı ile ülke ekonomilerine yansımaları olduğu gözlenmiştir. Finansal krizin yaralarına </w:t>
      </w:r>
      <w:proofErr w:type="spellStart"/>
      <w:r>
        <w:rPr>
          <w:rFonts w:ascii="Times New Roman" w:hAnsi="Times New Roman" w:cs="Times New Roman"/>
        </w:rPr>
        <w:t>Covid</w:t>
      </w:r>
      <w:proofErr w:type="spellEnd"/>
      <w:r>
        <w:rPr>
          <w:rFonts w:ascii="Times New Roman" w:hAnsi="Times New Roman" w:cs="Times New Roman"/>
        </w:rPr>
        <w:t xml:space="preserve"> 19 şokunun eklenmesi, etkisi uzun süre geçmeyecek sorunlar yaratmıştır. Bu süreçte, küresel entegrasyonun neden olduğu kırılganlığa karşı tepkilerin arttığı ve önlemlerin sıkılaştığı yeni bir döneme adım atılmıştır.</w:t>
      </w:r>
    </w:p>
    <w:p w14:paraId="6B5BA8DA" w14:textId="77777777" w:rsidR="00A72324" w:rsidRDefault="00A72324" w:rsidP="00A72324">
      <w:pPr>
        <w:spacing w:before="120" w:after="120"/>
        <w:jc w:val="both"/>
        <w:rPr>
          <w:rFonts w:ascii="Times New Roman" w:hAnsi="Times New Roman" w:cs="Times New Roman"/>
        </w:rPr>
      </w:pPr>
      <w:proofErr w:type="spellStart"/>
      <w:r>
        <w:rPr>
          <w:rFonts w:ascii="Times New Roman" w:hAnsi="Times New Roman" w:cs="Times New Roman"/>
        </w:rPr>
        <w:t>KDZ’de</w:t>
      </w:r>
      <w:proofErr w:type="spellEnd"/>
      <w:r>
        <w:rPr>
          <w:rFonts w:ascii="Times New Roman" w:hAnsi="Times New Roman" w:cs="Times New Roman"/>
        </w:rPr>
        <w:t xml:space="preserve"> rekabetçi konumda olmak isteyen gelişmiş ve gelişmekte olan ülkeler uluslararası pazarlara arz ve talep yönlü katkılarda bulunmaktadır. Serbest ticaret anlaşmalarına imza atan ve doğrudan yabancı yatırımlara ev sahipliği yapan Türkiye, </w:t>
      </w:r>
      <w:proofErr w:type="spellStart"/>
      <w:r>
        <w:rPr>
          <w:rFonts w:ascii="Times New Roman" w:hAnsi="Times New Roman" w:cs="Times New Roman"/>
        </w:rPr>
        <w:t>KDZ’nin</w:t>
      </w:r>
      <w:proofErr w:type="spellEnd"/>
      <w:r>
        <w:rPr>
          <w:rFonts w:ascii="Times New Roman" w:hAnsi="Times New Roman" w:cs="Times New Roman"/>
        </w:rPr>
        <w:t xml:space="preserve"> aktif üyelerinden biridir. Türkiye, son yıllarda geriye ve ileriye dönük entegrasyonu artırabilmiştir. Buna karşılık Türkiye’nin rekabetçi olduğu elektronik, otomotiv ve makine gibi ihracat sektörlerinde büyük ölçüde yabancı ara malı kullanılmaktadır. Dolayısıyla, Türkiye’nin </w:t>
      </w:r>
      <w:proofErr w:type="spellStart"/>
      <w:r>
        <w:rPr>
          <w:rFonts w:ascii="Times New Roman" w:hAnsi="Times New Roman" w:cs="Times New Roman"/>
        </w:rPr>
        <w:t>KDZ’ye</w:t>
      </w:r>
      <w:proofErr w:type="spellEnd"/>
      <w:r>
        <w:rPr>
          <w:rFonts w:ascii="Times New Roman" w:hAnsi="Times New Roman" w:cs="Times New Roman"/>
        </w:rPr>
        <w:t xml:space="preserve"> katılımının üretimi ve ticareti canlandırdığı, orta teknoloji ürünlerinde ihracatın arttığı buna karşılık yabancı girdi kullanımı nedeniyle ithalata bağımlılığın ve kırılganlığın yükseldiği görülmektedir. Bağımlılık nedeniyle, Türkiye ekonomisi arz ve talep yönlü küresel ve bölgesel şoklara karşı kırılgan hale gelmiştir. Genel olarak ileriye dönük katılımda talep şoku, geriye dönük katılımda arz şoku ile karşılaşma olasılığı söz konusudur. OECD verilerine göre, Türkiye’nin geriye ve ileriye dönük katılımı son yıllarda artış trendi içindedir. Yaşanan talep ve arz yönlü şokların yarattığı bu olumsuz konjonktür Türkiye’nin sürdürülebilir büyüme, ticaret ve kalkınma süreçlerini tehlikeye atmaktadır. </w:t>
      </w:r>
    </w:p>
    <w:p w14:paraId="36699308" w14:textId="77777777" w:rsidR="00A72324" w:rsidRDefault="00A72324" w:rsidP="00A72324">
      <w:pPr>
        <w:spacing w:before="120" w:after="120"/>
        <w:jc w:val="both"/>
        <w:rPr>
          <w:rFonts w:ascii="Times New Roman" w:hAnsi="Times New Roman" w:cs="Times New Roman"/>
        </w:rPr>
      </w:pPr>
      <w:r>
        <w:rPr>
          <w:rFonts w:ascii="Times New Roman" w:hAnsi="Times New Roman" w:cs="Times New Roman"/>
        </w:rPr>
        <w:lastRenderedPageBreak/>
        <w:t xml:space="preserve">Çalışmanın ampirik analizinde, Ocak 2014-Ocak 2021 dönemini kapsayan aylık veriler kullanılarak Türkiye ihracatının arz ve talep şokları karşısındaki değişimleri incelenmiştir. Bu amaçla, yapısal kırılmalı birim kök testi, </w:t>
      </w:r>
      <w:proofErr w:type="spellStart"/>
      <w:r>
        <w:rPr>
          <w:rFonts w:ascii="Times New Roman" w:hAnsi="Times New Roman" w:cs="Times New Roman"/>
        </w:rPr>
        <w:t>eşbütünleşme</w:t>
      </w:r>
      <w:proofErr w:type="spellEnd"/>
      <w:r>
        <w:rPr>
          <w:rFonts w:ascii="Times New Roman" w:hAnsi="Times New Roman" w:cs="Times New Roman"/>
        </w:rPr>
        <w:t xml:space="preserve"> testi ve uzun dönem katsayılarına ulaşmak için ARDL Sınır Testi uygulanmıştır. Elde edilen bulgular Türkiye’nin ithalat miktarı, reel efektif döviz kuru, Türkiye ve OECD ülkelerinin imalat sanayi üretim endeksi ve tüketici güven endeksi değişkenleriyle ölçülen arz ve talep şoklarının Türkiye’nin ihracat miktarına uzun dönemde anlamlı etkileri olduğunu göstermektedir. Çalışmada ayrıca, tüm değişkenlere iki yapısal kırılmalı birim kök testleri uygulanmıştır. Söz konusu dönemde Türkiye’nin mal ve hizmet ihracatında Eylül 2016 ve Haziran 2019 döneminde kırılma olduğu tespit edilmiştir. ABD Merkez Bankası’nın sıkı para politikası uyguladığı 2013 yılından itibaren küresel düzeyde daralmaya başlayan ihracat hacmine paralel olarak Türkiye’nin ihracatı Ocak 2014-Eylül 2016 döneminde azalış trendi göstermiş ve dönem ortalamasının altında seyretmiştir. Aynı dönemde Türk Lirası, ABD Doları karşısında değer kaybetmeye başlamıştır. Küresel ticaretin yavaşlamasının bir diğer nedeni, 2011 yılında dile getirilen ve özellikle niteliksiz işgücü istihdamının azalmasına ve otomasyonun artmasına yol açması beklenen Endüstri 4.0’ın etkisidir. Gerçekleştirilen faaliyetler, gelişmiş ülkelerin sermaye birikimini kendi ülkelerinde değerlendirerek üretimin küreselden tekrar yerele yönlenmesine yol açmıştır. Analizin bulguları, Türkiye’nin mal ve hizmet ihracatında Eylül 2016’da yapısal kırılma yaşandığını ve bu kez artış trendine girildiğini göstermektedir. Bunun nedeni, Türk Lirasındaki değer kaybının yarattığı rekabetçi fiyatların yeni pazarlar bulmaya yol açması ve Avrupa Birliği ülkelerine ihracatın yeniden canlanmasıdır. Diğer taraftan, 2017 yılında ABD ve Çin arasında başlayan ve dünya ticaret hacmini daraltan ticaret savaşları, her ne kadar </w:t>
      </w:r>
      <w:proofErr w:type="spellStart"/>
      <w:r>
        <w:rPr>
          <w:rFonts w:ascii="Times New Roman" w:hAnsi="Times New Roman" w:cs="Times New Roman"/>
        </w:rPr>
        <w:t>KDZ’ye</w:t>
      </w:r>
      <w:proofErr w:type="spellEnd"/>
      <w:r>
        <w:rPr>
          <w:rFonts w:ascii="Times New Roman" w:hAnsi="Times New Roman" w:cs="Times New Roman"/>
        </w:rPr>
        <w:t xml:space="preserve"> katılımları azaltsa da Türkiye Çin’e alternatif ve ucuz bir pazar olarak ön plana çıkmış olabilir. Analiz sonuçları, Haziran 2019 yeni bir kırılma dönemi yaşandığını, ihracatta yeni bir artış trendi daha yakalandığını göstermektedir. Bununla birlikte, 2020 yılında Covid-19 salgını ile üretimin ve ticaretin yavaşladığı, gümrük engellerinin yeniden yükseldiği ve küreselleşmenin tartışılmaya başlandığı yepyeni bir sürece girilmiştir. Nisan 2020 itibariyle derin bir küçülme yaşanan ihracatta Temmuz 2020’den itibaren bir toparlanma ortaya çıkmıştır.</w:t>
      </w:r>
    </w:p>
    <w:p w14:paraId="0AFCD10C" w14:textId="27F8E2A5" w:rsidR="00A72324" w:rsidRPr="00060F3C" w:rsidRDefault="00A72324" w:rsidP="00A72324">
      <w:pPr>
        <w:spacing w:before="120" w:after="120"/>
        <w:jc w:val="both"/>
        <w:rPr>
          <w:rFonts w:ascii="Times New Roman" w:hAnsi="Times New Roman" w:cs="Times New Roman"/>
        </w:rPr>
      </w:pPr>
      <w:r>
        <w:rPr>
          <w:rFonts w:ascii="Times New Roman" w:hAnsi="Times New Roman" w:cs="Times New Roman"/>
        </w:rPr>
        <w:t xml:space="preserve">Bu çalışmanın sonuçları, Türkiye’nin </w:t>
      </w:r>
      <w:proofErr w:type="spellStart"/>
      <w:r>
        <w:rPr>
          <w:rFonts w:ascii="Times New Roman" w:hAnsi="Times New Roman" w:cs="Times New Roman"/>
        </w:rPr>
        <w:t>KDZ’ye</w:t>
      </w:r>
      <w:proofErr w:type="spellEnd"/>
      <w:r>
        <w:rPr>
          <w:rFonts w:ascii="Times New Roman" w:hAnsi="Times New Roman" w:cs="Times New Roman"/>
        </w:rPr>
        <w:t xml:space="preserve"> katılımının ithalata bağımlılığı yükselttiğini ve son yıllarda oluşan yurtiçi ve yurtdışı kaynaklı arz ve talep şoklarından etkilendiğini ortaya çıkarmıştır. Arz ve talep şoklarının göstergeleri ile Türkiye’nin ihracat verileri arasında güçlü ve uzun dönemli bir ilişki olması ve 2014-2021 döneminde kırılmalar gerçekleştiğini gösteren kanıtlar, Türkiye ihracatının sürdürülebilirlik sorunu olduğunu ortaya çıkarmaktadır. Model bulguları değerlendirildiğinde, dış pazarlarda meydana gelen güven kayıpları ile oluşan talep şoku, beklendiği üzere Türkiye’nin ihracatı üzerinde büyük bir etki yaratmaktadır. Diğer bir önemli etki, yurtdışı arz düşüşlerinden ve Türk Lirasının istikrarındaki dalgalanmalardan etkilenen ithalat değişkeni tarafından meydana gelmektedir. Bunun temel nedenleri, ihracatın ithalata bağımlılık oranlarının yüksekliği ve son yıllarda artan dış ticaretteki korumacılık politikalarının artış göstermesidir. Bu bulgu, Covid-19 kaynaklı arz ve talep şoklarının yaşandığı ve etkilerinin ne kadar süreceği tam olarak kestirilmeyen bir belirsizlik ortamında Türkiye’nin istikrarlı bir dış ticaret politikası oluşturması için önem arz etmektedir. </w:t>
      </w:r>
    </w:p>
    <w:p w14:paraId="176EAFC5" w14:textId="77777777" w:rsidR="00A72324" w:rsidRDefault="00A72324" w:rsidP="00A72324">
      <w:pPr>
        <w:spacing w:before="120" w:after="120"/>
        <w:jc w:val="both"/>
        <w:rPr>
          <w:rFonts w:ascii="Times New Roman" w:hAnsi="Times New Roman" w:cs="Times New Roman"/>
          <w:b/>
          <w:bCs/>
        </w:rPr>
      </w:pPr>
      <w:r>
        <w:rPr>
          <w:rFonts w:ascii="Times New Roman" w:hAnsi="Times New Roman" w:cs="Times New Roman"/>
          <w:b/>
          <w:bCs/>
        </w:rPr>
        <w:t>KAYNAKÇA</w:t>
      </w:r>
    </w:p>
    <w:p w14:paraId="0C59E239" w14:textId="5625AEB4"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Alkın, H. (2020). Türkiye’nin İhracatının Katma Değer Dağılımı ve İthal Girdi Bağımlılığı: 2000-2014 Dönemi için Küresel Değer Zinciri Analizi</w:t>
      </w:r>
      <w:r w:rsidR="00901E60"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Akdeniz İİBF Dergisi</w:t>
      </w:r>
      <w:r w:rsidR="00060F3C">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20(1)</w:t>
      </w:r>
      <w:r w:rsidR="00901E60"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66-89</w:t>
      </w:r>
    </w:p>
    <w:p w14:paraId="48995026" w14:textId="2C26C8DC"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 xml:space="preserve">Brown, R.L., </w:t>
      </w:r>
      <w:proofErr w:type="spellStart"/>
      <w:r w:rsidRPr="00980845">
        <w:rPr>
          <w:rFonts w:ascii="Times New Roman" w:hAnsi="Times New Roman" w:cs="Times New Roman"/>
          <w:color w:val="000000" w:themeColor="text1"/>
        </w:rPr>
        <w:t>Durbin</w:t>
      </w:r>
      <w:proofErr w:type="spellEnd"/>
      <w:r w:rsidRPr="00980845">
        <w:rPr>
          <w:rFonts w:ascii="Times New Roman" w:hAnsi="Times New Roman" w:cs="Times New Roman"/>
          <w:color w:val="000000" w:themeColor="text1"/>
        </w:rPr>
        <w:t xml:space="preserve">, J. ve </w:t>
      </w:r>
      <w:proofErr w:type="spellStart"/>
      <w:r w:rsidRPr="00980845">
        <w:rPr>
          <w:rFonts w:ascii="Times New Roman" w:hAnsi="Times New Roman" w:cs="Times New Roman"/>
          <w:color w:val="000000" w:themeColor="text1"/>
        </w:rPr>
        <w:t>Evans</w:t>
      </w:r>
      <w:proofErr w:type="spellEnd"/>
      <w:r w:rsidRPr="00980845">
        <w:rPr>
          <w:rFonts w:ascii="Times New Roman" w:hAnsi="Times New Roman" w:cs="Times New Roman"/>
          <w:color w:val="000000" w:themeColor="text1"/>
        </w:rPr>
        <w:t>, J.M. (1975)</w:t>
      </w:r>
      <w:r w:rsidR="0022704F"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Techniques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for</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Testing</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the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Constancy</w:t>
      </w:r>
      <w:proofErr w:type="spellEnd"/>
      <w:r w:rsidRPr="00980845">
        <w:rPr>
          <w:rFonts w:ascii="Times New Roman" w:hAnsi="Times New Roman" w:cs="Times New Roman"/>
          <w:color w:val="000000" w:themeColor="text1"/>
        </w:rPr>
        <w:t xml:space="preserve"> of </w:t>
      </w:r>
      <w:proofErr w:type="spellStart"/>
      <w:r w:rsidRPr="00980845">
        <w:rPr>
          <w:rFonts w:ascii="Times New Roman" w:hAnsi="Times New Roman" w:cs="Times New Roman"/>
          <w:color w:val="000000" w:themeColor="text1"/>
        </w:rPr>
        <w:t>Regression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Relationships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Over</w:t>
      </w:r>
      <w:proofErr w:type="spellEnd"/>
      <w:r w:rsidRPr="00980845">
        <w:rPr>
          <w:rFonts w:ascii="Times New Roman" w:hAnsi="Times New Roman" w:cs="Times New Roman"/>
          <w:color w:val="000000" w:themeColor="text1"/>
        </w:rPr>
        <w:t xml:space="preserve"> Time</w:t>
      </w:r>
      <w:r w:rsidR="0022704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060F3C">
        <w:rPr>
          <w:rFonts w:ascii="Times New Roman" w:hAnsi="Times New Roman" w:cs="Times New Roman"/>
          <w:i/>
          <w:iCs/>
          <w:color w:val="000000" w:themeColor="text1"/>
        </w:rPr>
        <w:t>Journal</w:t>
      </w:r>
      <w:proofErr w:type="spellEnd"/>
      <w:r w:rsidRPr="00060F3C">
        <w:rPr>
          <w:rFonts w:ascii="Times New Roman" w:hAnsi="Times New Roman" w:cs="Times New Roman"/>
          <w:i/>
          <w:iCs/>
          <w:color w:val="000000" w:themeColor="text1"/>
        </w:rPr>
        <w:t xml:space="preserve"> of </w:t>
      </w:r>
      <w:proofErr w:type="spellStart"/>
      <w:r w:rsidRPr="00060F3C">
        <w:rPr>
          <w:rFonts w:ascii="Times New Roman" w:hAnsi="Times New Roman" w:cs="Times New Roman"/>
          <w:i/>
          <w:iCs/>
          <w:color w:val="000000" w:themeColor="text1"/>
        </w:rPr>
        <w:t>the</w:t>
      </w:r>
      <w:proofErr w:type="spellEnd"/>
      <w:r w:rsidRPr="00060F3C">
        <w:rPr>
          <w:rFonts w:ascii="Times New Roman" w:hAnsi="Times New Roman" w:cs="Times New Roman"/>
          <w:i/>
          <w:iCs/>
          <w:color w:val="000000" w:themeColor="text1"/>
        </w:rPr>
        <w:t xml:space="preserve"> </w:t>
      </w:r>
      <w:proofErr w:type="spellStart"/>
      <w:r w:rsidRPr="00060F3C">
        <w:rPr>
          <w:rFonts w:ascii="Times New Roman" w:hAnsi="Times New Roman" w:cs="Times New Roman"/>
          <w:i/>
          <w:iCs/>
          <w:color w:val="000000" w:themeColor="text1"/>
        </w:rPr>
        <w:t>Royal</w:t>
      </w:r>
      <w:proofErr w:type="spellEnd"/>
      <w:r w:rsidRPr="00060F3C">
        <w:rPr>
          <w:rFonts w:ascii="Times New Roman" w:hAnsi="Times New Roman" w:cs="Times New Roman"/>
          <w:i/>
          <w:iCs/>
          <w:color w:val="000000" w:themeColor="text1"/>
        </w:rPr>
        <w:t xml:space="preserve"> Statistical </w:t>
      </w:r>
      <w:proofErr w:type="spellStart"/>
      <w:r w:rsidRPr="00060F3C">
        <w:rPr>
          <w:rFonts w:ascii="Times New Roman" w:hAnsi="Times New Roman" w:cs="Times New Roman"/>
          <w:i/>
          <w:iCs/>
          <w:color w:val="000000" w:themeColor="text1"/>
        </w:rPr>
        <w:t>Society</w:t>
      </w:r>
      <w:proofErr w:type="spellEnd"/>
      <w:r w:rsidRPr="00980845">
        <w:rPr>
          <w:rFonts w:ascii="Times New Roman" w:hAnsi="Times New Roman" w:cs="Times New Roman"/>
          <w:color w:val="000000" w:themeColor="text1"/>
        </w:rPr>
        <w:t>, 37 (2)</w:t>
      </w:r>
      <w:r w:rsidR="00060F3C">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149-163</w:t>
      </w:r>
    </w:p>
    <w:p w14:paraId="0F9835C6" w14:textId="538DE2C1" w:rsidR="00A72324"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lastRenderedPageBreak/>
        <w:t>Dağıstan</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N. (2017)</w:t>
      </w:r>
      <w:r w:rsidR="00CC6097">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Küresel Değer Zincirlerinin Türkiye’nin Dış Ticaret ve Üretim Yapısına Etkileri</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Uluslararası Yönetim İktisat ve İşletme Dergisi</w:t>
      </w:r>
      <w:r w:rsidRPr="00980845">
        <w:rPr>
          <w:rFonts w:ascii="Times New Roman" w:hAnsi="Times New Roman" w:cs="Times New Roman"/>
          <w:color w:val="000000" w:themeColor="text1"/>
        </w:rPr>
        <w:t>, ICMEB17 Özel Sayısı</w:t>
      </w:r>
      <w:r w:rsidR="009F51A7" w:rsidRPr="00980845">
        <w:rPr>
          <w:rFonts w:ascii="Times New Roman" w:hAnsi="Times New Roman" w:cs="Times New Roman"/>
          <w:color w:val="000000" w:themeColor="text1"/>
        </w:rPr>
        <w:t xml:space="preserve">. </w:t>
      </w:r>
      <w:r w:rsidR="00EE018C" w:rsidRPr="00980845">
        <w:rPr>
          <w:rFonts w:ascii="Times New Roman" w:hAnsi="Times New Roman" w:cs="Times New Roman"/>
          <w:color w:val="000000" w:themeColor="text1"/>
        </w:rPr>
        <w:t>Erişim adresi:</w:t>
      </w:r>
      <w:r w:rsidR="009F5562" w:rsidRPr="00980845">
        <w:rPr>
          <w:rFonts w:ascii="Times New Roman" w:hAnsi="Times New Roman" w:cs="Times New Roman"/>
          <w:color w:val="000000" w:themeColor="text1"/>
        </w:rPr>
        <w:t xml:space="preserve"> </w:t>
      </w:r>
      <w:hyperlink r:id="rId38" w:history="1">
        <w:r w:rsidR="009F5562" w:rsidRPr="00980845">
          <w:rPr>
            <w:rStyle w:val="Kpr"/>
            <w:rFonts w:ascii="Times New Roman" w:hAnsi="Times New Roman" w:cs="Times New Roman"/>
            <w:color w:val="000000" w:themeColor="text1"/>
            <w:u w:val="none"/>
          </w:rPr>
          <w:t>https://www.researchgate.net/publication/322247685_KURESEL_DEGER_ZINCIRLERININ_TURKIYE_NIN_DIS_TICARET_VE_URETIM_YAPISINA_ETKILERI</w:t>
        </w:r>
      </w:hyperlink>
    </w:p>
    <w:p w14:paraId="7AD60776" w14:textId="77777777" w:rsidR="00863E95" w:rsidRPr="00980845" w:rsidRDefault="00863E95" w:rsidP="00863E95">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 xml:space="preserve">De </w:t>
      </w:r>
      <w:proofErr w:type="spellStart"/>
      <w:r w:rsidRPr="00980845">
        <w:rPr>
          <w:rFonts w:ascii="Times New Roman" w:hAnsi="Times New Roman" w:cs="Times New Roman"/>
          <w:color w:val="000000" w:themeColor="text1"/>
        </w:rPr>
        <w:t>Backer</w:t>
      </w:r>
      <w:proofErr w:type="spellEnd"/>
      <w:r w:rsidRPr="00980845">
        <w:rPr>
          <w:rFonts w:ascii="Times New Roman" w:hAnsi="Times New Roman" w:cs="Times New Roman"/>
          <w:color w:val="000000" w:themeColor="text1"/>
        </w:rPr>
        <w:t xml:space="preserve">, K. ve </w:t>
      </w:r>
      <w:proofErr w:type="spellStart"/>
      <w:r w:rsidRPr="00980845">
        <w:rPr>
          <w:rFonts w:ascii="Times New Roman" w:hAnsi="Times New Roman" w:cs="Times New Roman"/>
          <w:color w:val="000000" w:themeColor="text1"/>
        </w:rPr>
        <w:t>Miroudot</w:t>
      </w:r>
      <w:proofErr w:type="spellEnd"/>
      <w:r>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S. (2013). </w:t>
      </w:r>
      <w:proofErr w:type="spellStart"/>
      <w:r w:rsidRPr="00980845">
        <w:rPr>
          <w:rFonts w:ascii="Times New Roman" w:hAnsi="Times New Roman" w:cs="Times New Roman"/>
          <w:color w:val="000000" w:themeColor="text1"/>
        </w:rPr>
        <w:t>Mapping</w:t>
      </w:r>
      <w:proofErr w:type="spellEnd"/>
      <w:r w:rsidRPr="00980845">
        <w:rPr>
          <w:rFonts w:ascii="Times New Roman" w:hAnsi="Times New Roman" w:cs="Times New Roman"/>
          <w:color w:val="000000" w:themeColor="text1"/>
        </w:rPr>
        <w:t xml:space="preserve"> Global Value </w:t>
      </w:r>
      <w:proofErr w:type="spellStart"/>
      <w:r w:rsidRPr="00980845">
        <w:rPr>
          <w:rFonts w:ascii="Times New Roman" w:hAnsi="Times New Roman" w:cs="Times New Roman"/>
          <w:color w:val="000000" w:themeColor="text1"/>
        </w:rPr>
        <w:t>Chains</w:t>
      </w:r>
      <w:proofErr w:type="spellEnd"/>
      <w:r w:rsidRPr="00980845">
        <w:rPr>
          <w:rFonts w:ascii="Times New Roman" w:hAnsi="Times New Roman" w:cs="Times New Roman"/>
          <w:color w:val="000000" w:themeColor="text1"/>
        </w:rPr>
        <w:t xml:space="preserve">, OECD </w:t>
      </w:r>
      <w:proofErr w:type="spellStart"/>
      <w:r w:rsidRPr="00980845">
        <w:rPr>
          <w:rFonts w:ascii="Times New Roman" w:hAnsi="Times New Roman" w:cs="Times New Roman"/>
          <w:color w:val="000000" w:themeColor="text1"/>
        </w:rPr>
        <w:t>Trade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Policy</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Papers</w:t>
      </w:r>
      <w:proofErr w:type="spellEnd"/>
      <w:r w:rsidRPr="00980845">
        <w:rPr>
          <w:rFonts w:ascii="Times New Roman" w:hAnsi="Times New Roman" w:cs="Times New Roman"/>
          <w:color w:val="000000" w:themeColor="text1"/>
        </w:rPr>
        <w:t xml:space="preserve">, 159, </w:t>
      </w:r>
      <w:r w:rsidRPr="00060F3C">
        <w:rPr>
          <w:rFonts w:ascii="Times New Roman" w:hAnsi="Times New Roman" w:cs="Times New Roman"/>
          <w:i/>
          <w:iCs/>
          <w:color w:val="000000" w:themeColor="text1"/>
        </w:rPr>
        <w:t>OECD Publishing,</w:t>
      </w:r>
      <w:r w:rsidRPr="00980845">
        <w:rPr>
          <w:rFonts w:ascii="Times New Roman" w:hAnsi="Times New Roman" w:cs="Times New Roman"/>
          <w:color w:val="000000" w:themeColor="text1"/>
        </w:rPr>
        <w:t xml:space="preserve"> Paris. Erişim adresi: </w:t>
      </w:r>
      <w:r w:rsidRPr="00980845">
        <w:rPr>
          <w:rFonts w:ascii="Times New Roman" w:hAnsi="Times New Roman" w:cs="Times New Roman"/>
          <w:color w:val="000000" w:themeColor="text1"/>
        </w:rPr>
        <w:br/>
      </w:r>
      <w:hyperlink r:id="rId39" w:history="1">
        <w:r w:rsidRPr="00980845">
          <w:rPr>
            <w:rStyle w:val="Kpr"/>
            <w:rFonts w:ascii="Times New Roman" w:hAnsi="Times New Roman" w:cs="Times New Roman"/>
            <w:color w:val="000000" w:themeColor="text1"/>
            <w:u w:val="none"/>
          </w:rPr>
          <w:t>http://dx.doi.org/10.1787/5k3v1trgnbr4-en</w:t>
        </w:r>
      </w:hyperlink>
    </w:p>
    <w:p w14:paraId="5D53B562" w14:textId="60DDB2EB"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Eraslan</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İ</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H.</w:t>
      </w:r>
      <w:r w:rsidR="009F51A7"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Helvacıoğlu Kuyucu</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A. D. ve Bakan</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İ. (2008)</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Değer Zinciri (Value </w:t>
      </w:r>
      <w:proofErr w:type="spellStart"/>
      <w:r w:rsidRPr="00980845">
        <w:rPr>
          <w:rFonts w:ascii="Times New Roman" w:hAnsi="Times New Roman" w:cs="Times New Roman"/>
          <w:color w:val="000000" w:themeColor="text1"/>
        </w:rPr>
        <w:t>Chain</w:t>
      </w:r>
      <w:proofErr w:type="spellEnd"/>
      <w:r w:rsidRPr="00980845">
        <w:rPr>
          <w:rFonts w:ascii="Times New Roman" w:hAnsi="Times New Roman" w:cs="Times New Roman"/>
          <w:color w:val="000000" w:themeColor="text1"/>
        </w:rPr>
        <w:t>) Yöntemi ile Türk Tekstil ve Hazır Giyim Sektörünün Değerlendirilmesi</w:t>
      </w:r>
      <w:r w:rsidR="009F51A7"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Afyon Kocatepe Üniversitesi İ.İ.B.F. Dergisi</w:t>
      </w:r>
      <w:r w:rsidRPr="00980845">
        <w:rPr>
          <w:rFonts w:ascii="Times New Roman" w:hAnsi="Times New Roman" w:cs="Times New Roman"/>
          <w:color w:val="000000" w:themeColor="text1"/>
        </w:rPr>
        <w:t xml:space="preserve"> (C.X,</w:t>
      </w:r>
      <w:r w:rsidR="00060F3C">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S II, 2008)</w:t>
      </w:r>
    </w:p>
    <w:p w14:paraId="6F62633D" w14:textId="0B55C686"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Erkök</w:t>
      </w:r>
      <w:proofErr w:type="spellEnd"/>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B. (2018)</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Girdi </w:t>
      </w:r>
      <w:r w:rsidR="009F51A7" w:rsidRPr="00980845">
        <w:rPr>
          <w:rFonts w:ascii="Times New Roman" w:hAnsi="Times New Roman" w:cs="Times New Roman"/>
          <w:color w:val="000000" w:themeColor="text1"/>
        </w:rPr>
        <w:t>Ç</w:t>
      </w:r>
      <w:r w:rsidRPr="00980845">
        <w:rPr>
          <w:rFonts w:ascii="Times New Roman" w:hAnsi="Times New Roman" w:cs="Times New Roman"/>
          <w:color w:val="000000" w:themeColor="text1"/>
        </w:rPr>
        <w:t>ıktı Analizi ile Otomotiv Sekt</w:t>
      </w:r>
      <w:r w:rsidR="009F51A7" w:rsidRPr="00980845">
        <w:rPr>
          <w:rFonts w:ascii="Times New Roman" w:hAnsi="Times New Roman" w:cs="Times New Roman"/>
          <w:color w:val="000000" w:themeColor="text1"/>
        </w:rPr>
        <w:t>ö</w:t>
      </w:r>
      <w:r w:rsidRPr="00980845">
        <w:rPr>
          <w:rFonts w:ascii="Times New Roman" w:hAnsi="Times New Roman" w:cs="Times New Roman"/>
          <w:color w:val="000000" w:themeColor="text1"/>
        </w:rPr>
        <w:t>r</w:t>
      </w:r>
      <w:r w:rsidR="009F51A7" w:rsidRPr="00980845">
        <w:rPr>
          <w:rFonts w:ascii="Times New Roman" w:hAnsi="Times New Roman" w:cs="Times New Roman"/>
          <w:color w:val="000000" w:themeColor="text1"/>
        </w:rPr>
        <w:t>ü</w:t>
      </w:r>
      <w:r w:rsidRPr="00980845">
        <w:rPr>
          <w:rFonts w:ascii="Times New Roman" w:hAnsi="Times New Roman" w:cs="Times New Roman"/>
          <w:color w:val="000000" w:themeColor="text1"/>
        </w:rPr>
        <w:t>n</w:t>
      </w:r>
      <w:r w:rsidR="009F51A7" w:rsidRPr="00980845">
        <w:rPr>
          <w:rFonts w:ascii="Times New Roman" w:hAnsi="Times New Roman" w:cs="Times New Roman"/>
          <w:color w:val="000000" w:themeColor="text1"/>
        </w:rPr>
        <w:t>ü</w:t>
      </w:r>
      <w:r w:rsidRPr="00980845">
        <w:rPr>
          <w:rFonts w:ascii="Times New Roman" w:hAnsi="Times New Roman" w:cs="Times New Roman"/>
          <w:color w:val="000000" w:themeColor="text1"/>
        </w:rPr>
        <w:t>n Konumu</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Finans Politik &amp; Ekonomik Yorumlar</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00060F3C">
        <w:rPr>
          <w:rFonts w:ascii="Times New Roman" w:hAnsi="Times New Roman" w:cs="Times New Roman"/>
          <w:color w:val="000000" w:themeColor="text1"/>
        </w:rPr>
        <w:t>644,</w:t>
      </w:r>
      <w:r w:rsidRPr="00980845">
        <w:rPr>
          <w:rFonts w:ascii="Times New Roman" w:hAnsi="Times New Roman" w:cs="Times New Roman"/>
          <w:color w:val="000000" w:themeColor="text1"/>
        </w:rPr>
        <w:t xml:space="preserve"> 9-40</w:t>
      </w:r>
      <w:r w:rsidR="009F51A7" w:rsidRPr="00980845">
        <w:rPr>
          <w:rFonts w:ascii="Times New Roman" w:hAnsi="Times New Roman" w:cs="Times New Roman"/>
          <w:color w:val="000000" w:themeColor="text1"/>
        </w:rPr>
        <w:t xml:space="preserve">. </w:t>
      </w:r>
      <w:r w:rsidR="00EE018C" w:rsidRPr="00980845">
        <w:rPr>
          <w:rFonts w:ascii="Times New Roman" w:hAnsi="Times New Roman" w:cs="Times New Roman"/>
          <w:color w:val="000000" w:themeColor="text1"/>
        </w:rPr>
        <w:t xml:space="preserve">Erişim adresi: </w:t>
      </w:r>
      <w:hyperlink r:id="rId40" w:history="1">
        <w:r w:rsidR="00EE018C" w:rsidRPr="00980845">
          <w:rPr>
            <w:rStyle w:val="Kpr"/>
            <w:rFonts w:ascii="Times New Roman" w:hAnsi="Times New Roman" w:cs="Times New Roman"/>
            <w:color w:val="000000" w:themeColor="text1"/>
            <w:u w:val="none"/>
          </w:rPr>
          <w:t>https://app.trdizin.gov.tr/makale/TXpBd05UZzVPUT09/girdi-cikti-analizi-ile-otomotiv-sektorunun-konumu</w:t>
        </w:r>
      </w:hyperlink>
    </w:p>
    <w:p w14:paraId="2C8617EB" w14:textId="31B5443D"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Erkök</w:t>
      </w:r>
      <w:proofErr w:type="spellEnd"/>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B. (2019)</w:t>
      </w:r>
      <w:r w:rsidR="009F51A7"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Türkiye Sanayisinin Küresel Değer Zincirine Entegrasyonu</w:t>
      </w:r>
      <w:r w:rsidR="00EE018C"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Ankara Üniversitesi SBF Dergisi</w:t>
      </w:r>
      <w:r w:rsidR="00EE018C" w:rsidRPr="00980845">
        <w:rPr>
          <w:rFonts w:ascii="Times New Roman" w:hAnsi="Times New Roman" w:cs="Times New Roman"/>
          <w:color w:val="000000" w:themeColor="text1"/>
        </w:rPr>
        <w:t xml:space="preserve">. Erişim adresi:  </w:t>
      </w:r>
      <w:hyperlink r:id="rId41" w:history="1">
        <w:r w:rsidR="00EE018C" w:rsidRPr="00980845">
          <w:rPr>
            <w:rStyle w:val="Kpr"/>
            <w:rFonts w:ascii="Times New Roman" w:hAnsi="Times New Roman" w:cs="Times New Roman"/>
            <w:color w:val="000000" w:themeColor="text1"/>
            <w:u w:val="none"/>
          </w:rPr>
          <w:t>https://sbfdergi.ankara.edu.tr/dosyalar/1378-----Banu-Erkok-BASILABILIR.pdf</w:t>
        </w:r>
      </w:hyperlink>
    </w:p>
    <w:p w14:paraId="2F50567B" w14:textId="120798E7"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Fernandes</w:t>
      </w:r>
      <w:proofErr w:type="spellEnd"/>
      <w:r w:rsidRPr="00980845">
        <w:rPr>
          <w:rFonts w:ascii="Times New Roman" w:hAnsi="Times New Roman" w:cs="Times New Roman"/>
          <w:color w:val="000000" w:themeColor="text1"/>
        </w:rPr>
        <w:t>, A.</w:t>
      </w:r>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00EE018C" w:rsidRPr="00980845">
        <w:rPr>
          <w:rFonts w:ascii="Times New Roman" w:hAnsi="Times New Roman" w:cs="Times New Roman"/>
          <w:color w:val="000000" w:themeColor="text1"/>
        </w:rPr>
        <w:t>Kee</w:t>
      </w:r>
      <w:proofErr w:type="spellEnd"/>
      <w:r w:rsidR="00EE018C"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 xml:space="preserve">H.L. </w:t>
      </w:r>
      <w:r w:rsidR="00EE018C" w:rsidRPr="00980845">
        <w:rPr>
          <w:rFonts w:ascii="Times New Roman" w:hAnsi="Times New Roman" w:cs="Times New Roman"/>
          <w:color w:val="000000" w:themeColor="text1"/>
        </w:rPr>
        <w:t>ve</w:t>
      </w:r>
      <w:r w:rsidRPr="00980845">
        <w:rPr>
          <w:rFonts w:ascii="Times New Roman" w:hAnsi="Times New Roman" w:cs="Times New Roman"/>
          <w:color w:val="000000" w:themeColor="text1"/>
        </w:rPr>
        <w:t xml:space="preserve"> </w:t>
      </w:r>
      <w:proofErr w:type="spellStart"/>
      <w:r w:rsidR="00EE018C" w:rsidRPr="00980845">
        <w:rPr>
          <w:rFonts w:ascii="Times New Roman" w:hAnsi="Times New Roman" w:cs="Times New Roman"/>
          <w:color w:val="000000" w:themeColor="text1"/>
        </w:rPr>
        <w:t>Winkler</w:t>
      </w:r>
      <w:proofErr w:type="spellEnd"/>
      <w:r w:rsidR="00EE018C"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D. (2020)</w:t>
      </w:r>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Determinants</w:t>
      </w:r>
      <w:proofErr w:type="spellEnd"/>
      <w:r w:rsidRPr="00980845">
        <w:rPr>
          <w:rFonts w:ascii="Times New Roman" w:hAnsi="Times New Roman" w:cs="Times New Roman"/>
          <w:color w:val="000000" w:themeColor="text1"/>
        </w:rPr>
        <w:t xml:space="preserve"> of Global Value </w:t>
      </w:r>
      <w:proofErr w:type="spellStart"/>
      <w:r w:rsidRPr="00980845">
        <w:rPr>
          <w:rFonts w:ascii="Times New Roman" w:hAnsi="Times New Roman" w:cs="Times New Roman"/>
          <w:color w:val="000000" w:themeColor="text1"/>
        </w:rPr>
        <w:t>Chain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Participation</w:t>
      </w:r>
      <w:proofErr w:type="spellEnd"/>
      <w:r w:rsidRPr="00980845">
        <w:rPr>
          <w:rFonts w:ascii="Times New Roman" w:hAnsi="Times New Roman" w:cs="Times New Roman"/>
          <w:color w:val="000000" w:themeColor="text1"/>
        </w:rPr>
        <w:t xml:space="preserve"> Cross-Country </w:t>
      </w:r>
      <w:proofErr w:type="spellStart"/>
      <w:r w:rsidRPr="00980845">
        <w:rPr>
          <w:rFonts w:ascii="Times New Roman" w:hAnsi="Times New Roman" w:cs="Times New Roman"/>
          <w:color w:val="000000" w:themeColor="text1"/>
        </w:rPr>
        <w:t>Evidence</w:t>
      </w:r>
      <w:proofErr w:type="spellEnd"/>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060F3C">
        <w:rPr>
          <w:rFonts w:ascii="Times New Roman" w:hAnsi="Times New Roman" w:cs="Times New Roman"/>
          <w:i/>
          <w:iCs/>
          <w:color w:val="000000" w:themeColor="text1"/>
        </w:rPr>
        <w:t xml:space="preserve">World Bank </w:t>
      </w:r>
      <w:proofErr w:type="spellStart"/>
      <w:r w:rsidRPr="00060F3C">
        <w:rPr>
          <w:rFonts w:ascii="Times New Roman" w:hAnsi="Times New Roman" w:cs="Times New Roman"/>
          <w:i/>
          <w:iCs/>
          <w:color w:val="000000" w:themeColor="text1"/>
        </w:rPr>
        <w:t>Policy</w:t>
      </w:r>
      <w:proofErr w:type="spellEnd"/>
      <w:r w:rsidRPr="00060F3C">
        <w:rPr>
          <w:rFonts w:ascii="Times New Roman" w:hAnsi="Times New Roman" w:cs="Times New Roman"/>
          <w:i/>
          <w:iCs/>
          <w:color w:val="000000" w:themeColor="text1"/>
        </w:rPr>
        <w:t xml:space="preserve"> </w:t>
      </w:r>
      <w:proofErr w:type="spellStart"/>
      <w:r w:rsidRPr="00060F3C">
        <w:rPr>
          <w:rFonts w:ascii="Times New Roman" w:hAnsi="Times New Roman" w:cs="Times New Roman"/>
          <w:i/>
          <w:iCs/>
          <w:color w:val="000000" w:themeColor="text1"/>
        </w:rPr>
        <w:t>Research</w:t>
      </w:r>
      <w:proofErr w:type="spellEnd"/>
      <w:r w:rsidRPr="00060F3C">
        <w:rPr>
          <w:rFonts w:ascii="Times New Roman" w:hAnsi="Times New Roman" w:cs="Times New Roman"/>
          <w:i/>
          <w:iCs/>
          <w:color w:val="000000" w:themeColor="text1"/>
        </w:rPr>
        <w:t xml:space="preserve"> </w:t>
      </w:r>
      <w:proofErr w:type="spellStart"/>
      <w:r w:rsidRPr="00060F3C">
        <w:rPr>
          <w:rFonts w:ascii="Times New Roman" w:hAnsi="Times New Roman" w:cs="Times New Roman"/>
          <w:i/>
          <w:iCs/>
          <w:color w:val="000000" w:themeColor="text1"/>
        </w:rPr>
        <w:t>Working</w:t>
      </w:r>
      <w:proofErr w:type="spellEnd"/>
      <w:r w:rsidRPr="00060F3C">
        <w:rPr>
          <w:rFonts w:ascii="Times New Roman" w:hAnsi="Times New Roman" w:cs="Times New Roman"/>
          <w:i/>
          <w:iCs/>
          <w:color w:val="000000" w:themeColor="text1"/>
        </w:rPr>
        <w:t xml:space="preserve"> </w:t>
      </w:r>
      <w:proofErr w:type="spellStart"/>
      <w:r w:rsidRPr="00060F3C">
        <w:rPr>
          <w:rFonts w:ascii="Times New Roman" w:hAnsi="Times New Roman" w:cs="Times New Roman"/>
          <w:i/>
          <w:iCs/>
          <w:color w:val="000000" w:themeColor="text1"/>
        </w:rPr>
        <w:t>Paper</w:t>
      </w:r>
      <w:proofErr w:type="spellEnd"/>
      <w:r w:rsidRPr="00980845">
        <w:rPr>
          <w:rFonts w:ascii="Times New Roman" w:hAnsi="Times New Roman" w:cs="Times New Roman"/>
          <w:color w:val="000000" w:themeColor="text1"/>
        </w:rPr>
        <w:t xml:space="preserve"> 9197, World Bank </w:t>
      </w:r>
      <w:proofErr w:type="spellStart"/>
      <w:r w:rsidRPr="00980845">
        <w:rPr>
          <w:rFonts w:ascii="Times New Roman" w:hAnsi="Times New Roman" w:cs="Times New Roman"/>
          <w:color w:val="000000" w:themeColor="text1"/>
        </w:rPr>
        <w:t>Group</w:t>
      </w:r>
      <w:proofErr w:type="spellEnd"/>
    </w:p>
    <w:p w14:paraId="38128ACB" w14:textId="480C6460"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Gregory</w:t>
      </w:r>
      <w:proofErr w:type="spellEnd"/>
      <w:r w:rsidRPr="00980845">
        <w:rPr>
          <w:rFonts w:ascii="Times New Roman" w:hAnsi="Times New Roman" w:cs="Times New Roman"/>
          <w:color w:val="000000" w:themeColor="text1"/>
        </w:rPr>
        <w:t xml:space="preserve">, A.W. ve </w:t>
      </w:r>
      <w:proofErr w:type="spellStart"/>
      <w:r w:rsidRPr="00980845">
        <w:rPr>
          <w:rFonts w:ascii="Times New Roman" w:hAnsi="Times New Roman" w:cs="Times New Roman"/>
          <w:color w:val="000000" w:themeColor="text1"/>
        </w:rPr>
        <w:t>Hansen</w:t>
      </w:r>
      <w:proofErr w:type="spellEnd"/>
      <w:r w:rsidRPr="00980845">
        <w:rPr>
          <w:rFonts w:ascii="Times New Roman" w:hAnsi="Times New Roman" w:cs="Times New Roman"/>
          <w:color w:val="000000" w:themeColor="text1"/>
        </w:rPr>
        <w:t>, B.E. (1996)</w:t>
      </w:r>
      <w:r w:rsidR="00EE018C"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Residual-based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Tests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for</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Cointegration</w:t>
      </w:r>
      <w:proofErr w:type="spellEnd"/>
      <w:r w:rsidRPr="00980845">
        <w:rPr>
          <w:rFonts w:ascii="Times New Roman" w:hAnsi="Times New Roman" w:cs="Times New Roman"/>
          <w:color w:val="000000" w:themeColor="text1"/>
        </w:rPr>
        <w:t xml:space="preserve"> in </w:t>
      </w:r>
      <w:proofErr w:type="spellStart"/>
      <w:r w:rsidRPr="00980845">
        <w:rPr>
          <w:rFonts w:ascii="Times New Roman" w:hAnsi="Times New Roman" w:cs="Times New Roman"/>
          <w:color w:val="000000" w:themeColor="text1"/>
        </w:rPr>
        <w:t>Models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with</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Regime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Shifts</w:t>
      </w:r>
      <w:proofErr w:type="spellEnd"/>
      <w:r w:rsidRPr="00980845">
        <w:rPr>
          <w:rFonts w:ascii="Times New Roman" w:hAnsi="Times New Roman" w:cs="Times New Roman"/>
          <w:color w:val="000000" w:themeColor="text1"/>
        </w:rPr>
        <w:t xml:space="preserve">, </w:t>
      </w:r>
      <w:proofErr w:type="spellStart"/>
      <w:r w:rsidRPr="00060F3C">
        <w:rPr>
          <w:rFonts w:ascii="Times New Roman" w:hAnsi="Times New Roman" w:cs="Times New Roman"/>
          <w:i/>
          <w:iCs/>
          <w:color w:val="000000" w:themeColor="text1"/>
        </w:rPr>
        <w:t>Journal</w:t>
      </w:r>
      <w:proofErr w:type="spellEnd"/>
      <w:r w:rsidRPr="00060F3C">
        <w:rPr>
          <w:rFonts w:ascii="Times New Roman" w:hAnsi="Times New Roman" w:cs="Times New Roman"/>
          <w:i/>
          <w:iCs/>
          <w:color w:val="000000" w:themeColor="text1"/>
        </w:rPr>
        <w:t xml:space="preserve"> of </w:t>
      </w:r>
      <w:proofErr w:type="spellStart"/>
      <w:r w:rsidRPr="00060F3C">
        <w:rPr>
          <w:rFonts w:ascii="Times New Roman" w:hAnsi="Times New Roman" w:cs="Times New Roman"/>
          <w:i/>
          <w:iCs/>
          <w:color w:val="000000" w:themeColor="text1"/>
        </w:rPr>
        <w:t>Econometrics</w:t>
      </w:r>
      <w:proofErr w:type="spellEnd"/>
      <w:r w:rsidRPr="00980845">
        <w:rPr>
          <w:rFonts w:ascii="Times New Roman" w:hAnsi="Times New Roman" w:cs="Times New Roman"/>
          <w:color w:val="000000" w:themeColor="text1"/>
        </w:rPr>
        <w:t>, 70 (1)</w:t>
      </w:r>
      <w:r w:rsidR="00060F3C">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99-126</w:t>
      </w:r>
    </w:p>
    <w:p w14:paraId="3A636CFB" w14:textId="2F097F02"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Hummels</w:t>
      </w:r>
      <w:proofErr w:type="spellEnd"/>
      <w:r w:rsidRPr="00980845">
        <w:rPr>
          <w:rFonts w:ascii="Times New Roman" w:hAnsi="Times New Roman" w:cs="Times New Roman"/>
          <w:color w:val="000000" w:themeColor="text1"/>
        </w:rPr>
        <w:t xml:space="preserve">, D., </w:t>
      </w:r>
      <w:proofErr w:type="spellStart"/>
      <w:r w:rsidRPr="00980845">
        <w:rPr>
          <w:rFonts w:ascii="Times New Roman" w:hAnsi="Times New Roman" w:cs="Times New Roman"/>
          <w:color w:val="000000" w:themeColor="text1"/>
        </w:rPr>
        <w:t>Ishii</w:t>
      </w:r>
      <w:proofErr w:type="spellEnd"/>
      <w:r w:rsidRPr="00980845">
        <w:rPr>
          <w:rFonts w:ascii="Times New Roman" w:hAnsi="Times New Roman" w:cs="Times New Roman"/>
          <w:color w:val="000000" w:themeColor="text1"/>
        </w:rPr>
        <w:t xml:space="preserve">, J. ve </w:t>
      </w:r>
      <w:proofErr w:type="spellStart"/>
      <w:r w:rsidRPr="00980845">
        <w:rPr>
          <w:rFonts w:ascii="Times New Roman" w:hAnsi="Times New Roman" w:cs="Times New Roman"/>
          <w:color w:val="000000" w:themeColor="text1"/>
        </w:rPr>
        <w:t>Yi</w:t>
      </w:r>
      <w:proofErr w:type="spellEnd"/>
      <w:r w:rsidRPr="00980845">
        <w:rPr>
          <w:rFonts w:ascii="Times New Roman" w:hAnsi="Times New Roman" w:cs="Times New Roman"/>
          <w:color w:val="000000" w:themeColor="text1"/>
        </w:rPr>
        <w:t>, K.M. (1999)</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The</w:t>
      </w:r>
      <w:proofErr w:type="spellEnd"/>
      <w:r w:rsidRPr="00980845">
        <w:rPr>
          <w:rFonts w:ascii="Times New Roman" w:hAnsi="Times New Roman" w:cs="Times New Roman"/>
          <w:color w:val="000000" w:themeColor="text1"/>
        </w:rPr>
        <w:t xml:space="preserve"> Nature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Growth</w:t>
      </w:r>
      <w:proofErr w:type="spellEnd"/>
      <w:r w:rsidRPr="00980845">
        <w:rPr>
          <w:rFonts w:ascii="Times New Roman" w:hAnsi="Times New Roman" w:cs="Times New Roman"/>
          <w:color w:val="000000" w:themeColor="text1"/>
        </w:rPr>
        <w:t xml:space="preserve"> of </w:t>
      </w:r>
      <w:proofErr w:type="spellStart"/>
      <w:r w:rsidRPr="00980845">
        <w:rPr>
          <w:rFonts w:ascii="Times New Roman" w:hAnsi="Times New Roman" w:cs="Times New Roman"/>
          <w:color w:val="000000" w:themeColor="text1"/>
        </w:rPr>
        <w:t>Vertical</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Specialization</w:t>
      </w:r>
      <w:proofErr w:type="spellEnd"/>
      <w:r w:rsidRPr="00980845">
        <w:rPr>
          <w:rFonts w:ascii="Times New Roman" w:hAnsi="Times New Roman" w:cs="Times New Roman"/>
          <w:color w:val="000000" w:themeColor="text1"/>
        </w:rPr>
        <w:t xml:space="preserve"> in World </w:t>
      </w:r>
      <w:proofErr w:type="spellStart"/>
      <w:r w:rsidRPr="00980845">
        <w:rPr>
          <w:rFonts w:ascii="Times New Roman" w:hAnsi="Times New Roman" w:cs="Times New Roman"/>
          <w:color w:val="000000" w:themeColor="text1"/>
        </w:rPr>
        <w:t>Trade</w:t>
      </w:r>
      <w:proofErr w:type="spellEnd"/>
      <w:r w:rsidRPr="00980845">
        <w:rPr>
          <w:rFonts w:ascii="Times New Roman" w:hAnsi="Times New Roman" w:cs="Times New Roman"/>
          <w:color w:val="000000" w:themeColor="text1"/>
        </w:rPr>
        <w:t xml:space="preserve">. </w:t>
      </w:r>
      <w:proofErr w:type="spellStart"/>
      <w:r w:rsidRPr="00060F3C">
        <w:rPr>
          <w:rFonts w:ascii="Times New Roman" w:hAnsi="Times New Roman" w:cs="Times New Roman"/>
          <w:i/>
          <w:iCs/>
          <w:color w:val="000000" w:themeColor="text1"/>
        </w:rPr>
        <w:t>Journal</w:t>
      </w:r>
      <w:proofErr w:type="spellEnd"/>
      <w:r w:rsidRPr="00060F3C">
        <w:rPr>
          <w:rFonts w:ascii="Times New Roman" w:hAnsi="Times New Roman" w:cs="Times New Roman"/>
          <w:i/>
          <w:iCs/>
          <w:color w:val="000000" w:themeColor="text1"/>
        </w:rPr>
        <w:t xml:space="preserve"> of International </w:t>
      </w:r>
      <w:proofErr w:type="spellStart"/>
      <w:r w:rsidRPr="00060F3C">
        <w:rPr>
          <w:rFonts w:ascii="Times New Roman" w:hAnsi="Times New Roman" w:cs="Times New Roman"/>
          <w:i/>
          <w:iCs/>
          <w:color w:val="000000" w:themeColor="text1"/>
        </w:rPr>
        <w:t>Economics</w:t>
      </w:r>
      <w:proofErr w:type="spellEnd"/>
      <w:r w:rsidRPr="00980845">
        <w:rPr>
          <w:rFonts w:ascii="Times New Roman" w:hAnsi="Times New Roman" w:cs="Times New Roman"/>
          <w:color w:val="000000" w:themeColor="text1"/>
        </w:rPr>
        <w:t>, 54(1), 75-96</w:t>
      </w:r>
      <w:r w:rsidR="00EE018C" w:rsidRPr="00980845">
        <w:rPr>
          <w:rFonts w:ascii="Times New Roman" w:hAnsi="Times New Roman" w:cs="Times New Roman"/>
          <w:color w:val="000000" w:themeColor="text1"/>
        </w:rPr>
        <w:t xml:space="preserve">. Erişim adresi: </w:t>
      </w:r>
      <w:hyperlink r:id="rId42" w:history="1">
        <w:r w:rsidR="00EE018C" w:rsidRPr="00980845">
          <w:rPr>
            <w:rStyle w:val="Kpr"/>
            <w:rFonts w:ascii="Times New Roman" w:hAnsi="Times New Roman" w:cs="Times New Roman"/>
            <w:color w:val="000000" w:themeColor="text1"/>
            <w:u w:val="none"/>
          </w:rPr>
          <w:t>https://citeseerx.ist.psu.edu/viewdoc/download?doi=10.1.1.475.3874&amp;rep=rep1&amp;type=pdf</w:t>
        </w:r>
      </w:hyperlink>
    </w:p>
    <w:p w14:paraId="1358ADDB" w14:textId="51869988"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Hummels</w:t>
      </w:r>
      <w:proofErr w:type="spellEnd"/>
      <w:r w:rsidRPr="00980845">
        <w:rPr>
          <w:rFonts w:ascii="Times New Roman" w:hAnsi="Times New Roman" w:cs="Times New Roman"/>
          <w:color w:val="000000" w:themeColor="text1"/>
        </w:rPr>
        <w:t xml:space="preserve">, D., </w:t>
      </w:r>
      <w:proofErr w:type="spellStart"/>
      <w:r w:rsidRPr="00980845">
        <w:rPr>
          <w:rFonts w:ascii="Times New Roman" w:hAnsi="Times New Roman" w:cs="Times New Roman"/>
          <w:color w:val="000000" w:themeColor="text1"/>
        </w:rPr>
        <w:t>Rapaport</w:t>
      </w:r>
      <w:proofErr w:type="spellEnd"/>
      <w:r w:rsidRPr="00980845">
        <w:rPr>
          <w:rFonts w:ascii="Times New Roman" w:hAnsi="Times New Roman" w:cs="Times New Roman"/>
          <w:color w:val="000000" w:themeColor="text1"/>
        </w:rPr>
        <w:t xml:space="preserve">, D. ve </w:t>
      </w:r>
      <w:proofErr w:type="spellStart"/>
      <w:r w:rsidRPr="00980845">
        <w:rPr>
          <w:rFonts w:ascii="Times New Roman" w:hAnsi="Times New Roman" w:cs="Times New Roman"/>
          <w:color w:val="000000" w:themeColor="text1"/>
        </w:rPr>
        <w:t>Yi</w:t>
      </w:r>
      <w:proofErr w:type="spellEnd"/>
      <w:r w:rsidRPr="00980845">
        <w:rPr>
          <w:rFonts w:ascii="Times New Roman" w:hAnsi="Times New Roman" w:cs="Times New Roman"/>
          <w:color w:val="000000" w:themeColor="text1"/>
        </w:rPr>
        <w:t>, K.M. (1998)</w:t>
      </w:r>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Vertical</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Specialization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Changing</w:t>
      </w:r>
      <w:proofErr w:type="spellEnd"/>
      <w:r w:rsidRPr="00980845">
        <w:rPr>
          <w:rFonts w:ascii="Times New Roman" w:hAnsi="Times New Roman" w:cs="Times New Roman"/>
          <w:color w:val="000000" w:themeColor="text1"/>
        </w:rPr>
        <w:t xml:space="preserve"> Nature of World </w:t>
      </w:r>
      <w:proofErr w:type="spellStart"/>
      <w:r w:rsidRPr="00980845">
        <w:rPr>
          <w:rFonts w:ascii="Times New Roman" w:hAnsi="Times New Roman" w:cs="Times New Roman"/>
          <w:color w:val="000000" w:themeColor="text1"/>
        </w:rPr>
        <w:t>Trade</w:t>
      </w:r>
      <w:proofErr w:type="spellEnd"/>
      <w:r w:rsidR="00EE018C" w:rsidRPr="00980845">
        <w:rPr>
          <w:rFonts w:ascii="Times New Roman" w:hAnsi="Times New Roman" w:cs="Times New Roman"/>
          <w:color w:val="000000" w:themeColor="text1"/>
        </w:rPr>
        <w:t xml:space="preserve">. </w:t>
      </w:r>
      <w:r w:rsidRPr="00E81D3B">
        <w:rPr>
          <w:rFonts w:ascii="Times New Roman" w:hAnsi="Times New Roman" w:cs="Times New Roman"/>
          <w:i/>
          <w:iCs/>
          <w:color w:val="000000" w:themeColor="text1"/>
        </w:rPr>
        <w:t xml:space="preserve">FRBNY </w:t>
      </w:r>
      <w:proofErr w:type="spellStart"/>
      <w:r w:rsidRPr="00E81D3B">
        <w:rPr>
          <w:rFonts w:ascii="Times New Roman" w:hAnsi="Times New Roman" w:cs="Times New Roman"/>
          <w:i/>
          <w:iCs/>
          <w:color w:val="000000" w:themeColor="text1"/>
        </w:rPr>
        <w:t>Economic</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Policy</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Rev</w:t>
      </w:r>
      <w:r w:rsidR="00060F3C" w:rsidRPr="00E81D3B">
        <w:rPr>
          <w:rFonts w:ascii="Times New Roman" w:hAnsi="Times New Roman" w:cs="Times New Roman"/>
          <w:i/>
          <w:iCs/>
          <w:color w:val="000000" w:themeColor="text1"/>
        </w:rPr>
        <w:t>i</w:t>
      </w:r>
      <w:r w:rsidRPr="00E81D3B">
        <w:rPr>
          <w:rFonts w:ascii="Times New Roman" w:hAnsi="Times New Roman" w:cs="Times New Roman"/>
          <w:i/>
          <w:iCs/>
          <w:color w:val="000000" w:themeColor="text1"/>
        </w:rPr>
        <w:t>ew</w:t>
      </w:r>
      <w:proofErr w:type="spellEnd"/>
      <w:r w:rsidRPr="00980845">
        <w:rPr>
          <w:rFonts w:ascii="Times New Roman" w:hAnsi="Times New Roman" w:cs="Times New Roman"/>
          <w:color w:val="000000" w:themeColor="text1"/>
        </w:rPr>
        <w:t>, 6, 79-99</w:t>
      </w:r>
      <w:r w:rsidR="00EE018C" w:rsidRPr="00980845">
        <w:rPr>
          <w:rFonts w:ascii="Times New Roman" w:hAnsi="Times New Roman" w:cs="Times New Roman"/>
          <w:color w:val="000000" w:themeColor="text1"/>
        </w:rPr>
        <w:t xml:space="preserve">. Erişim adresi:  </w:t>
      </w:r>
      <w:hyperlink r:id="rId43" w:history="1">
        <w:r w:rsidR="00EE018C" w:rsidRPr="00980845">
          <w:rPr>
            <w:rStyle w:val="Kpr"/>
            <w:rFonts w:ascii="Times New Roman" w:hAnsi="Times New Roman" w:cs="Times New Roman"/>
            <w:color w:val="000000" w:themeColor="text1"/>
            <w:u w:val="none"/>
          </w:rPr>
          <w:t>https://core.ac.uk/download/pdf/6792678.pdf</w:t>
        </w:r>
      </w:hyperlink>
      <w:r w:rsidR="00EE018C" w:rsidRPr="00980845">
        <w:rPr>
          <w:rFonts w:ascii="Times New Roman" w:hAnsi="Times New Roman" w:cs="Times New Roman"/>
          <w:color w:val="000000" w:themeColor="text1"/>
        </w:rPr>
        <w:t xml:space="preserve"> </w:t>
      </w:r>
    </w:p>
    <w:p w14:paraId="4C1267C6" w14:textId="757D9BBE"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Jones</w:t>
      </w:r>
      <w:proofErr w:type="spellEnd"/>
      <w:r w:rsidRPr="00980845">
        <w:rPr>
          <w:rFonts w:ascii="Times New Roman" w:hAnsi="Times New Roman" w:cs="Times New Roman"/>
          <w:color w:val="000000" w:themeColor="text1"/>
        </w:rPr>
        <w:t>, L</w:t>
      </w:r>
      <w:r w:rsidR="00EE018C" w:rsidRPr="00980845">
        <w:rPr>
          <w:rFonts w:ascii="Times New Roman" w:hAnsi="Times New Roman" w:cs="Times New Roman"/>
          <w:color w:val="000000" w:themeColor="text1"/>
        </w:rPr>
        <w:t>.</w:t>
      </w:r>
      <w:r w:rsidR="00CC6097">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00EE018C" w:rsidRPr="00980845">
        <w:rPr>
          <w:rFonts w:ascii="Times New Roman" w:hAnsi="Times New Roman" w:cs="Times New Roman"/>
          <w:color w:val="000000" w:themeColor="text1"/>
        </w:rPr>
        <w:t xml:space="preserve">Demirkaya, </w:t>
      </w:r>
      <w:r w:rsidRPr="00980845">
        <w:rPr>
          <w:rFonts w:ascii="Times New Roman" w:hAnsi="Times New Roman" w:cs="Times New Roman"/>
          <w:color w:val="000000" w:themeColor="text1"/>
        </w:rPr>
        <w:t>M</w:t>
      </w:r>
      <w:r w:rsidR="00EE018C" w:rsidRPr="00980845">
        <w:rPr>
          <w:rFonts w:ascii="Times New Roman" w:hAnsi="Times New Roman" w:cs="Times New Roman"/>
          <w:color w:val="000000" w:themeColor="text1"/>
        </w:rPr>
        <w:t>. ve</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Bethmann</w:t>
      </w:r>
      <w:proofErr w:type="spellEnd"/>
      <w:r w:rsidR="00EE018C" w:rsidRPr="00980845">
        <w:rPr>
          <w:rFonts w:ascii="Times New Roman" w:hAnsi="Times New Roman" w:cs="Times New Roman"/>
          <w:color w:val="000000" w:themeColor="text1"/>
        </w:rPr>
        <w:t>, E</w:t>
      </w:r>
      <w:r w:rsidRPr="00980845">
        <w:rPr>
          <w:rFonts w:ascii="Times New Roman" w:hAnsi="Times New Roman" w:cs="Times New Roman"/>
          <w:color w:val="000000" w:themeColor="text1"/>
        </w:rPr>
        <w:t>.</w:t>
      </w:r>
      <w:r w:rsidR="00EE018C" w:rsidRPr="00980845">
        <w:rPr>
          <w:rFonts w:ascii="Times New Roman" w:hAnsi="Times New Roman" w:cs="Times New Roman"/>
          <w:color w:val="000000" w:themeColor="text1"/>
        </w:rPr>
        <w:t xml:space="preserve"> </w:t>
      </w:r>
      <w:r w:rsidR="0094089C">
        <w:rPr>
          <w:rFonts w:ascii="Times New Roman" w:hAnsi="Times New Roman" w:cs="Times New Roman"/>
          <w:color w:val="000000" w:themeColor="text1"/>
        </w:rPr>
        <w:t xml:space="preserve">(2019). </w:t>
      </w:r>
      <w:r w:rsidRPr="00980845">
        <w:rPr>
          <w:rFonts w:ascii="Times New Roman" w:hAnsi="Times New Roman" w:cs="Times New Roman"/>
          <w:color w:val="000000" w:themeColor="text1"/>
        </w:rPr>
        <w:t xml:space="preserve">Global Value </w:t>
      </w:r>
      <w:proofErr w:type="spellStart"/>
      <w:r w:rsidRPr="00980845">
        <w:rPr>
          <w:rFonts w:ascii="Times New Roman" w:hAnsi="Times New Roman" w:cs="Times New Roman"/>
          <w:color w:val="000000" w:themeColor="text1"/>
        </w:rPr>
        <w:t>Chain</w:t>
      </w:r>
      <w:proofErr w:type="spellEnd"/>
      <w:r w:rsidRPr="00980845">
        <w:rPr>
          <w:rFonts w:ascii="Times New Roman" w:hAnsi="Times New Roman" w:cs="Times New Roman"/>
          <w:color w:val="000000" w:themeColor="text1"/>
        </w:rPr>
        <w:t xml:space="preserve"> Analysis: </w:t>
      </w:r>
      <w:proofErr w:type="spellStart"/>
      <w:r w:rsidRPr="00980845">
        <w:rPr>
          <w:rFonts w:ascii="Times New Roman" w:hAnsi="Times New Roman" w:cs="Times New Roman"/>
          <w:color w:val="000000" w:themeColor="text1"/>
        </w:rPr>
        <w:t>Concepts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Approaches</w:t>
      </w:r>
      <w:proofErr w:type="spellEnd"/>
      <w:r w:rsidRPr="00980845">
        <w:rPr>
          <w:rFonts w:ascii="Times New Roman" w:hAnsi="Times New Roman" w:cs="Times New Roman"/>
          <w:color w:val="000000" w:themeColor="text1"/>
        </w:rPr>
        <w:t xml:space="preserve">. </w:t>
      </w:r>
      <w:proofErr w:type="spellStart"/>
      <w:r w:rsidRPr="00E81D3B">
        <w:rPr>
          <w:rFonts w:ascii="Times New Roman" w:hAnsi="Times New Roman" w:cs="Times New Roman"/>
          <w:i/>
          <w:iCs/>
          <w:color w:val="000000" w:themeColor="text1"/>
        </w:rPr>
        <w:t>Journal</w:t>
      </w:r>
      <w:proofErr w:type="spellEnd"/>
      <w:r w:rsidRPr="00E81D3B">
        <w:rPr>
          <w:rFonts w:ascii="Times New Roman" w:hAnsi="Times New Roman" w:cs="Times New Roman"/>
          <w:i/>
          <w:iCs/>
          <w:color w:val="000000" w:themeColor="text1"/>
        </w:rPr>
        <w:t xml:space="preserve"> of International Commerce </w:t>
      </w:r>
      <w:proofErr w:type="spellStart"/>
      <w:r w:rsidRPr="00E81D3B">
        <w:rPr>
          <w:rFonts w:ascii="Times New Roman" w:hAnsi="Times New Roman" w:cs="Times New Roman"/>
          <w:i/>
          <w:iCs/>
          <w:color w:val="000000" w:themeColor="text1"/>
        </w:rPr>
        <w:t>and</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Economics</w:t>
      </w:r>
      <w:proofErr w:type="spellEnd"/>
      <w:r w:rsidRPr="00980845">
        <w:rPr>
          <w:rFonts w:ascii="Times New Roman" w:hAnsi="Times New Roman" w:cs="Times New Roman"/>
          <w:color w:val="000000" w:themeColor="text1"/>
        </w:rPr>
        <w:t xml:space="preserve">. </w:t>
      </w:r>
      <w:r w:rsidR="00EE018C" w:rsidRPr="00980845">
        <w:rPr>
          <w:rFonts w:ascii="Times New Roman" w:hAnsi="Times New Roman" w:cs="Times New Roman"/>
          <w:color w:val="000000" w:themeColor="text1"/>
        </w:rPr>
        <w:t xml:space="preserve">Erişim adresi: </w:t>
      </w:r>
      <w:hyperlink r:id="rId44" w:history="1">
        <w:r w:rsidRPr="00980845">
          <w:rPr>
            <w:rStyle w:val="Kpr"/>
            <w:rFonts w:ascii="Times New Roman" w:hAnsi="Times New Roman" w:cs="Times New Roman"/>
            <w:color w:val="000000" w:themeColor="text1"/>
            <w:u w:val="none"/>
          </w:rPr>
          <w:t>https://www.usitc.gov/journals/jice_home.htm</w:t>
        </w:r>
      </w:hyperlink>
      <w:r w:rsidR="00EE018C" w:rsidRPr="00980845">
        <w:rPr>
          <w:rFonts w:ascii="Times New Roman" w:hAnsi="Times New Roman" w:cs="Times New Roman"/>
          <w:color w:val="000000" w:themeColor="text1"/>
        </w:rPr>
        <w:t xml:space="preserve"> </w:t>
      </w:r>
    </w:p>
    <w:p w14:paraId="79240020" w14:textId="400F61F4"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Küçükahmetoğlu</w:t>
      </w:r>
      <w:proofErr w:type="spellEnd"/>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O. ve Balcı Varol</w:t>
      </w:r>
      <w:r w:rsidR="00EE018C"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N.</w:t>
      </w:r>
      <w:r w:rsidR="00EE018C" w:rsidRPr="00980845">
        <w:rPr>
          <w:rFonts w:ascii="Times New Roman" w:hAnsi="Times New Roman" w:cs="Times New Roman"/>
          <w:color w:val="000000" w:themeColor="text1"/>
        </w:rPr>
        <w:t xml:space="preserve"> (2018).</w:t>
      </w:r>
      <w:r w:rsidRPr="00980845">
        <w:rPr>
          <w:rFonts w:ascii="Times New Roman" w:hAnsi="Times New Roman" w:cs="Times New Roman"/>
          <w:color w:val="000000" w:themeColor="text1"/>
        </w:rPr>
        <w:t xml:space="preserve"> Küresel Değer Zincirlerine Katılımlarının Ülkelerin Ekonomilerine Etkileri: Panel Veri Analizi ile İncelenmesi</w:t>
      </w:r>
      <w:r w:rsidR="00EE018C" w:rsidRPr="00980845">
        <w:rPr>
          <w:rFonts w:ascii="Times New Roman" w:hAnsi="Times New Roman" w:cs="Times New Roman"/>
          <w:color w:val="000000" w:themeColor="text1"/>
        </w:rPr>
        <w:t xml:space="preserve">. </w:t>
      </w:r>
      <w:proofErr w:type="spellStart"/>
      <w:r w:rsidRPr="00E81D3B">
        <w:rPr>
          <w:rFonts w:ascii="Times New Roman" w:hAnsi="Times New Roman" w:cs="Times New Roman"/>
          <w:i/>
          <w:iCs/>
          <w:color w:val="000000" w:themeColor="text1"/>
        </w:rPr>
        <w:t>Eurasian</w:t>
      </w:r>
      <w:proofErr w:type="spellEnd"/>
      <w:r w:rsidRPr="00E81D3B">
        <w:rPr>
          <w:rFonts w:ascii="Times New Roman" w:hAnsi="Times New Roman" w:cs="Times New Roman"/>
          <w:i/>
          <w:iCs/>
          <w:color w:val="000000" w:themeColor="text1"/>
        </w:rPr>
        <w:t xml:space="preserve"> Academy of </w:t>
      </w:r>
      <w:proofErr w:type="spellStart"/>
      <w:r w:rsidRPr="00E81D3B">
        <w:rPr>
          <w:rFonts w:ascii="Times New Roman" w:hAnsi="Times New Roman" w:cs="Times New Roman"/>
          <w:i/>
          <w:iCs/>
          <w:color w:val="000000" w:themeColor="text1"/>
        </w:rPr>
        <w:t>Sciences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Social</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Sciences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Journal</w:t>
      </w:r>
      <w:proofErr w:type="spellEnd"/>
      <w:r w:rsidRPr="00980845">
        <w:rPr>
          <w:rFonts w:ascii="Times New Roman" w:hAnsi="Times New Roman" w:cs="Times New Roman"/>
          <w:color w:val="000000" w:themeColor="text1"/>
        </w:rPr>
        <w:t>, 22</w:t>
      </w:r>
      <w:r w:rsidR="00EE018C" w:rsidRPr="00980845">
        <w:rPr>
          <w:rFonts w:ascii="Times New Roman" w:hAnsi="Times New Roman" w:cs="Times New Roman"/>
          <w:color w:val="000000" w:themeColor="text1"/>
        </w:rPr>
        <w:t xml:space="preserve">. Erişim adresi: </w:t>
      </w:r>
      <w:hyperlink r:id="rId45" w:history="1">
        <w:r w:rsidR="00EE018C" w:rsidRPr="00980845">
          <w:rPr>
            <w:rStyle w:val="Kpr"/>
            <w:rFonts w:ascii="Times New Roman" w:hAnsi="Times New Roman" w:cs="Times New Roman"/>
            <w:color w:val="000000" w:themeColor="text1"/>
            <w:u w:val="none"/>
          </w:rPr>
          <w:t>http://socialsciences.eurasianacademy.org/dergi/kuresel-deger-zincirlerine-katilimlarinin-ulkelerin-ekonomilerine-etkileri-panel-veri-analizi-ile-incelenmesi201901.pdf</w:t>
        </w:r>
      </w:hyperlink>
      <w:r w:rsidRPr="00980845">
        <w:rPr>
          <w:rFonts w:ascii="Times New Roman" w:hAnsi="Times New Roman" w:cs="Times New Roman"/>
          <w:color w:val="000000" w:themeColor="text1"/>
        </w:rPr>
        <w:t xml:space="preserve"> </w:t>
      </w:r>
    </w:p>
    <w:p w14:paraId="7525CCB9" w14:textId="5798CA31"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 xml:space="preserve">Lee, J. ve </w:t>
      </w:r>
      <w:proofErr w:type="spellStart"/>
      <w:r w:rsidRPr="00980845">
        <w:rPr>
          <w:rFonts w:ascii="Times New Roman" w:hAnsi="Times New Roman" w:cs="Times New Roman"/>
          <w:color w:val="000000" w:themeColor="text1"/>
        </w:rPr>
        <w:t>Strazicich</w:t>
      </w:r>
      <w:proofErr w:type="spellEnd"/>
      <w:r w:rsidRPr="00980845">
        <w:rPr>
          <w:rFonts w:ascii="Times New Roman" w:hAnsi="Times New Roman" w:cs="Times New Roman"/>
          <w:color w:val="000000" w:themeColor="text1"/>
        </w:rPr>
        <w:t>, M.C. (2003)</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Minimum LM </w:t>
      </w:r>
      <w:proofErr w:type="spellStart"/>
      <w:r w:rsidRPr="00980845">
        <w:rPr>
          <w:rFonts w:ascii="Times New Roman" w:hAnsi="Times New Roman" w:cs="Times New Roman"/>
          <w:color w:val="000000" w:themeColor="text1"/>
        </w:rPr>
        <w:t>Unit</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Root</w:t>
      </w:r>
      <w:proofErr w:type="spellEnd"/>
      <w:r w:rsidRPr="00980845">
        <w:rPr>
          <w:rFonts w:ascii="Times New Roman" w:hAnsi="Times New Roman" w:cs="Times New Roman"/>
          <w:color w:val="000000" w:themeColor="text1"/>
        </w:rPr>
        <w:t xml:space="preserve"> Test </w:t>
      </w:r>
      <w:proofErr w:type="spellStart"/>
      <w:r w:rsidRPr="00980845">
        <w:rPr>
          <w:rFonts w:ascii="Times New Roman" w:hAnsi="Times New Roman" w:cs="Times New Roman"/>
          <w:color w:val="000000" w:themeColor="text1"/>
        </w:rPr>
        <w:t>with</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Two</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Structural</w:t>
      </w:r>
      <w:proofErr w:type="spellEnd"/>
      <w:r w:rsidRPr="00980845">
        <w:rPr>
          <w:rFonts w:ascii="Times New Roman" w:hAnsi="Times New Roman" w:cs="Times New Roman"/>
          <w:color w:val="000000" w:themeColor="text1"/>
        </w:rPr>
        <w:t xml:space="preserve"> Breaks, </w:t>
      </w:r>
      <w:proofErr w:type="spellStart"/>
      <w:r w:rsidRPr="00E81D3B">
        <w:rPr>
          <w:rFonts w:ascii="Times New Roman" w:hAnsi="Times New Roman" w:cs="Times New Roman"/>
          <w:i/>
          <w:iCs/>
          <w:color w:val="000000" w:themeColor="text1"/>
        </w:rPr>
        <w:t>The</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Review</w:t>
      </w:r>
      <w:proofErr w:type="spellEnd"/>
      <w:r w:rsidRPr="00E81D3B">
        <w:rPr>
          <w:rFonts w:ascii="Times New Roman" w:hAnsi="Times New Roman" w:cs="Times New Roman"/>
          <w:i/>
          <w:iCs/>
          <w:color w:val="000000" w:themeColor="text1"/>
        </w:rPr>
        <w:t xml:space="preserve"> of </w:t>
      </w:r>
      <w:proofErr w:type="spellStart"/>
      <w:r w:rsidRPr="00E81D3B">
        <w:rPr>
          <w:rFonts w:ascii="Times New Roman" w:hAnsi="Times New Roman" w:cs="Times New Roman"/>
          <w:i/>
          <w:iCs/>
          <w:color w:val="000000" w:themeColor="text1"/>
        </w:rPr>
        <w:t>Economics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and</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Statistics</w:t>
      </w:r>
      <w:proofErr w:type="spellEnd"/>
      <w:r w:rsidRPr="00980845">
        <w:rPr>
          <w:rFonts w:ascii="Times New Roman" w:hAnsi="Times New Roman" w:cs="Times New Roman"/>
          <w:color w:val="000000" w:themeColor="text1"/>
        </w:rPr>
        <w:t>, 85 (4)</w:t>
      </w:r>
      <w:r w:rsidR="00E81D3B">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1082–1089</w:t>
      </w:r>
    </w:p>
    <w:p w14:paraId="462BD436" w14:textId="171A02F1"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Obasaju</w:t>
      </w:r>
      <w:proofErr w:type="spellEnd"/>
      <w:r w:rsidRPr="00980845">
        <w:rPr>
          <w:rFonts w:ascii="Times New Roman" w:hAnsi="Times New Roman" w:cs="Times New Roman"/>
          <w:color w:val="000000" w:themeColor="text1"/>
        </w:rPr>
        <w:t>, B. O.</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00DD110F" w:rsidRPr="00980845">
        <w:rPr>
          <w:rFonts w:ascii="Times New Roman" w:hAnsi="Times New Roman" w:cs="Times New Roman"/>
          <w:color w:val="000000" w:themeColor="text1"/>
        </w:rPr>
        <w:t>Olayiwola</w:t>
      </w:r>
      <w:proofErr w:type="spellEnd"/>
      <w:r w:rsidR="00DD110F"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W. K.</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00DD110F" w:rsidRPr="00980845">
        <w:rPr>
          <w:rFonts w:ascii="Times New Roman" w:hAnsi="Times New Roman" w:cs="Times New Roman"/>
          <w:color w:val="000000" w:themeColor="text1"/>
        </w:rPr>
        <w:t>Okodua</w:t>
      </w:r>
      <w:proofErr w:type="spellEnd"/>
      <w:r w:rsidR="00DD110F"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H.</w:t>
      </w:r>
      <w:r w:rsidR="00DD110F" w:rsidRPr="00980845">
        <w:rPr>
          <w:rFonts w:ascii="Times New Roman" w:hAnsi="Times New Roman" w:cs="Times New Roman"/>
          <w:color w:val="000000" w:themeColor="text1"/>
        </w:rPr>
        <w:t xml:space="preserve">, </w:t>
      </w:r>
      <w:proofErr w:type="spellStart"/>
      <w:r w:rsidR="00DD110F" w:rsidRPr="00980845">
        <w:rPr>
          <w:rFonts w:ascii="Times New Roman" w:hAnsi="Times New Roman" w:cs="Times New Roman"/>
          <w:color w:val="000000" w:themeColor="text1"/>
        </w:rPr>
        <w:t>Adediran</w:t>
      </w:r>
      <w:proofErr w:type="spellEnd"/>
      <w:r w:rsidR="00DD110F"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O. S.</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00775F45">
        <w:rPr>
          <w:rFonts w:ascii="Times New Roman" w:hAnsi="Times New Roman" w:cs="Times New Roman"/>
          <w:color w:val="000000" w:themeColor="text1"/>
        </w:rPr>
        <w:t>ve</w:t>
      </w:r>
      <w:r w:rsidRPr="00980845">
        <w:rPr>
          <w:rFonts w:ascii="Times New Roman" w:hAnsi="Times New Roman" w:cs="Times New Roman"/>
          <w:color w:val="000000" w:themeColor="text1"/>
        </w:rPr>
        <w:t xml:space="preserve"> </w:t>
      </w:r>
      <w:proofErr w:type="spellStart"/>
      <w:r w:rsidR="00DD110F" w:rsidRPr="00980845">
        <w:rPr>
          <w:rFonts w:ascii="Times New Roman" w:hAnsi="Times New Roman" w:cs="Times New Roman"/>
          <w:color w:val="000000" w:themeColor="text1"/>
        </w:rPr>
        <w:t>Lawal</w:t>
      </w:r>
      <w:proofErr w:type="spellEnd"/>
      <w:r w:rsidR="00DD110F"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A. I. (2021)</w:t>
      </w:r>
      <w:r w:rsidR="00DD110F"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Regional</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economic</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integration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economic</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upgrading</w:t>
      </w:r>
      <w:proofErr w:type="spellEnd"/>
      <w:r w:rsidRPr="00980845">
        <w:rPr>
          <w:rFonts w:ascii="Times New Roman" w:hAnsi="Times New Roman" w:cs="Times New Roman"/>
          <w:color w:val="000000" w:themeColor="text1"/>
        </w:rPr>
        <w:t xml:space="preserve"> in global </w:t>
      </w:r>
      <w:proofErr w:type="spellStart"/>
      <w:r w:rsidRPr="00980845">
        <w:rPr>
          <w:rFonts w:ascii="Times New Roman" w:hAnsi="Times New Roman" w:cs="Times New Roman"/>
          <w:color w:val="000000" w:themeColor="text1"/>
        </w:rPr>
        <w:t>value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chains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selected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cases</w:t>
      </w:r>
      <w:proofErr w:type="spellEnd"/>
      <w:r w:rsidRPr="00980845">
        <w:rPr>
          <w:rFonts w:ascii="Times New Roman" w:hAnsi="Times New Roman" w:cs="Times New Roman"/>
          <w:color w:val="000000" w:themeColor="text1"/>
        </w:rPr>
        <w:t xml:space="preserve"> in </w:t>
      </w:r>
      <w:proofErr w:type="spellStart"/>
      <w:r w:rsidRPr="00980845">
        <w:rPr>
          <w:rFonts w:ascii="Times New Roman" w:hAnsi="Times New Roman" w:cs="Times New Roman"/>
          <w:color w:val="000000" w:themeColor="text1"/>
        </w:rPr>
        <w:t>Africa</w:t>
      </w:r>
      <w:proofErr w:type="spellEnd"/>
      <w:r w:rsidRPr="00980845">
        <w:rPr>
          <w:rFonts w:ascii="Times New Roman" w:hAnsi="Times New Roman" w:cs="Times New Roman"/>
          <w:color w:val="000000" w:themeColor="text1"/>
        </w:rPr>
        <w:t xml:space="preserve">, </w:t>
      </w:r>
      <w:proofErr w:type="spellStart"/>
      <w:r w:rsidRPr="00E81D3B">
        <w:rPr>
          <w:rFonts w:ascii="Times New Roman" w:hAnsi="Times New Roman" w:cs="Times New Roman"/>
          <w:i/>
          <w:iCs/>
          <w:color w:val="000000" w:themeColor="text1"/>
        </w:rPr>
        <w:t>Heliyon</w:t>
      </w:r>
      <w:proofErr w:type="spellEnd"/>
      <w:r w:rsidRPr="00980845">
        <w:rPr>
          <w:rFonts w:ascii="Times New Roman" w:hAnsi="Times New Roman" w:cs="Times New Roman"/>
          <w:color w:val="000000" w:themeColor="text1"/>
        </w:rPr>
        <w:t xml:space="preserve"> 7 e06112</w:t>
      </w:r>
      <w:r w:rsidR="00DD110F" w:rsidRPr="00980845">
        <w:rPr>
          <w:rFonts w:ascii="Times New Roman" w:hAnsi="Times New Roman" w:cs="Times New Roman"/>
          <w:color w:val="000000" w:themeColor="text1"/>
        </w:rPr>
        <w:t xml:space="preserve">. Erişim adresi: </w:t>
      </w:r>
      <w:hyperlink r:id="rId46" w:history="1">
        <w:r w:rsidR="00DD110F" w:rsidRPr="00980845">
          <w:rPr>
            <w:rStyle w:val="Kpr"/>
            <w:rFonts w:ascii="Times New Roman" w:hAnsi="Times New Roman" w:cs="Times New Roman"/>
            <w:color w:val="000000" w:themeColor="text1"/>
            <w:u w:val="none"/>
          </w:rPr>
          <w:t>https://doi.org/10.1016/j.heliyon.2021.e06112</w:t>
        </w:r>
      </w:hyperlink>
    </w:p>
    <w:p w14:paraId="1A78F0F7" w14:textId="74206080"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lastRenderedPageBreak/>
        <w:t>OECD</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(2020)</w:t>
      </w:r>
      <w:r w:rsidR="009F5562" w:rsidRPr="00980845">
        <w:rPr>
          <w:rFonts w:ascii="Times New Roman" w:hAnsi="Times New Roman" w:cs="Times New Roman"/>
          <w:color w:val="000000" w:themeColor="text1"/>
        </w:rPr>
        <w:t xml:space="preserve">. Erişim adresi: </w:t>
      </w:r>
      <w:hyperlink r:id="rId47" w:history="1">
        <w:r w:rsidR="009F5562" w:rsidRPr="00980845">
          <w:rPr>
            <w:rStyle w:val="Kpr"/>
            <w:rFonts w:ascii="Times New Roman" w:hAnsi="Times New Roman" w:cs="Times New Roman"/>
            <w:color w:val="000000" w:themeColor="text1"/>
            <w:u w:val="none"/>
          </w:rPr>
          <w:t>https://stats.oecd.org/Index.aspx?datasetcode=TIVA_2018_C1</w:t>
        </w:r>
      </w:hyperlink>
      <w:r w:rsidR="00775F45">
        <w:rPr>
          <w:rFonts w:ascii="Times New Roman" w:hAnsi="Times New Roman" w:cs="Times New Roman"/>
          <w:color w:val="000000" w:themeColor="text1"/>
        </w:rPr>
        <w:t>. (2020)</w:t>
      </w:r>
    </w:p>
    <w:p w14:paraId="2CC0E2F0" w14:textId="305DE1D0"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Özeş</w:t>
      </w:r>
      <w:proofErr w:type="spellEnd"/>
      <w:r w:rsidRPr="00980845">
        <w:rPr>
          <w:rFonts w:ascii="Times New Roman" w:hAnsi="Times New Roman" w:cs="Times New Roman"/>
          <w:color w:val="000000" w:themeColor="text1"/>
        </w:rPr>
        <w:t xml:space="preserve"> Özgür</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R.</w:t>
      </w:r>
      <w:r w:rsidR="009F5562" w:rsidRPr="00980845">
        <w:rPr>
          <w:rFonts w:ascii="Times New Roman" w:hAnsi="Times New Roman" w:cs="Times New Roman"/>
          <w:color w:val="000000" w:themeColor="text1"/>
        </w:rPr>
        <w:t xml:space="preserve"> ve</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Zanbak</w:t>
      </w:r>
      <w:proofErr w:type="spellEnd"/>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M. (2019)</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Dış Ticarette Dikey Uzmanlaşma: Türkiye’de Endüstrilere Yönelik Bazı Tespitler</w:t>
      </w:r>
      <w:r w:rsidR="009F5562" w:rsidRPr="00980845">
        <w:rPr>
          <w:rFonts w:ascii="Times New Roman" w:hAnsi="Times New Roman" w:cs="Times New Roman"/>
          <w:color w:val="000000" w:themeColor="text1"/>
        </w:rPr>
        <w:t xml:space="preserve">. </w:t>
      </w:r>
      <w:r w:rsidRPr="00E81D3B">
        <w:rPr>
          <w:rFonts w:ascii="Times New Roman" w:hAnsi="Times New Roman" w:cs="Times New Roman"/>
          <w:i/>
          <w:iCs/>
          <w:color w:val="000000" w:themeColor="text1"/>
        </w:rPr>
        <w:t>İnsan ve Toplum Bilimleri Araştırmaları Dergisi</w:t>
      </w:r>
      <w:r w:rsidRPr="00980845">
        <w:rPr>
          <w:rFonts w:ascii="Times New Roman" w:hAnsi="Times New Roman" w:cs="Times New Roman"/>
          <w:color w:val="000000" w:themeColor="text1"/>
        </w:rPr>
        <w:t>, 8 (2), 1411-1436</w:t>
      </w:r>
      <w:r w:rsidR="009F5562" w:rsidRPr="00980845">
        <w:rPr>
          <w:rFonts w:ascii="Times New Roman" w:hAnsi="Times New Roman" w:cs="Times New Roman"/>
          <w:color w:val="000000" w:themeColor="text1"/>
        </w:rPr>
        <w:t xml:space="preserve">. Erişim adresi: </w:t>
      </w:r>
      <w:r w:rsidRPr="00980845">
        <w:rPr>
          <w:rFonts w:ascii="Times New Roman" w:hAnsi="Times New Roman" w:cs="Times New Roman"/>
          <w:color w:val="000000" w:themeColor="text1"/>
        </w:rPr>
        <w:t xml:space="preserve"> </w:t>
      </w:r>
      <w:hyperlink r:id="rId48" w:history="1">
        <w:r w:rsidRPr="00980845">
          <w:rPr>
            <w:rStyle w:val="Kpr"/>
            <w:rFonts w:ascii="Times New Roman" w:hAnsi="Times New Roman" w:cs="Times New Roman"/>
            <w:color w:val="000000" w:themeColor="text1"/>
            <w:u w:val="none"/>
          </w:rPr>
          <w:t>http://www.itobiad.com/en/pub/itobiad/article/545451</w:t>
        </w:r>
      </w:hyperlink>
    </w:p>
    <w:p w14:paraId="7ECED54B" w14:textId="0BAB6CBC"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Pesaran</w:t>
      </w:r>
      <w:proofErr w:type="spellEnd"/>
      <w:r w:rsidRPr="00980845">
        <w:rPr>
          <w:rFonts w:ascii="Times New Roman" w:hAnsi="Times New Roman" w:cs="Times New Roman"/>
          <w:color w:val="000000" w:themeColor="text1"/>
        </w:rPr>
        <w:t xml:space="preserve">, M.H. ve </w:t>
      </w:r>
      <w:proofErr w:type="spellStart"/>
      <w:r w:rsidRPr="00980845">
        <w:rPr>
          <w:rFonts w:ascii="Times New Roman" w:hAnsi="Times New Roman" w:cs="Times New Roman"/>
          <w:color w:val="000000" w:themeColor="text1"/>
        </w:rPr>
        <w:t>Shin</w:t>
      </w:r>
      <w:proofErr w:type="spellEnd"/>
      <w:r w:rsidRPr="00980845">
        <w:rPr>
          <w:rFonts w:ascii="Times New Roman" w:hAnsi="Times New Roman" w:cs="Times New Roman"/>
          <w:color w:val="000000" w:themeColor="text1"/>
        </w:rPr>
        <w:t>, Y. (1999)</w:t>
      </w:r>
      <w:r w:rsidR="00CC6097">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An </w:t>
      </w:r>
      <w:proofErr w:type="spellStart"/>
      <w:r w:rsidRPr="00980845">
        <w:rPr>
          <w:rFonts w:ascii="Times New Roman" w:hAnsi="Times New Roman" w:cs="Times New Roman"/>
          <w:color w:val="000000" w:themeColor="text1"/>
        </w:rPr>
        <w:t>Autoregressive</w:t>
      </w:r>
      <w:proofErr w:type="spellEnd"/>
      <w:r w:rsidRPr="00980845">
        <w:rPr>
          <w:rFonts w:ascii="Times New Roman" w:hAnsi="Times New Roman" w:cs="Times New Roman"/>
          <w:color w:val="000000" w:themeColor="text1"/>
        </w:rPr>
        <w:t xml:space="preserve"> Distributed </w:t>
      </w:r>
      <w:proofErr w:type="spellStart"/>
      <w:r w:rsidRPr="00980845">
        <w:rPr>
          <w:rFonts w:ascii="Times New Roman" w:hAnsi="Times New Roman" w:cs="Times New Roman"/>
          <w:color w:val="000000" w:themeColor="text1"/>
        </w:rPr>
        <w:t>Lag</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Modelling</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Approach</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to</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Cointegration</w:t>
      </w:r>
      <w:proofErr w:type="spellEnd"/>
      <w:r w:rsidRPr="00980845">
        <w:rPr>
          <w:rFonts w:ascii="Times New Roman" w:hAnsi="Times New Roman" w:cs="Times New Roman"/>
          <w:color w:val="000000" w:themeColor="text1"/>
        </w:rPr>
        <w:t xml:space="preserve"> Analysis. </w:t>
      </w:r>
      <w:proofErr w:type="spellStart"/>
      <w:r w:rsidRPr="00E81D3B">
        <w:rPr>
          <w:rFonts w:ascii="Times New Roman" w:hAnsi="Times New Roman" w:cs="Times New Roman"/>
          <w:i/>
          <w:iCs/>
          <w:color w:val="000000" w:themeColor="text1"/>
        </w:rPr>
        <w:t>Econometrics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and</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Economic</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Theory</w:t>
      </w:r>
      <w:proofErr w:type="spellEnd"/>
      <w:r w:rsidRPr="00E81D3B">
        <w:rPr>
          <w:rFonts w:ascii="Times New Roman" w:hAnsi="Times New Roman" w:cs="Times New Roman"/>
          <w:i/>
          <w:iCs/>
          <w:color w:val="000000" w:themeColor="text1"/>
        </w:rPr>
        <w:t xml:space="preserve"> in </w:t>
      </w:r>
      <w:proofErr w:type="spellStart"/>
      <w:r w:rsidRPr="00E81D3B">
        <w:rPr>
          <w:rFonts w:ascii="Times New Roman" w:hAnsi="Times New Roman" w:cs="Times New Roman"/>
          <w:i/>
          <w:iCs/>
          <w:color w:val="000000" w:themeColor="text1"/>
        </w:rPr>
        <w:t>the</w:t>
      </w:r>
      <w:proofErr w:type="spellEnd"/>
      <w:r w:rsidRPr="00E81D3B">
        <w:rPr>
          <w:rFonts w:ascii="Times New Roman" w:hAnsi="Times New Roman" w:cs="Times New Roman"/>
          <w:i/>
          <w:iCs/>
          <w:color w:val="000000" w:themeColor="text1"/>
        </w:rPr>
        <w:t xml:space="preserve"> 20th Century: </w:t>
      </w:r>
      <w:proofErr w:type="spellStart"/>
      <w:r w:rsidRPr="00E81D3B">
        <w:rPr>
          <w:rFonts w:ascii="Times New Roman" w:hAnsi="Times New Roman" w:cs="Times New Roman"/>
          <w:i/>
          <w:iCs/>
          <w:color w:val="000000" w:themeColor="text1"/>
        </w:rPr>
        <w:t>The</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Ragnar</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Frisch</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Centennial</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Symposium</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Strom</w:t>
      </w:r>
      <w:proofErr w:type="spellEnd"/>
      <w:r w:rsidRPr="00980845">
        <w:rPr>
          <w:rFonts w:ascii="Times New Roman" w:hAnsi="Times New Roman" w:cs="Times New Roman"/>
          <w:color w:val="000000" w:themeColor="text1"/>
        </w:rPr>
        <w:t xml:space="preserve">, S. (ed.) Cambridge </w:t>
      </w:r>
      <w:proofErr w:type="spellStart"/>
      <w:r w:rsidRPr="00980845">
        <w:rPr>
          <w:rFonts w:ascii="Times New Roman" w:hAnsi="Times New Roman" w:cs="Times New Roman"/>
          <w:color w:val="000000" w:themeColor="text1"/>
        </w:rPr>
        <w:t>University</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Press</w:t>
      </w:r>
      <w:proofErr w:type="spellEnd"/>
    </w:p>
    <w:p w14:paraId="5FD9A2B8" w14:textId="392EAAA0"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Pesaran</w:t>
      </w:r>
      <w:proofErr w:type="spellEnd"/>
      <w:r w:rsidRPr="00980845">
        <w:rPr>
          <w:rFonts w:ascii="Times New Roman" w:hAnsi="Times New Roman" w:cs="Times New Roman"/>
          <w:color w:val="000000" w:themeColor="text1"/>
        </w:rPr>
        <w:t xml:space="preserve">, M.H., </w:t>
      </w:r>
      <w:proofErr w:type="spellStart"/>
      <w:r w:rsidRPr="00980845">
        <w:rPr>
          <w:rFonts w:ascii="Times New Roman" w:hAnsi="Times New Roman" w:cs="Times New Roman"/>
          <w:color w:val="000000" w:themeColor="text1"/>
        </w:rPr>
        <w:t>Shin</w:t>
      </w:r>
      <w:proofErr w:type="spellEnd"/>
      <w:r w:rsidRPr="00980845">
        <w:rPr>
          <w:rFonts w:ascii="Times New Roman" w:hAnsi="Times New Roman" w:cs="Times New Roman"/>
          <w:color w:val="000000" w:themeColor="text1"/>
        </w:rPr>
        <w:t xml:space="preserve">, Y., </w:t>
      </w:r>
      <w:r w:rsidR="0094089C">
        <w:rPr>
          <w:rFonts w:ascii="Times New Roman" w:hAnsi="Times New Roman" w:cs="Times New Roman"/>
          <w:color w:val="000000" w:themeColor="text1"/>
        </w:rPr>
        <w:t xml:space="preserve">ve </w:t>
      </w:r>
      <w:r w:rsidRPr="00980845">
        <w:rPr>
          <w:rFonts w:ascii="Times New Roman" w:hAnsi="Times New Roman" w:cs="Times New Roman"/>
          <w:color w:val="000000" w:themeColor="text1"/>
        </w:rPr>
        <w:t>Smith, R. J. (2001)</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Bounds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Testing</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Approaches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to</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the</w:t>
      </w:r>
      <w:proofErr w:type="spellEnd"/>
      <w:r w:rsidRPr="00980845">
        <w:rPr>
          <w:rFonts w:ascii="Times New Roman" w:hAnsi="Times New Roman" w:cs="Times New Roman"/>
          <w:color w:val="000000" w:themeColor="text1"/>
        </w:rPr>
        <w:t xml:space="preserve"> Analysis of Level </w:t>
      </w:r>
      <w:proofErr w:type="spellStart"/>
      <w:r w:rsidRPr="00980845">
        <w:rPr>
          <w:rFonts w:ascii="Times New Roman" w:hAnsi="Times New Roman" w:cs="Times New Roman"/>
          <w:color w:val="000000" w:themeColor="text1"/>
        </w:rPr>
        <w:t>Relationships</w:t>
      </w:r>
      <w:proofErr w:type="spellEnd"/>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E81D3B">
        <w:rPr>
          <w:rFonts w:ascii="Times New Roman" w:hAnsi="Times New Roman" w:cs="Times New Roman"/>
          <w:i/>
          <w:iCs/>
          <w:color w:val="000000" w:themeColor="text1"/>
        </w:rPr>
        <w:t>Journal</w:t>
      </w:r>
      <w:proofErr w:type="spellEnd"/>
      <w:r w:rsidRPr="00E81D3B">
        <w:rPr>
          <w:rFonts w:ascii="Times New Roman" w:hAnsi="Times New Roman" w:cs="Times New Roman"/>
          <w:i/>
          <w:iCs/>
          <w:color w:val="000000" w:themeColor="text1"/>
        </w:rPr>
        <w:t xml:space="preserve"> of </w:t>
      </w:r>
      <w:proofErr w:type="spellStart"/>
      <w:r w:rsidRPr="00E81D3B">
        <w:rPr>
          <w:rFonts w:ascii="Times New Roman" w:hAnsi="Times New Roman" w:cs="Times New Roman"/>
          <w:i/>
          <w:iCs/>
          <w:color w:val="000000" w:themeColor="text1"/>
        </w:rPr>
        <w:t>Applied</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Econometrics</w:t>
      </w:r>
      <w:proofErr w:type="spellEnd"/>
      <w:r w:rsidRPr="00980845">
        <w:rPr>
          <w:rFonts w:ascii="Times New Roman" w:hAnsi="Times New Roman" w:cs="Times New Roman"/>
          <w:color w:val="000000" w:themeColor="text1"/>
        </w:rPr>
        <w:t>, 16, 289-326</w:t>
      </w:r>
    </w:p>
    <w:p w14:paraId="3B444C14" w14:textId="54D8CD76"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Şat Sezgin</w:t>
      </w:r>
      <w:r w:rsidR="00DD110F" w:rsidRPr="00980845">
        <w:rPr>
          <w:rFonts w:ascii="Times New Roman" w:hAnsi="Times New Roman" w:cs="Times New Roman"/>
          <w:color w:val="000000" w:themeColor="text1"/>
        </w:rPr>
        <w:t xml:space="preserve">, </w:t>
      </w:r>
      <w:r w:rsidRPr="00980845">
        <w:rPr>
          <w:rFonts w:ascii="Times New Roman" w:hAnsi="Times New Roman" w:cs="Times New Roman"/>
          <w:color w:val="000000" w:themeColor="text1"/>
        </w:rPr>
        <w:t>A. (2020)</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Koronavirüs</w:t>
      </w:r>
      <w:proofErr w:type="spellEnd"/>
      <w:r w:rsidRPr="00980845">
        <w:rPr>
          <w:rFonts w:ascii="Times New Roman" w:hAnsi="Times New Roman" w:cs="Times New Roman"/>
          <w:color w:val="000000" w:themeColor="text1"/>
        </w:rPr>
        <w:t xml:space="preserve"> Salgını Sonrasında Küresel Tedarik Zincirleri ve Türkiye</w:t>
      </w:r>
      <w:r w:rsidR="00DD110F" w:rsidRPr="00980845">
        <w:rPr>
          <w:rFonts w:ascii="Times New Roman" w:hAnsi="Times New Roman" w:cs="Times New Roman"/>
          <w:color w:val="000000" w:themeColor="text1"/>
        </w:rPr>
        <w:t xml:space="preserve">. Erişim adresi: </w:t>
      </w:r>
      <w:hyperlink r:id="rId49" w:history="1">
        <w:r w:rsidR="00DD110F" w:rsidRPr="00980845">
          <w:rPr>
            <w:rFonts w:ascii="Times New Roman" w:hAnsi="Times New Roman" w:cs="Times New Roman"/>
            <w:color w:val="000000" w:themeColor="text1"/>
          </w:rPr>
          <w:t>https://ekonomi.isbank.com.tr/contentmanagement/Documents/tr10_aa_rapor/2020/BN_TedarikZincirleri_202008.pdf</w:t>
        </w:r>
      </w:hyperlink>
      <w:r w:rsidR="00DD110F" w:rsidRPr="00980845">
        <w:rPr>
          <w:rFonts w:ascii="Times New Roman" w:hAnsi="Times New Roman" w:cs="Times New Roman"/>
          <w:color w:val="000000" w:themeColor="text1"/>
        </w:rPr>
        <w:t xml:space="preserve"> </w:t>
      </w:r>
    </w:p>
    <w:p w14:paraId="46276FEF" w14:textId="0B7937C0" w:rsidR="00A72324" w:rsidRPr="00980845" w:rsidRDefault="00A72324" w:rsidP="00CF2F56">
      <w:pPr>
        <w:autoSpaceDE w:val="0"/>
        <w:autoSpaceDN w:val="0"/>
        <w:adjustRightInd w:val="0"/>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Taglioni</w:t>
      </w:r>
      <w:proofErr w:type="spellEnd"/>
      <w:r w:rsidRPr="00980845">
        <w:rPr>
          <w:rFonts w:ascii="Times New Roman" w:hAnsi="Times New Roman" w:cs="Times New Roman"/>
          <w:color w:val="000000" w:themeColor="text1"/>
        </w:rPr>
        <w:t>, D.</w:t>
      </w:r>
      <w:r w:rsidR="00DD110F" w:rsidRPr="00980845">
        <w:rPr>
          <w:rFonts w:ascii="Times New Roman" w:hAnsi="Times New Roman" w:cs="Times New Roman"/>
          <w:color w:val="000000" w:themeColor="text1"/>
        </w:rPr>
        <w:t xml:space="preserve"> ve</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Winkler</w:t>
      </w:r>
      <w:proofErr w:type="spellEnd"/>
      <w:r w:rsidRPr="00980845">
        <w:rPr>
          <w:rFonts w:ascii="Times New Roman" w:hAnsi="Times New Roman" w:cs="Times New Roman"/>
          <w:color w:val="000000" w:themeColor="text1"/>
        </w:rPr>
        <w:t>, D</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(2016)</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Making</w:t>
      </w:r>
      <w:proofErr w:type="spellEnd"/>
      <w:r w:rsidRPr="00980845">
        <w:rPr>
          <w:rFonts w:ascii="Times New Roman" w:hAnsi="Times New Roman" w:cs="Times New Roman"/>
          <w:color w:val="000000" w:themeColor="text1"/>
        </w:rPr>
        <w:t xml:space="preserve"> Global Value </w:t>
      </w:r>
      <w:proofErr w:type="spellStart"/>
      <w:r w:rsidRPr="00980845">
        <w:rPr>
          <w:rFonts w:ascii="Times New Roman" w:hAnsi="Times New Roman" w:cs="Times New Roman"/>
          <w:color w:val="000000" w:themeColor="text1"/>
        </w:rPr>
        <w:t>Chains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Work</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for</w:t>
      </w:r>
      <w:proofErr w:type="spellEnd"/>
      <w:r w:rsidRPr="00980845">
        <w:rPr>
          <w:rFonts w:ascii="Times New Roman" w:hAnsi="Times New Roman" w:cs="Times New Roman"/>
          <w:color w:val="000000" w:themeColor="text1"/>
        </w:rPr>
        <w:t xml:space="preserve"> Development</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International Bank </w:t>
      </w:r>
      <w:proofErr w:type="spellStart"/>
      <w:r w:rsidRPr="00980845">
        <w:rPr>
          <w:rFonts w:ascii="Times New Roman" w:hAnsi="Times New Roman" w:cs="Times New Roman"/>
          <w:color w:val="000000" w:themeColor="text1"/>
        </w:rPr>
        <w:t>for</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Reconstruction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Development / </w:t>
      </w:r>
      <w:proofErr w:type="spellStart"/>
      <w:r w:rsidRPr="00980845">
        <w:rPr>
          <w:rFonts w:ascii="Times New Roman" w:hAnsi="Times New Roman" w:cs="Times New Roman"/>
          <w:color w:val="000000" w:themeColor="text1"/>
        </w:rPr>
        <w:t>The</w:t>
      </w:r>
      <w:proofErr w:type="spellEnd"/>
      <w:r w:rsidRPr="00980845">
        <w:rPr>
          <w:rFonts w:ascii="Times New Roman" w:hAnsi="Times New Roman" w:cs="Times New Roman"/>
          <w:color w:val="000000" w:themeColor="text1"/>
        </w:rPr>
        <w:t xml:space="preserve"> World Bank </w:t>
      </w:r>
    </w:p>
    <w:p w14:paraId="71FE0767" w14:textId="288AB643" w:rsidR="00A72324" w:rsidRPr="00980845" w:rsidRDefault="00A72324" w:rsidP="00CF2F56">
      <w:pPr>
        <w:autoSpaceDE w:val="0"/>
        <w:autoSpaceDN w:val="0"/>
        <w:adjustRightInd w:val="0"/>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Tekin Koru</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A. (2020)</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Covid-19 ve Küreselleşmenin Geleceği, </w:t>
      </w:r>
      <w:r w:rsidRPr="00E81D3B">
        <w:rPr>
          <w:rFonts w:ascii="Times New Roman" w:hAnsi="Times New Roman" w:cs="Times New Roman"/>
          <w:i/>
          <w:iCs/>
          <w:color w:val="000000" w:themeColor="text1"/>
        </w:rPr>
        <w:t>Salgın Ekonomisi</w:t>
      </w:r>
      <w:r w:rsidRPr="00980845">
        <w:rPr>
          <w:rFonts w:ascii="Times New Roman" w:hAnsi="Times New Roman" w:cs="Times New Roman"/>
          <w:color w:val="000000" w:themeColor="text1"/>
        </w:rPr>
        <w:t xml:space="preserve">. Ankara: </w:t>
      </w:r>
      <w:proofErr w:type="spellStart"/>
      <w:r w:rsidRPr="00980845">
        <w:rPr>
          <w:rFonts w:ascii="Times New Roman" w:hAnsi="Times New Roman" w:cs="Times New Roman"/>
          <w:color w:val="000000" w:themeColor="text1"/>
        </w:rPr>
        <w:t>Efil</w:t>
      </w:r>
      <w:proofErr w:type="spellEnd"/>
      <w:r w:rsidRPr="00980845">
        <w:rPr>
          <w:rFonts w:ascii="Times New Roman" w:hAnsi="Times New Roman" w:cs="Times New Roman"/>
          <w:color w:val="000000" w:themeColor="text1"/>
        </w:rPr>
        <w:t xml:space="preserve"> Yayınevi.</w:t>
      </w:r>
    </w:p>
    <w:p w14:paraId="396EE39E" w14:textId="02093BC2" w:rsidR="00A72324" w:rsidRPr="00980845" w:rsidRDefault="00A72324" w:rsidP="00CF2F56">
      <w:pPr>
        <w:spacing w:before="120" w:after="120"/>
        <w:ind w:left="709" w:hanging="709"/>
        <w:jc w:val="both"/>
        <w:rPr>
          <w:rFonts w:ascii="Times New Roman" w:hAnsi="Times New Roman" w:cs="Times New Roman"/>
          <w:color w:val="000000" w:themeColor="text1"/>
        </w:rPr>
      </w:pPr>
      <w:proofErr w:type="spellStart"/>
      <w:r w:rsidRPr="00980845">
        <w:rPr>
          <w:rFonts w:ascii="Times New Roman" w:hAnsi="Times New Roman" w:cs="Times New Roman"/>
          <w:color w:val="000000" w:themeColor="text1"/>
        </w:rPr>
        <w:t>Tran</w:t>
      </w:r>
      <w:proofErr w:type="spellEnd"/>
      <w:r w:rsidRPr="00980845">
        <w:rPr>
          <w:rFonts w:ascii="Times New Roman" w:hAnsi="Times New Roman" w:cs="Times New Roman"/>
          <w:color w:val="000000" w:themeColor="text1"/>
        </w:rPr>
        <w:t xml:space="preserve"> T. A.</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Phi</w:t>
      </w:r>
      <w:proofErr w:type="spellEnd"/>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M. H.</w:t>
      </w:r>
      <w:r w:rsidR="00DD110F" w:rsidRPr="00980845">
        <w:rPr>
          <w:rFonts w:ascii="Times New Roman" w:hAnsi="Times New Roman" w:cs="Times New Roman"/>
          <w:color w:val="000000" w:themeColor="text1"/>
        </w:rPr>
        <w:t>, ve</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Thai</w:t>
      </w:r>
      <w:proofErr w:type="spellEnd"/>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L. (2020)</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Global </w:t>
      </w:r>
      <w:proofErr w:type="spellStart"/>
      <w:r w:rsidRPr="00980845">
        <w:rPr>
          <w:rFonts w:ascii="Times New Roman" w:hAnsi="Times New Roman" w:cs="Times New Roman"/>
          <w:color w:val="000000" w:themeColor="text1"/>
        </w:rPr>
        <w:t>value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chains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the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missing</w:t>
      </w:r>
      <w:proofErr w:type="spellEnd"/>
      <w:r w:rsidRPr="00980845">
        <w:rPr>
          <w:rFonts w:ascii="Times New Roman" w:hAnsi="Times New Roman" w:cs="Times New Roman"/>
          <w:color w:val="000000" w:themeColor="text1"/>
        </w:rPr>
        <w:t xml:space="preserve"> link </w:t>
      </w:r>
      <w:proofErr w:type="spellStart"/>
      <w:r w:rsidRPr="00980845">
        <w:rPr>
          <w:rFonts w:ascii="Times New Roman" w:hAnsi="Times New Roman" w:cs="Times New Roman"/>
          <w:color w:val="000000" w:themeColor="text1"/>
        </w:rPr>
        <w:t>between</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exchange</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rates</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export</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diversification</w:t>
      </w:r>
      <w:proofErr w:type="spellEnd"/>
      <w:r w:rsidRPr="00980845">
        <w:rPr>
          <w:rFonts w:ascii="Times New Roman" w:hAnsi="Times New Roman" w:cs="Times New Roman"/>
          <w:color w:val="000000" w:themeColor="text1"/>
        </w:rPr>
        <w:t xml:space="preserve">, </w:t>
      </w:r>
      <w:r w:rsidRPr="00E81D3B">
        <w:rPr>
          <w:rFonts w:ascii="Times New Roman" w:hAnsi="Times New Roman" w:cs="Times New Roman"/>
          <w:i/>
          <w:iCs/>
          <w:color w:val="000000" w:themeColor="text1"/>
        </w:rPr>
        <w:t xml:space="preserve">International </w:t>
      </w:r>
      <w:proofErr w:type="spellStart"/>
      <w:r w:rsidRPr="00E81D3B">
        <w:rPr>
          <w:rFonts w:ascii="Times New Roman" w:hAnsi="Times New Roman" w:cs="Times New Roman"/>
          <w:i/>
          <w:iCs/>
          <w:color w:val="000000" w:themeColor="text1"/>
        </w:rPr>
        <w:t>Economics</w:t>
      </w:r>
      <w:proofErr w:type="spellEnd"/>
      <w:r w:rsidRPr="00980845">
        <w:rPr>
          <w:rFonts w:ascii="Times New Roman" w:hAnsi="Times New Roman" w:cs="Times New Roman"/>
          <w:color w:val="000000" w:themeColor="text1"/>
        </w:rPr>
        <w:t xml:space="preserve"> 164</w:t>
      </w:r>
      <w:r w:rsidR="00E81D3B">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194</w:t>
      </w:r>
      <w:r w:rsidR="00E81D3B">
        <w:rPr>
          <w:rFonts w:ascii="Times New Roman" w:hAnsi="Times New Roman" w:cs="Times New Roman"/>
          <w:color w:val="000000" w:themeColor="text1"/>
        </w:rPr>
        <w:t>-</w:t>
      </w:r>
      <w:r w:rsidRPr="00980845">
        <w:rPr>
          <w:rFonts w:ascii="Times New Roman" w:hAnsi="Times New Roman" w:cs="Times New Roman"/>
          <w:color w:val="000000" w:themeColor="text1"/>
        </w:rPr>
        <w:t>205</w:t>
      </w:r>
      <w:r w:rsidR="00DD110F" w:rsidRPr="00980845">
        <w:rPr>
          <w:rFonts w:ascii="Times New Roman" w:hAnsi="Times New Roman" w:cs="Times New Roman"/>
          <w:color w:val="000000" w:themeColor="text1"/>
        </w:rPr>
        <w:t xml:space="preserve">. Erişim adresi: </w:t>
      </w:r>
      <w:hyperlink r:id="rId50" w:history="1">
        <w:r w:rsidRPr="00980845">
          <w:rPr>
            <w:rStyle w:val="Kpr"/>
            <w:rFonts w:ascii="Times New Roman" w:hAnsi="Times New Roman" w:cs="Times New Roman"/>
            <w:color w:val="000000" w:themeColor="text1"/>
            <w:u w:val="none"/>
          </w:rPr>
          <w:t>https://doi.org/10.1016/j.inteco.2020.10.001</w:t>
        </w:r>
      </w:hyperlink>
    </w:p>
    <w:p w14:paraId="6E1EFF22" w14:textId="22442911"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UNDP</w:t>
      </w:r>
      <w:r w:rsidR="00F00678"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(2020)</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E81D3B">
        <w:rPr>
          <w:rFonts w:ascii="Times New Roman" w:hAnsi="Times New Roman" w:cs="Times New Roman"/>
          <w:i/>
          <w:iCs/>
          <w:color w:val="000000" w:themeColor="text1"/>
        </w:rPr>
        <w:t>Human Development Report</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009F5562"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2020</w:t>
      </w:r>
      <w:r w:rsidR="009F5562" w:rsidRPr="00980845">
        <w:rPr>
          <w:rFonts w:ascii="Times New Roman" w:hAnsi="Times New Roman" w:cs="Times New Roman"/>
          <w:color w:val="000000" w:themeColor="text1"/>
        </w:rPr>
        <w:t>).</w:t>
      </w:r>
    </w:p>
    <w:p w14:paraId="362EBA48" w14:textId="4FBF0DE7"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UNEP</w:t>
      </w:r>
      <w:r w:rsidR="00F00678"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(2020)</w:t>
      </w:r>
      <w:r w:rsidR="00DD110F"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r w:rsidRPr="00E81D3B">
        <w:rPr>
          <w:rFonts w:ascii="Times New Roman" w:hAnsi="Times New Roman" w:cs="Times New Roman"/>
          <w:i/>
          <w:iCs/>
          <w:color w:val="000000" w:themeColor="text1"/>
        </w:rPr>
        <w:t xml:space="preserve">People </w:t>
      </w:r>
      <w:proofErr w:type="spellStart"/>
      <w:r w:rsidRPr="00E81D3B">
        <w:rPr>
          <w:rFonts w:ascii="Times New Roman" w:hAnsi="Times New Roman" w:cs="Times New Roman"/>
          <w:i/>
          <w:iCs/>
          <w:color w:val="000000" w:themeColor="text1"/>
        </w:rPr>
        <w:t>and</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the</w:t>
      </w:r>
      <w:proofErr w:type="spellEnd"/>
      <w:r w:rsidRPr="00E81D3B">
        <w:rPr>
          <w:rFonts w:ascii="Times New Roman" w:hAnsi="Times New Roman" w:cs="Times New Roman"/>
          <w:i/>
          <w:iCs/>
          <w:color w:val="000000" w:themeColor="text1"/>
        </w:rPr>
        <w:t xml:space="preserve"> planet: </w:t>
      </w:r>
      <w:proofErr w:type="spellStart"/>
      <w:r w:rsidRPr="00E81D3B">
        <w:rPr>
          <w:rFonts w:ascii="Times New Roman" w:hAnsi="Times New Roman" w:cs="Times New Roman"/>
          <w:i/>
          <w:iCs/>
          <w:color w:val="000000" w:themeColor="text1"/>
        </w:rPr>
        <w:t>The</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future</w:t>
      </w:r>
      <w:proofErr w:type="spellEnd"/>
      <w:r w:rsidRPr="00E81D3B">
        <w:rPr>
          <w:rFonts w:ascii="Times New Roman" w:hAnsi="Times New Roman" w:cs="Times New Roman"/>
          <w:i/>
          <w:iCs/>
          <w:color w:val="000000" w:themeColor="text1"/>
        </w:rPr>
        <w:t xml:space="preserve"> of </w:t>
      </w:r>
      <w:proofErr w:type="spellStart"/>
      <w:r w:rsidRPr="00E81D3B">
        <w:rPr>
          <w:rFonts w:ascii="Times New Roman" w:hAnsi="Times New Roman" w:cs="Times New Roman"/>
          <w:i/>
          <w:iCs/>
          <w:color w:val="000000" w:themeColor="text1"/>
        </w:rPr>
        <w:t>development</w:t>
      </w:r>
      <w:proofErr w:type="spellEnd"/>
      <w:r w:rsidRPr="00E81D3B">
        <w:rPr>
          <w:rFonts w:ascii="Times New Roman" w:hAnsi="Times New Roman" w:cs="Times New Roman"/>
          <w:i/>
          <w:iCs/>
          <w:color w:val="000000" w:themeColor="text1"/>
        </w:rPr>
        <w:t xml:space="preserve"> in a post-COVID-19 </w:t>
      </w:r>
      <w:proofErr w:type="spellStart"/>
      <w:r w:rsidRPr="00E81D3B">
        <w:rPr>
          <w:rFonts w:ascii="Times New Roman" w:hAnsi="Times New Roman" w:cs="Times New Roman"/>
          <w:i/>
          <w:iCs/>
          <w:color w:val="000000" w:themeColor="text1"/>
        </w:rPr>
        <w:t>world</w:t>
      </w:r>
      <w:proofErr w:type="spellEnd"/>
      <w:r w:rsidR="00CC6097">
        <w:rPr>
          <w:rFonts w:ascii="Times New Roman" w:hAnsi="Times New Roman" w:cs="Times New Roman"/>
          <w:color w:val="000000" w:themeColor="text1"/>
        </w:rPr>
        <w:t>.</w:t>
      </w:r>
    </w:p>
    <w:p w14:paraId="39AD2A9B" w14:textId="4CAB307D"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WTO</w:t>
      </w:r>
      <w:r w:rsidR="00F00678"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(2011)</w:t>
      </w:r>
      <w:r w:rsidR="00F00678" w:rsidRPr="00980845">
        <w:rPr>
          <w:rFonts w:ascii="Times New Roman" w:hAnsi="Times New Roman" w:cs="Times New Roman"/>
          <w:color w:val="000000" w:themeColor="text1"/>
        </w:rPr>
        <w:t xml:space="preserve">. </w:t>
      </w:r>
      <w:proofErr w:type="spellStart"/>
      <w:r w:rsidRPr="00E81D3B">
        <w:rPr>
          <w:rFonts w:ascii="Times New Roman" w:hAnsi="Times New Roman" w:cs="Times New Roman"/>
          <w:i/>
          <w:iCs/>
          <w:color w:val="000000" w:themeColor="text1"/>
        </w:rPr>
        <w:t>Trade</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patterns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and</w:t>
      </w:r>
      <w:proofErr w:type="spellEnd"/>
      <w:r w:rsidRPr="00E81D3B">
        <w:rPr>
          <w:rFonts w:ascii="Times New Roman" w:hAnsi="Times New Roman" w:cs="Times New Roman"/>
          <w:i/>
          <w:iCs/>
          <w:color w:val="000000" w:themeColor="text1"/>
        </w:rPr>
        <w:t xml:space="preserve"> global </w:t>
      </w:r>
      <w:proofErr w:type="spellStart"/>
      <w:r w:rsidRPr="00E81D3B">
        <w:rPr>
          <w:rFonts w:ascii="Times New Roman" w:hAnsi="Times New Roman" w:cs="Times New Roman"/>
          <w:i/>
          <w:iCs/>
          <w:color w:val="000000" w:themeColor="text1"/>
        </w:rPr>
        <w:t>value</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chain</w:t>
      </w:r>
      <w:proofErr w:type="spellEnd"/>
      <w:r w:rsidRPr="00E81D3B">
        <w:rPr>
          <w:rFonts w:ascii="Times New Roman" w:hAnsi="Times New Roman" w:cs="Times New Roman"/>
          <w:i/>
          <w:iCs/>
          <w:color w:val="000000" w:themeColor="text1"/>
        </w:rPr>
        <w:t xml:space="preserve"> in East </w:t>
      </w:r>
      <w:proofErr w:type="spellStart"/>
      <w:r w:rsidRPr="00E81D3B">
        <w:rPr>
          <w:rFonts w:ascii="Times New Roman" w:hAnsi="Times New Roman" w:cs="Times New Roman"/>
          <w:i/>
          <w:iCs/>
          <w:color w:val="000000" w:themeColor="text1"/>
        </w:rPr>
        <w:t>Asia</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from</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trade</w:t>
      </w:r>
      <w:proofErr w:type="spellEnd"/>
      <w:r w:rsidRPr="00E81D3B">
        <w:rPr>
          <w:rFonts w:ascii="Times New Roman" w:hAnsi="Times New Roman" w:cs="Times New Roman"/>
          <w:i/>
          <w:iCs/>
          <w:color w:val="000000" w:themeColor="text1"/>
        </w:rPr>
        <w:t xml:space="preserve"> in </w:t>
      </w:r>
      <w:proofErr w:type="spellStart"/>
      <w:r w:rsidRPr="00E81D3B">
        <w:rPr>
          <w:rFonts w:ascii="Times New Roman" w:hAnsi="Times New Roman" w:cs="Times New Roman"/>
          <w:i/>
          <w:iCs/>
          <w:color w:val="000000" w:themeColor="text1"/>
        </w:rPr>
        <w:t>goods</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to</w:t>
      </w:r>
      <w:proofErr w:type="spellEnd"/>
      <w:r w:rsidRPr="00E81D3B">
        <w:rPr>
          <w:rFonts w:ascii="Times New Roman" w:hAnsi="Times New Roman" w:cs="Times New Roman"/>
          <w:i/>
          <w:iCs/>
          <w:color w:val="000000" w:themeColor="text1"/>
        </w:rPr>
        <w:t xml:space="preserve"> </w:t>
      </w:r>
      <w:proofErr w:type="spellStart"/>
      <w:r w:rsidRPr="00E81D3B">
        <w:rPr>
          <w:rFonts w:ascii="Times New Roman" w:hAnsi="Times New Roman" w:cs="Times New Roman"/>
          <w:i/>
          <w:iCs/>
          <w:color w:val="000000" w:themeColor="text1"/>
        </w:rPr>
        <w:t>trade</w:t>
      </w:r>
      <w:proofErr w:type="spellEnd"/>
      <w:r w:rsidRPr="00E81D3B">
        <w:rPr>
          <w:rFonts w:ascii="Times New Roman" w:hAnsi="Times New Roman" w:cs="Times New Roman"/>
          <w:i/>
          <w:iCs/>
          <w:color w:val="000000" w:themeColor="text1"/>
        </w:rPr>
        <w:t xml:space="preserve"> in </w:t>
      </w:r>
      <w:proofErr w:type="spellStart"/>
      <w:r w:rsidRPr="00E81D3B">
        <w:rPr>
          <w:rFonts w:ascii="Times New Roman" w:hAnsi="Times New Roman" w:cs="Times New Roman"/>
          <w:i/>
          <w:iCs/>
          <w:color w:val="000000" w:themeColor="text1"/>
        </w:rPr>
        <w:t>tasks</w:t>
      </w:r>
      <w:proofErr w:type="spellEnd"/>
      <w:r w:rsidR="00CC6097">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Editörler </w:t>
      </w:r>
      <w:proofErr w:type="spellStart"/>
      <w:r w:rsidRPr="00980845">
        <w:rPr>
          <w:rFonts w:ascii="Times New Roman" w:hAnsi="Times New Roman" w:cs="Times New Roman"/>
          <w:color w:val="000000" w:themeColor="text1"/>
        </w:rPr>
        <w:t>Satoshi</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Inomata</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Hubert</w:t>
      </w:r>
      <w:proofErr w:type="spellEnd"/>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Escaith</w:t>
      </w:r>
      <w:proofErr w:type="spellEnd"/>
      <w:r w:rsidRPr="00980845">
        <w:rPr>
          <w:rFonts w:ascii="Times New Roman" w:hAnsi="Times New Roman" w:cs="Times New Roman"/>
          <w:color w:val="000000" w:themeColor="text1"/>
        </w:rPr>
        <w:t xml:space="preserve">. WTO </w:t>
      </w:r>
      <w:proofErr w:type="spellStart"/>
      <w:r w:rsidRPr="00980845">
        <w:rPr>
          <w:rFonts w:ascii="Times New Roman" w:hAnsi="Times New Roman" w:cs="Times New Roman"/>
          <w:color w:val="000000" w:themeColor="text1"/>
        </w:rPr>
        <w:t>and</w:t>
      </w:r>
      <w:proofErr w:type="spellEnd"/>
      <w:r w:rsidRPr="00980845">
        <w:rPr>
          <w:rFonts w:ascii="Times New Roman" w:hAnsi="Times New Roman" w:cs="Times New Roman"/>
          <w:color w:val="000000" w:themeColor="text1"/>
        </w:rPr>
        <w:t xml:space="preserve"> IDE-JETRO</w:t>
      </w:r>
      <w:r w:rsidR="00CC6097">
        <w:rPr>
          <w:rFonts w:ascii="Times New Roman" w:hAnsi="Times New Roman" w:cs="Times New Roman"/>
          <w:color w:val="000000" w:themeColor="text1"/>
        </w:rPr>
        <w:t>. (2011).</w:t>
      </w:r>
    </w:p>
    <w:p w14:paraId="43485CF7" w14:textId="6F853D0B" w:rsidR="00A72324" w:rsidRPr="00980845" w:rsidRDefault="00A72324" w:rsidP="00CF2F56">
      <w:pPr>
        <w:spacing w:before="120" w:after="120"/>
        <w:ind w:left="709" w:hanging="709"/>
        <w:jc w:val="both"/>
        <w:rPr>
          <w:rFonts w:ascii="Times New Roman" w:hAnsi="Times New Roman" w:cs="Times New Roman"/>
          <w:color w:val="000000" w:themeColor="text1"/>
        </w:rPr>
      </w:pPr>
      <w:r w:rsidRPr="00980845">
        <w:rPr>
          <w:rFonts w:ascii="Times New Roman" w:hAnsi="Times New Roman" w:cs="Times New Roman"/>
          <w:color w:val="000000" w:themeColor="text1"/>
        </w:rPr>
        <w:t>Yazgan, E.M. (2020)</w:t>
      </w:r>
      <w:r w:rsidR="00F00678" w:rsidRPr="00980845">
        <w:rPr>
          <w:rFonts w:ascii="Times New Roman" w:hAnsi="Times New Roman" w:cs="Times New Roman"/>
          <w:color w:val="000000" w:themeColor="text1"/>
        </w:rPr>
        <w:t>.</w:t>
      </w:r>
      <w:r w:rsidRPr="00980845">
        <w:rPr>
          <w:rFonts w:ascii="Times New Roman" w:hAnsi="Times New Roman" w:cs="Times New Roman"/>
          <w:color w:val="000000" w:themeColor="text1"/>
        </w:rPr>
        <w:t xml:space="preserve"> </w:t>
      </w:r>
      <w:proofErr w:type="spellStart"/>
      <w:r w:rsidRPr="00980845">
        <w:rPr>
          <w:rFonts w:ascii="Times New Roman" w:hAnsi="Times New Roman" w:cs="Times New Roman"/>
          <w:color w:val="000000" w:themeColor="text1"/>
        </w:rPr>
        <w:t>Koronavirüs</w:t>
      </w:r>
      <w:proofErr w:type="spellEnd"/>
      <w:r w:rsidRPr="00980845">
        <w:rPr>
          <w:rFonts w:ascii="Times New Roman" w:hAnsi="Times New Roman" w:cs="Times New Roman"/>
          <w:color w:val="000000" w:themeColor="text1"/>
        </w:rPr>
        <w:t xml:space="preserve"> sonrası Dünyada Dış Ticareti Ne Bekliyor? </w:t>
      </w:r>
      <w:r w:rsidRPr="00E81D3B">
        <w:rPr>
          <w:rFonts w:ascii="Times New Roman" w:hAnsi="Times New Roman" w:cs="Times New Roman"/>
          <w:i/>
          <w:iCs/>
          <w:color w:val="000000" w:themeColor="text1"/>
        </w:rPr>
        <w:t>Salgın Ekonomisi</w:t>
      </w:r>
      <w:r w:rsidRPr="00980845">
        <w:rPr>
          <w:rFonts w:ascii="Times New Roman" w:hAnsi="Times New Roman" w:cs="Times New Roman"/>
          <w:color w:val="000000" w:themeColor="text1"/>
        </w:rPr>
        <w:t xml:space="preserve">. Ankara: </w:t>
      </w:r>
      <w:proofErr w:type="spellStart"/>
      <w:r w:rsidRPr="00980845">
        <w:rPr>
          <w:rFonts w:ascii="Times New Roman" w:hAnsi="Times New Roman" w:cs="Times New Roman"/>
          <w:color w:val="000000" w:themeColor="text1"/>
        </w:rPr>
        <w:t>Efil</w:t>
      </w:r>
      <w:proofErr w:type="spellEnd"/>
      <w:r w:rsidRPr="00980845">
        <w:rPr>
          <w:rFonts w:ascii="Times New Roman" w:hAnsi="Times New Roman" w:cs="Times New Roman"/>
          <w:color w:val="000000" w:themeColor="text1"/>
        </w:rPr>
        <w:t xml:space="preserve"> Yayınevi</w:t>
      </w:r>
      <w:r w:rsidR="00863E95">
        <w:rPr>
          <w:rFonts w:ascii="Times New Roman" w:hAnsi="Times New Roman" w:cs="Times New Roman"/>
          <w:color w:val="000000" w:themeColor="text1"/>
        </w:rPr>
        <w:t>.</w:t>
      </w:r>
    </w:p>
    <w:sectPr w:rsidR="00A72324" w:rsidRPr="009808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EC7D4" w14:textId="77777777" w:rsidR="005A20BF" w:rsidRDefault="005A20BF" w:rsidP="00A72324">
      <w:r>
        <w:separator/>
      </w:r>
    </w:p>
  </w:endnote>
  <w:endnote w:type="continuationSeparator" w:id="0">
    <w:p w14:paraId="4B6D6659" w14:textId="77777777" w:rsidR="005A20BF" w:rsidRDefault="005A20BF" w:rsidP="00A7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760EA" w14:textId="77777777" w:rsidR="005A20BF" w:rsidRDefault="005A20BF" w:rsidP="00A72324">
      <w:r>
        <w:separator/>
      </w:r>
    </w:p>
  </w:footnote>
  <w:footnote w:type="continuationSeparator" w:id="0">
    <w:p w14:paraId="1DF03AED" w14:textId="77777777" w:rsidR="005A20BF" w:rsidRDefault="005A20BF" w:rsidP="00A72324">
      <w:r>
        <w:continuationSeparator/>
      </w:r>
    </w:p>
  </w:footnote>
  <w:footnote w:id="1">
    <w:p w14:paraId="6BF87C4C" w14:textId="77777777" w:rsidR="00A72324" w:rsidRDefault="00A72324" w:rsidP="00A72324">
      <w:pPr>
        <w:pStyle w:val="DipnotMetni"/>
        <w:rPr>
          <w:rFonts w:ascii="Times New Roman" w:hAnsi="Times New Roman" w:cs="Times New Roman"/>
        </w:rPr>
      </w:pPr>
      <w:r>
        <w:rPr>
          <w:rStyle w:val="DipnotBavurusu"/>
        </w:rPr>
        <w:footnoteRef/>
      </w:r>
      <w:r>
        <w:t xml:space="preserve"> </w:t>
      </w:r>
      <w:r>
        <w:rPr>
          <w:rFonts w:ascii="Times New Roman" w:hAnsi="Times New Roman" w:cs="Times New Roman"/>
        </w:rPr>
        <w:t>Manisa Celal Bayar Üniversitesi, Uygulamalı Bilimler Fakültesi, Uluslararası Ticaret ve Finansman Bölümü</w:t>
      </w:r>
    </w:p>
  </w:footnote>
  <w:footnote w:id="2">
    <w:p w14:paraId="36C566AC" w14:textId="77777777" w:rsidR="00A72324" w:rsidRDefault="00A72324" w:rsidP="00A72324">
      <w:pPr>
        <w:pStyle w:val="DipnotMetni"/>
        <w:rPr>
          <w:rFonts w:ascii="Times New Roman" w:hAnsi="Times New Roman" w:cs="Times New Roman"/>
        </w:rPr>
      </w:pPr>
      <w:r>
        <w:rPr>
          <w:rStyle w:val="DipnotBavurusu"/>
          <w:rFonts w:ascii="Times New Roman" w:hAnsi="Times New Roman" w:cs="Times New Roman"/>
        </w:rPr>
        <w:footnoteRef/>
      </w:r>
      <w:r>
        <w:rPr>
          <w:rFonts w:ascii="Times New Roman" w:hAnsi="Times New Roman" w:cs="Times New Roman"/>
        </w:rPr>
        <w:t xml:space="preserve"> Manisa Celal Bayar Üniversitesi, Uygulamalı Bilimler Fakültesi, Sigortacılık Bölümü</w:t>
      </w:r>
    </w:p>
  </w:footnote>
  <w:footnote w:id="3">
    <w:p w14:paraId="4E00A016" w14:textId="77777777" w:rsidR="00A72324" w:rsidRDefault="00A72324" w:rsidP="00A72324">
      <w:pPr>
        <w:pStyle w:val="DipnotMetni"/>
        <w:rPr>
          <w:rFonts w:ascii="Times New Roman" w:hAnsi="Times New Roman" w:cs="Times New Roman"/>
        </w:rPr>
      </w:pPr>
      <w:r>
        <w:rPr>
          <w:rStyle w:val="DipnotBavurusu"/>
          <w:rFonts w:ascii="Times New Roman" w:hAnsi="Times New Roman" w:cs="Times New Roman"/>
        </w:rPr>
        <w:footnoteRef/>
      </w:r>
      <w:r>
        <w:rPr>
          <w:rFonts w:ascii="Times New Roman" w:hAnsi="Times New Roman" w:cs="Times New Roman"/>
        </w:rPr>
        <w:t xml:space="preserve"> Manisa Celal Bayar Üniversitesi, Sosyal Bilimler Enstitüsü, Uluslararası Ticaret ve Finans Doktora Öğrencisi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6725F5"/>
    <w:multiLevelType w:val="hybridMultilevel"/>
    <w:tmpl w:val="874AC33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324"/>
    <w:rsid w:val="000435D3"/>
    <w:rsid w:val="00060F3C"/>
    <w:rsid w:val="001C271B"/>
    <w:rsid w:val="002072BB"/>
    <w:rsid w:val="0022704F"/>
    <w:rsid w:val="003130CA"/>
    <w:rsid w:val="00485870"/>
    <w:rsid w:val="005A20BF"/>
    <w:rsid w:val="00672AE6"/>
    <w:rsid w:val="00775F45"/>
    <w:rsid w:val="00863E95"/>
    <w:rsid w:val="00901E60"/>
    <w:rsid w:val="0094089C"/>
    <w:rsid w:val="00980845"/>
    <w:rsid w:val="009F51A7"/>
    <w:rsid w:val="009F5562"/>
    <w:rsid w:val="00A72324"/>
    <w:rsid w:val="00CC6097"/>
    <w:rsid w:val="00CF2F56"/>
    <w:rsid w:val="00DD110F"/>
    <w:rsid w:val="00E640AF"/>
    <w:rsid w:val="00E81D3B"/>
    <w:rsid w:val="00EE018C"/>
    <w:rsid w:val="00F006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775DA"/>
  <w15:chartTrackingRefBased/>
  <w15:docId w15:val="{21249A5A-5F0C-495F-B08D-CCBF4CD05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24"/>
    <w:pPr>
      <w:spacing w:after="0" w:line="240" w:lineRule="auto"/>
    </w:pPr>
    <w:rPr>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72324"/>
    <w:rPr>
      <w:color w:val="0000FF" w:themeColor="hyperlink"/>
      <w:u w:val="single"/>
    </w:rPr>
  </w:style>
  <w:style w:type="paragraph" w:styleId="NormalWeb">
    <w:name w:val="Normal (Web)"/>
    <w:basedOn w:val="Normal"/>
    <w:uiPriority w:val="99"/>
    <w:unhideWhenUsed/>
    <w:rsid w:val="00A72324"/>
    <w:pPr>
      <w:spacing w:before="100" w:beforeAutospacing="1" w:after="100" w:afterAutospacing="1"/>
    </w:pPr>
    <w:rPr>
      <w:rFonts w:ascii="Times New Roman" w:eastAsia="Times New Roman" w:hAnsi="Times New Roman" w:cs="Times New Roman"/>
      <w:lang w:eastAsia="tr-TR"/>
    </w:rPr>
  </w:style>
  <w:style w:type="paragraph" w:styleId="DipnotMetni">
    <w:name w:val="footnote text"/>
    <w:basedOn w:val="Normal"/>
    <w:link w:val="DipnotMetniChar"/>
    <w:uiPriority w:val="99"/>
    <w:semiHidden/>
    <w:unhideWhenUsed/>
    <w:rsid w:val="00A72324"/>
    <w:rPr>
      <w:sz w:val="20"/>
      <w:szCs w:val="20"/>
    </w:rPr>
  </w:style>
  <w:style w:type="character" w:customStyle="1" w:styleId="DipnotMetniChar">
    <w:name w:val="Dipnot Metni Char"/>
    <w:basedOn w:val="VarsaylanParagrafYazTipi"/>
    <w:link w:val="DipnotMetni"/>
    <w:uiPriority w:val="99"/>
    <w:semiHidden/>
    <w:rsid w:val="00A72324"/>
    <w:rPr>
      <w:sz w:val="20"/>
      <w:szCs w:val="20"/>
    </w:rPr>
  </w:style>
  <w:style w:type="paragraph" w:styleId="ListeParagraf">
    <w:name w:val="List Paragraph"/>
    <w:basedOn w:val="Normal"/>
    <w:uiPriority w:val="34"/>
    <w:qFormat/>
    <w:rsid w:val="00A72324"/>
    <w:pPr>
      <w:ind w:left="720"/>
      <w:contextualSpacing/>
    </w:pPr>
  </w:style>
  <w:style w:type="paragraph" w:customStyle="1" w:styleId="Default">
    <w:name w:val="Default"/>
    <w:uiPriority w:val="99"/>
    <w:semiHidden/>
    <w:rsid w:val="00A72324"/>
    <w:pPr>
      <w:autoSpaceDE w:val="0"/>
      <w:autoSpaceDN w:val="0"/>
      <w:adjustRightInd w:val="0"/>
      <w:spacing w:after="0" w:line="240" w:lineRule="auto"/>
    </w:pPr>
    <w:rPr>
      <w:rFonts w:ascii="Times New Roman" w:hAnsi="Times New Roman" w:cs="Times New Roman"/>
      <w:color w:val="000000"/>
      <w:sz w:val="24"/>
      <w:szCs w:val="24"/>
    </w:rPr>
  </w:style>
  <w:style w:type="character" w:styleId="DipnotBavurusu">
    <w:name w:val="footnote reference"/>
    <w:basedOn w:val="VarsaylanParagrafYazTipi"/>
    <w:uiPriority w:val="99"/>
    <w:semiHidden/>
    <w:unhideWhenUsed/>
    <w:rsid w:val="00A72324"/>
    <w:rPr>
      <w:vertAlign w:val="superscript"/>
    </w:rPr>
  </w:style>
  <w:style w:type="table" w:styleId="TabloKlavuzu">
    <w:name w:val="Table Grid"/>
    <w:basedOn w:val="NormalTablo"/>
    <w:uiPriority w:val="39"/>
    <w:rsid w:val="00A7232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F51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539842">
      <w:bodyDiv w:val="1"/>
      <w:marLeft w:val="0"/>
      <w:marRight w:val="0"/>
      <w:marTop w:val="0"/>
      <w:marBottom w:val="0"/>
      <w:divBdr>
        <w:top w:val="none" w:sz="0" w:space="0" w:color="auto"/>
        <w:left w:val="none" w:sz="0" w:space="0" w:color="auto"/>
        <w:bottom w:val="none" w:sz="0" w:space="0" w:color="auto"/>
        <w:right w:val="none" w:sz="0" w:space="0" w:color="auto"/>
      </w:divBdr>
    </w:div>
    <w:div w:id="1598519719">
      <w:bodyDiv w:val="1"/>
      <w:marLeft w:val="0"/>
      <w:marRight w:val="0"/>
      <w:marTop w:val="0"/>
      <w:marBottom w:val="0"/>
      <w:divBdr>
        <w:top w:val="none" w:sz="0" w:space="0" w:color="auto"/>
        <w:left w:val="none" w:sz="0" w:space="0" w:color="auto"/>
        <w:bottom w:val="none" w:sz="0" w:space="0" w:color="auto"/>
        <w:right w:val="none" w:sz="0" w:space="0" w:color="auto"/>
      </w:divBdr>
    </w:div>
    <w:div w:id="19645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image" Target="media/image2.png"/><Relationship Id="rId26" Type="http://schemas.openxmlformats.org/officeDocument/2006/relationships/image" Target="media/image6.png"/><Relationship Id="rId39" Type="http://schemas.openxmlformats.org/officeDocument/2006/relationships/hyperlink" Target="http://dx.doi.org/10.1787/5k3v1trgnbr4-en" TargetMode="External"/><Relationship Id="rId21" Type="http://schemas.openxmlformats.org/officeDocument/2006/relationships/hyperlink" Target="https://stats.oecd.org/Index.aspx?datasetcode=TIVA_2018_C1" TargetMode="External"/><Relationship Id="rId34" Type="http://schemas.openxmlformats.org/officeDocument/2006/relationships/image" Target="media/image14.png"/><Relationship Id="rId42" Type="http://schemas.openxmlformats.org/officeDocument/2006/relationships/hyperlink" Target="https://citeseerx.ist.psu.edu/viewdoc/download?doi=10.1.1.475.3874&amp;rep=rep1&amp;type=pdf" TargetMode="External"/><Relationship Id="rId47" Type="http://schemas.openxmlformats.org/officeDocument/2006/relationships/hyperlink" Target="https://stats.oecd.org/Index.aspx?datasetcode=TIVA_2018_C1" TargetMode="External"/><Relationship Id="rId50" Type="http://schemas.openxmlformats.org/officeDocument/2006/relationships/hyperlink" Target="https://doi.org/10.1016/j.inteco.2020.10.001"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stats.oecd.org/Index.aspx?datasetcode=TIVA_2018_C1" TargetMode="External"/><Relationship Id="rId29" Type="http://schemas.openxmlformats.org/officeDocument/2006/relationships/image" Target="media/image9.png"/><Relationship Id="rId11" Type="http://schemas.microsoft.com/office/2007/relationships/diagramDrawing" Target="diagrams/drawing1.xm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emf"/><Relationship Id="rId40" Type="http://schemas.openxmlformats.org/officeDocument/2006/relationships/hyperlink" Target="https://app.trdizin.gov.tr/makale/TXpBd05UZzVPUT09/girdi-cikti-analizi-ile-otomotiv-sektorunun-konumu" TargetMode="External"/><Relationship Id="rId45" Type="http://schemas.openxmlformats.org/officeDocument/2006/relationships/hyperlink" Target="http://socialsciences.eurasianacademy.org/dergi/kuresel-deger-zincirlerine-katilimlarinin-ulkelerin-ekonomilerine-etkileri-panel-veri-analizi-ile-incelenmesi201901.pdf" TargetMode="External"/><Relationship Id="rId5"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hyperlink" Target="https://stats.oecd.org/Index.aspx?datasetcode=TIVA_2018_C1" TargetMode="External"/><Relationship Id="rId28" Type="http://schemas.openxmlformats.org/officeDocument/2006/relationships/image" Target="media/image8.png"/><Relationship Id="rId36" Type="http://schemas.openxmlformats.org/officeDocument/2006/relationships/image" Target="media/image16.emf"/><Relationship Id="rId49" Type="http://schemas.openxmlformats.org/officeDocument/2006/relationships/hyperlink" Target="https://ekonomi.isbank.com.tr/contentmanagement/Documents/tr10_aa_rapor/2020/BN_TedarikZincirleri_202008.pdf" TargetMode="External"/><Relationship Id="rId10" Type="http://schemas.openxmlformats.org/officeDocument/2006/relationships/diagramColors" Target="diagrams/colors1.xml"/><Relationship Id="rId19" Type="http://schemas.openxmlformats.org/officeDocument/2006/relationships/hyperlink" Target="https://stats.oecd.org/Index.aspx?datasetcode=TIVA_2018_C1" TargetMode="External"/><Relationship Id="rId31" Type="http://schemas.openxmlformats.org/officeDocument/2006/relationships/image" Target="media/image11.png"/><Relationship Id="rId44" Type="http://schemas.openxmlformats.org/officeDocument/2006/relationships/hyperlink" Target="https://www.usitc.gov/journals/jice_home.htm"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stats.oecd.org/Index.aspx?datasetcode=TIVA_2018_C1" TargetMode="External"/><Relationship Id="rId22" Type="http://schemas.openxmlformats.org/officeDocument/2006/relationships/chart" Target="charts/chart4.xml"/><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hyperlink" Target="https://core.ac.uk/download/pdf/6792678.pdf" TargetMode="External"/><Relationship Id="rId48" Type="http://schemas.openxmlformats.org/officeDocument/2006/relationships/hyperlink" Target="http://www.itobiad.com/en/pub/itobiad/article/545451" TargetMode="External"/><Relationship Id="rId8" Type="http://schemas.openxmlformats.org/officeDocument/2006/relationships/diagramLayout" Target="diagrams/layout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yperlink" Target="https://www.researchgate.net/publication/322247685_KURESEL_DEGER_ZINCIRLERININ_TURKIYE_NIN_DIS_TICARET_VE_URETIM_YAPISINA_ETKILERI" TargetMode="External"/><Relationship Id="rId46" Type="http://schemas.openxmlformats.org/officeDocument/2006/relationships/hyperlink" Target="https://doi.org/10.1016/j.heliyon.2021.e06112" TargetMode="External"/><Relationship Id="rId20" Type="http://schemas.openxmlformats.org/officeDocument/2006/relationships/image" Target="media/image3.png"/><Relationship Id="rId41" Type="http://schemas.openxmlformats.org/officeDocument/2006/relationships/hyperlink" Target="https://sbfdergi.ankara.edu.tr/dosyalar/1378-----Banu-Erkok-BASILABILIR.pdf" TargetMode="Externa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mine\Desktop\KDZ-Data\Back-Forw.GVC%202005-201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mine\Desktop\KDZ-Data\Back-Forw.GVC%202005-201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mine\Desktop\KDZ-Data\Backward%20Part.%20GVC.xls"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mine\Desktop\Tu&#776;rkiye%20Sekto&#776;rel%20FVA.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Sayfa1!$B$1</c:f>
              <c:strCache>
                <c:ptCount val="1"/>
                <c:pt idx="0">
                  <c:v>Geriye Dönük KDZ 2005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Singapur</c:v>
                </c:pt>
                <c:pt idx="1">
                  <c:v>Vietnam</c:v>
                </c:pt>
                <c:pt idx="2">
                  <c:v>G.Kore</c:v>
                </c:pt>
                <c:pt idx="3">
                  <c:v>Çin</c:v>
                </c:pt>
                <c:pt idx="4">
                  <c:v>Fransa</c:v>
                </c:pt>
                <c:pt idx="5">
                  <c:v>Hindistan</c:v>
                </c:pt>
                <c:pt idx="6">
                  <c:v>Almanya</c:v>
                </c:pt>
                <c:pt idx="7">
                  <c:v>Endonezya</c:v>
                </c:pt>
                <c:pt idx="8">
                  <c:v>Türkiye</c:v>
                </c:pt>
                <c:pt idx="9">
                  <c:v>İngiltere</c:v>
                </c:pt>
                <c:pt idx="10">
                  <c:v>Norveç</c:v>
                </c:pt>
                <c:pt idx="11">
                  <c:v>ABD</c:v>
                </c:pt>
                <c:pt idx="12">
                  <c:v>Japonya</c:v>
                </c:pt>
              </c:strCache>
            </c:strRef>
          </c:cat>
          <c:val>
            <c:numRef>
              <c:f>Sayfa1!$B$2:$B$14</c:f>
              <c:numCache>
                <c:formatCode>#,##0.0_ ;\-#,##0.0\ </c:formatCode>
                <c:ptCount val="13"/>
                <c:pt idx="0">
                  <c:v>42.8</c:v>
                </c:pt>
                <c:pt idx="1">
                  <c:v>36.084000000000003</c:v>
                </c:pt>
                <c:pt idx="2">
                  <c:v>32.710999999999999</c:v>
                </c:pt>
                <c:pt idx="3">
                  <c:v>26.266999999999999</c:v>
                </c:pt>
                <c:pt idx="4">
                  <c:v>20.422999999999998</c:v>
                </c:pt>
                <c:pt idx="5">
                  <c:v>18.771000000000001</c:v>
                </c:pt>
                <c:pt idx="6">
                  <c:v>18.643999999999998</c:v>
                </c:pt>
                <c:pt idx="7">
                  <c:v>18.364999999999998</c:v>
                </c:pt>
                <c:pt idx="8">
                  <c:v>15.394</c:v>
                </c:pt>
                <c:pt idx="9">
                  <c:v>14.304</c:v>
                </c:pt>
                <c:pt idx="10">
                  <c:v>11.791</c:v>
                </c:pt>
                <c:pt idx="11">
                  <c:v>10.762</c:v>
                </c:pt>
                <c:pt idx="12">
                  <c:v>10.178000000000001</c:v>
                </c:pt>
              </c:numCache>
            </c:numRef>
          </c:val>
          <c:extLst>
            <c:ext xmlns:c16="http://schemas.microsoft.com/office/drawing/2014/chart" uri="{C3380CC4-5D6E-409C-BE32-E72D297353CC}">
              <c16:uniqueId val="{00000000-C079-4003-85E9-810800C5BDB7}"/>
            </c:ext>
          </c:extLst>
        </c:ser>
        <c:ser>
          <c:idx val="1"/>
          <c:order val="1"/>
          <c:tx>
            <c:strRef>
              <c:f>Sayfa1!$C$1</c:f>
              <c:strCache>
                <c:ptCount val="1"/>
                <c:pt idx="0">
                  <c:v>İleriye Dönük KDZ 2005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Sayfa1!$A$2:$A$14</c:f>
              <c:strCache>
                <c:ptCount val="13"/>
                <c:pt idx="0">
                  <c:v>Singapur</c:v>
                </c:pt>
                <c:pt idx="1">
                  <c:v>Vietnam</c:v>
                </c:pt>
                <c:pt idx="2">
                  <c:v>G.Kore</c:v>
                </c:pt>
                <c:pt idx="3">
                  <c:v>Çin</c:v>
                </c:pt>
                <c:pt idx="4">
                  <c:v>Fransa</c:v>
                </c:pt>
                <c:pt idx="5">
                  <c:v>Hindistan</c:v>
                </c:pt>
                <c:pt idx="6">
                  <c:v>Almanya</c:v>
                </c:pt>
                <c:pt idx="7">
                  <c:v>Endonezya</c:v>
                </c:pt>
                <c:pt idx="8">
                  <c:v>Türkiye</c:v>
                </c:pt>
                <c:pt idx="9">
                  <c:v>İngiltere</c:v>
                </c:pt>
                <c:pt idx="10">
                  <c:v>Norveç</c:v>
                </c:pt>
                <c:pt idx="11">
                  <c:v>ABD</c:v>
                </c:pt>
                <c:pt idx="12">
                  <c:v>Japonya</c:v>
                </c:pt>
              </c:strCache>
            </c:strRef>
          </c:cat>
          <c:val>
            <c:numRef>
              <c:f>Sayfa1!$C$2:$C$14</c:f>
              <c:numCache>
                <c:formatCode>#,##0.0_ ;\-#,##0.0\ </c:formatCode>
                <c:ptCount val="13"/>
                <c:pt idx="0">
                  <c:v>20.93</c:v>
                </c:pt>
                <c:pt idx="1">
                  <c:v>14.512</c:v>
                </c:pt>
                <c:pt idx="2">
                  <c:v>20.631</c:v>
                </c:pt>
                <c:pt idx="3">
                  <c:v>15.617000000000001</c:v>
                </c:pt>
                <c:pt idx="4">
                  <c:v>18.539000000000001</c:v>
                </c:pt>
                <c:pt idx="5">
                  <c:v>16.640999999999998</c:v>
                </c:pt>
                <c:pt idx="6">
                  <c:v>20.954999999999998</c:v>
                </c:pt>
                <c:pt idx="7">
                  <c:v>24.635000000000002</c:v>
                </c:pt>
                <c:pt idx="8">
                  <c:v>13.539</c:v>
                </c:pt>
                <c:pt idx="9">
                  <c:v>21.978000000000002</c:v>
                </c:pt>
                <c:pt idx="10">
                  <c:v>31.92</c:v>
                </c:pt>
                <c:pt idx="11">
                  <c:v>22.518000000000001</c:v>
                </c:pt>
                <c:pt idx="12">
                  <c:v>26.434000000000001</c:v>
                </c:pt>
              </c:numCache>
            </c:numRef>
          </c:val>
          <c:extLst>
            <c:ext xmlns:c16="http://schemas.microsoft.com/office/drawing/2014/chart" uri="{C3380CC4-5D6E-409C-BE32-E72D297353CC}">
              <c16:uniqueId val="{00000001-C079-4003-85E9-810800C5BDB7}"/>
            </c:ext>
          </c:extLst>
        </c:ser>
        <c:dLbls>
          <c:showLegendKey val="0"/>
          <c:showVal val="1"/>
          <c:showCatName val="0"/>
          <c:showSerName val="0"/>
          <c:showPercent val="0"/>
          <c:showBubbleSize val="0"/>
        </c:dLbls>
        <c:gapWidth val="75"/>
        <c:overlap val="100"/>
        <c:axId val="937075151"/>
        <c:axId val="937076799"/>
      </c:barChart>
      <c:catAx>
        <c:axId val="937075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crossAx val="937076799"/>
        <c:crosses val="autoZero"/>
        <c:auto val="1"/>
        <c:lblAlgn val="ctr"/>
        <c:lblOffset val="100"/>
        <c:noMultiLvlLbl val="0"/>
      </c:catAx>
      <c:valAx>
        <c:axId val="937076799"/>
        <c:scaling>
          <c:orientation val="minMax"/>
        </c:scaling>
        <c:delete val="0"/>
        <c:axPos val="l"/>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crossAx val="9370751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Sayfa1!$F$1</c:f>
              <c:strCache>
                <c:ptCount val="1"/>
                <c:pt idx="0">
                  <c:v>Geriye Dönük KDZ 2015</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Sayfa1!$E$2:$E$14</c:f>
              <c:strCache>
                <c:ptCount val="13"/>
                <c:pt idx="0">
                  <c:v>Vietnam</c:v>
                </c:pt>
                <c:pt idx="1">
                  <c:v>Singapur</c:v>
                </c:pt>
                <c:pt idx="2">
                  <c:v>G.Kore</c:v>
                </c:pt>
                <c:pt idx="3">
                  <c:v>Fransa</c:v>
                </c:pt>
                <c:pt idx="4">
                  <c:v>Almanya</c:v>
                </c:pt>
                <c:pt idx="5">
                  <c:v>Hindistan</c:v>
                </c:pt>
                <c:pt idx="6">
                  <c:v>Çin</c:v>
                </c:pt>
                <c:pt idx="7">
                  <c:v>Türkiye</c:v>
                </c:pt>
                <c:pt idx="8">
                  <c:v>İngiltere</c:v>
                </c:pt>
                <c:pt idx="9">
                  <c:v>Norveç</c:v>
                </c:pt>
                <c:pt idx="10">
                  <c:v>Japonya</c:v>
                </c:pt>
                <c:pt idx="11">
                  <c:v>Endonezya</c:v>
                </c:pt>
                <c:pt idx="12">
                  <c:v>ABD</c:v>
                </c:pt>
              </c:strCache>
            </c:strRef>
          </c:cat>
          <c:val>
            <c:numRef>
              <c:f>Sayfa1!$F$2:$F$14</c:f>
              <c:numCache>
                <c:formatCode>#,##0.0_ ;\-#,##0.0\ </c:formatCode>
                <c:ptCount val="13"/>
                <c:pt idx="0">
                  <c:v>44.521999999999998</c:v>
                </c:pt>
                <c:pt idx="1">
                  <c:v>40.930999999999997</c:v>
                </c:pt>
                <c:pt idx="2">
                  <c:v>32.585000000000001</c:v>
                </c:pt>
                <c:pt idx="3">
                  <c:v>21.36</c:v>
                </c:pt>
                <c:pt idx="4">
                  <c:v>20.99</c:v>
                </c:pt>
                <c:pt idx="5">
                  <c:v>19.085000000000001</c:v>
                </c:pt>
                <c:pt idx="6">
                  <c:v>17.321000000000002</c:v>
                </c:pt>
                <c:pt idx="7">
                  <c:v>16.777999999999999</c:v>
                </c:pt>
                <c:pt idx="8">
                  <c:v>15.077</c:v>
                </c:pt>
                <c:pt idx="9">
                  <c:v>13.887</c:v>
                </c:pt>
                <c:pt idx="10">
                  <c:v>13.231999999999999</c:v>
                </c:pt>
                <c:pt idx="11">
                  <c:v>12.93</c:v>
                </c:pt>
                <c:pt idx="12">
                  <c:v>9.4779999999999998</c:v>
                </c:pt>
              </c:numCache>
            </c:numRef>
          </c:val>
          <c:extLst>
            <c:ext xmlns:c16="http://schemas.microsoft.com/office/drawing/2014/chart" uri="{C3380CC4-5D6E-409C-BE32-E72D297353CC}">
              <c16:uniqueId val="{00000000-34A5-4180-A35D-C0F37714903D}"/>
            </c:ext>
          </c:extLst>
        </c:ser>
        <c:ser>
          <c:idx val="1"/>
          <c:order val="1"/>
          <c:tx>
            <c:strRef>
              <c:f>Sayfa1!$G$1</c:f>
              <c:strCache>
                <c:ptCount val="1"/>
                <c:pt idx="0">
                  <c:v>İleriye Dönük KDZ 2015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Sayfa1!$E$2:$E$14</c:f>
              <c:strCache>
                <c:ptCount val="13"/>
                <c:pt idx="0">
                  <c:v>Vietnam</c:v>
                </c:pt>
                <c:pt idx="1">
                  <c:v>Singapur</c:v>
                </c:pt>
                <c:pt idx="2">
                  <c:v>G.Kore</c:v>
                </c:pt>
                <c:pt idx="3">
                  <c:v>Fransa</c:v>
                </c:pt>
                <c:pt idx="4">
                  <c:v>Almanya</c:v>
                </c:pt>
                <c:pt idx="5">
                  <c:v>Hindistan</c:v>
                </c:pt>
                <c:pt idx="6">
                  <c:v>Çin</c:v>
                </c:pt>
                <c:pt idx="7">
                  <c:v>Türkiye</c:v>
                </c:pt>
                <c:pt idx="8">
                  <c:v>İngiltere</c:v>
                </c:pt>
                <c:pt idx="9">
                  <c:v>Norveç</c:v>
                </c:pt>
                <c:pt idx="10">
                  <c:v>Japonya</c:v>
                </c:pt>
                <c:pt idx="11">
                  <c:v>Endonezya</c:v>
                </c:pt>
                <c:pt idx="12">
                  <c:v>ABD</c:v>
                </c:pt>
              </c:strCache>
            </c:strRef>
          </c:cat>
          <c:val>
            <c:numRef>
              <c:f>Sayfa1!$G$2:$G$14</c:f>
              <c:numCache>
                <c:formatCode>#,##0.0_ ;\-#,##0.0\ </c:formatCode>
                <c:ptCount val="13"/>
                <c:pt idx="0">
                  <c:v>11.105</c:v>
                </c:pt>
                <c:pt idx="1">
                  <c:v>20.940999999999999</c:v>
                </c:pt>
                <c:pt idx="2">
                  <c:v>19.119</c:v>
                </c:pt>
                <c:pt idx="3">
                  <c:v>21.151</c:v>
                </c:pt>
                <c:pt idx="4">
                  <c:v>21.896999999999998</c:v>
                </c:pt>
                <c:pt idx="5">
                  <c:v>14.93</c:v>
                </c:pt>
                <c:pt idx="6">
                  <c:v>17.54</c:v>
                </c:pt>
                <c:pt idx="7">
                  <c:v>16.600999999999999</c:v>
                </c:pt>
                <c:pt idx="8">
                  <c:v>23.690999999999999</c:v>
                </c:pt>
                <c:pt idx="9">
                  <c:v>32.115000000000002</c:v>
                </c:pt>
                <c:pt idx="10">
                  <c:v>24.361000000000001</c:v>
                </c:pt>
                <c:pt idx="11">
                  <c:v>24.138000000000002</c:v>
                </c:pt>
                <c:pt idx="12">
                  <c:v>22.177</c:v>
                </c:pt>
              </c:numCache>
            </c:numRef>
          </c:val>
          <c:extLst>
            <c:ext xmlns:c16="http://schemas.microsoft.com/office/drawing/2014/chart" uri="{C3380CC4-5D6E-409C-BE32-E72D297353CC}">
              <c16:uniqueId val="{00000001-34A5-4180-A35D-C0F37714903D}"/>
            </c:ext>
          </c:extLst>
        </c:ser>
        <c:dLbls>
          <c:showLegendKey val="0"/>
          <c:showVal val="1"/>
          <c:showCatName val="0"/>
          <c:showSerName val="0"/>
          <c:showPercent val="0"/>
          <c:showBubbleSize val="0"/>
        </c:dLbls>
        <c:gapWidth val="75"/>
        <c:overlap val="100"/>
        <c:axId val="1273652575"/>
        <c:axId val="936953999"/>
      </c:barChart>
      <c:catAx>
        <c:axId val="12736525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crossAx val="936953999"/>
        <c:crosses val="autoZero"/>
        <c:auto val="1"/>
        <c:lblAlgn val="ctr"/>
        <c:lblOffset val="100"/>
        <c:noMultiLvlLbl val="0"/>
      </c:catAx>
      <c:valAx>
        <c:axId val="936953999"/>
        <c:scaling>
          <c:orientation val="minMax"/>
        </c:scaling>
        <c:delete val="0"/>
        <c:axPos val="l"/>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crossAx val="12736525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Sayfa2!$A$2:$B$2</c:f>
              <c:strCache>
                <c:ptCount val="2"/>
                <c:pt idx="0">
                  <c:v>OECD Ülkeleri</c:v>
                </c:pt>
              </c:strCache>
            </c:strRef>
          </c:tx>
          <c:spPr>
            <a:ln w="28575" cap="rnd">
              <a:solidFill>
                <a:schemeClr val="accent1"/>
              </a:solidFill>
              <a:round/>
            </a:ln>
            <a:effectLst/>
          </c:spPr>
          <c:marker>
            <c:symbol val="none"/>
          </c:marker>
          <c:cat>
            <c:strRef>
              <c:f>Sayfa2!$C$1:$M$1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Sayfa2!$C$2:$M$2</c:f>
              <c:numCache>
                <c:formatCode>#,##0.0_ ;\-#,##0.0\ </c:formatCode>
                <c:ptCount val="11"/>
                <c:pt idx="0">
                  <c:v>6.383</c:v>
                </c:pt>
                <c:pt idx="1">
                  <c:v>7.3959999999999999</c:v>
                </c:pt>
                <c:pt idx="2">
                  <c:v>7.609</c:v>
                </c:pt>
                <c:pt idx="3">
                  <c:v>9.0939999999999994</c:v>
                </c:pt>
                <c:pt idx="4">
                  <c:v>7.1950000000000003</c:v>
                </c:pt>
                <c:pt idx="5">
                  <c:v>8.5020000000000007</c:v>
                </c:pt>
                <c:pt idx="6">
                  <c:v>9.9580000000000002</c:v>
                </c:pt>
                <c:pt idx="7">
                  <c:v>9.9629999999999992</c:v>
                </c:pt>
                <c:pt idx="8">
                  <c:v>9.5440000000000005</c:v>
                </c:pt>
                <c:pt idx="9">
                  <c:v>9.125</c:v>
                </c:pt>
                <c:pt idx="10">
                  <c:v>7.8940000000000001</c:v>
                </c:pt>
              </c:numCache>
            </c:numRef>
          </c:val>
          <c:smooth val="0"/>
          <c:extLst>
            <c:ext xmlns:c16="http://schemas.microsoft.com/office/drawing/2014/chart" uri="{C3380CC4-5D6E-409C-BE32-E72D297353CC}">
              <c16:uniqueId val="{00000000-7E98-42E1-9536-CB71D26F7AB4}"/>
            </c:ext>
          </c:extLst>
        </c:ser>
        <c:ser>
          <c:idx val="1"/>
          <c:order val="1"/>
          <c:tx>
            <c:strRef>
              <c:f>Sayfa2!$A$3:$B$3</c:f>
              <c:strCache>
                <c:ptCount val="2"/>
                <c:pt idx="0">
                  <c:v>Avrupa Birliği 28 Ülkesi</c:v>
                </c:pt>
              </c:strCache>
            </c:strRef>
          </c:tx>
          <c:spPr>
            <a:ln w="28575" cap="rnd">
              <a:solidFill>
                <a:schemeClr val="accent2"/>
              </a:solidFill>
              <a:round/>
            </a:ln>
            <a:effectLst/>
          </c:spPr>
          <c:marker>
            <c:symbol val="none"/>
          </c:marker>
          <c:cat>
            <c:strRef>
              <c:f>Sayfa2!$C$1:$M$1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Sayfa2!$C$3:$M$3</c:f>
              <c:numCache>
                <c:formatCode>#,##0.0_ ;\-#,##0.0\ </c:formatCode>
                <c:ptCount val="11"/>
                <c:pt idx="0">
                  <c:v>10.411</c:v>
                </c:pt>
                <c:pt idx="1">
                  <c:v>11.617000000000001</c:v>
                </c:pt>
                <c:pt idx="2">
                  <c:v>11.76</c:v>
                </c:pt>
                <c:pt idx="3">
                  <c:v>12.733000000000001</c:v>
                </c:pt>
                <c:pt idx="4">
                  <c:v>10.82</c:v>
                </c:pt>
                <c:pt idx="5">
                  <c:v>12.766</c:v>
                </c:pt>
                <c:pt idx="6">
                  <c:v>14.010999999999999</c:v>
                </c:pt>
                <c:pt idx="7">
                  <c:v>14.302</c:v>
                </c:pt>
                <c:pt idx="8">
                  <c:v>13.519</c:v>
                </c:pt>
                <c:pt idx="9">
                  <c:v>12.913</c:v>
                </c:pt>
                <c:pt idx="10">
                  <c:v>12.154999999999999</c:v>
                </c:pt>
              </c:numCache>
            </c:numRef>
          </c:val>
          <c:smooth val="0"/>
          <c:extLst>
            <c:ext xmlns:c16="http://schemas.microsoft.com/office/drawing/2014/chart" uri="{C3380CC4-5D6E-409C-BE32-E72D297353CC}">
              <c16:uniqueId val="{00000001-7E98-42E1-9536-CB71D26F7AB4}"/>
            </c:ext>
          </c:extLst>
        </c:ser>
        <c:ser>
          <c:idx val="2"/>
          <c:order val="2"/>
          <c:tx>
            <c:strRef>
              <c:f>Sayfa2!$A$4:$B$4</c:f>
              <c:strCache>
                <c:ptCount val="2"/>
                <c:pt idx="0">
                  <c:v>Türkiye</c:v>
                </c:pt>
              </c:strCache>
            </c:strRef>
          </c:tx>
          <c:spPr>
            <a:ln w="28575" cap="rnd">
              <a:solidFill>
                <a:schemeClr val="accent3"/>
              </a:solidFill>
              <a:round/>
            </a:ln>
            <a:effectLst/>
          </c:spPr>
          <c:marker>
            <c:symbol val="none"/>
          </c:marker>
          <c:cat>
            <c:strRef>
              <c:f>Sayfa2!$C$1:$M$1</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Sayfa2!$C$4:$M$4</c:f>
              <c:numCache>
                <c:formatCode>#,##0.0_ ;\-#,##0.0\ </c:formatCode>
                <c:ptCount val="11"/>
                <c:pt idx="0">
                  <c:v>15.394</c:v>
                </c:pt>
                <c:pt idx="1">
                  <c:v>17.509</c:v>
                </c:pt>
                <c:pt idx="2">
                  <c:v>18.117999999999999</c:v>
                </c:pt>
                <c:pt idx="3">
                  <c:v>19.606999999999999</c:v>
                </c:pt>
                <c:pt idx="4">
                  <c:v>15.657</c:v>
                </c:pt>
                <c:pt idx="5">
                  <c:v>17.184999999999999</c:v>
                </c:pt>
                <c:pt idx="6">
                  <c:v>19.398</c:v>
                </c:pt>
                <c:pt idx="7">
                  <c:v>20.452999999999999</c:v>
                </c:pt>
                <c:pt idx="8">
                  <c:v>19.088999999999999</c:v>
                </c:pt>
                <c:pt idx="9">
                  <c:v>18.167999999999999</c:v>
                </c:pt>
                <c:pt idx="10">
                  <c:v>16.777999999999999</c:v>
                </c:pt>
              </c:numCache>
            </c:numRef>
          </c:val>
          <c:smooth val="0"/>
          <c:extLst>
            <c:ext xmlns:c16="http://schemas.microsoft.com/office/drawing/2014/chart" uri="{C3380CC4-5D6E-409C-BE32-E72D297353CC}">
              <c16:uniqueId val="{00000002-7E98-42E1-9536-CB71D26F7AB4}"/>
            </c:ext>
          </c:extLst>
        </c:ser>
        <c:dLbls>
          <c:showLegendKey val="0"/>
          <c:showVal val="0"/>
          <c:showCatName val="0"/>
          <c:showSerName val="0"/>
          <c:showPercent val="0"/>
          <c:showBubbleSize val="0"/>
        </c:dLbls>
        <c:smooth val="0"/>
        <c:axId val="559641920"/>
        <c:axId val="559212176"/>
      </c:lineChart>
      <c:catAx>
        <c:axId val="559641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59212176"/>
        <c:crosses val="autoZero"/>
        <c:auto val="1"/>
        <c:lblAlgn val="ctr"/>
        <c:lblOffset val="100"/>
        <c:noMultiLvlLbl val="0"/>
      </c:catAx>
      <c:valAx>
        <c:axId val="559212176"/>
        <c:scaling>
          <c:orientation val="minMax"/>
        </c:scaling>
        <c:delete val="0"/>
        <c:axPos val="l"/>
        <c:majorGridlines>
          <c:spPr>
            <a:ln w="9525" cap="flat" cmpd="sng" algn="ctr">
              <a:solidFill>
                <a:schemeClr val="tx1">
                  <a:lumMod val="15000"/>
                  <a:lumOff val="85000"/>
                </a:schemeClr>
              </a:solidFill>
              <a:round/>
            </a:ln>
            <a:effectLst/>
          </c:spPr>
        </c:majorGridlines>
        <c:numFmt formatCode="#,##0.0_ ;\-#,##0.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59641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Sayfa2!$B$1</c:f>
              <c:strCache>
                <c:ptCount val="1"/>
                <c:pt idx="0">
                  <c:v>Brüt İhracatta Yabancı Katma Değerin Payı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Sayfa2!$A$2:$A$10</c:f>
              <c:strCache>
                <c:ptCount val="9"/>
                <c:pt idx="0">
                  <c:v>Bilg. Elekt.</c:v>
                </c:pt>
                <c:pt idx="1">
                  <c:v>Ulaşım</c:v>
                </c:pt>
                <c:pt idx="2">
                  <c:v>Makine</c:v>
                </c:pt>
                <c:pt idx="3">
                  <c:v>Kimyasal</c:v>
                </c:pt>
                <c:pt idx="4">
                  <c:v>Ağaç ve Kağıt</c:v>
                </c:pt>
                <c:pt idx="5">
                  <c:v>Tekstil</c:v>
                </c:pt>
                <c:pt idx="6">
                  <c:v>Elektrik,Gaz</c:v>
                </c:pt>
                <c:pt idx="7">
                  <c:v>Madenler</c:v>
                </c:pt>
                <c:pt idx="8">
                  <c:v>Tarım</c:v>
                </c:pt>
              </c:strCache>
            </c:strRef>
          </c:cat>
          <c:val>
            <c:numRef>
              <c:f>Sayfa2!$B$2:$B$10</c:f>
              <c:numCache>
                <c:formatCode>#,##0.0_ ;\-#,##0.0\ </c:formatCode>
                <c:ptCount val="9"/>
                <c:pt idx="0">
                  <c:v>31.8</c:v>
                </c:pt>
                <c:pt idx="1">
                  <c:v>25.93</c:v>
                </c:pt>
                <c:pt idx="2">
                  <c:v>24.13</c:v>
                </c:pt>
                <c:pt idx="3" formatCode="General">
                  <c:v>24.1</c:v>
                </c:pt>
                <c:pt idx="4">
                  <c:v>18.87</c:v>
                </c:pt>
                <c:pt idx="5">
                  <c:v>15.7</c:v>
                </c:pt>
                <c:pt idx="6" formatCode="General">
                  <c:v>14.6</c:v>
                </c:pt>
                <c:pt idx="7">
                  <c:v>10.52</c:v>
                </c:pt>
                <c:pt idx="8">
                  <c:v>9.07</c:v>
                </c:pt>
              </c:numCache>
            </c:numRef>
          </c:val>
          <c:extLst>
            <c:ext xmlns:c16="http://schemas.microsoft.com/office/drawing/2014/chart" uri="{C3380CC4-5D6E-409C-BE32-E72D297353CC}">
              <c16:uniqueId val="{00000000-B31D-46CD-B2F4-E939523E5F13}"/>
            </c:ext>
          </c:extLst>
        </c:ser>
        <c:ser>
          <c:idx val="1"/>
          <c:order val="1"/>
          <c:tx>
            <c:strRef>
              <c:f>Sayfa2!$C$1</c:f>
              <c:strCache>
                <c:ptCount val="1"/>
                <c:pt idx="0">
                  <c:v>Diğer Ülkelerin Brüt İhracatında Yerli Katma Değerin Payı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l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Sayfa2!$A$2:$A$10</c:f>
              <c:strCache>
                <c:ptCount val="9"/>
                <c:pt idx="0">
                  <c:v>Bilg. Elekt.</c:v>
                </c:pt>
                <c:pt idx="1">
                  <c:v>Ulaşım</c:v>
                </c:pt>
                <c:pt idx="2">
                  <c:v>Makine</c:v>
                </c:pt>
                <c:pt idx="3">
                  <c:v>Kimyasal</c:v>
                </c:pt>
                <c:pt idx="4">
                  <c:v>Ağaç ve Kağıt</c:v>
                </c:pt>
                <c:pt idx="5">
                  <c:v>Tekstil</c:v>
                </c:pt>
                <c:pt idx="6">
                  <c:v>Elektrik,Gaz</c:v>
                </c:pt>
                <c:pt idx="7">
                  <c:v>Madenler</c:v>
                </c:pt>
                <c:pt idx="8">
                  <c:v>Tarım</c:v>
                </c:pt>
              </c:strCache>
            </c:strRef>
          </c:cat>
          <c:val>
            <c:numRef>
              <c:f>Sayfa2!$C$2:$C$10</c:f>
              <c:numCache>
                <c:formatCode>#,##0.0_ ;\-#,##0.0\ </c:formatCode>
                <c:ptCount val="9"/>
                <c:pt idx="0">
                  <c:v>1.88</c:v>
                </c:pt>
                <c:pt idx="1">
                  <c:v>3.32</c:v>
                </c:pt>
                <c:pt idx="2">
                  <c:v>1.44</c:v>
                </c:pt>
                <c:pt idx="3">
                  <c:v>2.0299999999999998</c:v>
                </c:pt>
                <c:pt idx="4">
                  <c:v>0.26</c:v>
                </c:pt>
                <c:pt idx="5">
                  <c:v>1.05</c:v>
                </c:pt>
                <c:pt idx="6">
                  <c:v>0.03</c:v>
                </c:pt>
                <c:pt idx="7">
                  <c:v>0.56999999999999995</c:v>
                </c:pt>
                <c:pt idx="8">
                  <c:v>0.27</c:v>
                </c:pt>
              </c:numCache>
            </c:numRef>
          </c:val>
          <c:extLst>
            <c:ext xmlns:c16="http://schemas.microsoft.com/office/drawing/2014/chart" uri="{C3380CC4-5D6E-409C-BE32-E72D297353CC}">
              <c16:uniqueId val="{00000001-B31D-46CD-B2F4-E939523E5F13}"/>
            </c:ext>
          </c:extLst>
        </c:ser>
        <c:dLbls>
          <c:dLblPos val="ctr"/>
          <c:showLegendKey val="0"/>
          <c:showVal val="1"/>
          <c:showCatName val="0"/>
          <c:showSerName val="0"/>
          <c:showPercent val="0"/>
          <c:showBubbleSize val="0"/>
        </c:dLbls>
        <c:gapWidth val="79"/>
        <c:overlap val="100"/>
        <c:axId val="1435854527"/>
        <c:axId val="1488649407"/>
      </c:barChart>
      <c:catAx>
        <c:axId val="14358545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cap="all" spc="120" normalizeH="0" baseline="0">
                <a:solidFill>
                  <a:schemeClr val="tx1">
                    <a:lumMod val="65000"/>
                    <a:lumOff val="35000"/>
                  </a:schemeClr>
                </a:solidFill>
                <a:latin typeface="+mn-lt"/>
                <a:ea typeface="+mn-ea"/>
                <a:cs typeface="+mn-cs"/>
              </a:defRPr>
            </a:pPr>
            <a:endParaRPr lang="tr-TR"/>
          </a:p>
        </c:txPr>
        <c:crossAx val="1488649407"/>
        <c:crosses val="autoZero"/>
        <c:auto val="1"/>
        <c:lblAlgn val="ctr"/>
        <c:lblOffset val="100"/>
        <c:noMultiLvlLbl val="0"/>
      </c:catAx>
      <c:valAx>
        <c:axId val="1488649407"/>
        <c:scaling>
          <c:orientation val="minMax"/>
        </c:scaling>
        <c:delete val="1"/>
        <c:axPos val="l"/>
        <c:numFmt formatCode="#,##0.0_ ;\-#,##0.0\ " sourceLinked="1"/>
        <c:majorTickMark val="none"/>
        <c:minorTickMark val="none"/>
        <c:tickLblPos val="nextTo"/>
        <c:crossAx val="143585452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F3170A-1204-7E4D-98B8-A151F120F4C5}" type="doc">
      <dgm:prSet loTypeId="urn:microsoft.com/office/officeart/2005/8/layout/hProcess6" loCatId="" qsTypeId="urn:microsoft.com/office/officeart/2005/8/quickstyle/simple1" qsCatId="simple" csTypeId="urn:microsoft.com/office/officeart/2005/8/colors/accent1_2" csCatId="accent1" phldr="1"/>
      <dgm:spPr/>
      <dgm:t>
        <a:bodyPr/>
        <a:lstStyle/>
        <a:p>
          <a:endParaRPr lang="tr-TR"/>
        </a:p>
      </dgm:t>
    </dgm:pt>
    <dgm:pt modelId="{15DE0706-119D-F14D-913A-048C13121119}">
      <dgm:prSet phldrT="[Metin]"/>
      <dgm:spPr/>
      <dgm:t>
        <a:bodyPr/>
        <a:lstStyle/>
        <a:p>
          <a:r>
            <a:rPr lang="tr-TR"/>
            <a:t>İhracat</a:t>
          </a:r>
        </a:p>
      </dgm:t>
    </dgm:pt>
    <dgm:pt modelId="{EA87DA2F-D8D8-F64D-A845-37D12E204CD9}" type="parTrans" cxnId="{8D375AB2-9B93-FC45-88EA-852D01357CA5}">
      <dgm:prSet/>
      <dgm:spPr/>
      <dgm:t>
        <a:bodyPr/>
        <a:lstStyle/>
        <a:p>
          <a:endParaRPr lang="tr-TR"/>
        </a:p>
      </dgm:t>
    </dgm:pt>
    <dgm:pt modelId="{73688F9B-AD4C-F94C-BE10-BB87B5313065}" type="sibTrans" cxnId="{8D375AB2-9B93-FC45-88EA-852D01357CA5}">
      <dgm:prSet/>
      <dgm:spPr/>
      <dgm:t>
        <a:bodyPr/>
        <a:lstStyle/>
        <a:p>
          <a:endParaRPr lang="tr-TR"/>
        </a:p>
      </dgm:t>
    </dgm:pt>
    <dgm:pt modelId="{94912B8B-9B6F-7645-8AC4-3E2DD395755B}">
      <dgm:prSet phldrT="[Metin]"/>
      <dgm:spPr/>
      <dgm:t>
        <a:bodyPr/>
        <a:lstStyle/>
        <a:p>
          <a:r>
            <a:rPr lang="tr-TR"/>
            <a:t>Hammaddeler</a:t>
          </a:r>
        </a:p>
      </dgm:t>
    </dgm:pt>
    <dgm:pt modelId="{E848BECB-B2DD-3249-AF27-77830A4B0C52}" type="parTrans" cxnId="{72706125-308D-3B48-8CC0-52E61645320B}">
      <dgm:prSet/>
      <dgm:spPr/>
      <dgm:t>
        <a:bodyPr/>
        <a:lstStyle/>
        <a:p>
          <a:endParaRPr lang="tr-TR"/>
        </a:p>
      </dgm:t>
    </dgm:pt>
    <dgm:pt modelId="{CAC8A0D5-D4A5-A048-A5CC-DD7A1246459B}" type="sibTrans" cxnId="{72706125-308D-3B48-8CC0-52E61645320B}">
      <dgm:prSet/>
      <dgm:spPr/>
      <dgm:t>
        <a:bodyPr/>
        <a:lstStyle/>
        <a:p>
          <a:endParaRPr lang="tr-TR"/>
        </a:p>
      </dgm:t>
    </dgm:pt>
    <dgm:pt modelId="{2BF0B0C5-CFBF-8C4D-ACC6-284952FD46AA}">
      <dgm:prSet phldrT="[Metin]"/>
      <dgm:spPr/>
      <dgm:t>
        <a:bodyPr/>
        <a:lstStyle/>
        <a:p>
          <a:r>
            <a:rPr lang="tr-TR"/>
            <a:t>Hizmet girdileri</a:t>
          </a:r>
        </a:p>
      </dgm:t>
    </dgm:pt>
    <dgm:pt modelId="{D5D1157F-2B45-4649-A5B5-EA22B4D04831}" type="parTrans" cxnId="{3FA9C220-42B2-324D-BC47-EF5373C39DED}">
      <dgm:prSet/>
      <dgm:spPr/>
      <dgm:t>
        <a:bodyPr/>
        <a:lstStyle/>
        <a:p>
          <a:endParaRPr lang="tr-TR"/>
        </a:p>
      </dgm:t>
    </dgm:pt>
    <dgm:pt modelId="{BC9E855B-D218-6946-BB7A-24F39FEB13AD}" type="sibTrans" cxnId="{3FA9C220-42B2-324D-BC47-EF5373C39DED}">
      <dgm:prSet/>
      <dgm:spPr/>
      <dgm:t>
        <a:bodyPr/>
        <a:lstStyle/>
        <a:p>
          <a:endParaRPr lang="tr-TR"/>
        </a:p>
      </dgm:t>
    </dgm:pt>
    <dgm:pt modelId="{A9B5A794-9BBE-9C4E-B930-CFD74AFD37F8}">
      <dgm:prSet phldrT="[Metin]"/>
      <dgm:spPr/>
      <dgm:t>
        <a:bodyPr/>
        <a:lstStyle/>
        <a:p>
          <a:r>
            <a:rPr lang="tr-TR"/>
            <a:t>ihracat</a:t>
          </a:r>
        </a:p>
      </dgm:t>
    </dgm:pt>
    <dgm:pt modelId="{DE331C4C-ED77-4E46-9C4D-3885D2515C38}" type="parTrans" cxnId="{093B7A13-9E03-DB4A-9915-788B4E2DC479}">
      <dgm:prSet/>
      <dgm:spPr/>
      <dgm:t>
        <a:bodyPr/>
        <a:lstStyle/>
        <a:p>
          <a:endParaRPr lang="tr-TR"/>
        </a:p>
      </dgm:t>
    </dgm:pt>
    <dgm:pt modelId="{EC28F2AA-1C96-4B40-AAD1-840D35A9177C}" type="sibTrans" cxnId="{093B7A13-9E03-DB4A-9915-788B4E2DC479}">
      <dgm:prSet/>
      <dgm:spPr/>
      <dgm:t>
        <a:bodyPr/>
        <a:lstStyle/>
        <a:p>
          <a:endParaRPr lang="tr-TR"/>
        </a:p>
      </dgm:t>
    </dgm:pt>
    <dgm:pt modelId="{5A1EA80B-F424-084E-AF7A-7A47B55C74A5}">
      <dgm:prSet phldrT="[Metin]"/>
      <dgm:spPr/>
      <dgm:t>
        <a:bodyPr/>
        <a:lstStyle/>
        <a:p>
          <a:r>
            <a:rPr lang="tr-TR"/>
            <a:t>Parçalar ve bileşenler</a:t>
          </a:r>
        </a:p>
      </dgm:t>
    </dgm:pt>
    <dgm:pt modelId="{DF7F960D-B263-AA4B-96B7-E7EF9E8BA93D}" type="parTrans" cxnId="{03780943-53FA-FD42-BEFB-D2E61542600C}">
      <dgm:prSet/>
      <dgm:spPr/>
      <dgm:t>
        <a:bodyPr/>
        <a:lstStyle/>
        <a:p>
          <a:endParaRPr lang="tr-TR"/>
        </a:p>
      </dgm:t>
    </dgm:pt>
    <dgm:pt modelId="{2B6210F4-D632-2640-B91C-C634B26FC859}" type="sibTrans" cxnId="{03780943-53FA-FD42-BEFB-D2E61542600C}">
      <dgm:prSet/>
      <dgm:spPr/>
      <dgm:t>
        <a:bodyPr/>
        <a:lstStyle/>
        <a:p>
          <a:endParaRPr lang="tr-TR"/>
        </a:p>
      </dgm:t>
    </dgm:pt>
    <dgm:pt modelId="{094CFC10-9078-E44B-9D76-67B6A567BB64}">
      <dgm:prSet phldrT="[Metin]"/>
      <dgm:spPr/>
      <dgm:t>
        <a:bodyPr/>
        <a:lstStyle/>
        <a:p>
          <a:r>
            <a:rPr lang="tr-TR"/>
            <a:t>Yarı mamul ürünler</a:t>
          </a:r>
        </a:p>
      </dgm:t>
    </dgm:pt>
    <dgm:pt modelId="{01EC0E69-198B-4446-8A08-691CF5C73601}" type="parTrans" cxnId="{35A94C8A-DEA4-2448-BB55-7F07DB460440}">
      <dgm:prSet/>
      <dgm:spPr/>
      <dgm:t>
        <a:bodyPr/>
        <a:lstStyle/>
        <a:p>
          <a:endParaRPr lang="tr-TR"/>
        </a:p>
      </dgm:t>
    </dgm:pt>
    <dgm:pt modelId="{08349282-EE8F-8B47-8D2A-42D030658B76}" type="sibTrans" cxnId="{35A94C8A-DEA4-2448-BB55-7F07DB460440}">
      <dgm:prSet/>
      <dgm:spPr/>
      <dgm:t>
        <a:bodyPr/>
        <a:lstStyle/>
        <a:p>
          <a:endParaRPr lang="tr-TR"/>
        </a:p>
      </dgm:t>
    </dgm:pt>
    <dgm:pt modelId="{98203828-B7BF-624C-82D0-53C09BEE083E}">
      <dgm:prSet phldrT="[Metin]"/>
      <dgm:spPr/>
      <dgm:t>
        <a:bodyPr/>
        <a:lstStyle/>
        <a:p>
          <a:r>
            <a:rPr lang="tr-TR"/>
            <a:t>Tüketim için İhracat</a:t>
          </a:r>
        </a:p>
      </dgm:t>
    </dgm:pt>
    <dgm:pt modelId="{A837C369-1F14-3747-94C7-D402D2DAAEF0}" type="parTrans" cxnId="{801E17D3-D479-214A-87A4-767A3A6C6752}">
      <dgm:prSet/>
      <dgm:spPr/>
      <dgm:t>
        <a:bodyPr/>
        <a:lstStyle/>
        <a:p>
          <a:endParaRPr lang="tr-TR"/>
        </a:p>
      </dgm:t>
    </dgm:pt>
    <dgm:pt modelId="{5FBE3320-6558-9F41-B8F5-686E426A8BA9}" type="sibTrans" cxnId="{801E17D3-D479-214A-87A4-767A3A6C6752}">
      <dgm:prSet/>
      <dgm:spPr/>
      <dgm:t>
        <a:bodyPr/>
        <a:lstStyle/>
        <a:p>
          <a:endParaRPr lang="tr-TR"/>
        </a:p>
      </dgm:t>
    </dgm:pt>
    <dgm:pt modelId="{FB4D030C-6E9E-E444-8102-F071B73D966E}">
      <dgm:prSet phldrT="[Metin]"/>
      <dgm:spPr/>
      <dgm:t>
        <a:bodyPr/>
        <a:lstStyle/>
        <a:p>
          <a:r>
            <a:rPr lang="tr-TR"/>
            <a:t>Nihai ürünler</a:t>
          </a:r>
        </a:p>
      </dgm:t>
    </dgm:pt>
    <dgm:pt modelId="{E1E8EEBB-1EF3-054C-AB20-4AD9788B4D25}" type="parTrans" cxnId="{A250F220-9F27-A442-964C-D81707B9CCEF}">
      <dgm:prSet/>
      <dgm:spPr/>
      <dgm:t>
        <a:bodyPr/>
        <a:lstStyle/>
        <a:p>
          <a:endParaRPr lang="tr-TR"/>
        </a:p>
      </dgm:t>
    </dgm:pt>
    <dgm:pt modelId="{3852BC30-6767-1240-94F7-9E2EA58BE1DE}" type="sibTrans" cxnId="{A250F220-9F27-A442-964C-D81707B9CCEF}">
      <dgm:prSet/>
      <dgm:spPr/>
      <dgm:t>
        <a:bodyPr/>
        <a:lstStyle/>
        <a:p>
          <a:endParaRPr lang="tr-TR"/>
        </a:p>
      </dgm:t>
    </dgm:pt>
    <dgm:pt modelId="{372D4CE8-4D4F-C648-ADE7-048650724AC1}" type="pres">
      <dgm:prSet presAssocID="{F7F3170A-1204-7E4D-98B8-A151F120F4C5}" presName="theList" presStyleCnt="0">
        <dgm:presLayoutVars>
          <dgm:dir/>
          <dgm:animLvl val="lvl"/>
          <dgm:resizeHandles val="exact"/>
        </dgm:presLayoutVars>
      </dgm:prSet>
      <dgm:spPr/>
    </dgm:pt>
    <dgm:pt modelId="{3DF4BDC6-DE0D-4D4D-B688-1C79F9825066}" type="pres">
      <dgm:prSet presAssocID="{15DE0706-119D-F14D-913A-048C13121119}" presName="compNode" presStyleCnt="0"/>
      <dgm:spPr/>
    </dgm:pt>
    <dgm:pt modelId="{AC95221D-ACAA-6244-835B-31C73C5CD415}" type="pres">
      <dgm:prSet presAssocID="{15DE0706-119D-F14D-913A-048C13121119}" presName="noGeometry" presStyleCnt="0"/>
      <dgm:spPr/>
    </dgm:pt>
    <dgm:pt modelId="{F9292F8F-56D3-9244-8FFE-EA9DF1888ECB}" type="pres">
      <dgm:prSet presAssocID="{15DE0706-119D-F14D-913A-048C13121119}" presName="childTextVisible" presStyleLbl="bgAccFollowNode1" presStyleIdx="0" presStyleCnt="3">
        <dgm:presLayoutVars>
          <dgm:bulletEnabled val="1"/>
        </dgm:presLayoutVars>
      </dgm:prSet>
      <dgm:spPr/>
    </dgm:pt>
    <dgm:pt modelId="{81B6CC1F-4822-1C47-929C-F6777ED3942C}" type="pres">
      <dgm:prSet presAssocID="{15DE0706-119D-F14D-913A-048C13121119}" presName="childTextHidden" presStyleLbl="bgAccFollowNode1" presStyleIdx="0" presStyleCnt="3"/>
      <dgm:spPr/>
    </dgm:pt>
    <dgm:pt modelId="{C37AD61A-A250-9C4D-8388-8BFA9E805CEB}" type="pres">
      <dgm:prSet presAssocID="{15DE0706-119D-F14D-913A-048C13121119}" presName="parentText" presStyleLbl="node1" presStyleIdx="0" presStyleCnt="3">
        <dgm:presLayoutVars>
          <dgm:chMax val="1"/>
          <dgm:bulletEnabled val="1"/>
        </dgm:presLayoutVars>
      </dgm:prSet>
      <dgm:spPr/>
    </dgm:pt>
    <dgm:pt modelId="{BCEB27E7-AF73-C242-97C9-13A8797F7433}" type="pres">
      <dgm:prSet presAssocID="{15DE0706-119D-F14D-913A-048C13121119}" presName="aSpace" presStyleCnt="0"/>
      <dgm:spPr/>
    </dgm:pt>
    <dgm:pt modelId="{6047866A-CB73-8F44-BF6B-1D84287ECF7F}" type="pres">
      <dgm:prSet presAssocID="{A9B5A794-9BBE-9C4E-B930-CFD74AFD37F8}" presName="compNode" presStyleCnt="0"/>
      <dgm:spPr/>
    </dgm:pt>
    <dgm:pt modelId="{0C683809-B550-F041-A347-B1FDE9036FF6}" type="pres">
      <dgm:prSet presAssocID="{A9B5A794-9BBE-9C4E-B930-CFD74AFD37F8}" presName="noGeometry" presStyleCnt="0"/>
      <dgm:spPr/>
    </dgm:pt>
    <dgm:pt modelId="{1DAFC2C2-773B-8841-9BDE-23E2C5A3090B}" type="pres">
      <dgm:prSet presAssocID="{A9B5A794-9BBE-9C4E-B930-CFD74AFD37F8}" presName="childTextVisible" presStyleLbl="bgAccFollowNode1" presStyleIdx="1" presStyleCnt="3">
        <dgm:presLayoutVars>
          <dgm:bulletEnabled val="1"/>
        </dgm:presLayoutVars>
      </dgm:prSet>
      <dgm:spPr/>
    </dgm:pt>
    <dgm:pt modelId="{3F094F91-907B-5E4A-8522-82E19561D74D}" type="pres">
      <dgm:prSet presAssocID="{A9B5A794-9BBE-9C4E-B930-CFD74AFD37F8}" presName="childTextHidden" presStyleLbl="bgAccFollowNode1" presStyleIdx="1" presStyleCnt="3"/>
      <dgm:spPr/>
    </dgm:pt>
    <dgm:pt modelId="{AB36AAFF-53CE-E64C-BFF3-AB1857B6535A}" type="pres">
      <dgm:prSet presAssocID="{A9B5A794-9BBE-9C4E-B930-CFD74AFD37F8}" presName="parentText" presStyleLbl="node1" presStyleIdx="1" presStyleCnt="3">
        <dgm:presLayoutVars>
          <dgm:chMax val="1"/>
          <dgm:bulletEnabled val="1"/>
        </dgm:presLayoutVars>
      </dgm:prSet>
      <dgm:spPr/>
    </dgm:pt>
    <dgm:pt modelId="{44311DE5-BBBB-3346-8A67-B264F373A865}" type="pres">
      <dgm:prSet presAssocID="{A9B5A794-9BBE-9C4E-B930-CFD74AFD37F8}" presName="aSpace" presStyleCnt="0"/>
      <dgm:spPr/>
    </dgm:pt>
    <dgm:pt modelId="{135C78DD-F429-0540-9BFD-782FB8AE43EC}" type="pres">
      <dgm:prSet presAssocID="{98203828-B7BF-624C-82D0-53C09BEE083E}" presName="compNode" presStyleCnt="0"/>
      <dgm:spPr/>
    </dgm:pt>
    <dgm:pt modelId="{DD0A0BAA-8E38-2348-AB49-543EEB840254}" type="pres">
      <dgm:prSet presAssocID="{98203828-B7BF-624C-82D0-53C09BEE083E}" presName="noGeometry" presStyleCnt="0"/>
      <dgm:spPr/>
    </dgm:pt>
    <dgm:pt modelId="{1199797B-A577-8E48-B3F6-EBB4E7DBF20C}" type="pres">
      <dgm:prSet presAssocID="{98203828-B7BF-624C-82D0-53C09BEE083E}" presName="childTextVisible" presStyleLbl="bgAccFollowNode1" presStyleIdx="2" presStyleCnt="3">
        <dgm:presLayoutVars>
          <dgm:bulletEnabled val="1"/>
        </dgm:presLayoutVars>
      </dgm:prSet>
      <dgm:spPr/>
    </dgm:pt>
    <dgm:pt modelId="{78499C50-EAB0-FB4F-A6D9-794EBAB6A561}" type="pres">
      <dgm:prSet presAssocID="{98203828-B7BF-624C-82D0-53C09BEE083E}" presName="childTextHidden" presStyleLbl="bgAccFollowNode1" presStyleIdx="2" presStyleCnt="3"/>
      <dgm:spPr/>
    </dgm:pt>
    <dgm:pt modelId="{5D014748-8F8C-9E40-AA57-6973C2715840}" type="pres">
      <dgm:prSet presAssocID="{98203828-B7BF-624C-82D0-53C09BEE083E}" presName="parentText" presStyleLbl="node1" presStyleIdx="2" presStyleCnt="3">
        <dgm:presLayoutVars>
          <dgm:chMax val="1"/>
          <dgm:bulletEnabled val="1"/>
        </dgm:presLayoutVars>
      </dgm:prSet>
      <dgm:spPr/>
    </dgm:pt>
  </dgm:ptLst>
  <dgm:cxnLst>
    <dgm:cxn modelId="{FC31B105-4FAE-2F42-B1E5-70E3355528E6}" type="presOf" srcId="{FB4D030C-6E9E-E444-8102-F071B73D966E}" destId="{1199797B-A577-8E48-B3F6-EBB4E7DBF20C}" srcOrd="0" destOrd="0" presId="urn:microsoft.com/office/officeart/2005/8/layout/hProcess6"/>
    <dgm:cxn modelId="{437D3B10-6C65-D74A-961A-759AB9F9663C}" type="presOf" srcId="{5A1EA80B-F424-084E-AF7A-7A47B55C74A5}" destId="{3F094F91-907B-5E4A-8522-82E19561D74D}" srcOrd="1" destOrd="0" presId="urn:microsoft.com/office/officeart/2005/8/layout/hProcess6"/>
    <dgm:cxn modelId="{093B7A13-9E03-DB4A-9915-788B4E2DC479}" srcId="{F7F3170A-1204-7E4D-98B8-A151F120F4C5}" destId="{A9B5A794-9BBE-9C4E-B930-CFD74AFD37F8}" srcOrd="1" destOrd="0" parTransId="{DE331C4C-ED77-4E46-9C4D-3885D2515C38}" sibTransId="{EC28F2AA-1C96-4B40-AAD1-840D35A9177C}"/>
    <dgm:cxn modelId="{AE5F9C1B-EF7F-394D-BB36-65107E994700}" type="presOf" srcId="{2BF0B0C5-CFBF-8C4D-ACC6-284952FD46AA}" destId="{F9292F8F-56D3-9244-8FFE-EA9DF1888ECB}" srcOrd="0" destOrd="1" presId="urn:microsoft.com/office/officeart/2005/8/layout/hProcess6"/>
    <dgm:cxn modelId="{0317E81F-2616-6C42-927E-427ACFFAD240}" type="presOf" srcId="{F7F3170A-1204-7E4D-98B8-A151F120F4C5}" destId="{372D4CE8-4D4F-C648-ADE7-048650724AC1}" srcOrd="0" destOrd="0" presId="urn:microsoft.com/office/officeart/2005/8/layout/hProcess6"/>
    <dgm:cxn modelId="{3FA9C220-42B2-324D-BC47-EF5373C39DED}" srcId="{15DE0706-119D-F14D-913A-048C13121119}" destId="{2BF0B0C5-CFBF-8C4D-ACC6-284952FD46AA}" srcOrd="1" destOrd="0" parTransId="{D5D1157F-2B45-4649-A5B5-EA22B4D04831}" sibTransId="{BC9E855B-D218-6946-BB7A-24F39FEB13AD}"/>
    <dgm:cxn modelId="{A250F220-9F27-A442-964C-D81707B9CCEF}" srcId="{98203828-B7BF-624C-82D0-53C09BEE083E}" destId="{FB4D030C-6E9E-E444-8102-F071B73D966E}" srcOrd="0" destOrd="0" parTransId="{E1E8EEBB-1EF3-054C-AB20-4AD9788B4D25}" sibTransId="{3852BC30-6767-1240-94F7-9E2EA58BE1DE}"/>
    <dgm:cxn modelId="{72706125-308D-3B48-8CC0-52E61645320B}" srcId="{15DE0706-119D-F14D-913A-048C13121119}" destId="{94912B8B-9B6F-7645-8AC4-3E2DD395755B}" srcOrd="0" destOrd="0" parTransId="{E848BECB-B2DD-3249-AF27-77830A4B0C52}" sibTransId="{CAC8A0D5-D4A5-A048-A5CC-DD7A1246459B}"/>
    <dgm:cxn modelId="{886AD82A-9EF6-A143-A965-ED113E76E96C}" type="presOf" srcId="{94912B8B-9B6F-7645-8AC4-3E2DD395755B}" destId="{81B6CC1F-4822-1C47-929C-F6777ED3942C}" srcOrd="1" destOrd="0" presId="urn:microsoft.com/office/officeart/2005/8/layout/hProcess6"/>
    <dgm:cxn modelId="{B44ECF3F-FE15-E64C-BBB0-27B3DE41A221}" type="presOf" srcId="{A9B5A794-9BBE-9C4E-B930-CFD74AFD37F8}" destId="{AB36AAFF-53CE-E64C-BFF3-AB1857B6535A}" srcOrd="0" destOrd="0" presId="urn:microsoft.com/office/officeart/2005/8/layout/hProcess6"/>
    <dgm:cxn modelId="{03780943-53FA-FD42-BEFB-D2E61542600C}" srcId="{A9B5A794-9BBE-9C4E-B930-CFD74AFD37F8}" destId="{5A1EA80B-F424-084E-AF7A-7A47B55C74A5}" srcOrd="0" destOrd="0" parTransId="{DF7F960D-B263-AA4B-96B7-E7EF9E8BA93D}" sibTransId="{2B6210F4-D632-2640-B91C-C634B26FC859}"/>
    <dgm:cxn modelId="{29B3F74E-2451-5D4D-850C-193AA493730C}" type="presOf" srcId="{094CFC10-9078-E44B-9D76-67B6A567BB64}" destId="{1DAFC2C2-773B-8841-9BDE-23E2C5A3090B}" srcOrd="0" destOrd="1" presId="urn:microsoft.com/office/officeart/2005/8/layout/hProcess6"/>
    <dgm:cxn modelId="{CD9BA763-9339-704B-8C1D-1F9B102273CD}" type="presOf" srcId="{94912B8B-9B6F-7645-8AC4-3E2DD395755B}" destId="{F9292F8F-56D3-9244-8FFE-EA9DF1888ECB}" srcOrd="0" destOrd="0" presId="urn:microsoft.com/office/officeart/2005/8/layout/hProcess6"/>
    <dgm:cxn modelId="{0E0F086B-2F6B-A048-8BCC-6D8A809A4594}" type="presOf" srcId="{5A1EA80B-F424-084E-AF7A-7A47B55C74A5}" destId="{1DAFC2C2-773B-8841-9BDE-23E2C5A3090B}" srcOrd="0" destOrd="0" presId="urn:microsoft.com/office/officeart/2005/8/layout/hProcess6"/>
    <dgm:cxn modelId="{35A94C8A-DEA4-2448-BB55-7F07DB460440}" srcId="{A9B5A794-9BBE-9C4E-B930-CFD74AFD37F8}" destId="{094CFC10-9078-E44B-9D76-67B6A567BB64}" srcOrd="1" destOrd="0" parTransId="{01EC0E69-198B-4446-8A08-691CF5C73601}" sibTransId="{08349282-EE8F-8B47-8D2A-42D030658B76}"/>
    <dgm:cxn modelId="{8C38E79C-21A1-CF4D-9DB6-79A745FABB17}" type="presOf" srcId="{094CFC10-9078-E44B-9D76-67B6A567BB64}" destId="{3F094F91-907B-5E4A-8522-82E19561D74D}" srcOrd="1" destOrd="1" presId="urn:microsoft.com/office/officeart/2005/8/layout/hProcess6"/>
    <dgm:cxn modelId="{F0AC82A0-0C97-D640-8A15-6A3EFD8443E4}" type="presOf" srcId="{FB4D030C-6E9E-E444-8102-F071B73D966E}" destId="{78499C50-EAB0-FB4F-A6D9-794EBAB6A561}" srcOrd="1" destOrd="0" presId="urn:microsoft.com/office/officeart/2005/8/layout/hProcess6"/>
    <dgm:cxn modelId="{8D375AB2-9B93-FC45-88EA-852D01357CA5}" srcId="{F7F3170A-1204-7E4D-98B8-A151F120F4C5}" destId="{15DE0706-119D-F14D-913A-048C13121119}" srcOrd="0" destOrd="0" parTransId="{EA87DA2F-D8D8-F64D-A845-37D12E204CD9}" sibTransId="{73688F9B-AD4C-F94C-BE10-BB87B5313065}"/>
    <dgm:cxn modelId="{422979C6-A8F1-9A46-9675-903978F78713}" type="presOf" srcId="{98203828-B7BF-624C-82D0-53C09BEE083E}" destId="{5D014748-8F8C-9E40-AA57-6973C2715840}" srcOrd="0" destOrd="0" presId="urn:microsoft.com/office/officeart/2005/8/layout/hProcess6"/>
    <dgm:cxn modelId="{801E17D3-D479-214A-87A4-767A3A6C6752}" srcId="{F7F3170A-1204-7E4D-98B8-A151F120F4C5}" destId="{98203828-B7BF-624C-82D0-53C09BEE083E}" srcOrd="2" destOrd="0" parTransId="{A837C369-1F14-3747-94C7-D402D2DAAEF0}" sibTransId="{5FBE3320-6558-9F41-B8F5-686E426A8BA9}"/>
    <dgm:cxn modelId="{BA22F3E3-6877-204B-9C5E-926FF6841053}" type="presOf" srcId="{15DE0706-119D-F14D-913A-048C13121119}" destId="{C37AD61A-A250-9C4D-8388-8BFA9E805CEB}" srcOrd="0" destOrd="0" presId="urn:microsoft.com/office/officeart/2005/8/layout/hProcess6"/>
    <dgm:cxn modelId="{9BCC75E6-4274-7C4C-A1AA-9C670816C2F9}" type="presOf" srcId="{2BF0B0C5-CFBF-8C4D-ACC6-284952FD46AA}" destId="{81B6CC1F-4822-1C47-929C-F6777ED3942C}" srcOrd="1" destOrd="1" presId="urn:microsoft.com/office/officeart/2005/8/layout/hProcess6"/>
    <dgm:cxn modelId="{D03E331E-3F5F-974F-B2FC-C72DC1653585}" type="presParOf" srcId="{372D4CE8-4D4F-C648-ADE7-048650724AC1}" destId="{3DF4BDC6-DE0D-4D4D-B688-1C79F9825066}" srcOrd="0" destOrd="0" presId="urn:microsoft.com/office/officeart/2005/8/layout/hProcess6"/>
    <dgm:cxn modelId="{321E6FBE-0C3B-3149-8121-3E6AACCCFCD5}" type="presParOf" srcId="{3DF4BDC6-DE0D-4D4D-B688-1C79F9825066}" destId="{AC95221D-ACAA-6244-835B-31C73C5CD415}" srcOrd="0" destOrd="0" presId="urn:microsoft.com/office/officeart/2005/8/layout/hProcess6"/>
    <dgm:cxn modelId="{E1FDA36E-CE75-484B-945E-80F5D52328E3}" type="presParOf" srcId="{3DF4BDC6-DE0D-4D4D-B688-1C79F9825066}" destId="{F9292F8F-56D3-9244-8FFE-EA9DF1888ECB}" srcOrd="1" destOrd="0" presId="urn:microsoft.com/office/officeart/2005/8/layout/hProcess6"/>
    <dgm:cxn modelId="{568798D6-E6B4-6F4B-82A1-5B5044B2691F}" type="presParOf" srcId="{3DF4BDC6-DE0D-4D4D-B688-1C79F9825066}" destId="{81B6CC1F-4822-1C47-929C-F6777ED3942C}" srcOrd="2" destOrd="0" presId="urn:microsoft.com/office/officeart/2005/8/layout/hProcess6"/>
    <dgm:cxn modelId="{EEBA6FCE-324D-E945-BF52-47C964514CEB}" type="presParOf" srcId="{3DF4BDC6-DE0D-4D4D-B688-1C79F9825066}" destId="{C37AD61A-A250-9C4D-8388-8BFA9E805CEB}" srcOrd="3" destOrd="0" presId="urn:microsoft.com/office/officeart/2005/8/layout/hProcess6"/>
    <dgm:cxn modelId="{0017F144-5868-D847-88B2-4F3042A167BF}" type="presParOf" srcId="{372D4CE8-4D4F-C648-ADE7-048650724AC1}" destId="{BCEB27E7-AF73-C242-97C9-13A8797F7433}" srcOrd="1" destOrd="0" presId="urn:microsoft.com/office/officeart/2005/8/layout/hProcess6"/>
    <dgm:cxn modelId="{5953747C-986E-F745-84FD-78C7A3BBBF88}" type="presParOf" srcId="{372D4CE8-4D4F-C648-ADE7-048650724AC1}" destId="{6047866A-CB73-8F44-BF6B-1D84287ECF7F}" srcOrd="2" destOrd="0" presId="urn:microsoft.com/office/officeart/2005/8/layout/hProcess6"/>
    <dgm:cxn modelId="{25D33665-DC53-C94A-80E1-E34C93A9EDD7}" type="presParOf" srcId="{6047866A-CB73-8F44-BF6B-1D84287ECF7F}" destId="{0C683809-B550-F041-A347-B1FDE9036FF6}" srcOrd="0" destOrd="0" presId="urn:microsoft.com/office/officeart/2005/8/layout/hProcess6"/>
    <dgm:cxn modelId="{B99E64CD-06CB-7645-8A63-8E23FAA6BA46}" type="presParOf" srcId="{6047866A-CB73-8F44-BF6B-1D84287ECF7F}" destId="{1DAFC2C2-773B-8841-9BDE-23E2C5A3090B}" srcOrd="1" destOrd="0" presId="urn:microsoft.com/office/officeart/2005/8/layout/hProcess6"/>
    <dgm:cxn modelId="{99EF1835-04C3-9F4E-82FE-6620F755813F}" type="presParOf" srcId="{6047866A-CB73-8F44-BF6B-1D84287ECF7F}" destId="{3F094F91-907B-5E4A-8522-82E19561D74D}" srcOrd="2" destOrd="0" presId="urn:microsoft.com/office/officeart/2005/8/layout/hProcess6"/>
    <dgm:cxn modelId="{72D5D5E3-EA70-D540-AD5C-31C976694077}" type="presParOf" srcId="{6047866A-CB73-8F44-BF6B-1D84287ECF7F}" destId="{AB36AAFF-53CE-E64C-BFF3-AB1857B6535A}" srcOrd="3" destOrd="0" presId="urn:microsoft.com/office/officeart/2005/8/layout/hProcess6"/>
    <dgm:cxn modelId="{EF2334E6-930B-294B-9327-4B49FE63CD56}" type="presParOf" srcId="{372D4CE8-4D4F-C648-ADE7-048650724AC1}" destId="{44311DE5-BBBB-3346-8A67-B264F373A865}" srcOrd="3" destOrd="0" presId="urn:microsoft.com/office/officeart/2005/8/layout/hProcess6"/>
    <dgm:cxn modelId="{75E5B80E-6908-934F-B434-A65078860E1C}" type="presParOf" srcId="{372D4CE8-4D4F-C648-ADE7-048650724AC1}" destId="{135C78DD-F429-0540-9BFD-782FB8AE43EC}" srcOrd="4" destOrd="0" presId="urn:microsoft.com/office/officeart/2005/8/layout/hProcess6"/>
    <dgm:cxn modelId="{39DFA1EE-B420-5443-B7B1-B40BB4F31C65}" type="presParOf" srcId="{135C78DD-F429-0540-9BFD-782FB8AE43EC}" destId="{DD0A0BAA-8E38-2348-AB49-543EEB840254}" srcOrd="0" destOrd="0" presId="urn:microsoft.com/office/officeart/2005/8/layout/hProcess6"/>
    <dgm:cxn modelId="{1560F5C5-10D9-AC4A-83D8-E0544A724BF3}" type="presParOf" srcId="{135C78DD-F429-0540-9BFD-782FB8AE43EC}" destId="{1199797B-A577-8E48-B3F6-EBB4E7DBF20C}" srcOrd="1" destOrd="0" presId="urn:microsoft.com/office/officeart/2005/8/layout/hProcess6"/>
    <dgm:cxn modelId="{62225167-1B6C-F449-B4AE-B40F4EC05813}" type="presParOf" srcId="{135C78DD-F429-0540-9BFD-782FB8AE43EC}" destId="{78499C50-EAB0-FB4F-A6D9-794EBAB6A561}" srcOrd="2" destOrd="0" presId="urn:microsoft.com/office/officeart/2005/8/layout/hProcess6"/>
    <dgm:cxn modelId="{FCC43791-68B6-5A42-A3E4-92750EF581D2}" type="presParOf" srcId="{135C78DD-F429-0540-9BFD-782FB8AE43EC}" destId="{5D014748-8F8C-9E40-AA57-6973C2715840}" srcOrd="3" destOrd="0" presId="urn:microsoft.com/office/officeart/2005/8/layout/hProcess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292F8F-56D3-9244-8FFE-EA9DF1888ECB}">
      <dsp:nvSpPr>
        <dsp:cNvPr id="0" name=""/>
        <dsp:cNvSpPr/>
      </dsp:nvSpPr>
      <dsp:spPr>
        <a:xfrm>
          <a:off x="374604" y="443491"/>
          <a:ext cx="1487150" cy="1299956"/>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tr-TR" sz="800" kern="1200"/>
            <a:t>Hammaddeler</a:t>
          </a:r>
        </a:p>
        <a:p>
          <a:pPr marL="57150" lvl="1" indent="-57150" algn="l" defTabSz="355600">
            <a:lnSpc>
              <a:spcPct val="90000"/>
            </a:lnSpc>
            <a:spcBef>
              <a:spcPct val="0"/>
            </a:spcBef>
            <a:spcAft>
              <a:spcPct val="15000"/>
            </a:spcAft>
            <a:buChar char="•"/>
          </a:pPr>
          <a:r>
            <a:rPr lang="tr-TR" sz="800" kern="1200"/>
            <a:t>Hizmet girdileri</a:t>
          </a:r>
        </a:p>
      </dsp:txBody>
      <dsp:txXfrm>
        <a:off x="746391" y="638484"/>
        <a:ext cx="724985" cy="909970"/>
      </dsp:txXfrm>
    </dsp:sp>
    <dsp:sp modelId="{C37AD61A-A250-9C4D-8388-8BFA9E805CEB}">
      <dsp:nvSpPr>
        <dsp:cNvPr id="0" name=""/>
        <dsp:cNvSpPr/>
      </dsp:nvSpPr>
      <dsp:spPr>
        <a:xfrm>
          <a:off x="2816" y="721682"/>
          <a:ext cx="743575" cy="7435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İhracat</a:t>
          </a:r>
        </a:p>
      </dsp:txBody>
      <dsp:txXfrm>
        <a:off x="111710" y="830576"/>
        <a:ext cx="525787" cy="525787"/>
      </dsp:txXfrm>
    </dsp:sp>
    <dsp:sp modelId="{1DAFC2C2-773B-8841-9BDE-23E2C5A3090B}">
      <dsp:nvSpPr>
        <dsp:cNvPr id="0" name=""/>
        <dsp:cNvSpPr/>
      </dsp:nvSpPr>
      <dsp:spPr>
        <a:xfrm>
          <a:off x="2326488" y="443491"/>
          <a:ext cx="1487150" cy="1299956"/>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tr-TR" sz="800" kern="1200"/>
            <a:t>Parçalar ve bileşenler</a:t>
          </a:r>
        </a:p>
        <a:p>
          <a:pPr marL="57150" lvl="1" indent="-57150" algn="l" defTabSz="355600">
            <a:lnSpc>
              <a:spcPct val="90000"/>
            </a:lnSpc>
            <a:spcBef>
              <a:spcPct val="0"/>
            </a:spcBef>
            <a:spcAft>
              <a:spcPct val="15000"/>
            </a:spcAft>
            <a:buChar char="•"/>
          </a:pPr>
          <a:r>
            <a:rPr lang="tr-TR" sz="800" kern="1200"/>
            <a:t>Yarı mamul ürünler</a:t>
          </a:r>
        </a:p>
      </dsp:txBody>
      <dsp:txXfrm>
        <a:off x="2698276" y="638484"/>
        <a:ext cx="724985" cy="909970"/>
      </dsp:txXfrm>
    </dsp:sp>
    <dsp:sp modelId="{AB36AAFF-53CE-E64C-BFF3-AB1857B6535A}">
      <dsp:nvSpPr>
        <dsp:cNvPr id="0" name=""/>
        <dsp:cNvSpPr/>
      </dsp:nvSpPr>
      <dsp:spPr>
        <a:xfrm>
          <a:off x="1954701" y="721682"/>
          <a:ext cx="743575" cy="7435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ihracat</a:t>
          </a:r>
        </a:p>
      </dsp:txBody>
      <dsp:txXfrm>
        <a:off x="2063595" y="830576"/>
        <a:ext cx="525787" cy="525787"/>
      </dsp:txXfrm>
    </dsp:sp>
    <dsp:sp modelId="{1199797B-A577-8E48-B3F6-EBB4E7DBF20C}">
      <dsp:nvSpPr>
        <dsp:cNvPr id="0" name=""/>
        <dsp:cNvSpPr/>
      </dsp:nvSpPr>
      <dsp:spPr>
        <a:xfrm>
          <a:off x="4278373" y="443491"/>
          <a:ext cx="1487150" cy="1299956"/>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0" lvl="0" indent="0" algn="ctr" defTabSz="355600">
            <a:lnSpc>
              <a:spcPct val="90000"/>
            </a:lnSpc>
            <a:spcBef>
              <a:spcPct val="0"/>
            </a:spcBef>
            <a:spcAft>
              <a:spcPct val="35000"/>
            </a:spcAft>
            <a:buNone/>
          </a:pPr>
          <a:r>
            <a:rPr lang="tr-TR" sz="800" kern="1200"/>
            <a:t>Nihai ürünler</a:t>
          </a:r>
        </a:p>
      </dsp:txBody>
      <dsp:txXfrm>
        <a:off x="4650160" y="638484"/>
        <a:ext cx="724985" cy="909970"/>
      </dsp:txXfrm>
    </dsp:sp>
    <dsp:sp modelId="{5D014748-8F8C-9E40-AA57-6973C2715840}">
      <dsp:nvSpPr>
        <dsp:cNvPr id="0" name=""/>
        <dsp:cNvSpPr/>
      </dsp:nvSpPr>
      <dsp:spPr>
        <a:xfrm>
          <a:off x="3906585" y="721682"/>
          <a:ext cx="743575" cy="7435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tr-TR" sz="1200" kern="1200"/>
            <a:t>Tüketim için İhracat</a:t>
          </a:r>
        </a:p>
      </dsp:txBody>
      <dsp:txXfrm>
        <a:off x="4015479" y="830576"/>
        <a:ext cx="525787" cy="52578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7674</Words>
  <Characters>43747</Characters>
  <Application>Microsoft Office Word</Application>
  <DocSecurity>0</DocSecurity>
  <Lines>364</Lines>
  <Paragraphs>102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Duva</dc:creator>
  <cp:keywords/>
  <dc:description/>
  <cp:lastModifiedBy>MacAir</cp:lastModifiedBy>
  <cp:revision>2</cp:revision>
  <dcterms:created xsi:type="dcterms:W3CDTF">2021-05-01T05:33:00Z</dcterms:created>
  <dcterms:modified xsi:type="dcterms:W3CDTF">2021-05-01T05:33:00Z</dcterms:modified>
</cp:coreProperties>
</file>