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29C9" w:rsidRDefault="007129C9" w:rsidP="007129C9">
      <w:pPr>
        <w:spacing w:line="360" w:lineRule="auto"/>
        <w:jc w:val="center"/>
        <w:rPr>
          <w:rFonts w:ascii="Times New Roman" w:hAnsi="Times New Roman" w:cs="Times New Roman"/>
          <w:sz w:val="24"/>
          <w:szCs w:val="24"/>
        </w:rPr>
      </w:pPr>
      <w:r w:rsidRPr="00116067">
        <w:rPr>
          <w:rFonts w:ascii="Times New Roman" w:hAnsi="Times New Roman" w:cs="Times New Roman"/>
          <w:sz w:val="24"/>
          <w:szCs w:val="24"/>
        </w:rPr>
        <w:t>SON 20 YILDA İKLİM DEĞİŞİKLİĞİ VE SAĞLIK ALANINDA YAPILAN ÇALIŞMALAR</w:t>
      </w:r>
    </w:p>
    <w:p w:rsidR="007129C9" w:rsidRDefault="007129C9" w:rsidP="007129C9">
      <w:pPr>
        <w:spacing w:line="360" w:lineRule="auto"/>
        <w:jc w:val="center"/>
        <w:rPr>
          <w:rFonts w:ascii="Times New Roman" w:hAnsi="Times New Roman" w:cs="Times New Roman"/>
          <w:sz w:val="24"/>
          <w:szCs w:val="24"/>
        </w:rPr>
      </w:pPr>
      <w:r>
        <w:rPr>
          <w:rFonts w:ascii="Times New Roman" w:hAnsi="Times New Roman" w:cs="Times New Roman"/>
          <w:sz w:val="24"/>
          <w:szCs w:val="24"/>
        </w:rPr>
        <w:t>STUDIES ON CLIMATE CHANGE AND HEALTH I</w:t>
      </w:r>
      <w:r w:rsidRPr="00116067">
        <w:rPr>
          <w:rFonts w:ascii="Times New Roman" w:hAnsi="Times New Roman" w:cs="Times New Roman"/>
          <w:sz w:val="24"/>
          <w:szCs w:val="24"/>
        </w:rPr>
        <w:t>N THE LAST 20 YEARS</w:t>
      </w:r>
    </w:p>
    <w:p w:rsidR="007129C9" w:rsidRDefault="007129C9" w:rsidP="007129C9">
      <w:pPr>
        <w:spacing w:line="360" w:lineRule="auto"/>
        <w:jc w:val="center"/>
        <w:rPr>
          <w:rFonts w:ascii="Times New Roman" w:hAnsi="Times New Roman" w:cs="Times New Roman"/>
          <w:b/>
          <w:sz w:val="24"/>
          <w:szCs w:val="24"/>
        </w:rPr>
      </w:pPr>
      <w:r w:rsidRPr="00116067">
        <w:rPr>
          <w:rFonts w:ascii="Times New Roman" w:hAnsi="Times New Roman" w:cs="Times New Roman"/>
          <w:b/>
          <w:sz w:val="24"/>
          <w:szCs w:val="24"/>
        </w:rPr>
        <w:t>Ayşe Taş</w:t>
      </w:r>
    </w:p>
    <w:p w:rsidR="007129C9" w:rsidRPr="00116067" w:rsidRDefault="007129C9" w:rsidP="007129C9">
      <w:pPr>
        <w:spacing w:line="360" w:lineRule="auto"/>
        <w:jc w:val="center"/>
        <w:rPr>
          <w:rFonts w:ascii="Times New Roman" w:hAnsi="Times New Roman" w:cs="Times New Roman"/>
          <w:sz w:val="24"/>
          <w:szCs w:val="24"/>
        </w:rPr>
      </w:pPr>
      <w:r w:rsidRPr="00116067">
        <w:rPr>
          <w:rFonts w:ascii="Times New Roman" w:hAnsi="Times New Roman" w:cs="Times New Roman"/>
          <w:sz w:val="24"/>
          <w:szCs w:val="24"/>
        </w:rPr>
        <w:t xml:space="preserve">(Uzman Doktor, Malatya Battalgazi İlçe Sağlık Müdürlüğü, </w:t>
      </w:r>
      <w:hyperlink r:id="rId6" w:history="1">
        <w:r w:rsidRPr="00C53DB0">
          <w:rPr>
            <w:rStyle w:val="Hyperlink"/>
            <w:rFonts w:ascii="Times New Roman" w:hAnsi="Times New Roman" w:cs="Times New Roman"/>
            <w:sz w:val="24"/>
            <w:szCs w:val="24"/>
          </w:rPr>
          <w:t>aysetas90@yahoo.com</w:t>
        </w:r>
      </w:hyperlink>
      <w:r>
        <w:rPr>
          <w:rFonts w:ascii="Times New Roman" w:hAnsi="Times New Roman" w:cs="Times New Roman"/>
          <w:sz w:val="24"/>
          <w:szCs w:val="24"/>
        </w:rPr>
        <w:t xml:space="preserve">, ORCID: </w:t>
      </w:r>
      <w:r w:rsidRPr="00116067">
        <w:rPr>
          <w:rFonts w:ascii="Times New Roman" w:hAnsi="Times New Roman" w:cs="Times New Roman"/>
          <w:sz w:val="24"/>
          <w:szCs w:val="24"/>
        </w:rPr>
        <w:t>0000-0001-9909-4411)</w:t>
      </w:r>
    </w:p>
    <w:p w:rsidR="003E5C9E" w:rsidRPr="0032649B" w:rsidRDefault="00E036D8" w:rsidP="006A0977">
      <w:pPr>
        <w:spacing w:line="360" w:lineRule="auto"/>
        <w:jc w:val="both"/>
        <w:rPr>
          <w:rFonts w:ascii="Times New Roman" w:hAnsi="Times New Roman" w:cs="Times New Roman"/>
          <w:sz w:val="24"/>
          <w:szCs w:val="24"/>
        </w:rPr>
      </w:pPr>
      <w:r>
        <w:rPr>
          <w:rFonts w:ascii="Times New Roman" w:hAnsi="Times New Roman" w:cs="Times New Roman"/>
          <w:sz w:val="24"/>
          <w:szCs w:val="24"/>
        </w:rPr>
        <w:t>Giriş-</w:t>
      </w:r>
      <w:r w:rsidR="003E5C9E" w:rsidRPr="0032649B">
        <w:rPr>
          <w:rFonts w:ascii="Times New Roman" w:hAnsi="Times New Roman" w:cs="Times New Roman"/>
          <w:sz w:val="24"/>
          <w:szCs w:val="24"/>
        </w:rPr>
        <w:t>Amaç: İklim değişikliği, hava sıcaklıklarında ve hava olaylarında uzun vadeli değişimleri ifade eder. Ancak 1800'lerden beri insan faaliyetleri, özellikle fosil yakıtların yakılması nedeniyle ortaya çıkan karbon salınımı iklim değişikliğinin ana sebebi olmuştur</w:t>
      </w:r>
      <w:r>
        <w:rPr>
          <w:rFonts w:ascii="Times New Roman" w:hAnsi="Times New Roman" w:cs="Times New Roman"/>
          <w:sz w:val="24"/>
          <w:szCs w:val="24"/>
        </w:rPr>
        <w:t xml:space="preserve"> (1)</w:t>
      </w:r>
      <w:r w:rsidR="003E5C9E" w:rsidRPr="0032649B">
        <w:rPr>
          <w:rFonts w:ascii="Times New Roman" w:hAnsi="Times New Roman" w:cs="Times New Roman"/>
          <w:sz w:val="24"/>
          <w:szCs w:val="24"/>
        </w:rPr>
        <w:t>. İklim değişikliği sonucunda ölümlerde, solunum ve dolaşım sistemi hastalıkları gibi bulaşıcı olmayan hastalıklarda ve bulaşıcı hastalıklarda artış görülmesi beklenmektedir</w:t>
      </w:r>
      <w:r w:rsidR="00463BA5">
        <w:rPr>
          <w:rFonts w:ascii="Times New Roman" w:hAnsi="Times New Roman" w:cs="Times New Roman"/>
          <w:sz w:val="24"/>
          <w:szCs w:val="24"/>
        </w:rPr>
        <w:t xml:space="preserve"> (2,3)</w:t>
      </w:r>
      <w:r w:rsidR="003E5C9E" w:rsidRPr="0032649B">
        <w:rPr>
          <w:rFonts w:ascii="Times New Roman" w:hAnsi="Times New Roman" w:cs="Times New Roman"/>
          <w:sz w:val="24"/>
          <w:szCs w:val="24"/>
        </w:rPr>
        <w:t xml:space="preserve">. </w:t>
      </w:r>
      <w:r w:rsidR="006A0977">
        <w:rPr>
          <w:rFonts w:ascii="Times New Roman" w:hAnsi="Times New Roman" w:cs="Times New Roman"/>
          <w:sz w:val="24"/>
          <w:szCs w:val="24"/>
        </w:rPr>
        <w:t xml:space="preserve">2050 yılında </w:t>
      </w:r>
      <w:r w:rsidR="00FB6354">
        <w:rPr>
          <w:rFonts w:ascii="Times New Roman" w:hAnsi="Times New Roman" w:cs="Times New Roman"/>
          <w:sz w:val="24"/>
          <w:szCs w:val="24"/>
        </w:rPr>
        <w:t xml:space="preserve">iklim değişikliğine bağlı olarak </w:t>
      </w:r>
      <w:r w:rsidR="006A0977">
        <w:rPr>
          <w:rFonts w:ascii="Times New Roman" w:hAnsi="Times New Roman" w:cs="Times New Roman"/>
          <w:sz w:val="24"/>
          <w:szCs w:val="24"/>
        </w:rPr>
        <w:t>sıcaklık artışı, yetersiz beslenme, sıtma, bulaşıcı hastalıklar gib</w:t>
      </w:r>
      <w:bookmarkStart w:id="0" w:name="_GoBack"/>
      <w:bookmarkEnd w:id="0"/>
      <w:r w:rsidR="006A0977">
        <w:rPr>
          <w:rFonts w:ascii="Times New Roman" w:hAnsi="Times New Roman" w:cs="Times New Roman"/>
          <w:sz w:val="24"/>
          <w:szCs w:val="24"/>
        </w:rPr>
        <w:t>i sebeplerle yaklaşık yarısı Afrika’da olmak üzere 250000’in üzerinde ölümler beklenmektedir (4).</w:t>
      </w:r>
      <w:r w:rsidR="00FB6354">
        <w:rPr>
          <w:rFonts w:ascii="Times New Roman" w:hAnsi="Times New Roman" w:cs="Times New Roman"/>
          <w:sz w:val="24"/>
          <w:szCs w:val="24"/>
        </w:rPr>
        <w:t xml:space="preserve"> </w:t>
      </w:r>
      <w:r w:rsidR="003E5C9E" w:rsidRPr="0032649B">
        <w:rPr>
          <w:rFonts w:ascii="Times New Roman" w:hAnsi="Times New Roman" w:cs="Times New Roman"/>
          <w:sz w:val="24"/>
          <w:szCs w:val="24"/>
        </w:rPr>
        <w:t>İk</w:t>
      </w:r>
      <w:r>
        <w:rPr>
          <w:rFonts w:ascii="Times New Roman" w:hAnsi="Times New Roman" w:cs="Times New Roman"/>
          <w:sz w:val="24"/>
          <w:szCs w:val="24"/>
        </w:rPr>
        <w:t>li</w:t>
      </w:r>
      <w:r w:rsidR="003E5C9E" w:rsidRPr="0032649B">
        <w:rPr>
          <w:rFonts w:ascii="Times New Roman" w:hAnsi="Times New Roman" w:cs="Times New Roman"/>
          <w:sz w:val="24"/>
          <w:szCs w:val="24"/>
        </w:rPr>
        <w:t>m değişkliği alanında yapılan çalışmaları takip etmek yeni gelişmelere göre iklim ve sağlık alanındaki politikalara yön vermek önemlidir. Bu çalışmanın amacı son 20 yıl içerisinde iklim değişikliği ve sağlık alanında yapılan çalışmaları yıllarına ve konularına göre değerlendirmektir.</w:t>
      </w:r>
    </w:p>
    <w:p w:rsidR="00875375" w:rsidRPr="0032649B" w:rsidRDefault="00875375" w:rsidP="006A0977">
      <w:pPr>
        <w:spacing w:line="360" w:lineRule="auto"/>
        <w:jc w:val="both"/>
        <w:rPr>
          <w:rFonts w:ascii="Times New Roman" w:hAnsi="Times New Roman" w:cs="Times New Roman"/>
          <w:sz w:val="24"/>
          <w:szCs w:val="24"/>
        </w:rPr>
      </w:pPr>
      <w:r w:rsidRPr="0032649B">
        <w:rPr>
          <w:rFonts w:ascii="Times New Roman" w:hAnsi="Times New Roman" w:cs="Times New Roman"/>
          <w:sz w:val="24"/>
          <w:szCs w:val="24"/>
        </w:rPr>
        <w:t xml:space="preserve">Gereç-Yöntem: Çalışma </w:t>
      </w:r>
      <w:r w:rsidR="006A0977">
        <w:rPr>
          <w:rFonts w:ascii="Times New Roman" w:hAnsi="Times New Roman" w:cs="Times New Roman"/>
          <w:sz w:val="24"/>
          <w:szCs w:val="24"/>
        </w:rPr>
        <w:t xml:space="preserve">Ekim-Kasım </w:t>
      </w:r>
      <w:r w:rsidR="00E0369D" w:rsidRPr="0032649B">
        <w:rPr>
          <w:rFonts w:ascii="Times New Roman" w:hAnsi="Times New Roman" w:cs="Times New Roman"/>
          <w:sz w:val="24"/>
          <w:szCs w:val="24"/>
        </w:rPr>
        <w:t>2022 tarihleri arasında PubMed veritabanı</w:t>
      </w:r>
      <w:r w:rsidRPr="0032649B">
        <w:rPr>
          <w:rFonts w:ascii="Times New Roman" w:hAnsi="Times New Roman" w:cs="Times New Roman"/>
          <w:sz w:val="24"/>
          <w:szCs w:val="24"/>
        </w:rPr>
        <w:t xml:space="preserve"> kullanılarak gerçekleştirilmiştir ve 200</w:t>
      </w:r>
      <w:r w:rsidR="0051575F">
        <w:rPr>
          <w:rFonts w:ascii="Times New Roman" w:hAnsi="Times New Roman" w:cs="Times New Roman"/>
          <w:sz w:val="24"/>
          <w:szCs w:val="24"/>
        </w:rPr>
        <w:t>3</w:t>
      </w:r>
      <w:r w:rsidRPr="0032649B">
        <w:rPr>
          <w:rFonts w:ascii="Times New Roman" w:hAnsi="Times New Roman" w:cs="Times New Roman"/>
          <w:sz w:val="24"/>
          <w:szCs w:val="24"/>
        </w:rPr>
        <w:t>-2022</w:t>
      </w:r>
      <w:r w:rsidR="00E0369D" w:rsidRPr="0032649B">
        <w:rPr>
          <w:rFonts w:ascii="Times New Roman" w:hAnsi="Times New Roman" w:cs="Times New Roman"/>
          <w:sz w:val="24"/>
          <w:szCs w:val="24"/>
        </w:rPr>
        <w:t xml:space="preserve"> </w:t>
      </w:r>
      <w:r w:rsidRPr="0032649B">
        <w:rPr>
          <w:rFonts w:ascii="Times New Roman" w:hAnsi="Times New Roman" w:cs="Times New Roman"/>
          <w:sz w:val="24"/>
          <w:szCs w:val="24"/>
        </w:rPr>
        <w:t xml:space="preserve">yılları arasında yayınlanan bilimsel makaleler ele alınmıştır.  </w:t>
      </w:r>
      <w:r w:rsidR="00E0369D" w:rsidRPr="0032649B">
        <w:rPr>
          <w:rFonts w:ascii="Times New Roman" w:hAnsi="Times New Roman" w:cs="Times New Roman"/>
          <w:sz w:val="24"/>
          <w:szCs w:val="24"/>
        </w:rPr>
        <w:t>PubMed’de</w:t>
      </w:r>
      <w:r w:rsidRPr="0032649B">
        <w:rPr>
          <w:rFonts w:ascii="Times New Roman" w:hAnsi="Times New Roman" w:cs="Times New Roman"/>
          <w:sz w:val="24"/>
          <w:szCs w:val="24"/>
        </w:rPr>
        <w:t xml:space="preserve"> MeSH (Medical Subject Headings=Medikal Konu Başlıkları) Term</w:t>
      </w:r>
      <w:r w:rsidR="00E0369D" w:rsidRPr="0032649B">
        <w:rPr>
          <w:rFonts w:ascii="Times New Roman" w:hAnsi="Times New Roman" w:cs="Times New Roman"/>
          <w:sz w:val="24"/>
          <w:szCs w:val="24"/>
        </w:rPr>
        <w:t xml:space="preserve"> </w:t>
      </w:r>
      <w:r w:rsidRPr="0032649B">
        <w:rPr>
          <w:rFonts w:ascii="Times New Roman" w:hAnsi="Times New Roman" w:cs="Times New Roman"/>
          <w:sz w:val="24"/>
          <w:szCs w:val="24"/>
        </w:rPr>
        <w:t>“climate change” ve</w:t>
      </w:r>
      <w:r w:rsidR="00FB1DB4">
        <w:rPr>
          <w:rFonts w:ascii="Times New Roman" w:hAnsi="Times New Roman" w:cs="Times New Roman"/>
          <w:sz w:val="24"/>
          <w:szCs w:val="24"/>
        </w:rPr>
        <w:t xml:space="preserve"> </w:t>
      </w:r>
      <w:r w:rsidRPr="0032649B">
        <w:rPr>
          <w:rFonts w:ascii="Times New Roman" w:hAnsi="Times New Roman" w:cs="Times New Roman"/>
          <w:sz w:val="24"/>
          <w:szCs w:val="24"/>
        </w:rPr>
        <w:t>“health” terimlerinin her ikisini de içeren özeti  bulunan yayınlar şeklinde özelleştirilerek arama yapılmıştır.</w:t>
      </w:r>
      <w:r w:rsidR="00E0369D" w:rsidRPr="0032649B">
        <w:rPr>
          <w:rFonts w:ascii="Times New Roman" w:hAnsi="Times New Roman" w:cs="Times New Roman"/>
          <w:sz w:val="24"/>
          <w:szCs w:val="24"/>
        </w:rPr>
        <w:t xml:space="preserve"> Yayınlar özetleri üzerinden değerlendirilmiş konularına  ve yıla göre tasnif edilmiştir.</w:t>
      </w:r>
    </w:p>
    <w:p w:rsidR="00875375" w:rsidRPr="0032649B" w:rsidRDefault="00875375" w:rsidP="006A0977">
      <w:pPr>
        <w:spacing w:line="360" w:lineRule="auto"/>
        <w:jc w:val="both"/>
        <w:rPr>
          <w:rFonts w:ascii="Times New Roman" w:hAnsi="Times New Roman" w:cs="Times New Roman"/>
          <w:sz w:val="24"/>
          <w:szCs w:val="24"/>
        </w:rPr>
      </w:pPr>
      <w:r w:rsidRPr="0032649B">
        <w:rPr>
          <w:rFonts w:ascii="Times New Roman" w:hAnsi="Times New Roman" w:cs="Times New Roman"/>
          <w:sz w:val="24"/>
          <w:szCs w:val="24"/>
        </w:rPr>
        <w:t xml:space="preserve">Bulgular: Arama sonucunda 1119 yayın ortaya çıkmıştır. </w:t>
      </w:r>
      <w:r w:rsidR="00E0369D" w:rsidRPr="0032649B">
        <w:rPr>
          <w:rFonts w:ascii="Times New Roman" w:hAnsi="Times New Roman" w:cs="Times New Roman"/>
          <w:sz w:val="24"/>
          <w:szCs w:val="24"/>
        </w:rPr>
        <w:t>Bu yayınların 40’ının özeti değerlendirilmiş ve ana temasının iklim değişikliği ve sağlık olmaması nedeniyle çalışmadan çıkarılmış ve 1079 çalışma değerlendirmeye alınmıştır.</w:t>
      </w:r>
      <w:r w:rsidR="0051575F">
        <w:rPr>
          <w:rFonts w:ascii="Times New Roman" w:hAnsi="Times New Roman" w:cs="Times New Roman"/>
          <w:sz w:val="24"/>
          <w:szCs w:val="24"/>
        </w:rPr>
        <w:t xml:space="preserve"> 2022-2013</w:t>
      </w:r>
      <w:r w:rsidR="00E0369D" w:rsidRPr="0032649B">
        <w:rPr>
          <w:rFonts w:ascii="Times New Roman" w:hAnsi="Times New Roman" w:cs="Times New Roman"/>
          <w:sz w:val="24"/>
          <w:szCs w:val="24"/>
        </w:rPr>
        <w:t xml:space="preserve"> yılları arasındaki on yılık dönemde 886</w:t>
      </w:r>
      <w:r w:rsidR="0051575F">
        <w:rPr>
          <w:rFonts w:ascii="Times New Roman" w:hAnsi="Times New Roman" w:cs="Times New Roman"/>
          <w:sz w:val="24"/>
          <w:szCs w:val="24"/>
        </w:rPr>
        <w:t xml:space="preserve"> makale yayınlanmışken 2012-2003</w:t>
      </w:r>
      <w:r w:rsidR="00E0369D" w:rsidRPr="0032649B">
        <w:rPr>
          <w:rFonts w:ascii="Times New Roman" w:hAnsi="Times New Roman" w:cs="Times New Roman"/>
          <w:sz w:val="24"/>
          <w:szCs w:val="24"/>
        </w:rPr>
        <w:t xml:space="preserve"> yılları arasındaki on yıllık dönemde 193 makale yayınlanmıştır. 2005-2002 yılları arasında Pubmed arama motorunda konu ile ilgili yayına rastlanmamıştır. </w:t>
      </w:r>
      <w:r w:rsidR="00DA2FFE" w:rsidRPr="0032649B">
        <w:rPr>
          <w:rFonts w:ascii="Times New Roman" w:hAnsi="Times New Roman" w:cs="Times New Roman"/>
          <w:sz w:val="24"/>
          <w:szCs w:val="24"/>
        </w:rPr>
        <w:t>Yı</w:t>
      </w:r>
      <w:r w:rsidR="00691C45" w:rsidRPr="0032649B">
        <w:rPr>
          <w:rFonts w:ascii="Times New Roman" w:hAnsi="Times New Roman" w:cs="Times New Roman"/>
          <w:sz w:val="24"/>
          <w:szCs w:val="24"/>
        </w:rPr>
        <w:t>llara göre yayın sayıları Şekil</w:t>
      </w:r>
      <w:r w:rsidR="00DA2FFE" w:rsidRPr="0032649B">
        <w:rPr>
          <w:rFonts w:ascii="Times New Roman" w:hAnsi="Times New Roman" w:cs="Times New Roman"/>
          <w:sz w:val="24"/>
          <w:szCs w:val="24"/>
        </w:rPr>
        <w:t xml:space="preserve"> 1’de verilmiştir.</w:t>
      </w:r>
    </w:p>
    <w:p w:rsidR="00DA2FFE" w:rsidRPr="0032649B" w:rsidRDefault="00DA2FFE" w:rsidP="0032649B">
      <w:pPr>
        <w:spacing w:line="360" w:lineRule="auto"/>
        <w:rPr>
          <w:rFonts w:ascii="Times New Roman" w:hAnsi="Times New Roman" w:cs="Times New Roman"/>
          <w:sz w:val="24"/>
          <w:szCs w:val="24"/>
        </w:rPr>
      </w:pPr>
      <w:r w:rsidRPr="0032649B">
        <w:rPr>
          <w:rFonts w:ascii="Times New Roman" w:hAnsi="Times New Roman" w:cs="Times New Roman"/>
          <w:noProof/>
          <w:sz w:val="24"/>
          <w:szCs w:val="24"/>
          <w:lang w:eastAsia="ja-JP"/>
        </w:rPr>
        <w:lastRenderedPageBreak/>
        <w:drawing>
          <wp:inline distT="0" distB="0" distL="0" distR="0" wp14:anchorId="21CF753D" wp14:editId="2ED17675">
            <wp:extent cx="5534025" cy="21050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C6887" w:rsidRPr="0032649B" w:rsidRDefault="00691C45" w:rsidP="0032649B">
      <w:pPr>
        <w:spacing w:line="360" w:lineRule="auto"/>
        <w:rPr>
          <w:rFonts w:ascii="Times New Roman" w:hAnsi="Times New Roman" w:cs="Times New Roman"/>
          <w:sz w:val="24"/>
          <w:szCs w:val="24"/>
        </w:rPr>
      </w:pPr>
      <w:r w:rsidRPr="0032649B">
        <w:rPr>
          <w:rFonts w:ascii="Times New Roman" w:hAnsi="Times New Roman" w:cs="Times New Roman"/>
          <w:sz w:val="24"/>
          <w:szCs w:val="24"/>
        </w:rPr>
        <w:t>Şekil 1. Yıllara göre yayın sayıları</w:t>
      </w:r>
    </w:p>
    <w:p w:rsidR="0032649B" w:rsidRPr="0032649B" w:rsidRDefault="007129C9" w:rsidP="0032649B">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r w:rsidR="0032649B" w:rsidRPr="0032649B">
        <w:rPr>
          <w:rFonts w:ascii="Times New Roman" w:hAnsi="Times New Roman" w:cs="Times New Roman"/>
          <w:sz w:val="24"/>
          <w:szCs w:val="24"/>
        </w:rPr>
        <w:t xml:space="preserve">-2022 yılları arasındaki on yıllık dönemde en çok üzerinde durulan konular politikalar, bulaşıcı hastalıklar, </w:t>
      </w:r>
      <w:r w:rsidR="00F41A50">
        <w:rPr>
          <w:rFonts w:ascii="Times New Roman" w:hAnsi="Times New Roman" w:cs="Times New Roman"/>
          <w:sz w:val="24"/>
          <w:szCs w:val="24"/>
        </w:rPr>
        <w:t xml:space="preserve">iklim değişikliğinin </w:t>
      </w:r>
      <w:r w:rsidR="0032649B" w:rsidRPr="0032649B">
        <w:rPr>
          <w:rFonts w:ascii="Times New Roman" w:hAnsi="Times New Roman" w:cs="Times New Roman"/>
          <w:sz w:val="24"/>
          <w:szCs w:val="24"/>
        </w:rPr>
        <w:t>halk sağlığı etkileri, sıcaklık artışı, iklim değişikliğinin genel sağlık etkileri ve iklim değişikliğinin ruh s</w:t>
      </w:r>
      <w:r>
        <w:rPr>
          <w:rFonts w:ascii="Times New Roman" w:hAnsi="Times New Roman" w:cs="Times New Roman"/>
          <w:sz w:val="24"/>
          <w:szCs w:val="24"/>
        </w:rPr>
        <w:t>ağlığı etkileri iken;. 2003</w:t>
      </w:r>
      <w:r w:rsidR="0032649B" w:rsidRPr="0032649B">
        <w:rPr>
          <w:rFonts w:ascii="Times New Roman" w:hAnsi="Times New Roman" w:cs="Times New Roman"/>
          <w:sz w:val="24"/>
          <w:szCs w:val="24"/>
        </w:rPr>
        <w:t xml:space="preserve">-2012 yılları arasındaki on yıllık dönemde en çok üzerinde durulan konular sırası ile politikalar, sıcaklık artışı, </w:t>
      </w:r>
      <w:r w:rsidR="00F41A50">
        <w:rPr>
          <w:rFonts w:ascii="Times New Roman" w:hAnsi="Times New Roman" w:cs="Times New Roman"/>
          <w:sz w:val="24"/>
          <w:szCs w:val="24"/>
        </w:rPr>
        <w:t xml:space="preserve">iklim değişikliğinin </w:t>
      </w:r>
      <w:r w:rsidR="0032649B" w:rsidRPr="0032649B">
        <w:rPr>
          <w:rFonts w:ascii="Times New Roman" w:hAnsi="Times New Roman" w:cs="Times New Roman"/>
          <w:sz w:val="24"/>
          <w:szCs w:val="24"/>
        </w:rPr>
        <w:t xml:space="preserve">halk sağlığı etkileri, genel sağlık etkileri, bulaşıcı hastalıklar, projeksiyon/modelleme çalışmalarıdır. On yıllık periyotlara göre en çok işlenen 25 konu Tablo 1’de verilmiştir. </w:t>
      </w:r>
      <w:r w:rsidR="00570711">
        <w:rPr>
          <w:rFonts w:ascii="Times New Roman" w:hAnsi="Times New Roman" w:cs="Times New Roman"/>
          <w:sz w:val="24"/>
          <w:szCs w:val="24"/>
        </w:rPr>
        <w:t xml:space="preserve"> Bulaşıcı hastalıklar, ruh sağlığı, çocuk sağlığı, iş sağlığı, iklim-sağlık araştırmalrı, hava kirliği/hava kalitesi, sağlık profesyonellerinin görevleri, aşırı hava olayları, tek sağlık, anne-kadın-üreme sağlığı konularında yapılan çalışmalar son on yılda bir önceki dekada göre artış göstermiştir. ısı artışı, iklim değişikliğinin genel sağlık etkileri, projeksiyon/modelleme çalışmaları, kronik hastalıklar, gıda üzerine etkiler, iklim değişikliğine uyum, küresel sağlık, morbidite/mortalite, şehir sağlığı, sağlık profesyonellerinin eğitimi, iklim değişikliğinin sosyal yaşama etkileri, toplumun bakış açısı/bilgi düzeyi, çevre sağlığı, ekosistem, karbon salınımı/sera gazı, hassas gruplar, sürdürülebilirlik konularını iklim değişikliği çerçevesinde ele alan çalışmalarda son on yılda bir önceki dekada göre azalma görülmektedir.</w:t>
      </w:r>
    </w:p>
    <w:p w:rsidR="0032649B" w:rsidRPr="0032649B" w:rsidRDefault="0032649B" w:rsidP="0032649B">
      <w:pPr>
        <w:spacing w:line="360" w:lineRule="auto"/>
        <w:jc w:val="both"/>
        <w:rPr>
          <w:rFonts w:ascii="Times New Roman" w:hAnsi="Times New Roman" w:cs="Times New Roman"/>
          <w:sz w:val="24"/>
          <w:szCs w:val="24"/>
        </w:rPr>
      </w:pPr>
      <w:r w:rsidRPr="0032649B">
        <w:rPr>
          <w:rFonts w:ascii="Times New Roman" w:hAnsi="Times New Roman" w:cs="Times New Roman"/>
          <w:sz w:val="24"/>
          <w:szCs w:val="24"/>
        </w:rPr>
        <w:t>Tablo 1. On yıllık periyotlara göre en çok işlenen 25 konu</w:t>
      </w:r>
    </w:p>
    <w:tbl>
      <w:tblPr>
        <w:tblStyle w:val="TableGrid"/>
        <w:tblW w:w="0" w:type="auto"/>
        <w:tblLook w:val="04A0" w:firstRow="1" w:lastRow="0" w:firstColumn="1" w:lastColumn="0" w:noHBand="0" w:noVBand="1"/>
      </w:tblPr>
      <w:tblGrid>
        <w:gridCol w:w="675"/>
        <w:gridCol w:w="3121"/>
        <w:gridCol w:w="652"/>
        <w:gridCol w:w="817"/>
        <w:gridCol w:w="2825"/>
        <w:gridCol w:w="692"/>
        <w:gridCol w:w="506"/>
      </w:tblGrid>
      <w:tr w:rsidR="003F0693" w:rsidRPr="003F0693" w:rsidTr="003F0693">
        <w:tc>
          <w:tcPr>
            <w:tcW w:w="675" w:type="dxa"/>
          </w:tcPr>
          <w:p w:rsidR="003F0693" w:rsidRPr="003F0693" w:rsidRDefault="003F0693" w:rsidP="004400B4">
            <w:pPr>
              <w:spacing w:line="360" w:lineRule="auto"/>
              <w:jc w:val="center"/>
              <w:rPr>
                <w:rFonts w:ascii="Times New Roman" w:hAnsi="Times New Roman" w:cs="Times New Roman"/>
              </w:rPr>
            </w:pPr>
          </w:p>
        </w:tc>
        <w:tc>
          <w:tcPr>
            <w:tcW w:w="4590" w:type="dxa"/>
            <w:gridSpan w:val="3"/>
          </w:tcPr>
          <w:p w:rsidR="003F0693" w:rsidRPr="003F0693" w:rsidRDefault="003F0693" w:rsidP="004400B4">
            <w:pPr>
              <w:spacing w:line="360" w:lineRule="auto"/>
              <w:jc w:val="center"/>
              <w:rPr>
                <w:rFonts w:ascii="Times New Roman" w:hAnsi="Times New Roman" w:cs="Times New Roman"/>
              </w:rPr>
            </w:pPr>
            <w:r w:rsidRPr="003F0693">
              <w:rPr>
                <w:rFonts w:ascii="Times New Roman" w:hAnsi="Times New Roman" w:cs="Times New Roman"/>
              </w:rPr>
              <w:t>2003-2012</w:t>
            </w:r>
          </w:p>
        </w:tc>
        <w:tc>
          <w:tcPr>
            <w:tcW w:w="4023" w:type="dxa"/>
            <w:gridSpan w:val="3"/>
          </w:tcPr>
          <w:p w:rsidR="003F0693" w:rsidRPr="003F0693" w:rsidRDefault="003F0693" w:rsidP="004400B4">
            <w:pPr>
              <w:spacing w:line="360" w:lineRule="auto"/>
              <w:jc w:val="center"/>
              <w:rPr>
                <w:rFonts w:ascii="Times New Roman" w:hAnsi="Times New Roman" w:cs="Times New Roman"/>
              </w:rPr>
            </w:pPr>
            <w:r w:rsidRPr="003F0693">
              <w:rPr>
                <w:rFonts w:ascii="Times New Roman" w:hAnsi="Times New Roman" w:cs="Times New Roman"/>
              </w:rPr>
              <w:t>2013-2022</w:t>
            </w:r>
          </w:p>
        </w:tc>
      </w:tr>
      <w:tr w:rsidR="003F0693" w:rsidRPr="003F0693" w:rsidTr="003F0693">
        <w:tc>
          <w:tcPr>
            <w:tcW w:w="675" w:type="dxa"/>
          </w:tcPr>
          <w:p w:rsidR="003F0693" w:rsidRPr="003F0693" w:rsidRDefault="003F0693" w:rsidP="0032649B">
            <w:pPr>
              <w:spacing w:line="360" w:lineRule="auto"/>
              <w:jc w:val="both"/>
              <w:rPr>
                <w:rFonts w:ascii="Times New Roman" w:hAnsi="Times New Roman" w:cs="Times New Roman"/>
              </w:rPr>
            </w:pPr>
          </w:p>
        </w:tc>
        <w:tc>
          <w:tcPr>
            <w:tcW w:w="3121" w:type="dxa"/>
          </w:tcPr>
          <w:p w:rsidR="003F0693" w:rsidRPr="003F0693" w:rsidRDefault="003F0693" w:rsidP="0032649B">
            <w:pPr>
              <w:spacing w:line="360" w:lineRule="auto"/>
              <w:jc w:val="both"/>
              <w:rPr>
                <w:rFonts w:ascii="Times New Roman" w:hAnsi="Times New Roman" w:cs="Times New Roman"/>
              </w:rPr>
            </w:pPr>
            <w:r w:rsidRPr="003F0693">
              <w:rPr>
                <w:rFonts w:ascii="Times New Roman" w:hAnsi="Times New Roman" w:cs="Times New Roman"/>
              </w:rPr>
              <w:t>Konu</w:t>
            </w:r>
            <w:r>
              <w:rPr>
                <w:rFonts w:ascii="Times New Roman" w:hAnsi="Times New Roman" w:cs="Times New Roman"/>
              </w:rPr>
              <w:t>*</w:t>
            </w:r>
          </w:p>
        </w:tc>
        <w:tc>
          <w:tcPr>
            <w:tcW w:w="652" w:type="dxa"/>
          </w:tcPr>
          <w:p w:rsidR="003F0693" w:rsidRPr="003F0693" w:rsidRDefault="003F0693" w:rsidP="0032649B">
            <w:pPr>
              <w:spacing w:line="360" w:lineRule="auto"/>
              <w:jc w:val="both"/>
              <w:rPr>
                <w:rFonts w:ascii="Times New Roman" w:hAnsi="Times New Roman" w:cs="Times New Roman"/>
              </w:rPr>
            </w:pPr>
            <w:r w:rsidRPr="003F0693">
              <w:rPr>
                <w:rFonts w:ascii="Times New Roman" w:hAnsi="Times New Roman" w:cs="Times New Roman"/>
              </w:rPr>
              <w:t>n</w:t>
            </w:r>
          </w:p>
        </w:tc>
        <w:tc>
          <w:tcPr>
            <w:tcW w:w="817" w:type="dxa"/>
          </w:tcPr>
          <w:p w:rsidR="003F0693" w:rsidRPr="003F0693" w:rsidRDefault="003F0693" w:rsidP="0032649B">
            <w:pPr>
              <w:spacing w:line="360" w:lineRule="auto"/>
              <w:jc w:val="both"/>
              <w:rPr>
                <w:rFonts w:ascii="Times New Roman" w:hAnsi="Times New Roman" w:cs="Times New Roman"/>
              </w:rPr>
            </w:pPr>
            <w:r w:rsidRPr="003F0693">
              <w:rPr>
                <w:rFonts w:ascii="Times New Roman" w:hAnsi="Times New Roman" w:cs="Times New Roman"/>
              </w:rPr>
              <w:t>%</w:t>
            </w:r>
          </w:p>
        </w:tc>
        <w:tc>
          <w:tcPr>
            <w:tcW w:w="2825" w:type="dxa"/>
          </w:tcPr>
          <w:p w:rsidR="003F0693" w:rsidRPr="003F0693" w:rsidRDefault="003F0693" w:rsidP="0032649B">
            <w:pPr>
              <w:spacing w:line="360" w:lineRule="auto"/>
              <w:jc w:val="both"/>
              <w:rPr>
                <w:rFonts w:ascii="Times New Roman" w:hAnsi="Times New Roman" w:cs="Times New Roman"/>
              </w:rPr>
            </w:pPr>
            <w:r w:rsidRPr="003F0693">
              <w:rPr>
                <w:rFonts w:ascii="Times New Roman" w:hAnsi="Times New Roman" w:cs="Times New Roman"/>
              </w:rPr>
              <w:t>Konu</w:t>
            </w:r>
          </w:p>
        </w:tc>
        <w:tc>
          <w:tcPr>
            <w:tcW w:w="692" w:type="dxa"/>
          </w:tcPr>
          <w:p w:rsidR="003F0693" w:rsidRPr="003F0693" w:rsidRDefault="003F0693" w:rsidP="0032649B">
            <w:pPr>
              <w:spacing w:line="360" w:lineRule="auto"/>
              <w:jc w:val="both"/>
              <w:rPr>
                <w:rFonts w:ascii="Times New Roman" w:hAnsi="Times New Roman" w:cs="Times New Roman"/>
              </w:rPr>
            </w:pPr>
            <w:r w:rsidRPr="003F0693">
              <w:rPr>
                <w:rFonts w:ascii="Times New Roman" w:hAnsi="Times New Roman" w:cs="Times New Roman"/>
              </w:rPr>
              <w:t>n</w:t>
            </w:r>
          </w:p>
        </w:tc>
        <w:tc>
          <w:tcPr>
            <w:tcW w:w="506" w:type="dxa"/>
          </w:tcPr>
          <w:p w:rsidR="003F0693" w:rsidRPr="003F0693" w:rsidRDefault="003F0693" w:rsidP="0032649B">
            <w:pPr>
              <w:spacing w:line="360" w:lineRule="auto"/>
              <w:jc w:val="both"/>
              <w:rPr>
                <w:rFonts w:ascii="Times New Roman" w:hAnsi="Times New Roman" w:cs="Times New Roman"/>
              </w:rPr>
            </w:pPr>
            <w:r w:rsidRPr="003F0693">
              <w:rPr>
                <w:rFonts w:ascii="Times New Roman" w:hAnsi="Times New Roman" w:cs="Times New Roman"/>
              </w:rPr>
              <w:t>%</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İklim ve sağlık politikaları</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27</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8</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İklim ve sağlık politikaları</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128</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8,7</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ısı artışı</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25</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7,4</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bulaşıcı hastalıklar</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123</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8,3</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3</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halk sağlığı</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23</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6,8</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halk sağlığı</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107</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7,2</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lastRenderedPageBreak/>
              <w:t>4</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genel sağlık etkileri</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22</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6,5</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ısı artışı</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95</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6,4</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5</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bulaşıcı hastalıklar</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20</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5,9</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genel sağlık etkileri</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91</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6,2</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6</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projeksiyon/modelleme</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13</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3,8</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ruh sağlığı</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73</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4,9</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7</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iklim değişikliğine uyum</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13</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3,8</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çocuk sağlığı</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45</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3</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8</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iklim değişikliğine müdahale</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12</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3,6</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iklim değişikliğine müdahale</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40</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2,7</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9</w:t>
            </w:r>
          </w:p>
        </w:tc>
        <w:tc>
          <w:tcPr>
            <w:tcW w:w="3121" w:type="dxa"/>
            <w:noWrap/>
            <w:hideMark/>
          </w:tcPr>
          <w:p w:rsidR="003F0693" w:rsidRPr="00570711" w:rsidRDefault="003F0693" w:rsidP="0032649B">
            <w:pPr>
              <w:spacing w:line="360" w:lineRule="auto"/>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çevre sağlığı</w:t>
            </w:r>
          </w:p>
        </w:tc>
        <w:tc>
          <w:tcPr>
            <w:tcW w:w="652" w:type="dxa"/>
            <w:noWrap/>
            <w:hideMark/>
          </w:tcPr>
          <w:p w:rsidR="003F0693" w:rsidRPr="00570711" w:rsidRDefault="003F0693" w:rsidP="0032649B">
            <w:pPr>
              <w:spacing w:line="360" w:lineRule="auto"/>
              <w:jc w:val="right"/>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11</w:t>
            </w:r>
          </w:p>
        </w:tc>
        <w:tc>
          <w:tcPr>
            <w:tcW w:w="817" w:type="dxa"/>
            <w:noWrap/>
            <w:hideMark/>
          </w:tcPr>
          <w:p w:rsidR="003F0693" w:rsidRPr="00570711" w:rsidRDefault="003F0693" w:rsidP="0032649B">
            <w:pPr>
              <w:spacing w:line="360" w:lineRule="auto"/>
              <w:jc w:val="right"/>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3,3</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iş sağlığı</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39</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2,6</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10</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gıda üzerine etkiler</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10</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3</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iklim-sağlık araştırmaları</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38</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2,6</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11</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sosyal yaşama etkileri</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10</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3</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projeksiyon/modelleme</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38</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2,6</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12</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kronik hastalıklar</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9</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2,7</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hava kirliliği/hava kalitesi</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34</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2,3</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13</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morbidite/mortalite</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9</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2,7</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kronik hastalıklar</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32</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2,2</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14</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toplum bakış açısı/bilgi düzeyi</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9</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2,7</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gıda üzerine etkiler</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31</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yellow"/>
                <w:lang w:eastAsia="ja-JP"/>
              </w:rPr>
            </w:pPr>
            <w:r w:rsidRPr="003F0693">
              <w:rPr>
                <w:rFonts w:ascii="Times New Roman" w:eastAsia="Times New Roman" w:hAnsi="Times New Roman" w:cs="Times New Roman"/>
                <w:color w:val="000000"/>
                <w:highlight w:val="yellow"/>
                <w:lang w:eastAsia="ja-JP"/>
              </w:rPr>
              <w:t>2,1</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15</w:t>
            </w:r>
          </w:p>
        </w:tc>
        <w:tc>
          <w:tcPr>
            <w:tcW w:w="3121" w:type="dxa"/>
            <w:noWrap/>
            <w:hideMark/>
          </w:tcPr>
          <w:p w:rsidR="003F0693" w:rsidRPr="00570711" w:rsidRDefault="003F0693" w:rsidP="0032649B">
            <w:pPr>
              <w:spacing w:line="360" w:lineRule="auto"/>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ekosistem</w:t>
            </w:r>
          </w:p>
        </w:tc>
        <w:tc>
          <w:tcPr>
            <w:tcW w:w="652" w:type="dxa"/>
            <w:noWrap/>
            <w:hideMark/>
          </w:tcPr>
          <w:p w:rsidR="003F0693" w:rsidRPr="00570711" w:rsidRDefault="003F0693" w:rsidP="0032649B">
            <w:pPr>
              <w:spacing w:line="360" w:lineRule="auto"/>
              <w:jc w:val="right"/>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8</w:t>
            </w:r>
          </w:p>
        </w:tc>
        <w:tc>
          <w:tcPr>
            <w:tcW w:w="817" w:type="dxa"/>
            <w:noWrap/>
            <w:hideMark/>
          </w:tcPr>
          <w:p w:rsidR="003F0693" w:rsidRPr="00570711" w:rsidRDefault="003F0693" w:rsidP="0032649B">
            <w:pPr>
              <w:spacing w:line="360" w:lineRule="auto"/>
              <w:jc w:val="right"/>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2,4</w:t>
            </w:r>
          </w:p>
        </w:tc>
        <w:tc>
          <w:tcPr>
            <w:tcW w:w="2825" w:type="dxa"/>
            <w:noWrap/>
            <w:hideMark/>
          </w:tcPr>
          <w:p w:rsidR="003F0693" w:rsidRPr="003F0693" w:rsidRDefault="003F0693" w:rsidP="0032649B">
            <w:pPr>
              <w:spacing w:line="360" w:lineRule="auto"/>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sağlık profesyonellerinin görevi</w:t>
            </w:r>
          </w:p>
        </w:tc>
        <w:tc>
          <w:tcPr>
            <w:tcW w:w="692"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30</w:t>
            </w:r>
          </w:p>
        </w:tc>
        <w:tc>
          <w:tcPr>
            <w:tcW w:w="506" w:type="dxa"/>
            <w:noWrap/>
            <w:hideMark/>
          </w:tcPr>
          <w:p w:rsidR="003F0693" w:rsidRPr="003F0693" w:rsidRDefault="003F0693" w:rsidP="0032649B">
            <w:pPr>
              <w:spacing w:line="360" w:lineRule="auto"/>
              <w:jc w:val="right"/>
              <w:rPr>
                <w:rFonts w:ascii="Times New Roman" w:eastAsia="Times New Roman" w:hAnsi="Times New Roman" w:cs="Times New Roman"/>
                <w:color w:val="000000"/>
                <w:highlight w:val="red"/>
                <w:lang w:eastAsia="ja-JP"/>
              </w:rPr>
            </w:pPr>
            <w:r w:rsidRPr="003F0693">
              <w:rPr>
                <w:rFonts w:ascii="Times New Roman" w:eastAsia="Times New Roman" w:hAnsi="Times New Roman" w:cs="Times New Roman"/>
                <w:color w:val="000000"/>
                <w:highlight w:val="red"/>
                <w:lang w:eastAsia="ja-JP"/>
              </w:rPr>
              <w:t>2</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16</w:t>
            </w:r>
          </w:p>
        </w:tc>
        <w:tc>
          <w:tcPr>
            <w:tcW w:w="3121" w:type="dxa"/>
            <w:noWrap/>
            <w:hideMark/>
          </w:tcPr>
          <w:p w:rsidR="003F0693" w:rsidRPr="00570711" w:rsidRDefault="003F0693" w:rsidP="0032649B">
            <w:pPr>
              <w:spacing w:line="360" w:lineRule="auto"/>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karbon salınımı/sera gazı</w:t>
            </w:r>
          </w:p>
        </w:tc>
        <w:tc>
          <w:tcPr>
            <w:tcW w:w="652" w:type="dxa"/>
            <w:noWrap/>
            <w:hideMark/>
          </w:tcPr>
          <w:p w:rsidR="003F0693" w:rsidRPr="00570711" w:rsidRDefault="003F0693" w:rsidP="0032649B">
            <w:pPr>
              <w:spacing w:line="360" w:lineRule="auto"/>
              <w:jc w:val="right"/>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8</w:t>
            </w:r>
          </w:p>
        </w:tc>
        <w:tc>
          <w:tcPr>
            <w:tcW w:w="817" w:type="dxa"/>
            <w:noWrap/>
            <w:hideMark/>
          </w:tcPr>
          <w:p w:rsidR="003F0693" w:rsidRPr="00570711" w:rsidRDefault="003F0693" w:rsidP="0032649B">
            <w:pPr>
              <w:spacing w:line="360" w:lineRule="auto"/>
              <w:jc w:val="right"/>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2,4</w:t>
            </w:r>
          </w:p>
        </w:tc>
        <w:tc>
          <w:tcPr>
            <w:tcW w:w="2825" w:type="dxa"/>
            <w:noWrap/>
            <w:hideMark/>
          </w:tcPr>
          <w:p w:rsidR="003F0693" w:rsidRPr="00252E6A" w:rsidRDefault="003F0693" w:rsidP="0032649B">
            <w:pPr>
              <w:spacing w:line="360" w:lineRule="auto"/>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iklim değişikliğine uyum</w:t>
            </w:r>
          </w:p>
        </w:tc>
        <w:tc>
          <w:tcPr>
            <w:tcW w:w="692"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30</w:t>
            </w:r>
          </w:p>
        </w:tc>
        <w:tc>
          <w:tcPr>
            <w:tcW w:w="506"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2</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17</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şehir sağlığı</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8</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2,4</w:t>
            </w:r>
          </w:p>
        </w:tc>
        <w:tc>
          <w:tcPr>
            <w:tcW w:w="2825" w:type="dxa"/>
            <w:noWrap/>
            <w:hideMark/>
          </w:tcPr>
          <w:p w:rsidR="003F0693" w:rsidRPr="00252E6A" w:rsidRDefault="003F0693" w:rsidP="0032649B">
            <w:pPr>
              <w:spacing w:line="360" w:lineRule="auto"/>
              <w:rPr>
                <w:rFonts w:ascii="Times New Roman" w:eastAsia="Times New Roman" w:hAnsi="Times New Roman" w:cs="Times New Roman"/>
                <w:color w:val="000000"/>
                <w:highlight w:val="red"/>
                <w:lang w:eastAsia="ja-JP"/>
              </w:rPr>
            </w:pPr>
            <w:r w:rsidRPr="00252E6A">
              <w:rPr>
                <w:rFonts w:ascii="Times New Roman" w:eastAsia="Times New Roman" w:hAnsi="Times New Roman" w:cs="Times New Roman"/>
                <w:color w:val="000000"/>
                <w:highlight w:val="red"/>
                <w:lang w:eastAsia="ja-JP"/>
              </w:rPr>
              <w:t>aşırı hava olayları</w:t>
            </w:r>
          </w:p>
        </w:tc>
        <w:tc>
          <w:tcPr>
            <w:tcW w:w="692"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red"/>
                <w:lang w:eastAsia="ja-JP"/>
              </w:rPr>
            </w:pPr>
            <w:r w:rsidRPr="00252E6A">
              <w:rPr>
                <w:rFonts w:ascii="Times New Roman" w:eastAsia="Times New Roman" w:hAnsi="Times New Roman" w:cs="Times New Roman"/>
                <w:color w:val="000000"/>
                <w:highlight w:val="red"/>
                <w:lang w:eastAsia="ja-JP"/>
              </w:rPr>
              <w:t>24</w:t>
            </w:r>
          </w:p>
        </w:tc>
        <w:tc>
          <w:tcPr>
            <w:tcW w:w="506"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red"/>
                <w:lang w:eastAsia="ja-JP"/>
              </w:rPr>
            </w:pPr>
            <w:r w:rsidRPr="00252E6A">
              <w:rPr>
                <w:rFonts w:ascii="Times New Roman" w:eastAsia="Times New Roman" w:hAnsi="Times New Roman" w:cs="Times New Roman"/>
                <w:color w:val="000000"/>
                <w:highlight w:val="red"/>
                <w:lang w:eastAsia="ja-JP"/>
              </w:rPr>
              <w:t>1,6</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18</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iş sağlığı</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7</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2,1</w:t>
            </w:r>
          </w:p>
        </w:tc>
        <w:tc>
          <w:tcPr>
            <w:tcW w:w="2825" w:type="dxa"/>
            <w:noWrap/>
            <w:hideMark/>
          </w:tcPr>
          <w:p w:rsidR="003F0693" w:rsidRPr="00252E6A" w:rsidRDefault="003F0693" w:rsidP="0032649B">
            <w:pPr>
              <w:spacing w:line="360" w:lineRule="auto"/>
              <w:rPr>
                <w:rFonts w:ascii="Times New Roman" w:eastAsia="Times New Roman" w:hAnsi="Times New Roman" w:cs="Times New Roman"/>
                <w:color w:val="000000"/>
                <w:highlight w:val="red"/>
                <w:lang w:eastAsia="ja-JP"/>
              </w:rPr>
            </w:pPr>
            <w:r w:rsidRPr="00252E6A">
              <w:rPr>
                <w:rFonts w:ascii="Times New Roman" w:eastAsia="Times New Roman" w:hAnsi="Times New Roman" w:cs="Times New Roman"/>
                <w:color w:val="000000"/>
                <w:highlight w:val="red"/>
                <w:lang w:eastAsia="ja-JP"/>
              </w:rPr>
              <w:t>tek sağlık</w:t>
            </w:r>
          </w:p>
        </w:tc>
        <w:tc>
          <w:tcPr>
            <w:tcW w:w="692"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red"/>
                <w:lang w:eastAsia="ja-JP"/>
              </w:rPr>
            </w:pPr>
            <w:r w:rsidRPr="00252E6A">
              <w:rPr>
                <w:rFonts w:ascii="Times New Roman" w:eastAsia="Times New Roman" w:hAnsi="Times New Roman" w:cs="Times New Roman"/>
                <w:color w:val="000000"/>
                <w:highlight w:val="red"/>
                <w:lang w:eastAsia="ja-JP"/>
              </w:rPr>
              <w:t>24</w:t>
            </w:r>
          </w:p>
        </w:tc>
        <w:tc>
          <w:tcPr>
            <w:tcW w:w="506"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red"/>
                <w:lang w:eastAsia="ja-JP"/>
              </w:rPr>
            </w:pPr>
            <w:r w:rsidRPr="00252E6A">
              <w:rPr>
                <w:rFonts w:ascii="Times New Roman" w:eastAsia="Times New Roman" w:hAnsi="Times New Roman" w:cs="Times New Roman"/>
                <w:color w:val="000000"/>
                <w:highlight w:val="red"/>
                <w:lang w:eastAsia="ja-JP"/>
              </w:rPr>
              <w:t>1,6</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19</w:t>
            </w:r>
          </w:p>
        </w:tc>
        <w:tc>
          <w:tcPr>
            <w:tcW w:w="3121" w:type="dxa"/>
            <w:noWrap/>
            <w:hideMark/>
          </w:tcPr>
          <w:p w:rsidR="003F0693" w:rsidRPr="00570711" w:rsidRDefault="003F0693" w:rsidP="0032649B">
            <w:pPr>
              <w:spacing w:line="360" w:lineRule="auto"/>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hassas gruplar</w:t>
            </w:r>
          </w:p>
        </w:tc>
        <w:tc>
          <w:tcPr>
            <w:tcW w:w="652" w:type="dxa"/>
            <w:noWrap/>
            <w:hideMark/>
          </w:tcPr>
          <w:p w:rsidR="003F0693" w:rsidRPr="00570711" w:rsidRDefault="003F0693" w:rsidP="0032649B">
            <w:pPr>
              <w:spacing w:line="360" w:lineRule="auto"/>
              <w:jc w:val="right"/>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6</w:t>
            </w:r>
          </w:p>
        </w:tc>
        <w:tc>
          <w:tcPr>
            <w:tcW w:w="817" w:type="dxa"/>
            <w:noWrap/>
            <w:hideMark/>
          </w:tcPr>
          <w:p w:rsidR="003F0693" w:rsidRPr="00570711" w:rsidRDefault="003F0693" w:rsidP="0032649B">
            <w:pPr>
              <w:spacing w:line="360" w:lineRule="auto"/>
              <w:jc w:val="right"/>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1,8</w:t>
            </w:r>
          </w:p>
        </w:tc>
        <w:tc>
          <w:tcPr>
            <w:tcW w:w="2825" w:type="dxa"/>
            <w:noWrap/>
            <w:hideMark/>
          </w:tcPr>
          <w:p w:rsidR="003F0693" w:rsidRPr="00252E6A" w:rsidRDefault="003F0693" w:rsidP="0032649B">
            <w:pPr>
              <w:spacing w:line="360" w:lineRule="auto"/>
              <w:rPr>
                <w:rFonts w:ascii="Times New Roman" w:eastAsia="Times New Roman" w:hAnsi="Times New Roman" w:cs="Times New Roman"/>
                <w:color w:val="000000"/>
                <w:highlight w:val="red"/>
                <w:lang w:eastAsia="ja-JP"/>
              </w:rPr>
            </w:pPr>
            <w:r w:rsidRPr="00252E6A">
              <w:rPr>
                <w:rFonts w:ascii="Times New Roman" w:eastAsia="Times New Roman" w:hAnsi="Times New Roman" w:cs="Times New Roman"/>
                <w:color w:val="000000"/>
                <w:highlight w:val="red"/>
                <w:lang w:eastAsia="ja-JP"/>
              </w:rPr>
              <w:t>anne-kadın-üreme sağlığı</w:t>
            </w:r>
          </w:p>
        </w:tc>
        <w:tc>
          <w:tcPr>
            <w:tcW w:w="692"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red"/>
                <w:lang w:eastAsia="ja-JP"/>
              </w:rPr>
            </w:pPr>
            <w:r w:rsidRPr="00252E6A">
              <w:rPr>
                <w:rFonts w:ascii="Times New Roman" w:eastAsia="Times New Roman" w:hAnsi="Times New Roman" w:cs="Times New Roman"/>
                <w:color w:val="000000"/>
                <w:highlight w:val="red"/>
                <w:lang w:eastAsia="ja-JP"/>
              </w:rPr>
              <w:t>21</w:t>
            </w:r>
          </w:p>
        </w:tc>
        <w:tc>
          <w:tcPr>
            <w:tcW w:w="506"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red"/>
                <w:lang w:eastAsia="ja-JP"/>
              </w:rPr>
            </w:pPr>
            <w:r w:rsidRPr="00252E6A">
              <w:rPr>
                <w:rFonts w:ascii="Times New Roman" w:eastAsia="Times New Roman" w:hAnsi="Times New Roman" w:cs="Times New Roman"/>
                <w:color w:val="000000"/>
                <w:highlight w:val="red"/>
                <w:lang w:eastAsia="ja-JP"/>
              </w:rPr>
              <w:t>1,4</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20</w:t>
            </w:r>
          </w:p>
        </w:tc>
        <w:tc>
          <w:tcPr>
            <w:tcW w:w="3121" w:type="dxa"/>
            <w:noWrap/>
            <w:hideMark/>
          </w:tcPr>
          <w:p w:rsidR="003F0693" w:rsidRPr="00570711" w:rsidRDefault="003F0693" w:rsidP="0032649B">
            <w:pPr>
              <w:spacing w:line="360" w:lineRule="auto"/>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sürdürülebilirlik</w:t>
            </w:r>
          </w:p>
        </w:tc>
        <w:tc>
          <w:tcPr>
            <w:tcW w:w="652" w:type="dxa"/>
            <w:noWrap/>
            <w:hideMark/>
          </w:tcPr>
          <w:p w:rsidR="003F0693" w:rsidRPr="00570711" w:rsidRDefault="003F0693" w:rsidP="0032649B">
            <w:pPr>
              <w:spacing w:line="360" w:lineRule="auto"/>
              <w:jc w:val="right"/>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6</w:t>
            </w:r>
          </w:p>
        </w:tc>
        <w:tc>
          <w:tcPr>
            <w:tcW w:w="817" w:type="dxa"/>
            <w:noWrap/>
            <w:hideMark/>
          </w:tcPr>
          <w:p w:rsidR="003F0693" w:rsidRPr="00570711" w:rsidRDefault="003F0693" w:rsidP="0032649B">
            <w:pPr>
              <w:spacing w:line="360" w:lineRule="auto"/>
              <w:jc w:val="right"/>
              <w:rPr>
                <w:rFonts w:ascii="Times New Roman" w:eastAsia="Times New Roman" w:hAnsi="Times New Roman" w:cs="Times New Roman"/>
                <w:color w:val="000000"/>
                <w:highlight w:val="yellow"/>
                <w:lang w:eastAsia="ja-JP"/>
              </w:rPr>
            </w:pPr>
            <w:r w:rsidRPr="00570711">
              <w:rPr>
                <w:rFonts w:ascii="Times New Roman" w:eastAsia="Times New Roman" w:hAnsi="Times New Roman" w:cs="Times New Roman"/>
                <w:color w:val="000000"/>
                <w:highlight w:val="yellow"/>
                <w:lang w:eastAsia="ja-JP"/>
              </w:rPr>
              <w:t>1,8</w:t>
            </w:r>
          </w:p>
        </w:tc>
        <w:tc>
          <w:tcPr>
            <w:tcW w:w="2825" w:type="dxa"/>
            <w:noWrap/>
            <w:hideMark/>
          </w:tcPr>
          <w:p w:rsidR="003F0693" w:rsidRPr="00252E6A" w:rsidRDefault="003F0693" w:rsidP="0032649B">
            <w:pPr>
              <w:spacing w:line="360" w:lineRule="auto"/>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küresel sağlık</w:t>
            </w:r>
          </w:p>
        </w:tc>
        <w:tc>
          <w:tcPr>
            <w:tcW w:w="692"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21</w:t>
            </w:r>
          </w:p>
        </w:tc>
        <w:tc>
          <w:tcPr>
            <w:tcW w:w="506"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1,4</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21</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hava kirliliği/hava kalitesi</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5</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1,5</w:t>
            </w:r>
          </w:p>
        </w:tc>
        <w:tc>
          <w:tcPr>
            <w:tcW w:w="2825" w:type="dxa"/>
            <w:noWrap/>
            <w:hideMark/>
          </w:tcPr>
          <w:p w:rsidR="003F0693" w:rsidRPr="00252E6A" w:rsidRDefault="003F0693" w:rsidP="0032649B">
            <w:pPr>
              <w:spacing w:line="360" w:lineRule="auto"/>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morbidite/mortalite</w:t>
            </w:r>
          </w:p>
        </w:tc>
        <w:tc>
          <w:tcPr>
            <w:tcW w:w="692"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21</w:t>
            </w:r>
          </w:p>
        </w:tc>
        <w:tc>
          <w:tcPr>
            <w:tcW w:w="506"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1,4</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22</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küresel sağlık</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5</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1,5</w:t>
            </w:r>
          </w:p>
        </w:tc>
        <w:tc>
          <w:tcPr>
            <w:tcW w:w="2825" w:type="dxa"/>
            <w:noWrap/>
            <w:hideMark/>
          </w:tcPr>
          <w:p w:rsidR="003F0693" w:rsidRPr="00252E6A" w:rsidRDefault="003F0693" w:rsidP="0032649B">
            <w:pPr>
              <w:spacing w:line="360" w:lineRule="auto"/>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şehir sağlığı</w:t>
            </w:r>
          </w:p>
        </w:tc>
        <w:tc>
          <w:tcPr>
            <w:tcW w:w="692"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21</w:t>
            </w:r>
          </w:p>
        </w:tc>
        <w:tc>
          <w:tcPr>
            <w:tcW w:w="506"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1,4</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23</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ruh sağlığı</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5</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1,5</w:t>
            </w:r>
          </w:p>
        </w:tc>
        <w:tc>
          <w:tcPr>
            <w:tcW w:w="2825" w:type="dxa"/>
            <w:noWrap/>
            <w:hideMark/>
          </w:tcPr>
          <w:p w:rsidR="003F0693" w:rsidRPr="00252E6A" w:rsidRDefault="003F0693" w:rsidP="0032649B">
            <w:pPr>
              <w:spacing w:line="360" w:lineRule="auto"/>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sağlık profesyonellerinin eğitimi</w:t>
            </w:r>
          </w:p>
        </w:tc>
        <w:tc>
          <w:tcPr>
            <w:tcW w:w="692"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19</w:t>
            </w:r>
          </w:p>
        </w:tc>
        <w:tc>
          <w:tcPr>
            <w:tcW w:w="506"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1,3</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24</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sağlık profesyonellerinin eğitimi</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5</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1,5</w:t>
            </w:r>
          </w:p>
        </w:tc>
        <w:tc>
          <w:tcPr>
            <w:tcW w:w="2825" w:type="dxa"/>
            <w:noWrap/>
            <w:hideMark/>
          </w:tcPr>
          <w:p w:rsidR="003F0693" w:rsidRPr="00252E6A" w:rsidRDefault="003F0693" w:rsidP="0032649B">
            <w:pPr>
              <w:spacing w:line="360" w:lineRule="auto"/>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sosyal yaşama etkileri</w:t>
            </w:r>
          </w:p>
        </w:tc>
        <w:tc>
          <w:tcPr>
            <w:tcW w:w="692"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19</w:t>
            </w:r>
          </w:p>
        </w:tc>
        <w:tc>
          <w:tcPr>
            <w:tcW w:w="506"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1,3</w:t>
            </w:r>
          </w:p>
        </w:tc>
      </w:tr>
      <w:tr w:rsidR="003F0693" w:rsidRPr="003F0693" w:rsidTr="003F0693">
        <w:trPr>
          <w:trHeight w:val="288"/>
        </w:trPr>
        <w:tc>
          <w:tcPr>
            <w:tcW w:w="675" w:type="dxa"/>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25</w:t>
            </w:r>
          </w:p>
        </w:tc>
        <w:tc>
          <w:tcPr>
            <w:tcW w:w="3121" w:type="dxa"/>
            <w:noWrap/>
            <w:hideMark/>
          </w:tcPr>
          <w:p w:rsidR="003F0693" w:rsidRPr="003F0693" w:rsidRDefault="003F0693" w:rsidP="0032649B">
            <w:pPr>
              <w:spacing w:line="360" w:lineRule="auto"/>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iklim-sağlık araştırmaları</w:t>
            </w:r>
          </w:p>
        </w:tc>
        <w:tc>
          <w:tcPr>
            <w:tcW w:w="652"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4</w:t>
            </w:r>
          </w:p>
        </w:tc>
        <w:tc>
          <w:tcPr>
            <w:tcW w:w="817" w:type="dxa"/>
            <w:noWrap/>
            <w:hideMark/>
          </w:tcPr>
          <w:p w:rsidR="003F0693" w:rsidRPr="003F0693" w:rsidRDefault="003F0693" w:rsidP="0032649B">
            <w:pPr>
              <w:spacing w:line="360" w:lineRule="auto"/>
              <w:jc w:val="right"/>
              <w:rPr>
                <w:rFonts w:ascii="Times New Roman" w:eastAsia="Times New Roman" w:hAnsi="Times New Roman" w:cs="Times New Roman"/>
                <w:color w:val="000000"/>
                <w:lang w:eastAsia="ja-JP"/>
              </w:rPr>
            </w:pPr>
            <w:r w:rsidRPr="003F0693">
              <w:rPr>
                <w:rFonts w:ascii="Times New Roman" w:eastAsia="Times New Roman" w:hAnsi="Times New Roman" w:cs="Times New Roman"/>
                <w:color w:val="000000"/>
                <w:lang w:eastAsia="ja-JP"/>
              </w:rPr>
              <w:t>1,2</w:t>
            </w:r>
          </w:p>
        </w:tc>
        <w:tc>
          <w:tcPr>
            <w:tcW w:w="2825" w:type="dxa"/>
            <w:noWrap/>
            <w:hideMark/>
          </w:tcPr>
          <w:p w:rsidR="003F0693" w:rsidRPr="00252E6A" w:rsidRDefault="003F0693" w:rsidP="0032649B">
            <w:pPr>
              <w:spacing w:line="360" w:lineRule="auto"/>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toplum bakış açısı/bilgi düzeyi</w:t>
            </w:r>
          </w:p>
        </w:tc>
        <w:tc>
          <w:tcPr>
            <w:tcW w:w="692"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19</w:t>
            </w:r>
          </w:p>
        </w:tc>
        <w:tc>
          <w:tcPr>
            <w:tcW w:w="506" w:type="dxa"/>
            <w:noWrap/>
            <w:hideMark/>
          </w:tcPr>
          <w:p w:rsidR="003F0693" w:rsidRPr="00252E6A" w:rsidRDefault="003F0693" w:rsidP="0032649B">
            <w:pPr>
              <w:spacing w:line="360" w:lineRule="auto"/>
              <w:jc w:val="right"/>
              <w:rPr>
                <w:rFonts w:ascii="Times New Roman" w:eastAsia="Times New Roman" w:hAnsi="Times New Roman" w:cs="Times New Roman"/>
                <w:color w:val="000000"/>
                <w:highlight w:val="yellow"/>
                <w:lang w:eastAsia="ja-JP"/>
              </w:rPr>
            </w:pPr>
            <w:r w:rsidRPr="00252E6A">
              <w:rPr>
                <w:rFonts w:ascii="Times New Roman" w:eastAsia="Times New Roman" w:hAnsi="Times New Roman" w:cs="Times New Roman"/>
                <w:color w:val="000000"/>
                <w:highlight w:val="yellow"/>
                <w:lang w:eastAsia="ja-JP"/>
              </w:rPr>
              <w:t>1,3</w:t>
            </w:r>
          </w:p>
        </w:tc>
      </w:tr>
    </w:tbl>
    <w:p w:rsidR="0032649B" w:rsidRDefault="003F0693" w:rsidP="007129C9">
      <w:pPr>
        <w:spacing w:line="240" w:lineRule="auto"/>
        <w:jc w:val="both"/>
        <w:rPr>
          <w:rFonts w:ascii="Times New Roman" w:hAnsi="Times New Roman" w:cs="Times New Roman"/>
          <w:sz w:val="24"/>
          <w:szCs w:val="24"/>
        </w:rPr>
      </w:pPr>
      <w:r>
        <w:rPr>
          <w:rFonts w:ascii="Times New Roman" w:hAnsi="Times New Roman" w:cs="Times New Roman"/>
          <w:sz w:val="24"/>
          <w:szCs w:val="24"/>
        </w:rPr>
        <w:t>*Aynı makale birden fazla konu içerebilmektedir.</w:t>
      </w:r>
    </w:p>
    <w:p w:rsidR="007129C9" w:rsidRDefault="007129C9" w:rsidP="007129C9">
      <w:pPr>
        <w:spacing w:line="240" w:lineRule="auto"/>
        <w:jc w:val="both"/>
        <w:rPr>
          <w:rFonts w:ascii="Times New Roman" w:hAnsi="Times New Roman" w:cs="Times New Roman"/>
          <w:sz w:val="24"/>
          <w:szCs w:val="24"/>
        </w:rPr>
      </w:pPr>
      <w:r>
        <w:rPr>
          <w:rFonts w:ascii="Times New Roman" w:hAnsi="Times New Roman" w:cs="Times New Roman"/>
          <w:sz w:val="24"/>
          <w:szCs w:val="24"/>
        </w:rPr>
        <w:t>** Araştırılma oranı azalan konular sarı ile artan konular kırmızı ile işaretlenmiştir.</w:t>
      </w:r>
    </w:p>
    <w:p w:rsidR="007129C9" w:rsidRDefault="007129C9" w:rsidP="007129C9">
      <w:pPr>
        <w:spacing w:line="240" w:lineRule="auto"/>
        <w:jc w:val="both"/>
        <w:rPr>
          <w:rFonts w:ascii="Times New Roman" w:hAnsi="Times New Roman" w:cs="Times New Roman"/>
          <w:sz w:val="24"/>
          <w:szCs w:val="24"/>
        </w:rPr>
      </w:pPr>
    </w:p>
    <w:p w:rsidR="009708EE" w:rsidRDefault="009708EE" w:rsidP="0032649B">
      <w:pPr>
        <w:spacing w:line="360" w:lineRule="auto"/>
        <w:jc w:val="both"/>
        <w:rPr>
          <w:rFonts w:ascii="Times New Roman" w:hAnsi="Times New Roman" w:cs="Times New Roman"/>
          <w:sz w:val="24"/>
          <w:szCs w:val="24"/>
        </w:rPr>
      </w:pPr>
      <w:r>
        <w:rPr>
          <w:rFonts w:ascii="Times New Roman" w:hAnsi="Times New Roman" w:cs="Times New Roman"/>
          <w:sz w:val="24"/>
          <w:szCs w:val="24"/>
        </w:rPr>
        <w:t>Sonuç</w:t>
      </w:r>
    </w:p>
    <w:p w:rsidR="003F0693" w:rsidRPr="0032649B" w:rsidRDefault="009708EE" w:rsidP="0032649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Son 20 yıllık dönem iki dekat halinde incelendiğinde her dekatta en çok üzerinde durulan beş konu değişmediği gözlenmiştir. En çok üzerine çalışma yapılan konu iklim değişikliğine ve sağlık etkilerine yönelik yapılacak politikalardır. </w:t>
      </w:r>
      <w:r w:rsidR="00BB64C7">
        <w:rPr>
          <w:rFonts w:ascii="Times New Roman" w:hAnsi="Times New Roman" w:cs="Times New Roman"/>
          <w:sz w:val="24"/>
          <w:szCs w:val="24"/>
        </w:rPr>
        <w:t>İklim değişikliğ</w:t>
      </w:r>
      <w:r w:rsidR="009C15A4">
        <w:rPr>
          <w:rFonts w:ascii="Times New Roman" w:hAnsi="Times New Roman" w:cs="Times New Roman"/>
          <w:sz w:val="24"/>
          <w:szCs w:val="24"/>
        </w:rPr>
        <w:t xml:space="preserve">inin dünya ve sağlık üzerine olan etkilerini yavaşlatmanın yolu iklim değişikliğine uyum sağlayıcı ve </w:t>
      </w:r>
      <w:r w:rsidR="007129C9">
        <w:rPr>
          <w:rFonts w:ascii="Times New Roman" w:hAnsi="Times New Roman" w:cs="Times New Roman"/>
          <w:sz w:val="24"/>
          <w:szCs w:val="24"/>
        </w:rPr>
        <w:t xml:space="preserve">iklim değişikliğini </w:t>
      </w:r>
      <w:r w:rsidR="009C15A4">
        <w:rPr>
          <w:rFonts w:ascii="Times New Roman" w:hAnsi="Times New Roman" w:cs="Times New Roman"/>
          <w:sz w:val="24"/>
          <w:szCs w:val="24"/>
        </w:rPr>
        <w:t xml:space="preserve">önleyici politikalar geliştirmek olduğu için bu konular üzerindeki çalışmalar en sık yapılmış </w:t>
      </w:r>
      <w:r w:rsidR="009C15A4">
        <w:rPr>
          <w:rFonts w:ascii="Times New Roman" w:hAnsi="Times New Roman" w:cs="Times New Roman"/>
          <w:sz w:val="24"/>
          <w:szCs w:val="24"/>
        </w:rPr>
        <w:lastRenderedPageBreak/>
        <w:t>olan çalışmalardır.</w:t>
      </w:r>
      <w:r w:rsidR="007129C9">
        <w:rPr>
          <w:rFonts w:ascii="Times New Roman" w:hAnsi="Times New Roman" w:cs="Times New Roman"/>
          <w:sz w:val="24"/>
          <w:szCs w:val="24"/>
        </w:rPr>
        <w:t xml:space="preserve"> Yapılan bu çalışmaların ışığında paydaşların tamamını içine alan müdahaleler ve politikalarla iklim değişikliğine uyumu artıracak, iklim değişikliğinin etkilerini minimuma indirecek önlemler küresel olarak benimsenmelidir. Her yeni politikal düzenleme ile bu düzenlemenin etkilerini bilimsel şekilde ortaya koyacak çalışmalarla desteklenmelidir.</w:t>
      </w:r>
      <w:r w:rsidR="009C15A4">
        <w:rPr>
          <w:rFonts w:ascii="Times New Roman" w:hAnsi="Times New Roman" w:cs="Times New Roman"/>
          <w:sz w:val="24"/>
          <w:szCs w:val="24"/>
        </w:rPr>
        <w:t xml:space="preserve"> </w:t>
      </w:r>
      <w:r w:rsidR="00570711">
        <w:rPr>
          <w:rFonts w:ascii="Times New Roman" w:hAnsi="Times New Roman" w:cs="Times New Roman"/>
          <w:sz w:val="24"/>
          <w:szCs w:val="24"/>
        </w:rPr>
        <w:t xml:space="preserve">İklim değişikliğinin genel sağlık ve kronik hastalıklar üzerine etkileri uzun yıllardır bilinmekte olmasından dolayı bu konudaki çalışmalar son on yılda azalmakta iken ruh sağlığı alanına çalışma alanının kaymakta olduğu görülmüştür. </w:t>
      </w:r>
      <w:r w:rsidR="009C15A4">
        <w:rPr>
          <w:rFonts w:ascii="Times New Roman" w:hAnsi="Times New Roman" w:cs="Times New Roman"/>
          <w:sz w:val="24"/>
          <w:szCs w:val="24"/>
        </w:rPr>
        <w:t>So</w:t>
      </w:r>
      <w:r w:rsidR="00570711">
        <w:rPr>
          <w:rFonts w:ascii="Times New Roman" w:hAnsi="Times New Roman" w:cs="Times New Roman"/>
          <w:sz w:val="24"/>
          <w:szCs w:val="24"/>
        </w:rPr>
        <w:t>n on yılda r</w:t>
      </w:r>
      <w:r w:rsidR="009C15A4">
        <w:rPr>
          <w:rFonts w:ascii="Times New Roman" w:hAnsi="Times New Roman" w:cs="Times New Roman"/>
          <w:sz w:val="24"/>
          <w:szCs w:val="24"/>
        </w:rPr>
        <w:t xml:space="preserve">uh sağlığı alanında yapılan çalışmaların oranın bir önceki dekada göre yaklaşık 3 </w:t>
      </w:r>
      <w:r w:rsidR="00570711">
        <w:rPr>
          <w:rFonts w:ascii="Times New Roman" w:hAnsi="Times New Roman" w:cs="Times New Roman"/>
          <w:sz w:val="24"/>
          <w:szCs w:val="24"/>
        </w:rPr>
        <w:t>kat artması dikkati çekmektedir</w:t>
      </w:r>
      <w:r w:rsidR="009C15A4">
        <w:rPr>
          <w:rFonts w:ascii="Times New Roman" w:hAnsi="Times New Roman" w:cs="Times New Roman"/>
          <w:sz w:val="24"/>
          <w:szCs w:val="24"/>
        </w:rPr>
        <w:t xml:space="preserve">. Ekolojik stres, anksiyete ve son zamanlarda sıklığı artan ikli değişikliği kaynaklık olaylar sonrasında meydana gelen ekolojik yas çocuk ve gençler de dahil olmak üzere toplumda daha çok artmaktadır (5,6) ve bu alanda yapılan çalışmalar da bununla paralellik göstermektedir. </w:t>
      </w:r>
      <w:r w:rsidR="007129C9" w:rsidRPr="007129C9">
        <w:rPr>
          <w:rFonts w:ascii="Times New Roman" w:hAnsi="Times New Roman" w:cs="Times New Roman"/>
          <w:sz w:val="24"/>
          <w:szCs w:val="24"/>
        </w:rPr>
        <w:t>İklim değişikliğinin ruh sağlığı üzerine etkileri göz önünde tutularak destek hizmetleri ona göre planlanmalıdır.</w:t>
      </w:r>
      <w:r w:rsidR="007129C9">
        <w:rPr>
          <w:rFonts w:ascii="Times New Roman" w:hAnsi="Times New Roman" w:cs="Times New Roman"/>
          <w:sz w:val="24"/>
          <w:szCs w:val="24"/>
        </w:rPr>
        <w:t xml:space="preserve"> </w:t>
      </w:r>
      <w:r w:rsidR="009C15A4">
        <w:rPr>
          <w:rFonts w:ascii="Times New Roman" w:hAnsi="Times New Roman" w:cs="Times New Roman"/>
          <w:sz w:val="24"/>
          <w:szCs w:val="24"/>
        </w:rPr>
        <w:t>İklim değişikliği alanında yapılan çalışmalarda son on yılda artış gösteren diğer bir çalışma konusu ise iklim değişikliğine tek sağlık yaklaşımıdır. Bir önceki dekatta yapılan çalışmalarda tek sağlık çalışmalarına denk gelinmese de son on yılda çevre sağlığı ve iklim değişikliğine yönelik yaklaşımın tek sağlık yaklaşımından geçtiği daha çok fark edilmeye başlanmıştır.</w:t>
      </w:r>
      <w:r w:rsidR="007129C9">
        <w:rPr>
          <w:rFonts w:ascii="Times New Roman" w:hAnsi="Times New Roman" w:cs="Times New Roman"/>
          <w:sz w:val="24"/>
          <w:szCs w:val="24"/>
        </w:rPr>
        <w:t xml:space="preserve"> Dünyanın tüm canlılarla bir bütün olduğu unutulmamalı tüm ekosistemi koruyarak iklim değişikliği ile mücadelenin daha kolay olduğu unutulmamalıdır.</w:t>
      </w:r>
    </w:p>
    <w:p w:rsidR="00691C45" w:rsidRDefault="00E036D8" w:rsidP="0032649B">
      <w:pPr>
        <w:spacing w:line="360" w:lineRule="auto"/>
        <w:rPr>
          <w:rFonts w:ascii="Times New Roman" w:hAnsi="Times New Roman" w:cs="Times New Roman"/>
          <w:sz w:val="24"/>
          <w:szCs w:val="24"/>
        </w:rPr>
      </w:pPr>
      <w:r>
        <w:rPr>
          <w:rFonts w:ascii="Times New Roman" w:hAnsi="Times New Roman" w:cs="Times New Roman"/>
          <w:sz w:val="24"/>
          <w:szCs w:val="24"/>
        </w:rPr>
        <w:t>Kaynaklar</w:t>
      </w:r>
    </w:p>
    <w:p w:rsidR="00E036D8" w:rsidRDefault="00E036D8" w:rsidP="00E036D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Birleşmiş Milletler. İklim Değişikliği. (Erişim linki: </w:t>
      </w:r>
      <w:hyperlink r:id="rId8" w:history="1">
        <w:r w:rsidRPr="00611E45">
          <w:rPr>
            <w:rStyle w:val="Hyperlink"/>
            <w:rFonts w:ascii="Times New Roman" w:hAnsi="Times New Roman" w:cs="Times New Roman"/>
            <w:sz w:val="24"/>
            <w:szCs w:val="24"/>
          </w:rPr>
          <w:t>https://www.un.org/en/climatechange/what-is-climate-change</w:t>
        </w:r>
      </w:hyperlink>
      <w:r>
        <w:rPr>
          <w:rFonts w:ascii="Times New Roman" w:hAnsi="Times New Roman" w:cs="Times New Roman"/>
          <w:sz w:val="24"/>
          <w:szCs w:val="24"/>
        </w:rPr>
        <w:t xml:space="preserve"> erişim tarihi: 10.11.2022)</w:t>
      </w:r>
    </w:p>
    <w:p w:rsidR="00463BA5" w:rsidRDefault="00463BA5" w:rsidP="00463BA5">
      <w:pPr>
        <w:pStyle w:val="ListParagraph"/>
        <w:numPr>
          <w:ilvl w:val="0"/>
          <w:numId w:val="1"/>
        </w:numPr>
        <w:spacing w:line="360" w:lineRule="auto"/>
        <w:jc w:val="both"/>
        <w:rPr>
          <w:rFonts w:ascii="Times New Roman" w:hAnsi="Times New Roman" w:cs="Times New Roman"/>
          <w:sz w:val="24"/>
          <w:szCs w:val="24"/>
        </w:rPr>
      </w:pPr>
      <w:r w:rsidRPr="00463BA5">
        <w:rPr>
          <w:rFonts w:ascii="Times New Roman" w:hAnsi="Times New Roman" w:cs="Times New Roman"/>
          <w:sz w:val="24"/>
          <w:szCs w:val="24"/>
        </w:rPr>
        <w:t>Haines, A., &amp; Patz, J. A. (2004). Health effects of climate change. Jama, 291(1), 99-103.</w:t>
      </w:r>
    </w:p>
    <w:p w:rsidR="00463BA5" w:rsidRDefault="00463BA5" w:rsidP="00463BA5">
      <w:pPr>
        <w:pStyle w:val="ListParagraph"/>
        <w:numPr>
          <w:ilvl w:val="0"/>
          <w:numId w:val="1"/>
        </w:numPr>
        <w:spacing w:line="360" w:lineRule="auto"/>
        <w:jc w:val="both"/>
        <w:rPr>
          <w:rFonts w:ascii="Times New Roman" w:hAnsi="Times New Roman" w:cs="Times New Roman"/>
          <w:sz w:val="24"/>
          <w:szCs w:val="24"/>
        </w:rPr>
      </w:pPr>
      <w:r w:rsidRPr="00463BA5">
        <w:rPr>
          <w:rFonts w:ascii="Times New Roman" w:hAnsi="Times New Roman" w:cs="Times New Roman"/>
          <w:sz w:val="24"/>
          <w:szCs w:val="24"/>
        </w:rPr>
        <w:t>Rocque, R. J., Beaudoin, C., Ndjaboue, R., Cameron, L., Poirier-Bergeron</w:t>
      </w:r>
      <w:r>
        <w:rPr>
          <w:rFonts w:ascii="Times New Roman" w:hAnsi="Times New Roman" w:cs="Times New Roman"/>
          <w:sz w:val="24"/>
          <w:szCs w:val="24"/>
        </w:rPr>
        <w:t>, L., Poulin-Rheault, R. A.,</w:t>
      </w:r>
      <w:r w:rsidRPr="00463BA5">
        <w:rPr>
          <w:rFonts w:ascii="Times New Roman" w:hAnsi="Times New Roman" w:cs="Times New Roman"/>
          <w:sz w:val="24"/>
          <w:szCs w:val="24"/>
        </w:rPr>
        <w:t xml:space="preserve"> &amp; Witteman, H. O. (2021). Health effects of climate change: an overview of systematic reviews. BMJ open, 11(6), e046333.</w:t>
      </w:r>
    </w:p>
    <w:p w:rsidR="006A0977" w:rsidRDefault="006A0977" w:rsidP="006A0977">
      <w:pPr>
        <w:pStyle w:val="ListParagraph"/>
        <w:numPr>
          <w:ilvl w:val="0"/>
          <w:numId w:val="1"/>
        </w:numPr>
        <w:spacing w:line="360" w:lineRule="auto"/>
        <w:jc w:val="both"/>
        <w:rPr>
          <w:rFonts w:ascii="Times New Roman" w:hAnsi="Times New Roman" w:cs="Times New Roman"/>
          <w:sz w:val="24"/>
          <w:szCs w:val="24"/>
        </w:rPr>
      </w:pPr>
      <w:r w:rsidRPr="006A0977">
        <w:rPr>
          <w:rFonts w:ascii="Times New Roman" w:hAnsi="Times New Roman" w:cs="Times New Roman"/>
          <w:sz w:val="24"/>
          <w:szCs w:val="24"/>
        </w:rPr>
        <w:t>Intergovernmental Panel on Climate Change</w:t>
      </w:r>
      <w:r>
        <w:rPr>
          <w:rFonts w:ascii="Times New Roman" w:hAnsi="Times New Roman" w:cs="Times New Roman"/>
          <w:sz w:val="24"/>
          <w:szCs w:val="24"/>
        </w:rPr>
        <w:t xml:space="preserve"> (2022). IPCC 6th Assesment Reporth Health Fact Sheet. (Erişim linki: </w:t>
      </w:r>
      <w:r w:rsidRPr="006A0977">
        <w:rPr>
          <w:rFonts w:ascii="Times New Roman" w:hAnsi="Times New Roman" w:cs="Times New Roman"/>
          <w:sz w:val="24"/>
          <w:szCs w:val="24"/>
        </w:rPr>
        <w:t>https://www.ipcc.ch/report/ar6/wg2/downloads/outreach/IPCC_AR6_WGII_FactSheet_Health.pdf</w:t>
      </w:r>
      <w:r>
        <w:rPr>
          <w:rFonts w:ascii="Times New Roman" w:hAnsi="Times New Roman" w:cs="Times New Roman"/>
          <w:sz w:val="24"/>
          <w:szCs w:val="24"/>
        </w:rPr>
        <w:t xml:space="preserve"> erişim tarihi: 10.11.2022)</w:t>
      </w:r>
    </w:p>
    <w:p w:rsidR="009C15A4" w:rsidRDefault="009C15A4" w:rsidP="009C15A4">
      <w:pPr>
        <w:pStyle w:val="ListParagraph"/>
        <w:numPr>
          <w:ilvl w:val="0"/>
          <w:numId w:val="1"/>
        </w:numPr>
        <w:spacing w:line="360" w:lineRule="auto"/>
        <w:jc w:val="both"/>
        <w:rPr>
          <w:rFonts w:ascii="Times New Roman" w:hAnsi="Times New Roman" w:cs="Times New Roman"/>
          <w:sz w:val="24"/>
          <w:szCs w:val="24"/>
        </w:rPr>
      </w:pPr>
      <w:r w:rsidRPr="009C15A4">
        <w:rPr>
          <w:rFonts w:ascii="Times New Roman" w:hAnsi="Times New Roman" w:cs="Times New Roman"/>
          <w:sz w:val="24"/>
          <w:szCs w:val="24"/>
        </w:rPr>
        <w:lastRenderedPageBreak/>
        <w:t>Marks, E., Hickman, C., Pihkala, P., Clayton, S., Lewando</w:t>
      </w:r>
      <w:r>
        <w:rPr>
          <w:rFonts w:ascii="Times New Roman" w:hAnsi="Times New Roman" w:cs="Times New Roman"/>
          <w:sz w:val="24"/>
          <w:szCs w:val="24"/>
        </w:rPr>
        <w:t xml:space="preserve">wski, E. R., Mayall, E. E., </w:t>
      </w:r>
      <w:r w:rsidRPr="009C15A4">
        <w:rPr>
          <w:rFonts w:ascii="Times New Roman" w:hAnsi="Times New Roman" w:cs="Times New Roman"/>
          <w:sz w:val="24"/>
          <w:szCs w:val="24"/>
        </w:rPr>
        <w:t>&amp; van Susteren, L. (2021). Young people's voices on climate anxiety, government betrayal and moral injury: A global phenomenon. Government betrayal and moral injury: A global phenomenon.</w:t>
      </w:r>
    </w:p>
    <w:p w:rsidR="009C15A4" w:rsidRPr="00E036D8" w:rsidRDefault="009C15A4" w:rsidP="009C15A4">
      <w:pPr>
        <w:pStyle w:val="ListParagraph"/>
        <w:numPr>
          <w:ilvl w:val="0"/>
          <w:numId w:val="1"/>
        </w:numPr>
        <w:spacing w:line="360" w:lineRule="auto"/>
        <w:jc w:val="both"/>
        <w:rPr>
          <w:rFonts w:ascii="Times New Roman" w:hAnsi="Times New Roman" w:cs="Times New Roman"/>
          <w:sz w:val="24"/>
          <w:szCs w:val="24"/>
        </w:rPr>
      </w:pPr>
      <w:r w:rsidRPr="009C15A4">
        <w:rPr>
          <w:rFonts w:ascii="Times New Roman" w:hAnsi="Times New Roman" w:cs="Times New Roman"/>
          <w:sz w:val="24"/>
          <w:szCs w:val="24"/>
        </w:rPr>
        <w:t>Schneider-Mayerson</w:t>
      </w:r>
      <w:r w:rsidR="007129C9">
        <w:rPr>
          <w:rFonts w:ascii="Times New Roman" w:hAnsi="Times New Roman" w:cs="Times New Roman"/>
          <w:sz w:val="24"/>
          <w:szCs w:val="24"/>
        </w:rPr>
        <w:t>,</w:t>
      </w:r>
      <w:r w:rsidRPr="009C15A4">
        <w:rPr>
          <w:rFonts w:ascii="Times New Roman" w:hAnsi="Times New Roman" w:cs="Times New Roman"/>
          <w:sz w:val="24"/>
          <w:szCs w:val="24"/>
        </w:rPr>
        <w:t xml:space="preserve"> M</w:t>
      </w:r>
      <w:r w:rsidR="007129C9">
        <w:rPr>
          <w:rFonts w:ascii="Times New Roman" w:hAnsi="Times New Roman" w:cs="Times New Roman"/>
          <w:sz w:val="24"/>
          <w:szCs w:val="24"/>
        </w:rPr>
        <w:t>.</w:t>
      </w:r>
      <w:r w:rsidRPr="009C15A4">
        <w:rPr>
          <w:rFonts w:ascii="Times New Roman" w:hAnsi="Times New Roman" w:cs="Times New Roman"/>
          <w:sz w:val="24"/>
          <w:szCs w:val="24"/>
        </w:rPr>
        <w:t>, Leong</w:t>
      </w:r>
      <w:r w:rsidR="007129C9">
        <w:rPr>
          <w:rFonts w:ascii="Times New Roman" w:hAnsi="Times New Roman" w:cs="Times New Roman"/>
          <w:sz w:val="24"/>
          <w:szCs w:val="24"/>
        </w:rPr>
        <w:t>,</w:t>
      </w:r>
      <w:r w:rsidRPr="009C15A4">
        <w:rPr>
          <w:rFonts w:ascii="Times New Roman" w:hAnsi="Times New Roman" w:cs="Times New Roman"/>
          <w:sz w:val="24"/>
          <w:szCs w:val="24"/>
        </w:rPr>
        <w:t xml:space="preserve"> KL.</w:t>
      </w:r>
      <w:r w:rsidR="007129C9">
        <w:rPr>
          <w:rFonts w:ascii="Times New Roman" w:hAnsi="Times New Roman" w:cs="Times New Roman"/>
          <w:sz w:val="24"/>
          <w:szCs w:val="24"/>
        </w:rPr>
        <w:t xml:space="preserve"> (2020)</w:t>
      </w:r>
      <w:r w:rsidRPr="009C15A4">
        <w:rPr>
          <w:rFonts w:ascii="Times New Roman" w:hAnsi="Times New Roman" w:cs="Times New Roman"/>
          <w:sz w:val="24"/>
          <w:szCs w:val="24"/>
        </w:rPr>
        <w:t xml:space="preserve"> Eco-reproductive concerns in the age</w:t>
      </w:r>
      <w:r w:rsidR="007129C9">
        <w:rPr>
          <w:rFonts w:ascii="Times New Roman" w:hAnsi="Times New Roman" w:cs="Times New Roman"/>
          <w:sz w:val="24"/>
          <w:szCs w:val="24"/>
        </w:rPr>
        <w:t xml:space="preserve"> of climate change. Clim Change, </w:t>
      </w:r>
      <w:r w:rsidRPr="009C15A4">
        <w:rPr>
          <w:rFonts w:ascii="Times New Roman" w:hAnsi="Times New Roman" w:cs="Times New Roman"/>
          <w:sz w:val="24"/>
          <w:szCs w:val="24"/>
        </w:rPr>
        <w:t>163:1007-23</w:t>
      </w:r>
      <w:r>
        <w:rPr>
          <w:rFonts w:ascii="Times New Roman" w:hAnsi="Times New Roman" w:cs="Times New Roman"/>
          <w:sz w:val="24"/>
          <w:szCs w:val="24"/>
        </w:rPr>
        <w:t>.</w:t>
      </w:r>
    </w:p>
    <w:sectPr w:rsidR="009C15A4" w:rsidRPr="00E036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4273C"/>
    <w:multiLevelType w:val="hybridMultilevel"/>
    <w:tmpl w:val="994A3F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57"/>
    <w:rsid w:val="00252E6A"/>
    <w:rsid w:val="00324F23"/>
    <w:rsid w:val="0032649B"/>
    <w:rsid w:val="003E5C9E"/>
    <w:rsid w:val="003F0693"/>
    <w:rsid w:val="004400B4"/>
    <w:rsid w:val="00463BA5"/>
    <w:rsid w:val="00510257"/>
    <w:rsid w:val="0051575F"/>
    <w:rsid w:val="00570711"/>
    <w:rsid w:val="00691C45"/>
    <w:rsid w:val="006A0977"/>
    <w:rsid w:val="007129C9"/>
    <w:rsid w:val="007C6887"/>
    <w:rsid w:val="00875375"/>
    <w:rsid w:val="009708EE"/>
    <w:rsid w:val="009C15A4"/>
    <w:rsid w:val="00BB64C7"/>
    <w:rsid w:val="00DA2FFE"/>
    <w:rsid w:val="00E0369D"/>
    <w:rsid w:val="00E036D8"/>
    <w:rsid w:val="00ED166D"/>
    <w:rsid w:val="00F41A50"/>
    <w:rsid w:val="00FB1DB4"/>
    <w:rsid w:val="00FB6354"/>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FE"/>
    <w:rPr>
      <w:rFonts w:ascii="Tahoma" w:hAnsi="Tahoma" w:cs="Tahoma"/>
      <w:sz w:val="16"/>
      <w:szCs w:val="16"/>
    </w:rPr>
  </w:style>
  <w:style w:type="table" w:styleId="TableGrid">
    <w:name w:val="Table Grid"/>
    <w:basedOn w:val="TableNormal"/>
    <w:uiPriority w:val="59"/>
    <w:rsid w:val="00326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6D8"/>
    <w:pPr>
      <w:ind w:left="720"/>
      <w:contextualSpacing/>
    </w:pPr>
  </w:style>
  <w:style w:type="character" w:styleId="Hyperlink">
    <w:name w:val="Hyperlink"/>
    <w:basedOn w:val="DefaultParagraphFont"/>
    <w:uiPriority w:val="99"/>
    <w:unhideWhenUsed/>
    <w:rsid w:val="00E036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FE"/>
    <w:rPr>
      <w:rFonts w:ascii="Tahoma" w:hAnsi="Tahoma" w:cs="Tahoma"/>
      <w:sz w:val="16"/>
      <w:szCs w:val="16"/>
    </w:rPr>
  </w:style>
  <w:style w:type="table" w:styleId="TableGrid">
    <w:name w:val="Table Grid"/>
    <w:basedOn w:val="TableNormal"/>
    <w:uiPriority w:val="59"/>
    <w:rsid w:val="00326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6D8"/>
    <w:pPr>
      <w:ind w:left="720"/>
      <w:contextualSpacing/>
    </w:pPr>
  </w:style>
  <w:style w:type="character" w:styleId="Hyperlink">
    <w:name w:val="Hyperlink"/>
    <w:basedOn w:val="DefaultParagraphFont"/>
    <w:uiPriority w:val="99"/>
    <w:unhideWhenUsed/>
    <w:rsid w:val="00E036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836984">
      <w:bodyDiv w:val="1"/>
      <w:marLeft w:val="0"/>
      <w:marRight w:val="0"/>
      <w:marTop w:val="0"/>
      <w:marBottom w:val="0"/>
      <w:divBdr>
        <w:top w:val="none" w:sz="0" w:space="0" w:color="auto"/>
        <w:left w:val="none" w:sz="0" w:space="0" w:color="auto"/>
        <w:bottom w:val="none" w:sz="0" w:space="0" w:color="auto"/>
        <w:right w:val="none" w:sz="0" w:space="0" w:color="auto"/>
      </w:divBdr>
    </w:div>
    <w:div w:id="466704748">
      <w:bodyDiv w:val="1"/>
      <w:marLeft w:val="0"/>
      <w:marRight w:val="0"/>
      <w:marTop w:val="0"/>
      <w:marBottom w:val="0"/>
      <w:divBdr>
        <w:top w:val="none" w:sz="0" w:space="0" w:color="auto"/>
        <w:left w:val="none" w:sz="0" w:space="0" w:color="auto"/>
        <w:bottom w:val="none" w:sz="0" w:space="0" w:color="auto"/>
        <w:right w:val="none" w:sz="0" w:space="0" w:color="auto"/>
      </w:divBdr>
    </w:div>
    <w:div w:id="978729304">
      <w:bodyDiv w:val="1"/>
      <w:marLeft w:val="0"/>
      <w:marRight w:val="0"/>
      <w:marTop w:val="0"/>
      <w:marBottom w:val="0"/>
      <w:divBdr>
        <w:top w:val="none" w:sz="0" w:space="0" w:color="auto"/>
        <w:left w:val="none" w:sz="0" w:space="0" w:color="auto"/>
        <w:bottom w:val="none" w:sz="0" w:space="0" w:color="auto"/>
        <w:right w:val="none" w:sz="0" w:space="0" w:color="auto"/>
      </w:divBdr>
    </w:div>
    <w:div w:id="1422607831">
      <w:bodyDiv w:val="1"/>
      <w:marLeft w:val="0"/>
      <w:marRight w:val="0"/>
      <w:marTop w:val="0"/>
      <w:marBottom w:val="0"/>
      <w:divBdr>
        <w:top w:val="none" w:sz="0" w:space="0" w:color="auto"/>
        <w:left w:val="none" w:sz="0" w:space="0" w:color="auto"/>
        <w:bottom w:val="none" w:sz="0" w:space="0" w:color="auto"/>
        <w:right w:val="none" w:sz="0" w:space="0" w:color="auto"/>
      </w:divBdr>
    </w:div>
    <w:div w:id="1679574370">
      <w:bodyDiv w:val="1"/>
      <w:marLeft w:val="0"/>
      <w:marRight w:val="0"/>
      <w:marTop w:val="0"/>
      <w:marBottom w:val="0"/>
      <w:divBdr>
        <w:top w:val="none" w:sz="0" w:space="0" w:color="auto"/>
        <w:left w:val="none" w:sz="0" w:space="0" w:color="auto"/>
        <w:bottom w:val="none" w:sz="0" w:space="0" w:color="auto"/>
        <w:right w:val="none" w:sz="0" w:space="0" w:color="auto"/>
      </w:divBdr>
    </w:div>
    <w:div w:id="1720207926">
      <w:bodyDiv w:val="1"/>
      <w:marLeft w:val="0"/>
      <w:marRight w:val="0"/>
      <w:marTop w:val="0"/>
      <w:marBottom w:val="0"/>
      <w:divBdr>
        <w:top w:val="none" w:sz="0" w:space="0" w:color="auto"/>
        <w:left w:val="none" w:sz="0" w:space="0" w:color="auto"/>
        <w:bottom w:val="none" w:sz="0" w:space="0" w:color="auto"/>
        <w:right w:val="none" w:sz="0" w:space="0" w:color="auto"/>
      </w:divBdr>
    </w:div>
    <w:div w:id="1920862975">
      <w:bodyDiv w:val="1"/>
      <w:marLeft w:val="0"/>
      <w:marRight w:val="0"/>
      <w:marTop w:val="0"/>
      <w:marBottom w:val="0"/>
      <w:divBdr>
        <w:top w:val="none" w:sz="0" w:space="0" w:color="auto"/>
        <w:left w:val="none" w:sz="0" w:space="0" w:color="auto"/>
        <w:bottom w:val="none" w:sz="0" w:space="0" w:color="auto"/>
        <w:right w:val="none" w:sz="0" w:space="0" w:color="auto"/>
      </w:divBdr>
    </w:div>
    <w:div w:id="193490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climatechange/what-is-climate-change" TargetMode="Externa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ysetas90@yahoo.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2002</c:v>
                </c:pt>
              </c:strCache>
            </c:strRef>
          </c:tx>
          <c:invertIfNegative val="0"/>
          <c:cat>
            <c:strRef>
              <c:f>Sheet1!$A$2</c:f>
              <c:strCache>
                <c:ptCount val="1"/>
                <c:pt idx="0">
                  <c:v>Yıllar</c:v>
                </c:pt>
              </c:strCache>
            </c:strRef>
          </c:cat>
          <c:val>
            <c:numRef>
              <c:f>Sheet1!$B$2</c:f>
              <c:numCache>
                <c:formatCode>General</c:formatCode>
                <c:ptCount val="1"/>
                <c:pt idx="0">
                  <c:v>0</c:v>
                </c:pt>
              </c:numCache>
            </c:numRef>
          </c:val>
        </c:ser>
        <c:ser>
          <c:idx val="1"/>
          <c:order val="1"/>
          <c:tx>
            <c:strRef>
              <c:f>Sheet1!$C$1</c:f>
              <c:strCache>
                <c:ptCount val="1"/>
                <c:pt idx="0">
                  <c:v>2003</c:v>
                </c:pt>
              </c:strCache>
            </c:strRef>
          </c:tx>
          <c:invertIfNegative val="0"/>
          <c:cat>
            <c:strRef>
              <c:f>Sheet1!$A$2</c:f>
              <c:strCache>
                <c:ptCount val="1"/>
                <c:pt idx="0">
                  <c:v>Yıllar</c:v>
                </c:pt>
              </c:strCache>
            </c:strRef>
          </c:cat>
          <c:val>
            <c:numRef>
              <c:f>Sheet1!$C$2</c:f>
              <c:numCache>
                <c:formatCode>General</c:formatCode>
                <c:ptCount val="1"/>
                <c:pt idx="0">
                  <c:v>0</c:v>
                </c:pt>
              </c:numCache>
            </c:numRef>
          </c:val>
        </c:ser>
        <c:ser>
          <c:idx val="2"/>
          <c:order val="2"/>
          <c:tx>
            <c:strRef>
              <c:f>Sheet1!$D$1</c:f>
              <c:strCache>
                <c:ptCount val="1"/>
                <c:pt idx="0">
                  <c:v>2004</c:v>
                </c:pt>
              </c:strCache>
            </c:strRef>
          </c:tx>
          <c:invertIfNegative val="0"/>
          <c:cat>
            <c:strRef>
              <c:f>Sheet1!$A$2</c:f>
              <c:strCache>
                <c:ptCount val="1"/>
                <c:pt idx="0">
                  <c:v>Yıllar</c:v>
                </c:pt>
              </c:strCache>
            </c:strRef>
          </c:cat>
          <c:val>
            <c:numRef>
              <c:f>Sheet1!$D$2</c:f>
              <c:numCache>
                <c:formatCode>General</c:formatCode>
                <c:ptCount val="1"/>
                <c:pt idx="0">
                  <c:v>0</c:v>
                </c:pt>
              </c:numCache>
            </c:numRef>
          </c:val>
        </c:ser>
        <c:ser>
          <c:idx val="3"/>
          <c:order val="3"/>
          <c:tx>
            <c:strRef>
              <c:f>Sheet1!$E$1</c:f>
              <c:strCache>
                <c:ptCount val="1"/>
                <c:pt idx="0">
                  <c:v>2005</c:v>
                </c:pt>
              </c:strCache>
            </c:strRef>
          </c:tx>
          <c:invertIfNegative val="0"/>
          <c:cat>
            <c:strRef>
              <c:f>Sheet1!$A$2</c:f>
              <c:strCache>
                <c:ptCount val="1"/>
                <c:pt idx="0">
                  <c:v>Yıllar</c:v>
                </c:pt>
              </c:strCache>
            </c:strRef>
          </c:cat>
          <c:val>
            <c:numRef>
              <c:f>Sheet1!$E$2</c:f>
              <c:numCache>
                <c:formatCode>General</c:formatCode>
                <c:ptCount val="1"/>
                <c:pt idx="0">
                  <c:v>0</c:v>
                </c:pt>
              </c:numCache>
            </c:numRef>
          </c:val>
        </c:ser>
        <c:ser>
          <c:idx val="4"/>
          <c:order val="4"/>
          <c:tx>
            <c:strRef>
              <c:f>Sheet1!$F$1</c:f>
              <c:strCache>
                <c:ptCount val="1"/>
                <c:pt idx="0">
                  <c:v>2006</c:v>
                </c:pt>
              </c:strCache>
            </c:strRef>
          </c:tx>
          <c:invertIfNegative val="0"/>
          <c:cat>
            <c:strRef>
              <c:f>Sheet1!$A$2</c:f>
              <c:strCache>
                <c:ptCount val="1"/>
                <c:pt idx="0">
                  <c:v>Yıllar</c:v>
                </c:pt>
              </c:strCache>
            </c:strRef>
          </c:cat>
          <c:val>
            <c:numRef>
              <c:f>Sheet1!$F$2</c:f>
              <c:numCache>
                <c:formatCode>General</c:formatCode>
                <c:ptCount val="1"/>
                <c:pt idx="0">
                  <c:v>1</c:v>
                </c:pt>
              </c:numCache>
            </c:numRef>
          </c:val>
        </c:ser>
        <c:ser>
          <c:idx val="5"/>
          <c:order val="5"/>
          <c:tx>
            <c:strRef>
              <c:f>Sheet1!$G$1</c:f>
              <c:strCache>
                <c:ptCount val="1"/>
                <c:pt idx="0">
                  <c:v>2007</c:v>
                </c:pt>
              </c:strCache>
            </c:strRef>
          </c:tx>
          <c:invertIfNegative val="0"/>
          <c:cat>
            <c:strRef>
              <c:f>Sheet1!$A$2</c:f>
              <c:strCache>
                <c:ptCount val="1"/>
                <c:pt idx="0">
                  <c:v>Yıllar</c:v>
                </c:pt>
              </c:strCache>
            </c:strRef>
          </c:cat>
          <c:val>
            <c:numRef>
              <c:f>Sheet1!$G$2</c:f>
              <c:numCache>
                <c:formatCode>General</c:formatCode>
                <c:ptCount val="1"/>
                <c:pt idx="0">
                  <c:v>2</c:v>
                </c:pt>
              </c:numCache>
            </c:numRef>
          </c:val>
        </c:ser>
        <c:ser>
          <c:idx val="6"/>
          <c:order val="6"/>
          <c:tx>
            <c:strRef>
              <c:f>Sheet1!$H$1</c:f>
              <c:strCache>
                <c:ptCount val="1"/>
                <c:pt idx="0">
                  <c:v>2008</c:v>
                </c:pt>
              </c:strCache>
            </c:strRef>
          </c:tx>
          <c:invertIfNegative val="0"/>
          <c:cat>
            <c:strRef>
              <c:f>Sheet1!$A$2</c:f>
              <c:strCache>
                <c:ptCount val="1"/>
                <c:pt idx="0">
                  <c:v>Yıllar</c:v>
                </c:pt>
              </c:strCache>
            </c:strRef>
          </c:cat>
          <c:val>
            <c:numRef>
              <c:f>Sheet1!$H$2</c:f>
              <c:numCache>
                <c:formatCode>General</c:formatCode>
                <c:ptCount val="1"/>
                <c:pt idx="0">
                  <c:v>0</c:v>
                </c:pt>
              </c:numCache>
            </c:numRef>
          </c:val>
        </c:ser>
        <c:ser>
          <c:idx val="7"/>
          <c:order val="7"/>
          <c:tx>
            <c:strRef>
              <c:f>Sheet1!$I$1</c:f>
              <c:strCache>
                <c:ptCount val="1"/>
                <c:pt idx="0">
                  <c:v>2009</c:v>
                </c:pt>
              </c:strCache>
            </c:strRef>
          </c:tx>
          <c:invertIfNegative val="0"/>
          <c:cat>
            <c:strRef>
              <c:f>Sheet1!$A$2</c:f>
              <c:strCache>
                <c:ptCount val="1"/>
                <c:pt idx="0">
                  <c:v>Yıllar</c:v>
                </c:pt>
              </c:strCache>
            </c:strRef>
          </c:cat>
          <c:val>
            <c:numRef>
              <c:f>Sheet1!$I$2</c:f>
              <c:numCache>
                <c:formatCode>General</c:formatCode>
                <c:ptCount val="1"/>
                <c:pt idx="0">
                  <c:v>20</c:v>
                </c:pt>
              </c:numCache>
            </c:numRef>
          </c:val>
        </c:ser>
        <c:ser>
          <c:idx val="8"/>
          <c:order val="8"/>
          <c:tx>
            <c:strRef>
              <c:f>Sheet1!$J$1</c:f>
              <c:strCache>
                <c:ptCount val="1"/>
                <c:pt idx="0">
                  <c:v>2010</c:v>
                </c:pt>
              </c:strCache>
            </c:strRef>
          </c:tx>
          <c:invertIfNegative val="0"/>
          <c:cat>
            <c:strRef>
              <c:f>Sheet1!$A$2</c:f>
              <c:strCache>
                <c:ptCount val="1"/>
                <c:pt idx="0">
                  <c:v>Yıllar</c:v>
                </c:pt>
              </c:strCache>
            </c:strRef>
          </c:cat>
          <c:val>
            <c:numRef>
              <c:f>Sheet1!$J$2</c:f>
              <c:numCache>
                <c:formatCode>General</c:formatCode>
                <c:ptCount val="1"/>
                <c:pt idx="0">
                  <c:v>63</c:v>
                </c:pt>
              </c:numCache>
            </c:numRef>
          </c:val>
        </c:ser>
        <c:ser>
          <c:idx val="9"/>
          <c:order val="9"/>
          <c:tx>
            <c:strRef>
              <c:f>Sheet1!$K$1</c:f>
              <c:strCache>
                <c:ptCount val="1"/>
                <c:pt idx="0">
                  <c:v>2011</c:v>
                </c:pt>
              </c:strCache>
            </c:strRef>
          </c:tx>
          <c:invertIfNegative val="0"/>
          <c:cat>
            <c:strRef>
              <c:f>Sheet1!$A$2</c:f>
              <c:strCache>
                <c:ptCount val="1"/>
                <c:pt idx="0">
                  <c:v>Yıllar</c:v>
                </c:pt>
              </c:strCache>
            </c:strRef>
          </c:cat>
          <c:val>
            <c:numRef>
              <c:f>Sheet1!$K$2</c:f>
              <c:numCache>
                <c:formatCode>General</c:formatCode>
                <c:ptCount val="1"/>
                <c:pt idx="0">
                  <c:v>61</c:v>
                </c:pt>
              </c:numCache>
            </c:numRef>
          </c:val>
        </c:ser>
        <c:ser>
          <c:idx val="10"/>
          <c:order val="10"/>
          <c:tx>
            <c:strRef>
              <c:f>Sheet1!$L$1</c:f>
              <c:strCache>
                <c:ptCount val="1"/>
                <c:pt idx="0">
                  <c:v>2012</c:v>
                </c:pt>
              </c:strCache>
            </c:strRef>
          </c:tx>
          <c:invertIfNegative val="0"/>
          <c:cat>
            <c:strRef>
              <c:f>Sheet1!$A$2</c:f>
              <c:strCache>
                <c:ptCount val="1"/>
                <c:pt idx="0">
                  <c:v>Yıllar</c:v>
                </c:pt>
              </c:strCache>
            </c:strRef>
          </c:cat>
          <c:val>
            <c:numRef>
              <c:f>Sheet1!$L$2</c:f>
              <c:numCache>
                <c:formatCode>General</c:formatCode>
                <c:ptCount val="1"/>
                <c:pt idx="0">
                  <c:v>46</c:v>
                </c:pt>
              </c:numCache>
            </c:numRef>
          </c:val>
        </c:ser>
        <c:ser>
          <c:idx val="11"/>
          <c:order val="11"/>
          <c:tx>
            <c:strRef>
              <c:f>Sheet1!$M$1</c:f>
              <c:strCache>
                <c:ptCount val="1"/>
                <c:pt idx="0">
                  <c:v>2013</c:v>
                </c:pt>
              </c:strCache>
            </c:strRef>
          </c:tx>
          <c:invertIfNegative val="0"/>
          <c:cat>
            <c:strRef>
              <c:f>Sheet1!$A$2</c:f>
              <c:strCache>
                <c:ptCount val="1"/>
                <c:pt idx="0">
                  <c:v>Yıllar</c:v>
                </c:pt>
              </c:strCache>
            </c:strRef>
          </c:cat>
          <c:val>
            <c:numRef>
              <c:f>Sheet1!$M$2</c:f>
              <c:numCache>
                <c:formatCode>General</c:formatCode>
                <c:ptCount val="1"/>
                <c:pt idx="0">
                  <c:v>45</c:v>
                </c:pt>
              </c:numCache>
            </c:numRef>
          </c:val>
        </c:ser>
        <c:ser>
          <c:idx val="12"/>
          <c:order val="12"/>
          <c:tx>
            <c:strRef>
              <c:f>Sheet1!$N$1</c:f>
              <c:strCache>
                <c:ptCount val="1"/>
                <c:pt idx="0">
                  <c:v>2014</c:v>
                </c:pt>
              </c:strCache>
            </c:strRef>
          </c:tx>
          <c:invertIfNegative val="0"/>
          <c:cat>
            <c:strRef>
              <c:f>Sheet1!$A$2</c:f>
              <c:strCache>
                <c:ptCount val="1"/>
                <c:pt idx="0">
                  <c:v>Yıllar</c:v>
                </c:pt>
              </c:strCache>
            </c:strRef>
          </c:cat>
          <c:val>
            <c:numRef>
              <c:f>Sheet1!$N$2</c:f>
              <c:numCache>
                <c:formatCode>General</c:formatCode>
                <c:ptCount val="1"/>
                <c:pt idx="0">
                  <c:v>53</c:v>
                </c:pt>
              </c:numCache>
            </c:numRef>
          </c:val>
        </c:ser>
        <c:ser>
          <c:idx val="13"/>
          <c:order val="13"/>
          <c:tx>
            <c:strRef>
              <c:f>Sheet1!$O$1</c:f>
              <c:strCache>
                <c:ptCount val="1"/>
                <c:pt idx="0">
                  <c:v>2015</c:v>
                </c:pt>
              </c:strCache>
            </c:strRef>
          </c:tx>
          <c:invertIfNegative val="0"/>
          <c:cat>
            <c:strRef>
              <c:f>Sheet1!$A$2</c:f>
              <c:strCache>
                <c:ptCount val="1"/>
                <c:pt idx="0">
                  <c:v>Yıllar</c:v>
                </c:pt>
              </c:strCache>
            </c:strRef>
          </c:cat>
          <c:val>
            <c:numRef>
              <c:f>Sheet1!$O$2</c:f>
              <c:numCache>
                <c:formatCode>General</c:formatCode>
                <c:ptCount val="1"/>
                <c:pt idx="0">
                  <c:v>72</c:v>
                </c:pt>
              </c:numCache>
            </c:numRef>
          </c:val>
        </c:ser>
        <c:ser>
          <c:idx val="14"/>
          <c:order val="14"/>
          <c:tx>
            <c:strRef>
              <c:f>Sheet1!$P$1</c:f>
              <c:strCache>
                <c:ptCount val="1"/>
                <c:pt idx="0">
                  <c:v>2016</c:v>
                </c:pt>
              </c:strCache>
            </c:strRef>
          </c:tx>
          <c:invertIfNegative val="0"/>
          <c:cat>
            <c:strRef>
              <c:f>Sheet1!$A$2</c:f>
              <c:strCache>
                <c:ptCount val="1"/>
                <c:pt idx="0">
                  <c:v>Yıllar</c:v>
                </c:pt>
              </c:strCache>
            </c:strRef>
          </c:cat>
          <c:val>
            <c:numRef>
              <c:f>Sheet1!$P$2</c:f>
              <c:numCache>
                <c:formatCode>General</c:formatCode>
                <c:ptCount val="1"/>
                <c:pt idx="0">
                  <c:v>99</c:v>
                </c:pt>
              </c:numCache>
            </c:numRef>
          </c:val>
        </c:ser>
        <c:ser>
          <c:idx val="15"/>
          <c:order val="15"/>
          <c:tx>
            <c:strRef>
              <c:f>Sheet1!$Q$1</c:f>
              <c:strCache>
                <c:ptCount val="1"/>
                <c:pt idx="0">
                  <c:v>2017</c:v>
                </c:pt>
              </c:strCache>
            </c:strRef>
          </c:tx>
          <c:invertIfNegative val="0"/>
          <c:cat>
            <c:strRef>
              <c:f>Sheet1!$A$2</c:f>
              <c:strCache>
                <c:ptCount val="1"/>
                <c:pt idx="0">
                  <c:v>Yıllar</c:v>
                </c:pt>
              </c:strCache>
            </c:strRef>
          </c:cat>
          <c:val>
            <c:numRef>
              <c:f>Sheet1!$Q$2</c:f>
              <c:numCache>
                <c:formatCode>General</c:formatCode>
                <c:ptCount val="1"/>
                <c:pt idx="0">
                  <c:v>85</c:v>
                </c:pt>
              </c:numCache>
            </c:numRef>
          </c:val>
        </c:ser>
        <c:ser>
          <c:idx val="16"/>
          <c:order val="16"/>
          <c:tx>
            <c:strRef>
              <c:f>Sheet1!$R$1</c:f>
              <c:strCache>
                <c:ptCount val="1"/>
                <c:pt idx="0">
                  <c:v>2018</c:v>
                </c:pt>
              </c:strCache>
            </c:strRef>
          </c:tx>
          <c:invertIfNegative val="0"/>
          <c:cat>
            <c:strRef>
              <c:f>Sheet1!$A$2</c:f>
              <c:strCache>
                <c:ptCount val="1"/>
                <c:pt idx="0">
                  <c:v>Yıllar</c:v>
                </c:pt>
              </c:strCache>
            </c:strRef>
          </c:cat>
          <c:val>
            <c:numRef>
              <c:f>Sheet1!$R$2</c:f>
              <c:numCache>
                <c:formatCode>General</c:formatCode>
                <c:ptCount val="1"/>
                <c:pt idx="0">
                  <c:v>98</c:v>
                </c:pt>
              </c:numCache>
            </c:numRef>
          </c:val>
        </c:ser>
        <c:ser>
          <c:idx val="17"/>
          <c:order val="17"/>
          <c:tx>
            <c:strRef>
              <c:f>Sheet1!$S$1</c:f>
              <c:strCache>
                <c:ptCount val="1"/>
                <c:pt idx="0">
                  <c:v>2019</c:v>
                </c:pt>
              </c:strCache>
            </c:strRef>
          </c:tx>
          <c:invertIfNegative val="0"/>
          <c:cat>
            <c:strRef>
              <c:f>Sheet1!$A$2</c:f>
              <c:strCache>
                <c:ptCount val="1"/>
                <c:pt idx="0">
                  <c:v>Yıllar</c:v>
                </c:pt>
              </c:strCache>
            </c:strRef>
          </c:cat>
          <c:val>
            <c:numRef>
              <c:f>Sheet1!$S$2</c:f>
              <c:numCache>
                <c:formatCode>General</c:formatCode>
                <c:ptCount val="1"/>
                <c:pt idx="0">
                  <c:v>113</c:v>
                </c:pt>
              </c:numCache>
            </c:numRef>
          </c:val>
        </c:ser>
        <c:ser>
          <c:idx val="18"/>
          <c:order val="18"/>
          <c:tx>
            <c:strRef>
              <c:f>Sheet1!$T$1</c:f>
              <c:strCache>
                <c:ptCount val="1"/>
                <c:pt idx="0">
                  <c:v>2020</c:v>
                </c:pt>
              </c:strCache>
            </c:strRef>
          </c:tx>
          <c:invertIfNegative val="0"/>
          <c:cat>
            <c:strRef>
              <c:f>Sheet1!$A$2</c:f>
              <c:strCache>
                <c:ptCount val="1"/>
                <c:pt idx="0">
                  <c:v>Yıllar</c:v>
                </c:pt>
              </c:strCache>
            </c:strRef>
          </c:cat>
          <c:val>
            <c:numRef>
              <c:f>Sheet1!$T$2</c:f>
              <c:numCache>
                <c:formatCode>General</c:formatCode>
                <c:ptCount val="1"/>
                <c:pt idx="0">
                  <c:v>132</c:v>
                </c:pt>
              </c:numCache>
            </c:numRef>
          </c:val>
        </c:ser>
        <c:ser>
          <c:idx val="19"/>
          <c:order val="19"/>
          <c:tx>
            <c:strRef>
              <c:f>Sheet1!$U$1</c:f>
              <c:strCache>
                <c:ptCount val="1"/>
                <c:pt idx="0">
                  <c:v>2021</c:v>
                </c:pt>
              </c:strCache>
            </c:strRef>
          </c:tx>
          <c:invertIfNegative val="0"/>
          <c:cat>
            <c:strRef>
              <c:f>Sheet1!$A$2</c:f>
              <c:strCache>
                <c:ptCount val="1"/>
                <c:pt idx="0">
                  <c:v>Yıllar</c:v>
                </c:pt>
              </c:strCache>
            </c:strRef>
          </c:cat>
          <c:val>
            <c:numRef>
              <c:f>Sheet1!$U$2</c:f>
              <c:numCache>
                <c:formatCode>General</c:formatCode>
                <c:ptCount val="1"/>
                <c:pt idx="0">
                  <c:v>111</c:v>
                </c:pt>
              </c:numCache>
            </c:numRef>
          </c:val>
        </c:ser>
        <c:ser>
          <c:idx val="20"/>
          <c:order val="20"/>
          <c:tx>
            <c:strRef>
              <c:f>Sheet1!$V$1</c:f>
              <c:strCache>
                <c:ptCount val="1"/>
                <c:pt idx="0">
                  <c:v>2022</c:v>
                </c:pt>
              </c:strCache>
            </c:strRef>
          </c:tx>
          <c:invertIfNegative val="0"/>
          <c:cat>
            <c:strRef>
              <c:f>Sheet1!$A$2</c:f>
              <c:strCache>
                <c:ptCount val="1"/>
                <c:pt idx="0">
                  <c:v>Yıllar</c:v>
                </c:pt>
              </c:strCache>
            </c:strRef>
          </c:cat>
          <c:val>
            <c:numRef>
              <c:f>Sheet1!$V$2</c:f>
              <c:numCache>
                <c:formatCode>General</c:formatCode>
                <c:ptCount val="1"/>
                <c:pt idx="0">
                  <c:v>78</c:v>
                </c:pt>
              </c:numCache>
            </c:numRef>
          </c:val>
        </c:ser>
        <c:dLbls>
          <c:showLegendKey val="0"/>
          <c:showVal val="1"/>
          <c:showCatName val="0"/>
          <c:showSerName val="0"/>
          <c:showPercent val="0"/>
          <c:showBubbleSize val="0"/>
        </c:dLbls>
        <c:gapWidth val="150"/>
        <c:overlap val="-25"/>
        <c:axId val="137293824"/>
        <c:axId val="137295360"/>
      </c:barChart>
      <c:catAx>
        <c:axId val="137293824"/>
        <c:scaling>
          <c:orientation val="minMax"/>
        </c:scaling>
        <c:delete val="0"/>
        <c:axPos val="b"/>
        <c:majorTickMark val="none"/>
        <c:minorTickMark val="none"/>
        <c:tickLblPos val="nextTo"/>
        <c:crossAx val="137295360"/>
        <c:crosses val="autoZero"/>
        <c:auto val="1"/>
        <c:lblAlgn val="ctr"/>
        <c:lblOffset val="100"/>
        <c:noMultiLvlLbl val="0"/>
      </c:catAx>
      <c:valAx>
        <c:axId val="137295360"/>
        <c:scaling>
          <c:orientation val="minMax"/>
        </c:scaling>
        <c:delete val="1"/>
        <c:axPos val="l"/>
        <c:numFmt formatCode="General" sourceLinked="1"/>
        <c:majorTickMark val="none"/>
        <c:minorTickMark val="none"/>
        <c:tickLblPos val="nextTo"/>
        <c:crossAx val="137293824"/>
        <c:crosses val="autoZero"/>
        <c:crossBetween val="between"/>
      </c:valAx>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5</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Taş</dc:creator>
  <cp:lastModifiedBy>Ayşe Taş</cp:lastModifiedBy>
  <cp:revision>2</cp:revision>
  <dcterms:created xsi:type="dcterms:W3CDTF">2022-11-05T19:04:00Z</dcterms:created>
  <dcterms:modified xsi:type="dcterms:W3CDTF">2022-11-27T17:24:00Z</dcterms:modified>
</cp:coreProperties>
</file>