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794413531"/>
        <w:docPartObj>
          <w:docPartGallery w:val="Cover Pages"/>
          <w:docPartUnique/>
        </w:docPartObj>
      </w:sdtPr>
      <w:sdtEndPr>
        <w:rPr>
          <w:rFonts w:ascii="Times New Roman" w:eastAsiaTheme="minorEastAsia" w:hAnsi="Times New Roman" w:cs="Times New Roman"/>
          <w:b/>
          <w:bCs/>
          <w:sz w:val="24"/>
          <w:szCs w:val="24"/>
          <w:lang w:eastAsia="tr-TR"/>
        </w:rPr>
      </w:sdtEndPr>
      <w:sdtContent>
        <w:p w14:paraId="77139CD0" w14:textId="77777777" w:rsidR="009B6983" w:rsidRDefault="009B6983" w:rsidP="00B20327">
          <w:pPr>
            <w:spacing w:line="276" w:lineRule="auto"/>
          </w:pPr>
        </w:p>
        <w:tbl>
          <w:tblPr>
            <w:tblpPr w:leftFromText="187" w:rightFromText="187" w:horzAnchor="margin" w:tblpXSpec="center" w:tblpY="2881"/>
            <w:tblW w:w="4000" w:type="pct"/>
            <w:tblCellMar>
              <w:left w:w="144" w:type="dxa"/>
              <w:right w:w="115" w:type="dxa"/>
            </w:tblCellMar>
            <w:tblLook w:val="04A0" w:firstRow="1" w:lastRow="0" w:firstColumn="1" w:lastColumn="0" w:noHBand="0" w:noVBand="1"/>
          </w:tblPr>
          <w:tblGrid>
            <w:gridCol w:w="7258"/>
          </w:tblGrid>
          <w:tr w:rsidR="009B6983" w14:paraId="633DC1FD" w14:textId="77777777" w:rsidTr="00A8259C">
            <w:tc>
              <w:tcPr>
                <w:tcW w:w="7672" w:type="dxa"/>
                <w:tcMar>
                  <w:top w:w="216" w:type="dxa"/>
                  <w:left w:w="115" w:type="dxa"/>
                  <w:bottom w:w="216" w:type="dxa"/>
                  <w:right w:w="115" w:type="dxa"/>
                </w:tcMar>
              </w:tcPr>
              <w:p w14:paraId="4673CAF4" w14:textId="77777777" w:rsidR="009B6983" w:rsidRDefault="009B6983" w:rsidP="00B20327">
                <w:pPr>
                  <w:pStyle w:val="AralkYok"/>
                  <w:spacing w:line="276" w:lineRule="auto"/>
                  <w:rPr>
                    <w:color w:val="2F5496" w:themeColor="accent1" w:themeShade="BF"/>
                    <w:sz w:val="24"/>
                  </w:rPr>
                </w:pPr>
              </w:p>
            </w:tc>
          </w:tr>
          <w:tr w:rsidR="009B6983" w14:paraId="0993FFC2" w14:textId="77777777" w:rsidTr="00A8259C">
            <w:tc>
              <w:tcPr>
                <w:tcW w:w="7672" w:type="dxa"/>
              </w:tcPr>
              <w:sdt>
                <w:sdtPr>
                  <w:rPr>
                    <w:rFonts w:ascii="Times New Roman" w:eastAsiaTheme="majorEastAsia" w:hAnsi="Times New Roman" w:cs="Times New Roman"/>
                    <w:b/>
                    <w:bCs/>
                    <w:sz w:val="24"/>
                    <w:szCs w:val="24"/>
                  </w:rPr>
                  <w:alias w:val="Başlık"/>
                  <w:id w:val="13406919"/>
                  <w:placeholder>
                    <w:docPart w:val="D67D98B3EB8248349B3CAC81C4CFB952"/>
                  </w:placeholder>
                  <w:dataBinding w:prefixMappings="xmlns:ns0='http://schemas.openxmlformats.org/package/2006/metadata/core-properties' xmlns:ns1='http://purl.org/dc/elements/1.1/'" w:xpath="/ns0:coreProperties[1]/ns1:title[1]" w:storeItemID="{6C3C8BC8-F283-45AE-878A-BAB7291924A1}"/>
                  <w:text/>
                </w:sdtPr>
                <w:sdtEndPr/>
                <w:sdtContent>
                  <w:p w14:paraId="5347EE76" w14:textId="59160D4A" w:rsidR="009B6983" w:rsidRPr="009B6983" w:rsidRDefault="00A91E76" w:rsidP="00B20327">
                    <w:pPr>
                      <w:pStyle w:val="AralkYok"/>
                      <w:spacing w:line="276" w:lineRule="auto"/>
                      <w:jc w:val="center"/>
                      <w:rPr>
                        <w:rFonts w:ascii="Times New Roman" w:eastAsiaTheme="majorEastAsia" w:hAnsi="Times New Roman" w:cs="Times New Roman"/>
                        <w:sz w:val="24"/>
                        <w:szCs w:val="24"/>
                      </w:rPr>
                    </w:pPr>
                    <w:r>
                      <w:rPr>
                        <w:rFonts w:ascii="Times New Roman" w:eastAsiaTheme="majorEastAsia" w:hAnsi="Times New Roman" w:cs="Times New Roman"/>
                        <w:b/>
                        <w:bCs/>
                        <w:sz w:val="24"/>
                        <w:szCs w:val="24"/>
                      </w:rPr>
                      <w:t>Kredi Temerrüt Swapları (CDS) ve BIST 30</w:t>
                    </w:r>
                    <w:r w:rsidR="00710537">
                      <w:rPr>
                        <w:rFonts w:ascii="Times New Roman" w:eastAsiaTheme="majorEastAsia" w:hAnsi="Times New Roman" w:cs="Times New Roman"/>
                        <w:b/>
                        <w:bCs/>
                        <w:sz w:val="24"/>
                        <w:szCs w:val="24"/>
                      </w:rPr>
                      <w:t xml:space="preserve"> </w:t>
                    </w:r>
                    <w:proofErr w:type="gramStart"/>
                    <w:r w:rsidR="00710537">
                      <w:rPr>
                        <w:rFonts w:ascii="Times New Roman" w:eastAsiaTheme="majorEastAsia" w:hAnsi="Times New Roman" w:cs="Times New Roman"/>
                        <w:b/>
                        <w:bCs/>
                        <w:sz w:val="24"/>
                        <w:szCs w:val="24"/>
                      </w:rPr>
                      <w:t xml:space="preserve">Endeksi </w:t>
                    </w:r>
                    <w:r>
                      <w:rPr>
                        <w:rFonts w:ascii="Times New Roman" w:eastAsiaTheme="majorEastAsia" w:hAnsi="Times New Roman" w:cs="Times New Roman"/>
                        <w:b/>
                        <w:bCs/>
                        <w:sz w:val="24"/>
                        <w:szCs w:val="24"/>
                      </w:rPr>
                      <w:t xml:space="preserve"> Arasındaki</w:t>
                    </w:r>
                    <w:proofErr w:type="gramEnd"/>
                    <w:r>
                      <w:rPr>
                        <w:rFonts w:ascii="Times New Roman" w:eastAsiaTheme="majorEastAsia" w:hAnsi="Times New Roman" w:cs="Times New Roman"/>
                        <w:b/>
                        <w:bCs/>
                        <w:sz w:val="24"/>
                        <w:szCs w:val="24"/>
                      </w:rPr>
                      <w:t xml:space="preserve"> İlişki</w:t>
                    </w:r>
                  </w:p>
                </w:sdtContent>
              </w:sdt>
            </w:tc>
          </w:tr>
          <w:tr w:rsidR="009B6983" w14:paraId="37F7F475" w14:textId="77777777" w:rsidTr="00A8259C">
            <w:sdt>
              <w:sdtPr>
                <w:rPr>
                  <w:rFonts w:ascii="Times New Roman" w:hAnsi="Times New Roman" w:cs="Times New Roman"/>
                  <w:sz w:val="24"/>
                  <w:szCs w:val="24"/>
                </w:rPr>
                <w:alias w:val="Alt konu başlığı"/>
                <w:id w:val="13406923"/>
                <w:placeholder>
                  <w:docPart w:val="D2794082F6544B8EA1ACD9FC030EF1D1"/>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0DC7759E" w14:textId="66CA295B" w:rsidR="009B6983" w:rsidRDefault="00775014" w:rsidP="00B20327">
                    <w:pPr>
                      <w:pStyle w:val="AralkYok"/>
                      <w:spacing w:line="276" w:lineRule="auto"/>
                      <w:jc w:val="center"/>
                      <w:rPr>
                        <w:color w:val="2F5496" w:themeColor="accent1" w:themeShade="BF"/>
                        <w:sz w:val="24"/>
                      </w:rPr>
                    </w:pPr>
                    <w:r>
                      <w:rPr>
                        <w:rFonts w:ascii="Times New Roman" w:hAnsi="Times New Roman" w:cs="Times New Roman"/>
                        <w:sz w:val="24"/>
                        <w:szCs w:val="24"/>
                      </w:rPr>
                      <w:t>Mehmet AYDINLI</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98"/>
          </w:tblGrid>
          <w:tr w:rsidR="009B6983" w14:paraId="038DDAA3" w14:textId="77777777">
            <w:tc>
              <w:tcPr>
                <w:tcW w:w="7221" w:type="dxa"/>
                <w:tcMar>
                  <w:top w:w="216" w:type="dxa"/>
                  <w:left w:w="115" w:type="dxa"/>
                  <w:bottom w:w="216" w:type="dxa"/>
                  <w:right w:w="115" w:type="dxa"/>
                </w:tcMar>
              </w:tcPr>
              <w:p w14:paraId="3E69FFF9" w14:textId="77777777" w:rsidR="009B6983" w:rsidRDefault="009B6983" w:rsidP="00B20327">
                <w:pPr>
                  <w:pStyle w:val="AralkYok"/>
                  <w:spacing w:line="276" w:lineRule="auto"/>
                  <w:rPr>
                    <w:color w:val="4472C4" w:themeColor="accent1"/>
                  </w:rPr>
                </w:pPr>
              </w:p>
            </w:tc>
          </w:tr>
        </w:tbl>
        <w:p w14:paraId="74095742" w14:textId="77777777" w:rsidR="009B6983" w:rsidRDefault="009B6983" w:rsidP="00B20327">
          <w:pPr>
            <w:spacing w:line="276" w:lineRule="auto"/>
            <w:rPr>
              <w:rFonts w:ascii="Times New Roman" w:eastAsiaTheme="minorEastAsia" w:hAnsi="Times New Roman" w:cs="Times New Roman"/>
              <w:b/>
              <w:bCs/>
              <w:sz w:val="24"/>
              <w:szCs w:val="24"/>
              <w:lang w:eastAsia="tr-TR"/>
            </w:rPr>
          </w:pPr>
          <w:r>
            <w:rPr>
              <w:rFonts w:ascii="Times New Roman" w:eastAsiaTheme="minorEastAsia" w:hAnsi="Times New Roman" w:cs="Times New Roman"/>
              <w:b/>
              <w:bCs/>
              <w:sz w:val="24"/>
              <w:szCs w:val="24"/>
              <w:lang w:eastAsia="tr-TR"/>
            </w:rPr>
            <w:br w:type="page"/>
          </w:r>
        </w:p>
      </w:sdtContent>
    </w:sdt>
    <w:p w14:paraId="25657A16" w14:textId="2907718C" w:rsidR="00CB24AD" w:rsidRPr="00944A2C" w:rsidRDefault="00CB24AD" w:rsidP="00B20327">
      <w:pPr>
        <w:spacing w:line="276" w:lineRule="auto"/>
        <w:jc w:val="center"/>
        <w:rPr>
          <w:rFonts w:ascii="Times New Roman" w:hAnsi="Times New Roman" w:cs="Times New Roman"/>
          <w:b/>
          <w:bCs/>
          <w:sz w:val="24"/>
          <w:szCs w:val="24"/>
        </w:rPr>
      </w:pPr>
      <w:r w:rsidRPr="00944A2C">
        <w:rPr>
          <w:rFonts w:ascii="Times New Roman" w:hAnsi="Times New Roman" w:cs="Times New Roman"/>
          <w:b/>
          <w:bCs/>
          <w:sz w:val="24"/>
          <w:szCs w:val="24"/>
        </w:rPr>
        <w:lastRenderedPageBreak/>
        <w:t>Kredi Temerrüt Swapları</w:t>
      </w:r>
      <w:r w:rsidR="00204AB5" w:rsidRPr="00944A2C">
        <w:rPr>
          <w:rFonts w:ascii="Times New Roman" w:hAnsi="Times New Roman" w:cs="Times New Roman"/>
          <w:b/>
          <w:bCs/>
          <w:sz w:val="24"/>
          <w:szCs w:val="24"/>
        </w:rPr>
        <w:t xml:space="preserve"> </w:t>
      </w:r>
      <w:r w:rsidRPr="00944A2C">
        <w:rPr>
          <w:rFonts w:ascii="Times New Roman" w:hAnsi="Times New Roman" w:cs="Times New Roman"/>
          <w:b/>
          <w:bCs/>
          <w:sz w:val="24"/>
          <w:szCs w:val="24"/>
        </w:rPr>
        <w:t>(CDS) ve B</w:t>
      </w:r>
      <w:r w:rsidR="00710537" w:rsidRPr="00944A2C">
        <w:rPr>
          <w:rFonts w:ascii="Times New Roman" w:hAnsi="Times New Roman" w:cs="Times New Roman"/>
          <w:b/>
          <w:bCs/>
          <w:sz w:val="24"/>
          <w:szCs w:val="24"/>
        </w:rPr>
        <w:t>I</w:t>
      </w:r>
      <w:r w:rsidRPr="00944A2C">
        <w:rPr>
          <w:rFonts w:ascii="Times New Roman" w:hAnsi="Times New Roman" w:cs="Times New Roman"/>
          <w:b/>
          <w:bCs/>
          <w:sz w:val="24"/>
          <w:szCs w:val="24"/>
        </w:rPr>
        <w:t xml:space="preserve">ST 30 </w:t>
      </w:r>
      <w:r w:rsidR="00710537" w:rsidRPr="00944A2C">
        <w:rPr>
          <w:rFonts w:ascii="Times New Roman" w:hAnsi="Times New Roman" w:cs="Times New Roman"/>
          <w:b/>
          <w:bCs/>
          <w:sz w:val="24"/>
          <w:szCs w:val="24"/>
        </w:rPr>
        <w:t xml:space="preserve">Endeksi </w:t>
      </w:r>
      <w:r w:rsidRPr="00944A2C">
        <w:rPr>
          <w:rFonts w:ascii="Times New Roman" w:hAnsi="Times New Roman" w:cs="Times New Roman"/>
          <w:b/>
          <w:bCs/>
          <w:sz w:val="24"/>
          <w:szCs w:val="24"/>
        </w:rPr>
        <w:t>Arasındaki İlişki</w:t>
      </w:r>
    </w:p>
    <w:p w14:paraId="41096241" w14:textId="77777777" w:rsidR="00CB24AD" w:rsidRPr="00944A2C" w:rsidRDefault="00CB24AD" w:rsidP="00B20327">
      <w:pPr>
        <w:spacing w:line="276" w:lineRule="auto"/>
        <w:jc w:val="both"/>
        <w:rPr>
          <w:rFonts w:ascii="Times New Roman" w:hAnsi="Times New Roman" w:cs="Times New Roman"/>
          <w:sz w:val="24"/>
          <w:szCs w:val="24"/>
        </w:rPr>
      </w:pPr>
    </w:p>
    <w:p w14:paraId="200B1D4D" w14:textId="77777777" w:rsidR="001A7007" w:rsidRPr="00944A2C" w:rsidRDefault="001A7007" w:rsidP="00B20327">
      <w:pPr>
        <w:spacing w:line="276" w:lineRule="auto"/>
        <w:jc w:val="center"/>
        <w:rPr>
          <w:rFonts w:ascii="Times New Roman" w:hAnsi="Times New Roman" w:cs="Times New Roman"/>
          <w:b/>
          <w:bCs/>
          <w:sz w:val="24"/>
          <w:szCs w:val="24"/>
        </w:rPr>
      </w:pPr>
      <w:r w:rsidRPr="00944A2C">
        <w:rPr>
          <w:rFonts w:ascii="Times New Roman" w:hAnsi="Times New Roman" w:cs="Times New Roman"/>
          <w:b/>
          <w:bCs/>
          <w:sz w:val="24"/>
          <w:szCs w:val="24"/>
        </w:rPr>
        <w:t>Öz</w:t>
      </w:r>
    </w:p>
    <w:p w14:paraId="2B008C93" w14:textId="6EBCC2DE" w:rsidR="00A91E76" w:rsidRPr="00944A2C" w:rsidRDefault="00204AB5" w:rsidP="00B20327">
      <w:pPr>
        <w:spacing w:line="276" w:lineRule="auto"/>
        <w:jc w:val="both"/>
        <w:rPr>
          <w:rFonts w:ascii="Times New Roman" w:hAnsi="Times New Roman" w:cs="Times New Roman"/>
        </w:rPr>
      </w:pPr>
      <w:r w:rsidRPr="00944A2C">
        <w:rPr>
          <w:rFonts w:ascii="Times New Roman" w:hAnsi="Times New Roman" w:cs="Times New Roman"/>
        </w:rPr>
        <w:t>Kredi türevleri arasında kullanımı çok olan Kredi Temerrüt Swapları (CDS) ile BIST 30 Endeksi arasınd</w:t>
      </w:r>
      <w:r w:rsidR="00D14B72" w:rsidRPr="00944A2C">
        <w:rPr>
          <w:rFonts w:ascii="Times New Roman" w:hAnsi="Times New Roman" w:cs="Times New Roman"/>
        </w:rPr>
        <w:t>a</w:t>
      </w:r>
      <w:r w:rsidR="00710537" w:rsidRPr="00944A2C">
        <w:rPr>
          <w:rFonts w:ascii="Times New Roman" w:hAnsi="Times New Roman" w:cs="Times New Roman"/>
        </w:rPr>
        <w:t xml:space="preserve">ki </w:t>
      </w:r>
      <w:proofErr w:type="gramStart"/>
      <w:r w:rsidR="00710537" w:rsidRPr="00944A2C">
        <w:rPr>
          <w:rFonts w:ascii="Times New Roman" w:hAnsi="Times New Roman" w:cs="Times New Roman"/>
        </w:rPr>
        <w:t xml:space="preserve">ilişki </w:t>
      </w:r>
      <w:r w:rsidR="00D14B72" w:rsidRPr="00944A2C">
        <w:rPr>
          <w:rFonts w:ascii="Times New Roman" w:hAnsi="Times New Roman" w:cs="Times New Roman"/>
        </w:rPr>
        <w:t xml:space="preserve"> </w:t>
      </w:r>
      <w:r w:rsidR="00A91E76" w:rsidRPr="00944A2C">
        <w:rPr>
          <w:rFonts w:ascii="Times New Roman" w:hAnsi="Times New Roman" w:cs="Times New Roman"/>
        </w:rPr>
        <w:t>30.</w:t>
      </w:r>
      <w:r w:rsidR="00D14B72" w:rsidRPr="00944A2C">
        <w:rPr>
          <w:rFonts w:ascii="Times New Roman" w:hAnsi="Times New Roman" w:cs="Times New Roman"/>
        </w:rPr>
        <w:t>0</w:t>
      </w:r>
      <w:r w:rsidR="00A91E76" w:rsidRPr="00944A2C">
        <w:rPr>
          <w:rFonts w:ascii="Times New Roman" w:hAnsi="Times New Roman" w:cs="Times New Roman"/>
        </w:rPr>
        <w:t>9</w:t>
      </w:r>
      <w:r w:rsidR="00D14B72" w:rsidRPr="00944A2C">
        <w:rPr>
          <w:rFonts w:ascii="Times New Roman" w:hAnsi="Times New Roman" w:cs="Times New Roman"/>
        </w:rPr>
        <w:t>.201</w:t>
      </w:r>
      <w:r w:rsidR="00A91E76" w:rsidRPr="00944A2C">
        <w:rPr>
          <w:rFonts w:ascii="Times New Roman" w:hAnsi="Times New Roman" w:cs="Times New Roman"/>
        </w:rPr>
        <w:t>1</w:t>
      </w:r>
      <w:proofErr w:type="gramEnd"/>
      <w:r w:rsidR="00D14B72" w:rsidRPr="00944A2C">
        <w:rPr>
          <w:rFonts w:ascii="Times New Roman" w:hAnsi="Times New Roman" w:cs="Times New Roman"/>
        </w:rPr>
        <w:t xml:space="preserve"> - 3</w:t>
      </w:r>
      <w:r w:rsidR="00A91E76" w:rsidRPr="00944A2C">
        <w:rPr>
          <w:rFonts w:ascii="Times New Roman" w:hAnsi="Times New Roman" w:cs="Times New Roman"/>
        </w:rPr>
        <w:t>0</w:t>
      </w:r>
      <w:r w:rsidR="00D14B72" w:rsidRPr="00944A2C">
        <w:rPr>
          <w:rFonts w:ascii="Times New Roman" w:hAnsi="Times New Roman" w:cs="Times New Roman"/>
        </w:rPr>
        <w:t>.</w:t>
      </w:r>
      <w:r w:rsidR="00A91E76" w:rsidRPr="00944A2C">
        <w:rPr>
          <w:rFonts w:ascii="Times New Roman" w:hAnsi="Times New Roman" w:cs="Times New Roman"/>
        </w:rPr>
        <w:t>09</w:t>
      </w:r>
      <w:r w:rsidR="00D14B72" w:rsidRPr="00944A2C">
        <w:rPr>
          <w:rFonts w:ascii="Times New Roman" w:hAnsi="Times New Roman" w:cs="Times New Roman"/>
        </w:rPr>
        <w:t>.20</w:t>
      </w:r>
      <w:r w:rsidR="00A91E76" w:rsidRPr="00944A2C">
        <w:rPr>
          <w:rFonts w:ascii="Times New Roman" w:hAnsi="Times New Roman" w:cs="Times New Roman"/>
        </w:rPr>
        <w:t>20</w:t>
      </w:r>
      <w:r w:rsidR="00D14B72" w:rsidRPr="00944A2C">
        <w:rPr>
          <w:rFonts w:ascii="Times New Roman" w:hAnsi="Times New Roman" w:cs="Times New Roman"/>
        </w:rPr>
        <w:t xml:space="preserve"> ikincil verileri kullanılarak</w:t>
      </w:r>
      <w:r w:rsidR="00710537" w:rsidRPr="00944A2C">
        <w:rPr>
          <w:rFonts w:ascii="Times New Roman" w:hAnsi="Times New Roman" w:cs="Times New Roman"/>
        </w:rPr>
        <w:t xml:space="preserve"> incelenmiştir.</w:t>
      </w:r>
      <w:r w:rsidR="00D14B72" w:rsidRPr="00944A2C">
        <w:rPr>
          <w:rFonts w:ascii="Times New Roman" w:hAnsi="Times New Roman" w:cs="Times New Roman"/>
        </w:rPr>
        <w:t xml:space="preserve"> </w:t>
      </w:r>
      <w:r w:rsidR="00710537" w:rsidRPr="00944A2C">
        <w:rPr>
          <w:rFonts w:ascii="Times New Roman" w:hAnsi="Times New Roman" w:cs="Times New Roman"/>
        </w:rPr>
        <w:t xml:space="preserve">İki değişken </w:t>
      </w:r>
      <w:r w:rsidR="00A91E76" w:rsidRPr="00944A2C">
        <w:rPr>
          <w:rFonts w:ascii="Times New Roman" w:hAnsi="Times New Roman" w:cs="Times New Roman"/>
        </w:rPr>
        <w:t xml:space="preserve">arasındaki uzun dönemli ilişki </w:t>
      </w:r>
      <w:proofErr w:type="spellStart"/>
      <w:r w:rsidR="00A91E76" w:rsidRPr="00944A2C">
        <w:rPr>
          <w:rFonts w:ascii="Times New Roman" w:hAnsi="Times New Roman" w:cs="Times New Roman"/>
        </w:rPr>
        <w:t>Johansen</w:t>
      </w:r>
      <w:proofErr w:type="spellEnd"/>
      <w:r w:rsidR="00A91E76" w:rsidRPr="00944A2C">
        <w:rPr>
          <w:rFonts w:ascii="Times New Roman" w:hAnsi="Times New Roman" w:cs="Times New Roman"/>
        </w:rPr>
        <w:t xml:space="preserve"> </w:t>
      </w:r>
      <w:proofErr w:type="spellStart"/>
      <w:r w:rsidR="00A91E76" w:rsidRPr="00944A2C">
        <w:rPr>
          <w:rFonts w:ascii="Times New Roman" w:hAnsi="Times New Roman" w:cs="Times New Roman"/>
        </w:rPr>
        <w:t>Eşbütünleşme</w:t>
      </w:r>
      <w:proofErr w:type="spellEnd"/>
      <w:r w:rsidR="00A91E76" w:rsidRPr="00944A2C">
        <w:rPr>
          <w:rFonts w:ascii="Times New Roman" w:hAnsi="Times New Roman" w:cs="Times New Roman"/>
        </w:rPr>
        <w:t xml:space="preserve"> </w:t>
      </w:r>
      <w:proofErr w:type="spellStart"/>
      <w:r w:rsidR="00A91E76" w:rsidRPr="00944A2C">
        <w:rPr>
          <w:rFonts w:ascii="Times New Roman" w:hAnsi="Times New Roman" w:cs="Times New Roman"/>
        </w:rPr>
        <w:t>Testi’yle</w:t>
      </w:r>
      <w:proofErr w:type="spellEnd"/>
      <w:r w:rsidR="00A91E76" w:rsidRPr="00944A2C">
        <w:rPr>
          <w:rFonts w:ascii="Times New Roman" w:hAnsi="Times New Roman" w:cs="Times New Roman"/>
        </w:rPr>
        <w:t xml:space="preserve">; nedensellik ilişkisi ise </w:t>
      </w:r>
      <w:proofErr w:type="spellStart"/>
      <w:r w:rsidR="00A91E76" w:rsidRPr="00944A2C">
        <w:rPr>
          <w:rFonts w:ascii="Times New Roman" w:hAnsi="Times New Roman" w:cs="Times New Roman"/>
        </w:rPr>
        <w:t>Granger</w:t>
      </w:r>
      <w:proofErr w:type="spellEnd"/>
      <w:r w:rsidR="00A91E76" w:rsidRPr="00944A2C">
        <w:rPr>
          <w:rFonts w:ascii="Times New Roman" w:hAnsi="Times New Roman" w:cs="Times New Roman"/>
        </w:rPr>
        <w:t xml:space="preserve"> Nedensellik </w:t>
      </w:r>
      <w:proofErr w:type="spellStart"/>
      <w:r w:rsidR="00A91E76" w:rsidRPr="00944A2C">
        <w:rPr>
          <w:rFonts w:ascii="Times New Roman" w:hAnsi="Times New Roman" w:cs="Times New Roman"/>
        </w:rPr>
        <w:t>Analizi’yle</w:t>
      </w:r>
      <w:proofErr w:type="spellEnd"/>
      <w:r w:rsidR="00A91E76" w:rsidRPr="00944A2C">
        <w:rPr>
          <w:rFonts w:ascii="Times New Roman" w:hAnsi="Times New Roman" w:cs="Times New Roman"/>
        </w:rPr>
        <w:t xml:space="preserve"> incelenmiştir. </w:t>
      </w:r>
    </w:p>
    <w:p w14:paraId="481C5065" w14:textId="429E91E8" w:rsidR="00710537" w:rsidRPr="00944A2C" w:rsidRDefault="00A91E76" w:rsidP="00B20327">
      <w:pPr>
        <w:spacing w:line="276" w:lineRule="auto"/>
        <w:jc w:val="both"/>
        <w:rPr>
          <w:rFonts w:ascii="Times New Roman" w:hAnsi="Times New Roman" w:cs="Times New Roman"/>
        </w:rPr>
      </w:pPr>
      <w:proofErr w:type="spellStart"/>
      <w:r w:rsidRPr="00944A2C">
        <w:rPr>
          <w:rFonts w:ascii="Times New Roman" w:hAnsi="Times New Roman" w:cs="Times New Roman"/>
        </w:rPr>
        <w:t>Johansen</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Eşbütünleşme</w:t>
      </w:r>
      <w:proofErr w:type="spellEnd"/>
      <w:r w:rsidRPr="00944A2C">
        <w:rPr>
          <w:rFonts w:ascii="Times New Roman" w:hAnsi="Times New Roman" w:cs="Times New Roman"/>
        </w:rPr>
        <w:t xml:space="preserve"> Testi ile elde edilen sonuçlara göre oluşturulan her iki modelde de değişkenler arasında 2 tane </w:t>
      </w:r>
      <w:proofErr w:type="spellStart"/>
      <w:r w:rsidRPr="00944A2C">
        <w:rPr>
          <w:rFonts w:ascii="Times New Roman" w:hAnsi="Times New Roman" w:cs="Times New Roman"/>
        </w:rPr>
        <w:t>eşbütünleşik</w:t>
      </w:r>
      <w:proofErr w:type="spellEnd"/>
      <w:r w:rsidRPr="00944A2C">
        <w:rPr>
          <w:rFonts w:ascii="Times New Roman" w:hAnsi="Times New Roman" w:cs="Times New Roman"/>
        </w:rPr>
        <w:t xml:space="preserve"> vektör olduğu görülmektedir.</w:t>
      </w:r>
      <w:r w:rsidR="002377C1" w:rsidRPr="00944A2C">
        <w:rPr>
          <w:rFonts w:ascii="Times New Roman" w:hAnsi="Times New Roman" w:cs="Times New Roman"/>
        </w:rPr>
        <w:t xml:space="preserve"> </w:t>
      </w:r>
      <w:proofErr w:type="spellStart"/>
      <w:r w:rsidR="003F2BBF" w:rsidRPr="00944A2C">
        <w:rPr>
          <w:rFonts w:ascii="Times New Roman" w:hAnsi="Times New Roman" w:cs="Times New Roman"/>
        </w:rPr>
        <w:t>Granger</w:t>
      </w:r>
      <w:proofErr w:type="spellEnd"/>
      <w:r w:rsidR="003F2BBF" w:rsidRPr="00944A2C">
        <w:rPr>
          <w:rFonts w:ascii="Times New Roman" w:hAnsi="Times New Roman" w:cs="Times New Roman"/>
        </w:rPr>
        <w:t xml:space="preserve"> Nedensellik Analizinde </w:t>
      </w:r>
      <w:proofErr w:type="spellStart"/>
      <w:r w:rsidR="003F2BBF" w:rsidRPr="00944A2C">
        <w:rPr>
          <w:rFonts w:ascii="Times New Roman" w:hAnsi="Times New Roman" w:cs="Times New Roman"/>
        </w:rPr>
        <w:t>CDS’in</w:t>
      </w:r>
      <w:proofErr w:type="spellEnd"/>
      <w:r w:rsidR="003F2BBF" w:rsidRPr="00944A2C">
        <w:rPr>
          <w:rFonts w:ascii="Times New Roman" w:hAnsi="Times New Roman" w:cs="Times New Roman"/>
        </w:rPr>
        <w:t xml:space="preserve"> B</w:t>
      </w:r>
      <w:r w:rsidR="00F9488F" w:rsidRPr="00944A2C">
        <w:rPr>
          <w:rFonts w:ascii="Times New Roman" w:hAnsi="Times New Roman" w:cs="Times New Roman"/>
        </w:rPr>
        <w:t>IST</w:t>
      </w:r>
      <w:r w:rsidR="003F2BBF" w:rsidRPr="00944A2C">
        <w:rPr>
          <w:rFonts w:ascii="Times New Roman" w:hAnsi="Times New Roman" w:cs="Times New Roman"/>
        </w:rPr>
        <w:t xml:space="preserve"> 30 Endeksinin nedeni olduğu hipotezi olduğu doğrulanmıştır.</w:t>
      </w:r>
    </w:p>
    <w:p w14:paraId="0BAFC05E" w14:textId="1A4DA239" w:rsidR="001A7007" w:rsidRPr="00944A2C" w:rsidRDefault="00D14B72" w:rsidP="00B20327">
      <w:pPr>
        <w:spacing w:line="276" w:lineRule="auto"/>
        <w:jc w:val="both"/>
        <w:rPr>
          <w:rFonts w:ascii="Times New Roman" w:hAnsi="Times New Roman" w:cs="Times New Roman"/>
        </w:rPr>
      </w:pPr>
      <w:r w:rsidRPr="00944A2C">
        <w:rPr>
          <w:rFonts w:ascii="Times New Roman" w:hAnsi="Times New Roman" w:cs="Times New Roman"/>
          <w:b/>
          <w:bCs/>
          <w:i/>
          <w:iCs/>
        </w:rPr>
        <w:t>Anahtar Sözcükler</w:t>
      </w:r>
      <w:r w:rsidRPr="00944A2C">
        <w:rPr>
          <w:rFonts w:ascii="Times New Roman" w:hAnsi="Times New Roman" w:cs="Times New Roman"/>
        </w:rPr>
        <w:t>: Kredi Temerrüt Swapları, CDS, B</w:t>
      </w:r>
      <w:r w:rsidR="00F9488F" w:rsidRPr="00944A2C">
        <w:rPr>
          <w:rFonts w:ascii="Times New Roman" w:hAnsi="Times New Roman" w:cs="Times New Roman"/>
        </w:rPr>
        <w:t>I</w:t>
      </w:r>
      <w:r w:rsidRPr="00944A2C">
        <w:rPr>
          <w:rFonts w:ascii="Times New Roman" w:hAnsi="Times New Roman" w:cs="Times New Roman"/>
        </w:rPr>
        <w:t>ST 30</w:t>
      </w:r>
    </w:p>
    <w:p w14:paraId="70738C52" w14:textId="77777777" w:rsidR="00206A18" w:rsidRDefault="00206A18" w:rsidP="00B20327">
      <w:pPr>
        <w:spacing w:line="276" w:lineRule="auto"/>
        <w:jc w:val="both"/>
        <w:rPr>
          <w:rFonts w:ascii="Times New Roman" w:hAnsi="Times New Roman" w:cs="Times New Roman"/>
          <w:sz w:val="24"/>
          <w:szCs w:val="24"/>
        </w:rPr>
      </w:pPr>
    </w:p>
    <w:p w14:paraId="1BDB0C25" w14:textId="59C8A32C" w:rsidR="00157CE5" w:rsidRPr="00944A2C" w:rsidRDefault="00157CE5" w:rsidP="00B20327">
      <w:pPr>
        <w:spacing w:line="276" w:lineRule="auto"/>
        <w:jc w:val="center"/>
        <w:rPr>
          <w:rFonts w:ascii="Times New Roman" w:hAnsi="Times New Roman" w:cs="Times New Roman"/>
          <w:b/>
          <w:bCs/>
          <w:sz w:val="24"/>
          <w:szCs w:val="24"/>
        </w:rPr>
      </w:pPr>
      <w:proofErr w:type="spellStart"/>
      <w:r w:rsidRPr="00944A2C">
        <w:rPr>
          <w:rFonts w:ascii="Times New Roman" w:hAnsi="Times New Roman" w:cs="Times New Roman"/>
          <w:b/>
          <w:bCs/>
          <w:sz w:val="24"/>
          <w:szCs w:val="24"/>
        </w:rPr>
        <w:t>Abstract</w:t>
      </w:r>
      <w:proofErr w:type="spellEnd"/>
    </w:p>
    <w:p w14:paraId="15F2C5CB" w14:textId="77777777" w:rsidR="00944A2C" w:rsidRPr="00944A2C" w:rsidRDefault="00944A2C" w:rsidP="00B20327">
      <w:pPr>
        <w:spacing w:line="276" w:lineRule="auto"/>
        <w:jc w:val="both"/>
        <w:rPr>
          <w:rFonts w:ascii="Times New Roman" w:hAnsi="Times New Roman" w:cs="Times New Roman"/>
        </w:rPr>
      </w:pPr>
      <w:proofErr w:type="spellStart"/>
      <w:r w:rsidRPr="00944A2C">
        <w:rPr>
          <w:rFonts w:ascii="Times New Roman" w:hAnsi="Times New Roman" w:cs="Times New Roman"/>
        </w:rPr>
        <w:t>The</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relationship</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between</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Credit</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Default</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Swaps</w:t>
      </w:r>
      <w:proofErr w:type="spellEnd"/>
      <w:r w:rsidRPr="00944A2C">
        <w:rPr>
          <w:rFonts w:ascii="Times New Roman" w:hAnsi="Times New Roman" w:cs="Times New Roman"/>
        </w:rPr>
        <w:t xml:space="preserve"> (CDS), </w:t>
      </w:r>
      <w:proofErr w:type="spellStart"/>
      <w:r w:rsidRPr="00944A2C">
        <w:rPr>
          <w:rFonts w:ascii="Times New Roman" w:hAnsi="Times New Roman" w:cs="Times New Roman"/>
        </w:rPr>
        <w:t>which</w:t>
      </w:r>
      <w:proofErr w:type="spellEnd"/>
      <w:r w:rsidRPr="00944A2C">
        <w:rPr>
          <w:rFonts w:ascii="Times New Roman" w:hAnsi="Times New Roman" w:cs="Times New Roman"/>
        </w:rPr>
        <w:t xml:space="preserve"> is </w:t>
      </w:r>
      <w:proofErr w:type="spellStart"/>
      <w:r w:rsidRPr="00944A2C">
        <w:rPr>
          <w:rFonts w:ascii="Times New Roman" w:hAnsi="Times New Roman" w:cs="Times New Roman"/>
        </w:rPr>
        <w:t>widely</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used</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among</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credit</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derivatives</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and</w:t>
      </w:r>
      <w:proofErr w:type="spellEnd"/>
      <w:r w:rsidRPr="00944A2C">
        <w:rPr>
          <w:rFonts w:ascii="Times New Roman" w:hAnsi="Times New Roman" w:cs="Times New Roman"/>
        </w:rPr>
        <w:t xml:space="preserve"> BIST 30 Index, </w:t>
      </w:r>
      <w:proofErr w:type="spellStart"/>
      <w:r w:rsidRPr="00944A2C">
        <w:rPr>
          <w:rFonts w:ascii="Times New Roman" w:hAnsi="Times New Roman" w:cs="Times New Roman"/>
        </w:rPr>
        <w:t>was</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analyzed</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using</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the</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secondary</w:t>
      </w:r>
      <w:proofErr w:type="spellEnd"/>
      <w:r w:rsidRPr="00944A2C">
        <w:rPr>
          <w:rFonts w:ascii="Times New Roman" w:hAnsi="Times New Roman" w:cs="Times New Roman"/>
        </w:rPr>
        <w:t xml:space="preserve"> data of </w:t>
      </w:r>
      <w:proofErr w:type="gramStart"/>
      <w:r w:rsidRPr="00944A2C">
        <w:rPr>
          <w:rFonts w:ascii="Times New Roman" w:hAnsi="Times New Roman" w:cs="Times New Roman"/>
        </w:rPr>
        <w:t>30.09.2011 -</w:t>
      </w:r>
      <w:proofErr w:type="gramEnd"/>
      <w:r w:rsidRPr="00944A2C">
        <w:rPr>
          <w:rFonts w:ascii="Times New Roman" w:hAnsi="Times New Roman" w:cs="Times New Roman"/>
        </w:rPr>
        <w:t xml:space="preserve"> 30.09.2020. </w:t>
      </w:r>
      <w:proofErr w:type="spellStart"/>
      <w:r w:rsidRPr="00944A2C">
        <w:rPr>
          <w:rFonts w:ascii="Times New Roman" w:hAnsi="Times New Roman" w:cs="Times New Roman"/>
        </w:rPr>
        <w:t>The</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long-term</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relationship</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between</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two</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variables</w:t>
      </w:r>
      <w:proofErr w:type="spellEnd"/>
      <w:r w:rsidRPr="00944A2C">
        <w:rPr>
          <w:rFonts w:ascii="Times New Roman" w:hAnsi="Times New Roman" w:cs="Times New Roman"/>
        </w:rPr>
        <w:t xml:space="preserve"> is </w:t>
      </w:r>
      <w:proofErr w:type="spellStart"/>
      <w:r w:rsidRPr="00944A2C">
        <w:rPr>
          <w:rFonts w:ascii="Times New Roman" w:hAnsi="Times New Roman" w:cs="Times New Roman"/>
        </w:rPr>
        <w:t>determined</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by</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the</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Johansen</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Cointegration</w:t>
      </w:r>
      <w:proofErr w:type="spellEnd"/>
      <w:r w:rsidRPr="00944A2C">
        <w:rPr>
          <w:rFonts w:ascii="Times New Roman" w:hAnsi="Times New Roman" w:cs="Times New Roman"/>
        </w:rPr>
        <w:t xml:space="preserve"> Test; </w:t>
      </w:r>
      <w:proofErr w:type="spellStart"/>
      <w:r w:rsidRPr="00944A2C">
        <w:rPr>
          <w:rFonts w:ascii="Times New Roman" w:hAnsi="Times New Roman" w:cs="Times New Roman"/>
        </w:rPr>
        <w:t>the</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causality</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relationship</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was</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examined</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by</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Granger</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Causality</w:t>
      </w:r>
      <w:proofErr w:type="spellEnd"/>
      <w:r w:rsidRPr="00944A2C">
        <w:rPr>
          <w:rFonts w:ascii="Times New Roman" w:hAnsi="Times New Roman" w:cs="Times New Roman"/>
        </w:rPr>
        <w:t xml:space="preserve"> Analysis.</w:t>
      </w:r>
    </w:p>
    <w:p w14:paraId="0E113FC1" w14:textId="090006A2" w:rsidR="003F2BBF" w:rsidRPr="00944A2C" w:rsidRDefault="00944A2C" w:rsidP="00B20327">
      <w:pPr>
        <w:spacing w:line="276" w:lineRule="auto"/>
        <w:jc w:val="both"/>
        <w:rPr>
          <w:rFonts w:ascii="Times New Roman" w:hAnsi="Times New Roman" w:cs="Times New Roman"/>
        </w:rPr>
      </w:pPr>
      <w:proofErr w:type="spellStart"/>
      <w:r w:rsidRPr="00944A2C">
        <w:rPr>
          <w:rFonts w:ascii="Times New Roman" w:hAnsi="Times New Roman" w:cs="Times New Roman"/>
        </w:rPr>
        <w:t>According</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to</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the</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results</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obtained</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by</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the</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Johansen</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Cointegration</w:t>
      </w:r>
      <w:proofErr w:type="spellEnd"/>
      <w:r w:rsidRPr="00944A2C">
        <w:rPr>
          <w:rFonts w:ascii="Times New Roman" w:hAnsi="Times New Roman" w:cs="Times New Roman"/>
        </w:rPr>
        <w:t xml:space="preserve"> Test, it is </w:t>
      </w:r>
      <w:proofErr w:type="spellStart"/>
      <w:r w:rsidRPr="00944A2C">
        <w:rPr>
          <w:rFonts w:ascii="Times New Roman" w:hAnsi="Times New Roman" w:cs="Times New Roman"/>
        </w:rPr>
        <w:t>seen</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that</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there</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are</w:t>
      </w:r>
      <w:proofErr w:type="spellEnd"/>
      <w:r w:rsidRPr="00944A2C">
        <w:rPr>
          <w:rFonts w:ascii="Times New Roman" w:hAnsi="Times New Roman" w:cs="Times New Roman"/>
        </w:rPr>
        <w:t xml:space="preserve"> 2 </w:t>
      </w:r>
      <w:proofErr w:type="spellStart"/>
      <w:r w:rsidRPr="00944A2C">
        <w:rPr>
          <w:rFonts w:ascii="Times New Roman" w:hAnsi="Times New Roman" w:cs="Times New Roman"/>
        </w:rPr>
        <w:t>cointegrated</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vectors</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between</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variables</w:t>
      </w:r>
      <w:proofErr w:type="spellEnd"/>
      <w:r w:rsidRPr="00944A2C">
        <w:rPr>
          <w:rFonts w:ascii="Times New Roman" w:hAnsi="Times New Roman" w:cs="Times New Roman"/>
        </w:rPr>
        <w:t xml:space="preserve"> in </w:t>
      </w:r>
      <w:proofErr w:type="spellStart"/>
      <w:r w:rsidRPr="00944A2C">
        <w:rPr>
          <w:rFonts w:ascii="Times New Roman" w:hAnsi="Times New Roman" w:cs="Times New Roman"/>
        </w:rPr>
        <w:t>both</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models</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In</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Granger</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Causality</w:t>
      </w:r>
      <w:proofErr w:type="spellEnd"/>
      <w:r w:rsidRPr="00944A2C">
        <w:rPr>
          <w:rFonts w:ascii="Times New Roman" w:hAnsi="Times New Roman" w:cs="Times New Roman"/>
        </w:rPr>
        <w:t xml:space="preserve"> Analysis, it has </w:t>
      </w:r>
      <w:proofErr w:type="spellStart"/>
      <w:r w:rsidRPr="00944A2C">
        <w:rPr>
          <w:rFonts w:ascii="Times New Roman" w:hAnsi="Times New Roman" w:cs="Times New Roman"/>
        </w:rPr>
        <w:t>been</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confirmed</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that</w:t>
      </w:r>
      <w:proofErr w:type="spellEnd"/>
      <w:r w:rsidRPr="00944A2C">
        <w:rPr>
          <w:rFonts w:ascii="Times New Roman" w:hAnsi="Times New Roman" w:cs="Times New Roman"/>
        </w:rPr>
        <w:t xml:space="preserve"> CDS is </w:t>
      </w:r>
      <w:proofErr w:type="spellStart"/>
      <w:r w:rsidRPr="00944A2C">
        <w:rPr>
          <w:rFonts w:ascii="Times New Roman" w:hAnsi="Times New Roman" w:cs="Times New Roman"/>
        </w:rPr>
        <w:t>the</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cause</w:t>
      </w:r>
      <w:proofErr w:type="spellEnd"/>
      <w:r w:rsidRPr="00944A2C">
        <w:rPr>
          <w:rFonts w:ascii="Times New Roman" w:hAnsi="Times New Roman" w:cs="Times New Roman"/>
        </w:rPr>
        <w:t xml:space="preserve"> of BIST 30 Index.</w:t>
      </w:r>
    </w:p>
    <w:p w14:paraId="0128C30D" w14:textId="77777777" w:rsidR="00710537" w:rsidRPr="00944A2C" w:rsidRDefault="00710537" w:rsidP="00B20327">
      <w:pPr>
        <w:spacing w:line="276" w:lineRule="auto"/>
        <w:rPr>
          <w:rFonts w:ascii="Times New Roman" w:hAnsi="Times New Roman" w:cs="Times New Roman"/>
          <w:b/>
          <w:bCs/>
        </w:rPr>
      </w:pPr>
    </w:p>
    <w:p w14:paraId="3194F2C4" w14:textId="77777777" w:rsidR="00157CE5" w:rsidRPr="00944A2C" w:rsidRDefault="00157CE5" w:rsidP="00B20327">
      <w:pPr>
        <w:spacing w:line="276" w:lineRule="auto"/>
        <w:jc w:val="both"/>
        <w:rPr>
          <w:rFonts w:ascii="Times New Roman" w:hAnsi="Times New Roman" w:cs="Times New Roman"/>
        </w:rPr>
      </w:pPr>
      <w:proofErr w:type="spellStart"/>
      <w:r w:rsidRPr="00944A2C">
        <w:rPr>
          <w:rFonts w:ascii="Times New Roman" w:hAnsi="Times New Roman" w:cs="Times New Roman"/>
          <w:b/>
          <w:bCs/>
          <w:i/>
          <w:iCs/>
        </w:rPr>
        <w:t>Key</w:t>
      </w:r>
      <w:proofErr w:type="spellEnd"/>
      <w:r w:rsidRPr="00944A2C">
        <w:rPr>
          <w:rFonts w:ascii="Times New Roman" w:hAnsi="Times New Roman" w:cs="Times New Roman"/>
          <w:b/>
          <w:bCs/>
          <w:i/>
          <w:iCs/>
        </w:rPr>
        <w:t xml:space="preserve"> </w:t>
      </w:r>
      <w:proofErr w:type="spellStart"/>
      <w:r w:rsidRPr="00944A2C">
        <w:rPr>
          <w:rFonts w:ascii="Times New Roman" w:hAnsi="Times New Roman" w:cs="Times New Roman"/>
          <w:b/>
          <w:bCs/>
          <w:i/>
          <w:iCs/>
        </w:rPr>
        <w:t>Words</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Credit</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Default</w:t>
      </w:r>
      <w:proofErr w:type="spellEnd"/>
      <w:r w:rsidRPr="00944A2C">
        <w:rPr>
          <w:rFonts w:ascii="Times New Roman" w:hAnsi="Times New Roman" w:cs="Times New Roman"/>
        </w:rPr>
        <w:t xml:space="preserve"> Swap, CDS, BIST 30</w:t>
      </w:r>
    </w:p>
    <w:p w14:paraId="3A322763" w14:textId="77777777" w:rsidR="00206A18" w:rsidRDefault="00206A18" w:rsidP="00B20327">
      <w:pPr>
        <w:spacing w:line="276" w:lineRule="auto"/>
        <w:jc w:val="both"/>
        <w:rPr>
          <w:rFonts w:ascii="Times New Roman" w:hAnsi="Times New Roman" w:cs="Times New Roman"/>
          <w:sz w:val="24"/>
          <w:szCs w:val="24"/>
        </w:rPr>
      </w:pPr>
    </w:p>
    <w:p w14:paraId="729BED47" w14:textId="46C79399" w:rsidR="00206A18" w:rsidRDefault="00206A18" w:rsidP="00B20327">
      <w:pPr>
        <w:spacing w:line="276" w:lineRule="auto"/>
        <w:jc w:val="both"/>
        <w:rPr>
          <w:rFonts w:ascii="Times New Roman" w:hAnsi="Times New Roman" w:cs="Times New Roman"/>
          <w:sz w:val="24"/>
          <w:szCs w:val="24"/>
        </w:rPr>
      </w:pPr>
    </w:p>
    <w:p w14:paraId="71762F2B" w14:textId="610B30B8" w:rsidR="003F2BBF" w:rsidRDefault="003F2BBF" w:rsidP="00B20327">
      <w:pPr>
        <w:spacing w:line="276" w:lineRule="auto"/>
        <w:jc w:val="both"/>
        <w:rPr>
          <w:rFonts w:ascii="Times New Roman" w:hAnsi="Times New Roman" w:cs="Times New Roman"/>
          <w:sz w:val="24"/>
          <w:szCs w:val="24"/>
        </w:rPr>
      </w:pPr>
    </w:p>
    <w:p w14:paraId="0558E1B5" w14:textId="3DD78E95" w:rsidR="00944A2C" w:rsidRDefault="00944A2C" w:rsidP="00B20327">
      <w:pPr>
        <w:spacing w:line="276" w:lineRule="auto"/>
        <w:jc w:val="both"/>
        <w:rPr>
          <w:rFonts w:ascii="Times New Roman" w:hAnsi="Times New Roman" w:cs="Times New Roman"/>
          <w:sz w:val="24"/>
          <w:szCs w:val="24"/>
        </w:rPr>
      </w:pPr>
    </w:p>
    <w:p w14:paraId="1185BBF4" w14:textId="5288409A" w:rsidR="00944A2C" w:rsidRDefault="00944A2C" w:rsidP="00B20327">
      <w:pPr>
        <w:spacing w:line="276" w:lineRule="auto"/>
        <w:jc w:val="both"/>
        <w:rPr>
          <w:rFonts w:ascii="Times New Roman" w:hAnsi="Times New Roman" w:cs="Times New Roman"/>
          <w:sz w:val="24"/>
          <w:szCs w:val="24"/>
        </w:rPr>
      </w:pPr>
    </w:p>
    <w:p w14:paraId="5023404A" w14:textId="77777777" w:rsidR="00944A2C" w:rsidRDefault="00944A2C" w:rsidP="00B20327">
      <w:pPr>
        <w:spacing w:line="276" w:lineRule="auto"/>
        <w:jc w:val="both"/>
        <w:rPr>
          <w:rFonts w:ascii="Times New Roman" w:hAnsi="Times New Roman" w:cs="Times New Roman"/>
          <w:sz w:val="24"/>
          <w:szCs w:val="24"/>
        </w:rPr>
      </w:pPr>
    </w:p>
    <w:p w14:paraId="62EA9FD9" w14:textId="77777777" w:rsidR="00206A18" w:rsidRDefault="00206A18" w:rsidP="00B20327">
      <w:pPr>
        <w:spacing w:line="276" w:lineRule="auto"/>
        <w:jc w:val="both"/>
        <w:rPr>
          <w:rFonts w:ascii="Times New Roman" w:hAnsi="Times New Roman" w:cs="Times New Roman"/>
          <w:sz w:val="24"/>
          <w:szCs w:val="24"/>
        </w:rPr>
      </w:pPr>
    </w:p>
    <w:p w14:paraId="5E0326C4" w14:textId="77777777" w:rsidR="00206A18" w:rsidRDefault="00206A18" w:rsidP="00B20327">
      <w:pPr>
        <w:spacing w:line="276" w:lineRule="auto"/>
        <w:jc w:val="both"/>
        <w:rPr>
          <w:rFonts w:ascii="Times New Roman" w:hAnsi="Times New Roman" w:cs="Times New Roman"/>
          <w:sz w:val="24"/>
          <w:szCs w:val="24"/>
        </w:rPr>
      </w:pPr>
    </w:p>
    <w:p w14:paraId="39F30C5D" w14:textId="77777777" w:rsidR="00206A18" w:rsidRDefault="00206A18" w:rsidP="00B20327">
      <w:pPr>
        <w:spacing w:line="276" w:lineRule="auto"/>
        <w:jc w:val="both"/>
        <w:rPr>
          <w:rFonts w:ascii="Times New Roman" w:hAnsi="Times New Roman" w:cs="Times New Roman"/>
          <w:sz w:val="24"/>
          <w:szCs w:val="24"/>
        </w:rPr>
      </w:pPr>
    </w:p>
    <w:p w14:paraId="239AE40C" w14:textId="77777777" w:rsidR="00B20327" w:rsidRDefault="00B20327" w:rsidP="00B20327">
      <w:pPr>
        <w:spacing w:line="276" w:lineRule="auto"/>
        <w:jc w:val="both"/>
        <w:rPr>
          <w:rFonts w:ascii="Times New Roman" w:hAnsi="Times New Roman" w:cs="Times New Roman"/>
          <w:b/>
          <w:bCs/>
          <w:sz w:val="24"/>
          <w:szCs w:val="24"/>
        </w:rPr>
      </w:pPr>
    </w:p>
    <w:p w14:paraId="04CB416C" w14:textId="77777777" w:rsidR="00B20327" w:rsidRDefault="00B20327" w:rsidP="00B20327">
      <w:pPr>
        <w:spacing w:line="276" w:lineRule="auto"/>
        <w:jc w:val="both"/>
        <w:rPr>
          <w:rFonts w:ascii="Times New Roman" w:hAnsi="Times New Roman" w:cs="Times New Roman"/>
          <w:b/>
          <w:bCs/>
          <w:sz w:val="24"/>
          <w:szCs w:val="24"/>
        </w:rPr>
      </w:pPr>
    </w:p>
    <w:p w14:paraId="0F665F0F" w14:textId="77777777" w:rsidR="00B20327" w:rsidRDefault="00B20327" w:rsidP="00B20327">
      <w:pPr>
        <w:spacing w:line="276" w:lineRule="auto"/>
        <w:jc w:val="both"/>
        <w:rPr>
          <w:rFonts w:ascii="Times New Roman" w:hAnsi="Times New Roman" w:cs="Times New Roman"/>
          <w:b/>
          <w:bCs/>
          <w:sz w:val="24"/>
          <w:szCs w:val="24"/>
        </w:rPr>
      </w:pPr>
    </w:p>
    <w:p w14:paraId="0954CDF9" w14:textId="2D1EA19E" w:rsidR="00B20327" w:rsidRPr="00944A2C" w:rsidRDefault="003F2BBF" w:rsidP="00B20327">
      <w:pPr>
        <w:spacing w:line="276" w:lineRule="auto"/>
        <w:jc w:val="both"/>
        <w:rPr>
          <w:rFonts w:ascii="Times New Roman" w:hAnsi="Times New Roman" w:cs="Times New Roman"/>
          <w:b/>
          <w:bCs/>
          <w:sz w:val="24"/>
          <w:szCs w:val="24"/>
        </w:rPr>
      </w:pPr>
      <w:r w:rsidRPr="00944A2C">
        <w:rPr>
          <w:rFonts w:ascii="Times New Roman" w:hAnsi="Times New Roman" w:cs="Times New Roman"/>
          <w:b/>
          <w:bCs/>
          <w:sz w:val="24"/>
          <w:szCs w:val="24"/>
        </w:rPr>
        <w:lastRenderedPageBreak/>
        <w:t>G</w:t>
      </w:r>
      <w:r w:rsidR="00B20327">
        <w:rPr>
          <w:rFonts w:ascii="Times New Roman" w:hAnsi="Times New Roman" w:cs="Times New Roman"/>
          <w:b/>
          <w:bCs/>
          <w:sz w:val="24"/>
          <w:szCs w:val="24"/>
        </w:rPr>
        <w:t>iriş</w:t>
      </w:r>
    </w:p>
    <w:p w14:paraId="175472AF" w14:textId="77777777" w:rsidR="000225E1" w:rsidRPr="00944A2C" w:rsidRDefault="000225E1" w:rsidP="00B20327">
      <w:pPr>
        <w:spacing w:line="276" w:lineRule="auto"/>
        <w:jc w:val="both"/>
        <w:rPr>
          <w:rFonts w:ascii="Times New Roman" w:hAnsi="Times New Roman" w:cs="Times New Roman"/>
          <w:color w:val="FF0000"/>
        </w:rPr>
      </w:pPr>
      <w:r w:rsidRPr="00944A2C">
        <w:rPr>
          <w:rFonts w:ascii="Times New Roman" w:hAnsi="Times New Roman" w:cs="Times New Roman"/>
        </w:rPr>
        <w:t>Kredi Temerrüt Swapı, bir tarafın, bir kurum tarafından ihraç edilen varlıkların temerrüt haline düşme riskine karşılık sıralı prim ödemeleri ile riskin diğer tarafa transfer edildiği bir sözleşmedir. (</w:t>
      </w:r>
      <w:r w:rsidRPr="00944A2C">
        <w:rPr>
          <w:rFonts w:ascii="Times New Roman" w:hAnsi="Times New Roman" w:cs="Times New Roman"/>
          <w:color w:val="000000" w:themeColor="text1"/>
        </w:rPr>
        <w:t xml:space="preserve">Sayılgan, 2017) </w:t>
      </w:r>
    </w:p>
    <w:p w14:paraId="0409ABCB" w14:textId="34B01E9A" w:rsidR="003F2BBF" w:rsidRPr="00944A2C" w:rsidRDefault="003F2BBF" w:rsidP="00B20327">
      <w:pPr>
        <w:spacing w:line="276" w:lineRule="auto"/>
        <w:jc w:val="both"/>
        <w:rPr>
          <w:color w:val="000000" w:themeColor="text1"/>
        </w:rPr>
      </w:pPr>
      <w:r w:rsidRPr="00944A2C">
        <w:rPr>
          <w:rFonts w:ascii="Times New Roman" w:hAnsi="Times New Roman" w:cs="Times New Roman"/>
          <w:color w:val="000000" w:themeColor="text1"/>
        </w:rPr>
        <w:t xml:space="preserve">Finansal piyasalarda artan </w:t>
      </w:r>
      <w:proofErr w:type="gramStart"/>
      <w:r w:rsidRPr="00944A2C">
        <w:rPr>
          <w:rFonts w:ascii="Times New Roman" w:hAnsi="Times New Roman" w:cs="Times New Roman"/>
          <w:color w:val="000000" w:themeColor="text1"/>
        </w:rPr>
        <w:t>rekabet,  teknolojik</w:t>
      </w:r>
      <w:proofErr w:type="gramEnd"/>
      <w:r w:rsidRPr="00944A2C">
        <w:rPr>
          <w:rFonts w:ascii="Times New Roman" w:hAnsi="Times New Roman" w:cs="Times New Roman"/>
          <w:color w:val="000000" w:themeColor="text1"/>
        </w:rPr>
        <w:t xml:space="preserve"> gelişmeler türev araçların gelişmesine bu gelişme ile birlikte yeni risklerin ortaya çıkması  2000-2008 yılları arasında koruma ve spekülasyon  amaçlı swapların 30 trilyon doların üzerine yükselmesine  neden olmuştur.</w:t>
      </w:r>
      <w:r w:rsidR="00012C0A" w:rsidRPr="00944A2C">
        <w:rPr>
          <w:rFonts w:ascii="Times New Roman" w:hAnsi="Times New Roman" w:cs="Times New Roman"/>
          <w:color w:val="000000" w:themeColor="text1"/>
        </w:rPr>
        <w:t xml:space="preserve"> </w:t>
      </w:r>
      <w:r w:rsidRPr="00944A2C">
        <w:rPr>
          <w:rFonts w:ascii="Times New Roman" w:hAnsi="Times New Roman" w:cs="Times New Roman"/>
          <w:color w:val="000000" w:themeColor="text1"/>
        </w:rPr>
        <w:t>(</w:t>
      </w:r>
      <w:proofErr w:type="spellStart"/>
      <w:r w:rsidR="00012C0A" w:rsidRPr="00944A2C">
        <w:rPr>
          <w:rFonts w:ascii="Times New Roman" w:hAnsi="Times New Roman" w:cs="Times New Roman"/>
          <w:color w:val="000000" w:themeColor="text1"/>
        </w:rPr>
        <w:t>B</w:t>
      </w:r>
      <w:r w:rsidRPr="00944A2C">
        <w:rPr>
          <w:rFonts w:ascii="Times New Roman" w:hAnsi="Times New Roman" w:cs="Times New Roman"/>
          <w:color w:val="000000" w:themeColor="text1"/>
        </w:rPr>
        <w:t>righam</w:t>
      </w:r>
      <w:proofErr w:type="spellEnd"/>
      <w:r w:rsidR="00012C0A" w:rsidRPr="00944A2C">
        <w:rPr>
          <w:rFonts w:ascii="Times New Roman" w:hAnsi="Times New Roman" w:cs="Times New Roman"/>
          <w:color w:val="000000" w:themeColor="text1"/>
        </w:rPr>
        <w:t xml:space="preserve"> ve Houston, 2012)</w:t>
      </w:r>
      <w:r w:rsidRPr="00944A2C">
        <w:rPr>
          <w:rFonts w:ascii="Times New Roman" w:hAnsi="Times New Roman" w:cs="Times New Roman"/>
          <w:color w:val="000000" w:themeColor="text1"/>
        </w:rPr>
        <w:t xml:space="preserve"> </w:t>
      </w:r>
      <w:r w:rsidR="00850EE4" w:rsidRPr="00944A2C">
        <w:rPr>
          <w:color w:val="000000" w:themeColor="text1"/>
        </w:rPr>
        <w:t xml:space="preserve"> </w:t>
      </w:r>
    </w:p>
    <w:p w14:paraId="02104186" w14:textId="0326BC40" w:rsidR="003F2BBF" w:rsidRPr="00944A2C" w:rsidRDefault="003F2BBF" w:rsidP="00B20327">
      <w:pPr>
        <w:spacing w:line="276" w:lineRule="auto"/>
        <w:jc w:val="both"/>
        <w:rPr>
          <w:rFonts w:ascii="Times New Roman" w:hAnsi="Times New Roman" w:cs="Times New Roman"/>
        </w:rPr>
      </w:pPr>
      <w:r w:rsidRPr="00944A2C">
        <w:rPr>
          <w:rFonts w:ascii="Times New Roman" w:hAnsi="Times New Roman" w:cs="Times New Roman"/>
        </w:rPr>
        <w:t>CDS, alacaklının borçlunun borcunu ödememesi veya ödeyememesi riskinden kendisini korumak amacıyla yaptırdığı bir sigorta işlemi olarak nitelendirilebilir. Sigorta işlemlerinden farklı olarak kredi temerrüt swapları ikinci el piyasalarda alınıp satılabilmektedir.</w:t>
      </w:r>
    </w:p>
    <w:p w14:paraId="44AE5CB0" w14:textId="77777777" w:rsidR="003F2BBF" w:rsidRPr="00944A2C" w:rsidRDefault="003F2BBF" w:rsidP="00B20327">
      <w:pPr>
        <w:spacing w:line="276" w:lineRule="auto"/>
        <w:jc w:val="both"/>
        <w:rPr>
          <w:rFonts w:ascii="Times New Roman" w:hAnsi="Times New Roman" w:cs="Times New Roman"/>
        </w:rPr>
      </w:pPr>
      <w:r w:rsidRPr="00944A2C">
        <w:rPr>
          <w:rFonts w:ascii="Times New Roman" w:hAnsi="Times New Roman" w:cs="Times New Roman"/>
        </w:rPr>
        <w:t>Kredi temerrüt swapları, tezgâh üstü piyasalarda işlem görmektedir. Sözleşme koşulları taraflarca serbestçe belirlenmektedir. Her ne kadar sözleşme şartları taraflarca serbestçe belirlense de bir kredi temerrüt swapında yer alması gereken unsurlar aşağıdaki gibi sıralanabilir: (JP Morgan, 2006:9)</w:t>
      </w:r>
    </w:p>
    <w:p w14:paraId="7026AFD1" w14:textId="77777777" w:rsidR="003F2BBF" w:rsidRPr="00944A2C" w:rsidRDefault="003F2BBF" w:rsidP="00B20327">
      <w:pPr>
        <w:pStyle w:val="ListeParagraf"/>
        <w:numPr>
          <w:ilvl w:val="0"/>
          <w:numId w:val="1"/>
        </w:numPr>
        <w:jc w:val="both"/>
        <w:rPr>
          <w:rFonts w:ascii="Times New Roman" w:hAnsi="Times New Roman" w:cs="Times New Roman"/>
        </w:rPr>
      </w:pPr>
      <w:r w:rsidRPr="00944A2C">
        <w:rPr>
          <w:rFonts w:ascii="Times New Roman" w:hAnsi="Times New Roman" w:cs="Times New Roman"/>
        </w:rPr>
        <w:t>Referans Varlık: Kredi temerrüt sözleşmesine konu olan varlıktır. Bu varlık işletme kredisi, banka kredisi, ülke kredisi veya tahvil olabilir. Kredi temerrüt swapına konu edilen tek referans varlık olabileceği gibi referans varlıklardan oluşan bir portföy olabilir.</w:t>
      </w:r>
    </w:p>
    <w:p w14:paraId="1733DAA4" w14:textId="77777777" w:rsidR="003F2BBF" w:rsidRPr="00944A2C" w:rsidRDefault="003F2BBF" w:rsidP="00B20327">
      <w:pPr>
        <w:pStyle w:val="ListeParagraf"/>
        <w:numPr>
          <w:ilvl w:val="0"/>
          <w:numId w:val="1"/>
        </w:numPr>
        <w:rPr>
          <w:rFonts w:ascii="Times New Roman" w:hAnsi="Times New Roman" w:cs="Times New Roman"/>
        </w:rPr>
      </w:pPr>
      <w:r w:rsidRPr="00944A2C">
        <w:rPr>
          <w:rFonts w:ascii="Times New Roman" w:hAnsi="Times New Roman" w:cs="Times New Roman"/>
        </w:rPr>
        <w:t>Sözleşme Tutarı: Transfer edilen kredi riski miktarını göstermektedir. Taraflarca belirlenir.</w:t>
      </w:r>
    </w:p>
    <w:p w14:paraId="3B5786D7" w14:textId="77777777" w:rsidR="003F2BBF" w:rsidRPr="00944A2C" w:rsidRDefault="003F2BBF" w:rsidP="00B20327">
      <w:pPr>
        <w:pStyle w:val="ListeParagraf"/>
        <w:numPr>
          <w:ilvl w:val="0"/>
          <w:numId w:val="1"/>
        </w:numPr>
        <w:jc w:val="both"/>
        <w:rPr>
          <w:rFonts w:ascii="Times New Roman" w:hAnsi="Times New Roman" w:cs="Times New Roman"/>
        </w:rPr>
      </w:pPr>
      <w:r w:rsidRPr="00944A2C">
        <w:rPr>
          <w:rFonts w:ascii="Times New Roman" w:hAnsi="Times New Roman" w:cs="Times New Roman"/>
        </w:rPr>
        <w:t>Vade: Taraflarca karşılıklı olarak belirlenir. Genellikle vadeler 1, 2, 3, 4, 5, 7 ve 10 yıllıktır. En fazla işlem yapılan sözleşmeler genellikle 5 yıllık olanlardır. Swap süresi referans varlığın vadesinden daha kısa olabileceği gibi referans varlığın vadesiyle de aynı olabilir.</w:t>
      </w:r>
    </w:p>
    <w:p w14:paraId="27DCC7F7" w14:textId="77777777" w:rsidR="003F2BBF" w:rsidRPr="00944A2C" w:rsidRDefault="003F2BBF" w:rsidP="00B20327">
      <w:pPr>
        <w:pStyle w:val="ListeParagraf"/>
        <w:numPr>
          <w:ilvl w:val="0"/>
          <w:numId w:val="1"/>
        </w:numPr>
        <w:rPr>
          <w:rFonts w:ascii="Times New Roman" w:hAnsi="Times New Roman" w:cs="Times New Roman"/>
        </w:rPr>
      </w:pPr>
      <w:r w:rsidRPr="00944A2C">
        <w:rPr>
          <w:rFonts w:ascii="Times New Roman" w:hAnsi="Times New Roman" w:cs="Times New Roman"/>
        </w:rPr>
        <w:t>CDS Primi</w:t>
      </w:r>
    </w:p>
    <w:p w14:paraId="5BF00ABF" w14:textId="77777777" w:rsidR="003F2BBF" w:rsidRPr="00944A2C" w:rsidRDefault="003F2BBF" w:rsidP="00B20327">
      <w:pPr>
        <w:spacing w:line="276" w:lineRule="auto"/>
        <w:jc w:val="both"/>
        <w:rPr>
          <w:rFonts w:ascii="Times New Roman" w:hAnsi="Times New Roman" w:cs="Times New Roman"/>
        </w:rPr>
      </w:pPr>
    </w:p>
    <w:p w14:paraId="22D92E2F" w14:textId="77777777" w:rsidR="003F2BBF" w:rsidRPr="00944A2C" w:rsidRDefault="003F2BBF" w:rsidP="00B20327">
      <w:pPr>
        <w:spacing w:line="276" w:lineRule="auto"/>
        <w:jc w:val="both"/>
        <w:rPr>
          <w:rFonts w:ascii="Times New Roman" w:hAnsi="Times New Roman" w:cs="Times New Roman"/>
        </w:rPr>
      </w:pPr>
      <w:r w:rsidRPr="00944A2C">
        <w:rPr>
          <w:rFonts w:ascii="Times New Roman" w:hAnsi="Times New Roman" w:cs="Times New Roman"/>
        </w:rPr>
        <w:t xml:space="preserve">Koruma satın alan tarafın, satın aldığı koruma karşılığında koruma satana yaptığı periyodik ödemelere CDS primi (CDS ücreti veya CDS </w:t>
      </w:r>
      <w:proofErr w:type="spellStart"/>
      <w:r w:rsidRPr="00944A2C">
        <w:rPr>
          <w:rFonts w:ascii="Times New Roman" w:hAnsi="Times New Roman" w:cs="Times New Roman"/>
        </w:rPr>
        <w:t>spreadi</w:t>
      </w:r>
      <w:proofErr w:type="spellEnd"/>
      <w:r w:rsidRPr="00944A2C">
        <w:rPr>
          <w:rFonts w:ascii="Times New Roman" w:hAnsi="Times New Roman" w:cs="Times New Roman"/>
        </w:rPr>
        <w:t xml:space="preserve">) denilmektedir. Bu prim satın alınan toplam koruma tutarının veya sözleşme tutarının belli bir yüzdesi olarak belirlenmektedir. </w:t>
      </w:r>
    </w:p>
    <w:p w14:paraId="36280FAF" w14:textId="0B2AE3B9" w:rsidR="00944A2C" w:rsidRPr="00B20327" w:rsidRDefault="003F2BBF" w:rsidP="00B20327">
      <w:pPr>
        <w:spacing w:line="276" w:lineRule="auto"/>
        <w:jc w:val="both"/>
        <w:rPr>
          <w:rFonts w:ascii="Times New Roman" w:hAnsi="Times New Roman" w:cs="Times New Roman"/>
        </w:rPr>
      </w:pPr>
      <w:r w:rsidRPr="00944A2C">
        <w:rPr>
          <w:rFonts w:ascii="Times New Roman" w:hAnsi="Times New Roman" w:cs="Times New Roman"/>
        </w:rPr>
        <w:t xml:space="preserve">CDS’ </w:t>
      </w:r>
      <w:proofErr w:type="spellStart"/>
      <w:r w:rsidRPr="00944A2C">
        <w:rPr>
          <w:rFonts w:ascii="Times New Roman" w:hAnsi="Times New Roman" w:cs="Times New Roman"/>
        </w:rPr>
        <w:t>ler</w:t>
      </w:r>
      <w:proofErr w:type="spellEnd"/>
      <w:r w:rsidRPr="00944A2C">
        <w:rPr>
          <w:rFonts w:ascii="Times New Roman" w:hAnsi="Times New Roman" w:cs="Times New Roman"/>
        </w:rPr>
        <w:t xml:space="preserve"> borç sigortası olarak </w:t>
      </w:r>
      <w:proofErr w:type="spellStart"/>
      <w:r w:rsidRPr="00944A2C">
        <w:rPr>
          <w:rFonts w:ascii="Times New Roman" w:hAnsi="Times New Roman" w:cs="Times New Roman"/>
        </w:rPr>
        <w:t>olarak</w:t>
      </w:r>
      <w:proofErr w:type="spellEnd"/>
      <w:r w:rsidRPr="00944A2C">
        <w:rPr>
          <w:rFonts w:ascii="Times New Roman" w:hAnsi="Times New Roman" w:cs="Times New Roman"/>
        </w:rPr>
        <w:t xml:space="preserve"> kullanılmasının yanında yatırımcıların bunları firmaların durumları ile ilgili spekülasyon amaçlı </w:t>
      </w:r>
      <w:proofErr w:type="spellStart"/>
      <w:r w:rsidRPr="00944A2C">
        <w:rPr>
          <w:rFonts w:ascii="Times New Roman" w:hAnsi="Times New Roman" w:cs="Times New Roman"/>
        </w:rPr>
        <w:t>kulanılmıştır</w:t>
      </w:r>
      <w:proofErr w:type="spellEnd"/>
      <w:r w:rsidRPr="00944A2C">
        <w:rPr>
          <w:rFonts w:ascii="Times New Roman" w:hAnsi="Times New Roman" w:cs="Times New Roman"/>
        </w:rPr>
        <w:t xml:space="preserve">. Hedge fon yöneticisi John </w:t>
      </w:r>
      <w:proofErr w:type="spellStart"/>
      <w:r w:rsidRPr="00944A2C">
        <w:rPr>
          <w:rFonts w:ascii="Times New Roman" w:hAnsi="Times New Roman" w:cs="Times New Roman"/>
        </w:rPr>
        <w:t>Paulson</w:t>
      </w:r>
      <w:proofErr w:type="spellEnd"/>
      <w:r w:rsidRPr="00944A2C">
        <w:rPr>
          <w:rFonts w:ascii="Times New Roman" w:hAnsi="Times New Roman" w:cs="Times New Roman"/>
        </w:rPr>
        <w:t xml:space="preserve"> 2007-2008 yılları arasında ticari bankalar ve Wall Street firmaları üzerine girdiği düşüş yönlü bahisler ve riskli </w:t>
      </w:r>
      <w:proofErr w:type="spellStart"/>
      <w:r w:rsidRPr="00944A2C">
        <w:rPr>
          <w:rFonts w:ascii="Times New Roman" w:hAnsi="Times New Roman" w:cs="Times New Roman"/>
        </w:rPr>
        <w:t>mortgage</w:t>
      </w:r>
      <w:proofErr w:type="spellEnd"/>
      <w:r w:rsidRPr="00944A2C">
        <w:rPr>
          <w:rFonts w:ascii="Times New Roman" w:hAnsi="Times New Roman" w:cs="Times New Roman"/>
        </w:rPr>
        <w:t xml:space="preserve"> dayanaklı menkul kıymetler ile 3,7 milyar dolardan fazla kişisel kazanç elde etmiştir.</w:t>
      </w:r>
      <w:r w:rsidR="002377C1" w:rsidRPr="00944A2C">
        <w:rPr>
          <w:rFonts w:ascii="Times New Roman" w:hAnsi="Times New Roman" w:cs="Times New Roman"/>
        </w:rPr>
        <w:t xml:space="preserve"> </w:t>
      </w:r>
      <w:r w:rsidRPr="00944A2C">
        <w:rPr>
          <w:rFonts w:ascii="Times New Roman" w:hAnsi="Times New Roman" w:cs="Times New Roman"/>
        </w:rPr>
        <w:t>(</w:t>
      </w:r>
      <w:proofErr w:type="spellStart"/>
      <w:r w:rsidR="00012C0A" w:rsidRPr="00944A2C">
        <w:rPr>
          <w:rFonts w:ascii="Times New Roman" w:hAnsi="Times New Roman" w:cs="Times New Roman"/>
          <w:color w:val="000000" w:themeColor="text1"/>
        </w:rPr>
        <w:t>B</w:t>
      </w:r>
      <w:r w:rsidRPr="00944A2C">
        <w:rPr>
          <w:rFonts w:ascii="Times New Roman" w:hAnsi="Times New Roman" w:cs="Times New Roman"/>
          <w:color w:val="000000" w:themeColor="text1"/>
        </w:rPr>
        <w:t>odie</w:t>
      </w:r>
      <w:proofErr w:type="spellEnd"/>
      <w:r w:rsidR="00012C0A" w:rsidRPr="00944A2C">
        <w:rPr>
          <w:rFonts w:ascii="Times New Roman" w:hAnsi="Times New Roman" w:cs="Times New Roman"/>
          <w:color w:val="000000" w:themeColor="text1"/>
        </w:rPr>
        <w:t>,</w:t>
      </w:r>
      <w:r w:rsidRPr="00944A2C">
        <w:rPr>
          <w:rFonts w:ascii="Times New Roman" w:hAnsi="Times New Roman" w:cs="Times New Roman"/>
          <w:color w:val="000000" w:themeColor="text1"/>
        </w:rPr>
        <w:t xml:space="preserve"> </w:t>
      </w:r>
      <w:proofErr w:type="spellStart"/>
      <w:r w:rsidR="00012C0A" w:rsidRPr="00944A2C">
        <w:rPr>
          <w:rFonts w:ascii="Times New Roman" w:hAnsi="Times New Roman" w:cs="Times New Roman"/>
          <w:color w:val="000000" w:themeColor="text1"/>
        </w:rPr>
        <w:t>Kane</w:t>
      </w:r>
      <w:proofErr w:type="spellEnd"/>
      <w:r w:rsidR="00012C0A" w:rsidRPr="00944A2C">
        <w:rPr>
          <w:rFonts w:ascii="Times New Roman" w:hAnsi="Times New Roman" w:cs="Times New Roman"/>
          <w:color w:val="000000" w:themeColor="text1"/>
        </w:rPr>
        <w:t xml:space="preserve">, </w:t>
      </w:r>
      <w:proofErr w:type="spellStart"/>
      <w:r w:rsidR="00012C0A" w:rsidRPr="00944A2C">
        <w:rPr>
          <w:rFonts w:ascii="Times New Roman" w:hAnsi="Times New Roman" w:cs="Times New Roman"/>
          <w:color w:val="000000" w:themeColor="text1"/>
        </w:rPr>
        <w:t>Marcus</w:t>
      </w:r>
      <w:proofErr w:type="spellEnd"/>
      <w:r w:rsidR="00012C0A" w:rsidRPr="00944A2C">
        <w:rPr>
          <w:rFonts w:ascii="Times New Roman" w:hAnsi="Times New Roman" w:cs="Times New Roman"/>
          <w:color w:val="000000" w:themeColor="text1"/>
        </w:rPr>
        <w:t>, 2013)</w:t>
      </w:r>
    </w:p>
    <w:p w14:paraId="0F485AF1" w14:textId="77777777" w:rsidR="00944A2C" w:rsidRDefault="00944A2C" w:rsidP="00B20327">
      <w:pPr>
        <w:spacing w:line="276" w:lineRule="auto"/>
        <w:jc w:val="both"/>
        <w:rPr>
          <w:rFonts w:ascii="Times New Roman" w:hAnsi="Times New Roman" w:cs="Times New Roman"/>
          <w:b/>
          <w:bCs/>
          <w:sz w:val="28"/>
          <w:szCs w:val="28"/>
        </w:rPr>
      </w:pPr>
    </w:p>
    <w:p w14:paraId="64546980" w14:textId="39EE8A9C" w:rsidR="001A7007" w:rsidRPr="00944A2C" w:rsidRDefault="001A7007" w:rsidP="00B20327">
      <w:pPr>
        <w:spacing w:line="276" w:lineRule="auto"/>
        <w:jc w:val="both"/>
        <w:rPr>
          <w:rFonts w:ascii="Times New Roman" w:hAnsi="Times New Roman" w:cs="Times New Roman"/>
          <w:b/>
          <w:bCs/>
          <w:sz w:val="24"/>
          <w:szCs w:val="24"/>
        </w:rPr>
      </w:pPr>
      <w:r w:rsidRPr="00944A2C">
        <w:rPr>
          <w:rFonts w:ascii="Times New Roman" w:hAnsi="Times New Roman" w:cs="Times New Roman"/>
          <w:b/>
          <w:bCs/>
          <w:sz w:val="24"/>
          <w:szCs w:val="24"/>
        </w:rPr>
        <w:t>Literatür</w:t>
      </w:r>
    </w:p>
    <w:p w14:paraId="156043BF" w14:textId="77777777" w:rsidR="00321E80" w:rsidRPr="00944A2C" w:rsidRDefault="00283EAC" w:rsidP="00B20327">
      <w:pPr>
        <w:spacing w:line="276" w:lineRule="auto"/>
        <w:jc w:val="both"/>
        <w:rPr>
          <w:rFonts w:ascii="Times New Roman" w:hAnsi="Times New Roman" w:cs="Times New Roman"/>
        </w:rPr>
      </w:pPr>
      <w:r w:rsidRPr="00944A2C">
        <w:rPr>
          <w:rFonts w:ascii="Times New Roman" w:hAnsi="Times New Roman" w:cs="Times New Roman"/>
        </w:rPr>
        <w:t>(</w:t>
      </w:r>
      <w:proofErr w:type="spellStart"/>
      <w:r w:rsidRPr="00944A2C">
        <w:rPr>
          <w:rFonts w:ascii="Times New Roman" w:hAnsi="Times New Roman" w:cs="Times New Roman"/>
        </w:rPr>
        <w:t>Mateev</w:t>
      </w:r>
      <w:proofErr w:type="spellEnd"/>
      <w:r w:rsidRPr="00944A2C">
        <w:rPr>
          <w:rFonts w:ascii="Times New Roman" w:hAnsi="Times New Roman" w:cs="Times New Roman"/>
        </w:rPr>
        <w:t>, 2019)</w:t>
      </w:r>
      <w:r w:rsidR="00206A18" w:rsidRPr="00944A2C">
        <w:rPr>
          <w:rFonts w:ascii="Times New Roman" w:hAnsi="Times New Roman" w:cs="Times New Roman"/>
        </w:rPr>
        <w:t xml:space="preserve">, çalışmasında </w:t>
      </w:r>
      <w:r w:rsidR="00866606" w:rsidRPr="00944A2C">
        <w:rPr>
          <w:rFonts w:ascii="Times New Roman" w:hAnsi="Times New Roman" w:cs="Times New Roman"/>
        </w:rPr>
        <w:t xml:space="preserve">Ocak </w:t>
      </w:r>
      <w:proofErr w:type="gramStart"/>
      <w:r w:rsidR="00866606" w:rsidRPr="00944A2C">
        <w:rPr>
          <w:rFonts w:ascii="Times New Roman" w:hAnsi="Times New Roman" w:cs="Times New Roman"/>
        </w:rPr>
        <w:t>2012 -</w:t>
      </w:r>
      <w:proofErr w:type="gramEnd"/>
      <w:r w:rsidR="00866606" w:rsidRPr="00944A2C">
        <w:rPr>
          <w:rFonts w:ascii="Times New Roman" w:hAnsi="Times New Roman" w:cs="Times New Roman"/>
        </w:rPr>
        <w:t xml:space="preserve"> Ocak 2016 döneminde 109 Avrupa yatırım sınıfı şirketi örneği kullanılarak CDS'</w:t>
      </w:r>
      <w:r w:rsidRPr="00944A2C">
        <w:rPr>
          <w:rFonts w:ascii="Times New Roman" w:hAnsi="Times New Roman" w:cs="Times New Roman"/>
        </w:rPr>
        <w:t xml:space="preserve"> </w:t>
      </w:r>
      <w:r w:rsidR="00866606" w:rsidRPr="00944A2C">
        <w:rPr>
          <w:rFonts w:ascii="Times New Roman" w:hAnsi="Times New Roman" w:cs="Times New Roman"/>
        </w:rPr>
        <w:t xml:space="preserve">in oynaklığı ile hisse senedi fiyatları arasındaki ilişki Dinamik Koşullu Korelasyon (DCC) modeli kullanılarak araştırılmıştır. </w:t>
      </w:r>
      <w:proofErr w:type="spellStart"/>
      <w:proofErr w:type="gramStart"/>
      <w:r w:rsidR="00866606" w:rsidRPr="00944A2C">
        <w:rPr>
          <w:rFonts w:ascii="Times New Roman" w:hAnsi="Times New Roman" w:cs="Times New Roman"/>
        </w:rPr>
        <w:t>Volalite</w:t>
      </w:r>
      <w:proofErr w:type="spellEnd"/>
      <w:r w:rsidR="00866606" w:rsidRPr="00944A2C">
        <w:rPr>
          <w:rFonts w:ascii="Times New Roman" w:hAnsi="Times New Roman" w:cs="Times New Roman"/>
        </w:rPr>
        <w:t xml:space="preserve">  yayılma</w:t>
      </w:r>
      <w:proofErr w:type="gramEnd"/>
      <w:r w:rsidR="00866606" w:rsidRPr="00944A2C">
        <w:rPr>
          <w:rFonts w:ascii="Times New Roman" w:hAnsi="Times New Roman" w:cs="Times New Roman"/>
        </w:rPr>
        <w:t xml:space="preserve"> hipotezi testleri, </w:t>
      </w:r>
      <w:proofErr w:type="spellStart"/>
      <w:r w:rsidR="00866606" w:rsidRPr="00944A2C">
        <w:rPr>
          <w:rFonts w:ascii="Times New Roman" w:hAnsi="Times New Roman" w:cs="Times New Roman"/>
        </w:rPr>
        <w:t>volalite</w:t>
      </w:r>
      <w:proofErr w:type="spellEnd"/>
      <w:r w:rsidR="00866606" w:rsidRPr="00944A2C">
        <w:rPr>
          <w:rFonts w:ascii="Times New Roman" w:hAnsi="Times New Roman" w:cs="Times New Roman"/>
        </w:rPr>
        <w:t xml:space="preserve"> yayılmasının iki yönlü olduğunu ve Avrupa CDS pazarının borsa üzerindeki baskın liderliğini gösteren yeni kanıtlar sunmuştur</w:t>
      </w:r>
      <w:r w:rsidRPr="00944A2C">
        <w:rPr>
          <w:rFonts w:ascii="Times New Roman" w:hAnsi="Times New Roman" w:cs="Times New Roman"/>
        </w:rPr>
        <w:t>.</w:t>
      </w:r>
    </w:p>
    <w:p w14:paraId="2913AD9C" w14:textId="77777777" w:rsidR="00283EAC" w:rsidRPr="00944A2C" w:rsidRDefault="00283EAC" w:rsidP="00B20327">
      <w:pPr>
        <w:spacing w:line="276" w:lineRule="auto"/>
        <w:jc w:val="both"/>
        <w:rPr>
          <w:rFonts w:ascii="Times New Roman" w:hAnsi="Times New Roman" w:cs="Times New Roman"/>
        </w:rPr>
      </w:pPr>
      <w:r w:rsidRPr="00944A2C">
        <w:rPr>
          <w:rFonts w:ascii="Times New Roman" w:hAnsi="Times New Roman" w:cs="Times New Roman"/>
        </w:rPr>
        <w:t>(Fettahoğlu, 2019)</w:t>
      </w:r>
      <w:r w:rsidR="00206A18" w:rsidRPr="00944A2C">
        <w:rPr>
          <w:rFonts w:ascii="Times New Roman" w:hAnsi="Times New Roman" w:cs="Times New Roman"/>
        </w:rPr>
        <w:t xml:space="preserve">, araştırmasında </w:t>
      </w:r>
      <w:r w:rsidRPr="00944A2C">
        <w:rPr>
          <w:rFonts w:ascii="Times New Roman" w:hAnsi="Times New Roman" w:cs="Times New Roman"/>
        </w:rPr>
        <w:t>BIST-100 CDS primleri arasındaki endeks ilişkisi anlamlı fakat negatif yönde belirlenmiştir. Hisse Senedi Endeksleri piyasa hakkındaki bilgileri yansıttığından   BİST 100 Endeksi artarsa, CDS primleri düşecektir.</w:t>
      </w:r>
    </w:p>
    <w:p w14:paraId="72F80E7D" w14:textId="6C6964E2" w:rsidR="00D0620B" w:rsidRPr="00944A2C" w:rsidRDefault="00D0620B" w:rsidP="00B20327">
      <w:pPr>
        <w:spacing w:line="276" w:lineRule="auto"/>
        <w:jc w:val="both"/>
        <w:rPr>
          <w:rFonts w:ascii="Times New Roman" w:hAnsi="Times New Roman" w:cs="Times New Roman"/>
        </w:rPr>
      </w:pPr>
      <w:r w:rsidRPr="00944A2C">
        <w:rPr>
          <w:rFonts w:ascii="Times New Roman" w:hAnsi="Times New Roman" w:cs="Times New Roman"/>
        </w:rPr>
        <w:lastRenderedPageBreak/>
        <w:t>(</w:t>
      </w:r>
      <w:r w:rsidR="00344224" w:rsidRPr="00944A2C">
        <w:rPr>
          <w:rFonts w:ascii="Times New Roman" w:hAnsi="Times New Roman" w:cs="Times New Roman"/>
        </w:rPr>
        <w:t xml:space="preserve">Aksoylu ve Görmüş, </w:t>
      </w:r>
      <w:proofErr w:type="gramStart"/>
      <w:r w:rsidR="00344224" w:rsidRPr="00944A2C">
        <w:rPr>
          <w:rFonts w:ascii="Times New Roman" w:hAnsi="Times New Roman" w:cs="Times New Roman"/>
        </w:rPr>
        <w:t>2018</w:t>
      </w:r>
      <w:r w:rsidRPr="00944A2C">
        <w:rPr>
          <w:rFonts w:ascii="Times New Roman" w:hAnsi="Times New Roman" w:cs="Times New Roman"/>
        </w:rPr>
        <w:t xml:space="preserve"> )</w:t>
      </w:r>
      <w:proofErr w:type="gramEnd"/>
      <w:r w:rsidR="00206A18" w:rsidRPr="00944A2C">
        <w:rPr>
          <w:rFonts w:ascii="Times New Roman" w:hAnsi="Times New Roman" w:cs="Times New Roman"/>
        </w:rPr>
        <w:t xml:space="preserve">, çalışmalarında </w:t>
      </w:r>
      <w:r w:rsidRPr="00944A2C">
        <w:rPr>
          <w:rFonts w:ascii="Times New Roman" w:hAnsi="Times New Roman" w:cs="Times New Roman"/>
        </w:rPr>
        <w:t xml:space="preserve"> </w:t>
      </w:r>
      <w:r w:rsidR="00344224" w:rsidRPr="00944A2C">
        <w:rPr>
          <w:rFonts w:ascii="Times New Roman" w:hAnsi="Times New Roman" w:cs="Times New Roman"/>
        </w:rPr>
        <w:t xml:space="preserve"> </w:t>
      </w:r>
      <w:r w:rsidR="001121F5" w:rsidRPr="00944A2C">
        <w:rPr>
          <w:rFonts w:ascii="Times New Roman" w:hAnsi="Times New Roman" w:cs="Times New Roman"/>
        </w:rPr>
        <w:t xml:space="preserve">5 farklı ülkenin </w:t>
      </w:r>
      <w:r w:rsidR="00344224" w:rsidRPr="00944A2C">
        <w:rPr>
          <w:rFonts w:ascii="Times New Roman" w:hAnsi="Times New Roman" w:cs="Times New Roman"/>
        </w:rPr>
        <w:t>VIX Endeksi</w:t>
      </w:r>
      <w:r w:rsidR="001121F5" w:rsidRPr="00944A2C">
        <w:rPr>
          <w:rFonts w:ascii="Times New Roman" w:hAnsi="Times New Roman" w:cs="Times New Roman"/>
        </w:rPr>
        <w:t xml:space="preserve"> ve CDS primleri arasında </w:t>
      </w:r>
      <w:proofErr w:type="spellStart"/>
      <w:r w:rsidR="001121F5" w:rsidRPr="00944A2C">
        <w:rPr>
          <w:rFonts w:ascii="Times New Roman" w:hAnsi="Times New Roman" w:cs="Times New Roman"/>
        </w:rPr>
        <w:t>Granger</w:t>
      </w:r>
      <w:proofErr w:type="spellEnd"/>
      <w:r w:rsidR="001121F5" w:rsidRPr="00944A2C">
        <w:rPr>
          <w:rFonts w:ascii="Times New Roman" w:hAnsi="Times New Roman" w:cs="Times New Roman"/>
        </w:rPr>
        <w:t xml:space="preserve"> testi uygulanmış. </w:t>
      </w:r>
      <w:proofErr w:type="spellStart"/>
      <w:r w:rsidR="001121F5" w:rsidRPr="00944A2C">
        <w:rPr>
          <w:rFonts w:ascii="Times New Roman" w:hAnsi="Times New Roman" w:cs="Times New Roman"/>
        </w:rPr>
        <w:t>Hatemi</w:t>
      </w:r>
      <w:proofErr w:type="spellEnd"/>
      <w:r w:rsidR="001121F5" w:rsidRPr="00944A2C">
        <w:rPr>
          <w:rFonts w:ascii="Times New Roman" w:hAnsi="Times New Roman" w:cs="Times New Roman"/>
        </w:rPr>
        <w:t>-J testi ile VIX Endeksinden CDS primlerine pozitif şoklarda Arjantin, Portekiz ve Malezya ülkelerinde, negatif şoklarda Malezya ve Arjantin ülke</w:t>
      </w:r>
      <w:r w:rsidR="003C3835" w:rsidRPr="00944A2C">
        <w:rPr>
          <w:rFonts w:ascii="Times New Roman" w:hAnsi="Times New Roman" w:cs="Times New Roman"/>
        </w:rPr>
        <w:t>le</w:t>
      </w:r>
      <w:r w:rsidR="001121F5" w:rsidRPr="00944A2C">
        <w:rPr>
          <w:rFonts w:ascii="Times New Roman" w:hAnsi="Times New Roman" w:cs="Times New Roman"/>
        </w:rPr>
        <w:t xml:space="preserve">rinde nedenselliğe rastlanmıştır. </w:t>
      </w:r>
    </w:p>
    <w:p w14:paraId="44BC9A78" w14:textId="7989F164" w:rsidR="00782EFE" w:rsidRPr="00944A2C" w:rsidRDefault="00782EFE" w:rsidP="00B20327">
      <w:pPr>
        <w:spacing w:line="276" w:lineRule="auto"/>
        <w:jc w:val="both"/>
        <w:rPr>
          <w:rFonts w:ascii="Times New Roman" w:hAnsi="Times New Roman" w:cs="Times New Roman"/>
        </w:rPr>
      </w:pPr>
      <w:r w:rsidRPr="00944A2C">
        <w:rPr>
          <w:rFonts w:ascii="Times New Roman" w:hAnsi="Times New Roman" w:cs="Times New Roman"/>
        </w:rPr>
        <w:t>(</w:t>
      </w:r>
      <w:proofErr w:type="spellStart"/>
      <w:r w:rsidRPr="00944A2C">
        <w:rPr>
          <w:rFonts w:ascii="Times New Roman" w:hAnsi="Times New Roman" w:cs="Times New Roman"/>
        </w:rPr>
        <w:t>Özpınar</w:t>
      </w:r>
      <w:proofErr w:type="spellEnd"/>
      <w:r w:rsidRPr="00944A2C">
        <w:rPr>
          <w:rFonts w:ascii="Times New Roman" w:hAnsi="Times New Roman" w:cs="Times New Roman"/>
        </w:rPr>
        <w:t xml:space="preserve">, Özman ve Doru, 2018), çalışmalarında CDS ile IMKB-100 ve Dow </w:t>
      </w:r>
      <w:proofErr w:type="spellStart"/>
      <w:r w:rsidRPr="00944A2C">
        <w:rPr>
          <w:rFonts w:ascii="Times New Roman" w:hAnsi="Times New Roman" w:cs="Times New Roman"/>
        </w:rPr>
        <w:t>Jones</w:t>
      </w:r>
      <w:proofErr w:type="spellEnd"/>
      <w:r w:rsidRPr="00944A2C">
        <w:rPr>
          <w:rFonts w:ascii="Times New Roman" w:hAnsi="Times New Roman" w:cs="Times New Roman"/>
        </w:rPr>
        <w:t xml:space="preserve"> Endeksi arasındaki ters yönlü ilişki, CDS ile döviz kuru ve </w:t>
      </w:r>
      <w:proofErr w:type="spellStart"/>
      <w:r w:rsidRPr="00944A2C">
        <w:rPr>
          <w:rFonts w:ascii="Times New Roman" w:hAnsi="Times New Roman" w:cs="Times New Roman"/>
        </w:rPr>
        <w:t>Eurobond</w:t>
      </w:r>
      <w:proofErr w:type="spellEnd"/>
      <w:r w:rsidRPr="00944A2C">
        <w:rPr>
          <w:rFonts w:ascii="Times New Roman" w:hAnsi="Times New Roman" w:cs="Times New Roman"/>
        </w:rPr>
        <w:t xml:space="preserve"> arasında doğru yönlü ilişki 2002 -2010 yılları arasındaki günlük veriler kullanılarak gözlemlenmiştir.</w:t>
      </w:r>
    </w:p>
    <w:p w14:paraId="0252DF22" w14:textId="39510C10" w:rsidR="00455363" w:rsidRPr="00944A2C" w:rsidRDefault="00455363" w:rsidP="00B20327">
      <w:pPr>
        <w:spacing w:line="276" w:lineRule="auto"/>
        <w:jc w:val="both"/>
        <w:rPr>
          <w:rFonts w:ascii="Times New Roman" w:hAnsi="Times New Roman" w:cs="Times New Roman"/>
        </w:rPr>
      </w:pPr>
      <w:r w:rsidRPr="00944A2C">
        <w:rPr>
          <w:rFonts w:ascii="Times New Roman" w:hAnsi="Times New Roman" w:cs="Times New Roman"/>
        </w:rPr>
        <w:t>(Şahin ve Özkan, 2018)</w:t>
      </w:r>
      <w:r w:rsidR="00206A18" w:rsidRPr="00944A2C">
        <w:rPr>
          <w:rFonts w:ascii="Times New Roman" w:hAnsi="Times New Roman" w:cs="Times New Roman"/>
        </w:rPr>
        <w:t xml:space="preserve">, araştırmalarında </w:t>
      </w:r>
      <w:r w:rsidRPr="00944A2C">
        <w:rPr>
          <w:rFonts w:ascii="Times New Roman" w:hAnsi="Times New Roman" w:cs="Times New Roman"/>
        </w:rPr>
        <w:t xml:space="preserve">Türkiye’ye </w:t>
      </w:r>
      <w:proofErr w:type="gramStart"/>
      <w:r w:rsidRPr="00944A2C">
        <w:rPr>
          <w:rFonts w:ascii="Times New Roman" w:hAnsi="Times New Roman" w:cs="Times New Roman"/>
        </w:rPr>
        <w:t>ait  2012</w:t>
      </w:r>
      <w:proofErr w:type="gramEnd"/>
      <w:r w:rsidRPr="00944A2C">
        <w:rPr>
          <w:rFonts w:ascii="Times New Roman" w:hAnsi="Times New Roman" w:cs="Times New Roman"/>
        </w:rPr>
        <w:t xml:space="preserve">- 2017 tarihleri arasında aylık </w:t>
      </w:r>
      <w:r w:rsidR="003C3835" w:rsidRPr="00944A2C">
        <w:rPr>
          <w:rFonts w:ascii="Times New Roman" w:hAnsi="Times New Roman" w:cs="Times New Roman"/>
        </w:rPr>
        <w:t xml:space="preserve">veriler üzerinde yapılan çalışmada  BİST 100 Endeksi ile </w:t>
      </w:r>
      <w:r w:rsidRPr="00944A2C">
        <w:rPr>
          <w:rFonts w:ascii="Times New Roman" w:hAnsi="Times New Roman" w:cs="Times New Roman"/>
        </w:rPr>
        <w:t xml:space="preserve"> CDS</w:t>
      </w:r>
      <w:r w:rsidR="003C3835" w:rsidRPr="00944A2C">
        <w:rPr>
          <w:rFonts w:ascii="Times New Roman" w:hAnsi="Times New Roman" w:cs="Times New Roman"/>
        </w:rPr>
        <w:t xml:space="preserve"> arasında çift yönlü nedenselliğe rastlanırken, BİST 100 Endeksi ile </w:t>
      </w:r>
      <w:r w:rsidRPr="00944A2C">
        <w:rPr>
          <w:rFonts w:ascii="Times New Roman" w:hAnsi="Times New Roman" w:cs="Times New Roman"/>
        </w:rPr>
        <w:t xml:space="preserve"> </w:t>
      </w:r>
      <w:r w:rsidR="003C3835" w:rsidRPr="00944A2C">
        <w:rPr>
          <w:rFonts w:ascii="Times New Roman" w:hAnsi="Times New Roman" w:cs="Times New Roman"/>
        </w:rPr>
        <w:t>d</w:t>
      </w:r>
      <w:r w:rsidRPr="00944A2C">
        <w:rPr>
          <w:rFonts w:ascii="Times New Roman" w:hAnsi="Times New Roman" w:cs="Times New Roman"/>
        </w:rPr>
        <w:t xml:space="preserve">öviz </w:t>
      </w:r>
      <w:r w:rsidR="003C3835" w:rsidRPr="00944A2C">
        <w:rPr>
          <w:rFonts w:ascii="Times New Roman" w:hAnsi="Times New Roman" w:cs="Times New Roman"/>
        </w:rPr>
        <w:t>k</w:t>
      </w:r>
      <w:r w:rsidRPr="00944A2C">
        <w:rPr>
          <w:rFonts w:ascii="Times New Roman" w:hAnsi="Times New Roman" w:cs="Times New Roman"/>
        </w:rPr>
        <w:t xml:space="preserve">urları </w:t>
      </w:r>
      <w:r w:rsidR="003C3835" w:rsidRPr="00944A2C">
        <w:rPr>
          <w:rFonts w:ascii="Times New Roman" w:hAnsi="Times New Roman" w:cs="Times New Roman"/>
        </w:rPr>
        <w:t xml:space="preserve"> arasında nedensellik ilişkisine rastlanılmamıştır.</w:t>
      </w:r>
    </w:p>
    <w:p w14:paraId="4046D772" w14:textId="77777777" w:rsidR="00455363" w:rsidRPr="00944A2C" w:rsidRDefault="0051460E" w:rsidP="00B20327">
      <w:pPr>
        <w:spacing w:line="276" w:lineRule="auto"/>
        <w:jc w:val="both"/>
        <w:rPr>
          <w:rFonts w:ascii="Times New Roman" w:hAnsi="Times New Roman" w:cs="Times New Roman"/>
          <w:shd w:val="clear" w:color="auto" w:fill="FFFFFF"/>
        </w:rPr>
      </w:pPr>
      <w:r w:rsidRPr="00944A2C">
        <w:rPr>
          <w:rFonts w:ascii="Times New Roman" w:hAnsi="Times New Roman" w:cs="Times New Roman"/>
          <w:shd w:val="clear" w:color="auto" w:fill="FFFFFF"/>
        </w:rPr>
        <w:t>(</w:t>
      </w:r>
      <w:proofErr w:type="spellStart"/>
      <w:r w:rsidRPr="00944A2C">
        <w:rPr>
          <w:rFonts w:ascii="Times New Roman" w:hAnsi="Times New Roman" w:cs="Times New Roman"/>
          <w:shd w:val="clear" w:color="auto" w:fill="FFFFFF"/>
        </w:rPr>
        <w:t>Bektur</w:t>
      </w:r>
      <w:proofErr w:type="spellEnd"/>
      <w:r w:rsidRPr="00944A2C">
        <w:rPr>
          <w:rFonts w:ascii="Times New Roman" w:hAnsi="Times New Roman" w:cs="Times New Roman"/>
          <w:shd w:val="clear" w:color="auto" w:fill="FFFFFF"/>
        </w:rPr>
        <w:t xml:space="preserve"> ve </w:t>
      </w:r>
      <w:proofErr w:type="spellStart"/>
      <w:r w:rsidRPr="00944A2C">
        <w:rPr>
          <w:rFonts w:ascii="Times New Roman" w:hAnsi="Times New Roman" w:cs="Times New Roman"/>
          <w:shd w:val="clear" w:color="auto" w:fill="FFFFFF"/>
        </w:rPr>
        <w:t>Malcıoğlu</w:t>
      </w:r>
      <w:proofErr w:type="spellEnd"/>
      <w:r w:rsidRPr="00944A2C">
        <w:rPr>
          <w:rFonts w:ascii="Times New Roman" w:hAnsi="Times New Roman" w:cs="Times New Roman"/>
          <w:shd w:val="clear" w:color="auto" w:fill="FFFFFF"/>
        </w:rPr>
        <w:t>, 2017)</w:t>
      </w:r>
      <w:r w:rsidR="00206A18" w:rsidRPr="00944A2C">
        <w:rPr>
          <w:rFonts w:ascii="Times New Roman" w:hAnsi="Times New Roman" w:cs="Times New Roman"/>
          <w:shd w:val="clear" w:color="auto" w:fill="FFFFFF"/>
        </w:rPr>
        <w:t xml:space="preserve">, çalışmalarında </w:t>
      </w:r>
      <w:r w:rsidR="00455363" w:rsidRPr="00944A2C">
        <w:rPr>
          <w:rFonts w:ascii="Times New Roman" w:hAnsi="Times New Roman" w:cs="Times New Roman"/>
          <w:shd w:val="clear" w:color="auto" w:fill="FFFFFF"/>
        </w:rPr>
        <w:t>Borsa’dan CDS primine doğru pozitif yönde bir ilişkiye rastlanmamıştır. Elde edilen sonuçlar, CDS priminde meydana gelen pozitif şokların, Borsa İstanbul endeks değerlerini tahmin etmede</w:t>
      </w:r>
      <w:r w:rsidRPr="00944A2C">
        <w:rPr>
          <w:rFonts w:ascii="Times New Roman" w:hAnsi="Times New Roman" w:cs="Times New Roman"/>
          <w:shd w:val="clear" w:color="auto" w:fill="FFFFFF"/>
        </w:rPr>
        <w:t xml:space="preserve"> </w:t>
      </w:r>
      <w:proofErr w:type="gramStart"/>
      <w:r w:rsidR="00455363" w:rsidRPr="00944A2C">
        <w:rPr>
          <w:rFonts w:ascii="Times New Roman" w:hAnsi="Times New Roman" w:cs="Times New Roman"/>
          <w:shd w:val="clear" w:color="auto" w:fill="FFFFFF"/>
        </w:rPr>
        <w:t>faydalı  bilgiler</w:t>
      </w:r>
      <w:proofErr w:type="gramEnd"/>
      <w:r w:rsidR="00455363" w:rsidRPr="00944A2C">
        <w:rPr>
          <w:rFonts w:ascii="Times New Roman" w:hAnsi="Times New Roman" w:cs="Times New Roman"/>
          <w:shd w:val="clear" w:color="auto" w:fill="FFFFFF"/>
        </w:rPr>
        <w:t xml:space="preserve">  sağladığı;  ancak  borsada  meydana  gelen  pozitif  yönlü şokların  CDS  primindeki  pozitif  şokları  açıklamada  faydalı  bilgi sağlamadığı doğrultusunda bilgi sunmaktadır.</w:t>
      </w:r>
    </w:p>
    <w:p w14:paraId="78C3FDD0" w14:textId="180834A8" w:rsidR="0051460E" w:rsidRPr="00944A2C" w:rsidRDefault="0051460E" w:rsidP="00B20327">
      <w:pPr>
        <w:spacing w:line="276" w:lineRule="auto"/>
        <w:jc w:val="both"/>
        <w:rPr>
          <w:rFonts w:ascii="Times New Roman" w:hAnsi="Times New Roman" w:cs="Times New Roman"/>
        </w:rPr>
      </w:pPr>
      <w:r w:rsidRPr="00944A2C">
        <w:rPr>
          <w:rFonts w:ascii="Times New Roman" w:hAnsi="Times New Roman" w:cs="Times New Roman"/>
        </w:rPr>
        <w:t xml:space="preserve">(Blanco, </w:t>
      </w:r>
      <w:proofErr w:type="spellStart"/>
      <w:r w:rsidRPr="00944A2C">
        <w:rPr>
          <w:rFonts w:ascii="Times New Roman" w:hAnsi="Times New Roman" w:cs="Times New Roman"/>
        </w:rPr>
        <w:t>Brennan</w:t>
      </w:r>
      <w:proofErr w:type="spellEnd"/>
      <w:r w:rsidRPr="00944A2C">
        <w:rPr>
          <w:rFonts w:ascii="Times New Roman" w:hAnsi="Times New Roman" w:cs="Times New Roman"/>
        </w:rPr>
        <w:t xml:space="preserve"> ve </w:t>
      </w:r>
      <w:proofErr w:type="spellStart"/>
      <w:r w:rsidRPr="00944A2C">
        <w:rPr>
          <w:rFonts w:ascii="Times New Roman" w:hAnsi="Times New Roman" w:cs="Times New Roman"/>
        </w:rPr>
        <w:t>Marsh</w:t>
      </w:r>
      <w:proofErr w:type="spellEnd"/>
      <w:r w:rsidRPr="00944A2C">
        <w:rPr>
          <w:rFonts w:ascii="Times New Roman" w:hAnsi="Times New Roman" w:cs="Times New Roman"/>
        </w:rPr>
        <w:t>, 2005)</w:t>
      </w:r>
      <w:r w:rsidR="00206A18" w:rsidRPr="00944A2C">
        <w:rPr>
          <w:rFonts w:ascii="Times New Roman" w:hAnsi="Times New Roman" w:cs="Times New Roman"/>
        </w:rPr>
        <w:t xml:space="preserve">, </w:t>
      </w:r>
      <w:proofErr w:type="gramStart"/>
      <w:r w:rsidR="00206A18" w:rsidRPr="00944A2C">
        <w:rPr>
          <w:rFonts w:ascii="Times New Roman" w:hAnsi="Times New Roman" w:cs="Times New Roman"/>
        </w:rPr>
        <w:t>çalışma</w:t>
      </w:r>
      <w:r w:rsidR="002377C1" w:rsidRPr="00944A2C">
        <w:rPr>
          <w:rFonts w:ascii="Times New Roman" w:hAnsi="Times New Roman" w:cs="Times New Roman"/>
        </w:rPr>
        <w:t>la</w:t>
      </w:r>
      <w:r w:rsidR="00206A18" w:rsidRPr="00944A2C">
        <w:rPr>
          <w:rFonts w:ascii="Times New Roman" w:hAnsi="Times New Roman" w:cs="Times New Roman"/>
        </w:rPr>
        <w:t xml:space="preserve">rında </w:t>
      </w:r>
      <w:r w:rsidRPr="00944A2C">
        <w:rPr>
          <w:rFonts w:ascii="Times New Roman" w:hAnsi="Times New Roman" w:cs="Times New Roman"/>
        </w:rPr>
        <w:t xml:space="preserve"> CDS</w:t>
      </w:r>
      <w:proofErr w:type="gramEnd"/>
      <w:r w:rsidRPr="00944A2C">
        <w:rPr>
          <w:rFonts w:ascii="Times New Roman" w:hAnsi="Times New Roman" w:cs="Times New Roman"/>
        </w:rPr>
        <w:t xml:space="preserve"> fiyatlarını zaman serisi çerçevesinde</w:t>
      </w:r>
      <w:r w:rsidR="006635F0" w:rsidRPr="00944A2C">
        <w:rPr>
          <w:rFonts w:ascii="Times New Roman" w:hAnsi="Times New Roman" w:cs="Times New Roman"/>
        </w:rPr>
        <w:t xml:space="preserve"> incelenmiştir. CDS piyasası tahvil piyasasına kredi riskinin fiyatının belirlenmesinde öncülük ettiği firmaya özgü hisse senedi getirileri ve zımni oynaklıklar CDS fiyatları üzerinde kredi marjlarından daha büyük bir etkiye sahip olduğu saptanmıştır. Kredi riskinin alım satımı için onu en uygun yer yapan (mikro) yapısal faktörler nedeniyle, nakit ve türev piyasalarda farklı nedenlerle ticaret yapan farklı katılımcılar nedeniyle</w:t>
      </w:r>
      <w:r w:rsidR="002377C1" w:rsidRPr="00944A2C">
        <w:rPr>
          <w:rFonts w:ascii="Times New Roman" w:hAnsi="Times New Roman" w:cs="Times New Roman"/>
        </w:rPr>
        <w:t xml:space="preserve"> </w:t>
      </w:r>
      <w:r w:rsidR="006635F0" w:rsidRPr="00944A2C">
        <w:rPr>
          <w:rFonts w:ascii="Times New Roman" w:hAnsi="Times New Roman" w:cs="Times New Roman"/>
        </w:rPr>
        <w:t xml:space="preserve">CDS fiyatlarının ve kredi marjlarının denge eşdeğeri, her ikisinin de uzun vadede bu değişkenlere eşit derecede duyarlı olduğu anlamına gelir ve bunun, kredi </w:t>
      </w:r>
      <w:proofErr w:type="spellStart"/>
      <w:r w:rsidR="006635F0" w:rsidRPr="00944A2C">
        <w:rPr>
          <w:rFonts w:ascii="Times New Roman" w:hAnsi="Times New Roman" w:cs="Times New Roman"/>
        </w:rPr>
        <w:t>spreadlerinin</w:t>
      </w:r>
      <w:proofErr w:type="spellEnd"/>
      <w:r w:rsidR="006635F0" w:rsidRPr="00944A2C">
        <w:rPr>
          <w:rFonts w:ascii="Times New Roman" w:hAnsi="Times New Roman" w:cs="Times New Roman"/>
        </w:rPr>
        <w:t xml:space="preserve"> CDS fiyatlarına gecikmeli olarak ayarlanmasıyla elde edildiğini ve fiyatlandırıldığını doğruladığını tespit edilmiştir.</w:t>
      </w:r>
      <w:r w:rsidR="00CD56C2" w:rsidRPr="00944A2C">
        <w:rPr>
          <w:rFonts w:ascii="Times New Roman" w:hAnsi="Times New Roman" w:cs="Times New Roman"/>
        </w:rPr>
        <w:t xml:space="preserve"> </w:t>
      </w:r>
      <w:proofErr w:type="spellStart"/>
      <w:r w:rsidR="00CD56C2" w:rsidRPr="00944A2C">
        <w:rPr>
          <w:rFonts w:ascii="Times New Roman" w:hAnsi="Times New Roman" w:cs="Times New Roman"/>
        </w:rPr>
        <w:t>Duffie</w:t>
      </w:r>
      <w:proofErr w:type="spellEnd"/>
      <w:r w:rsidR="00CD56C2" w:rsidRPr="00944A2C">
        <w:rPr>
          <w:rFonts w:ascii="Times New Roman" w:hAnsi="Times New Roman" w:cs="Times New Roman"/>
        </w:rPr>
        <w:t xml:space="preserve"> (1999) tarafından türetilen kredi temerrüt swap (CDS) fiyatlarının ve kredi </w:t>
      </w:r>
      <w:proofErr w:type="spellStart"/>
      <w:r w:rsidR="00CD56C2" w:rsidRPr="00944A2C">
        <w:rPr>
          <w:rFonts w:ascii="Times New Roman" w:hAnsi="Times New Roman" w:cs="Times New Roman"/>
        </w:rPr>
        <w:t>spreadlerinin</w:t>
      </w:r>
      <w:proofErr w:type="spellEnd"/>
      <w:r w:rsidR="00CD56C2" w:rsidRPr="00944A2C">
        <w:rPr>
          <w:rFonts w:ascii="Times New Roman" w:hAnsi="Times New Roman" w:cs="Times New Roman"/>
        </w:rPr>
        <w:t xml:space="preserve"> teorik denkliğini test ederek, denge koşulu olarak parite ilişkisine destekte bulunmuştur.</w:t>
      </w:r>
    </w:p>
    <w:p w14:paraId="11ED1DC2" w14:textId="77777777" w:rsidR="00AB124C" w:rsidRPr="00944A2C" w:rsidRDefault="00AB124C" w:rsidP="00B20327">
      <w:pPr>
        <w:spacing w:line="276" w:lineRule="auto"/>
        <w:jc w:val="both"/>
        <w:rPr>
          <w:rFonts w:ascii="Times New Roman" w:hAnsi="Times New Roman" w:cs="Times New Roman"/>
        </w:rPr>
      </w:pPr>
      <w:r w:rsidRPr="00944A2C">
        <w:rPr>
          <w:rFonts w:ascii="Times New Roman" w:hAnsi="Times New Roman" w:cs="Times New Roman"/>
        </w:rPr>
        <w:t xml:space="preserve">(Ali, </w:t>
      </w:r>
      <w:proofErr w:type="spellStart"/>
      <w:r w:rsidRPr="00944A2C">
        <w:rPr>
          <w:rFonts w:ascii="Times New Roman" w:hAnsi="Times New Roman" w:cs="Times New Roman"/>
        </w:rPr>
        <w:t>Ullah</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Khan</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Shaheer</w:t>
      </w:r>
      <w:proofErr w:type="spellEnd"/>
      <w:r w:rsidR="00E30DDB" w:rsidRPr="00944A2C">
        <w:rPr>
          <w:rFonts w:ascii="Times New Roman" w:hAnsi="Times New Roman" w:cs="Times New Roman"/>
        </w:rPr>
        <w:t xml:space="preserve">, </w:t>
      </w:r>
      <w:r w:rsidRPr="00944A2C">
        <w:rPr>
          <w:rFonts w:ascii="Times New Roman" w:hAnsi="Times New Roman" w:cs="Times New Roman"/>
        </w:rPr>
        <w:t>Abbas, 2020)</w:t>
      </w:r>
      <w:r w:rsidR="00206A18" w:rsidRPr="00944A2C">
        <w:rPr>
          <w:rFonts w:ascii="Times New Roman" w:hAnsi="Times New Roman" w:cs="Times New Roman"/>
        </w:rPr>
        <w:t xml:space="preserve">, </w:t>
      </w:r>
      <w:proofErr w:type="gramStart"/>
      <w:r w:rsidR="00206A18" w:rsidRPr="00944A2C">
        <w:rPr>
          <w:rFonts w:ascii="Times New Roman" w:hAnsi="Times New Roman" w:cs="Times New Roman"/>
        </w:rPr>
        <w:t xml:space="preserve">çalışmalarında </w:t>
      </w:r>
      <w:r w:rsidRPr="00944A2C">
        <w:rPr>
          <w:rFonts w:ascii="Times New Roman" w:hAnsi="Times New Roman" w:cs="Times New Roman"/>
        </w:rPr>
        <w:t xml:space="preserve"> CDS</w:t>
      </w:r>
      <w:proofErr w:type="gramEnd"/>
      <w:r w:rsidRPr="00944A2C">
        <w:rPr>
          <w:rFonts w:ascii="Times New Roman" w:hAnsi="Times New Roman" w:cs="Times New Roman"/>
        </w:rPr>
        <w:t xml:space="preserve"> piyasası ile TSX 60 VIX endeksi arasındaki ilişki uzun vadeli ve kısa vadeli dönemde negatif ilişkiyi gösterirken, diğer tarafta orta vadeli ve çok uzun vadeli dönem iki değişken arasında güçlü ve pozitif ilişkiler saptanmıştır. Çapraz dalgacık spektrum analizine göre, kısa vadeli bir dönemde, CDS ile borsa arasındaki varyasyon düşüktür veya varyasyon yoktur. Aksine, iki değişken arasında</w:t>
      </w:r>
      <w:proofErr w:type="gramStart"/>
      <w:r w:rsidRPr="00944A2C">
        <w:rPr>
          <w:rFonts w:ascii="Times New Roman" w:hAnsi="Times New Roman" w:cs="Times New Roman"/>
        </w:rPr>
        <w:t>% 5</w:t>
      </w:r>
      <w:proofErr w:type="gramEnd"/>
      <w:r w:rsidRPr="00944A2C">
        <w:rPr>
          <w:rFonts w:ascii="Times New Roman" w:hAnsi="Times New Roman" w:cs="Times New Roman"/>
        </w:rPr>
        <w:t>'lik bir önem değişimi gösteren siyah bir daireye sahip kırmızı bir çizgi, sonuç olarak CDS ve borsa arasında düşük bir değişiklik olduğunu veya hiç olmadığını göstermektedir. Orta vadede, iki değişken arasında</w:t>
      </w:r>
      <w:proofErr w:type="gramStart"/>
      <w:r w:rsidRPr="00944A2C">
        <w:rPr>
          <w:rFonts w:ascii="Times New Roman" w:hAnsi="Times New Roman" w:cs="Times New Roman"/>
        </w:rPr>
        <w:t>% 5</w:t>
      </w:r>
      <w:proofErr w:type="gramEnd"/>
      <w:r w:rsidRPr="00944A2C">
        <w:rPr>
          <w:rFonts w:ascii="Times New Roman" w:hAnsi="Times New Roman" w:cs="Times New Roman"/>
        </w:rPr>
        <w:t>'lik önemli bir varyasyon vardır, orta vadeli sağlıklı bir ilişki ile başlar, ancak kademeli olarak zayıf veya varyasyona doğru ilerlemez. Uzun vadede, değişkenler arasında</w:t>
      </w:r>
      <w:proofErr w:type="gramStart"/>
      <w:r w:rsidRPr="00944A2C">
        <w:rPr>
          <w:rFonts w:ascii="Times New Roman" w:hAnsi="Times New Roman" w:cs="Times New Roman"/>
        </w:rPr>
        <w:t>% 5</w:t>
      </w:r>
      <w:proofErr w:type="gramEnd"/>
      <w:r w:rsidRPr="00944A2C">
        <w:rPr>
          <w:rFonts w:ascii="Times New Roman" w:hAnsi="Times New Roman" w:cs="Times New Roman"/>
        </w:rPr>
        <w:t xml:space="preserve">'lik anlamlı bir fark vardır ve çok uzun vadede de% 5'lik bir önem gösterir. 2000 gözlemden sonra biraz önemli farklılıklar vardır. Dalgacık spektrumuna göre kısa vadede ve uzun vadede CDS ile borsa arasında negatif bir ilişki bulunurken, diğer taraftan orta ve çok uzun vadede iki değişken </w:t>
      </w:r>
      <w:proofErr w:type="gramStart"/>
      <w:r w:rsidRPr="00944A2C">
        <w:rPr>
          <w:rFonts w:ascii="Times New Roman" w:hAnsi="Times New Roman" w:cs="Times New Roman"/>
        </w:rPr>
        <w:t>arasında  sağlıklı</w:t>
      </w:r>
      <w:proofErr w:type="gramEnd"/>
      <w:r w:rsidRPr="00944A2C">
        <w:rPr>
          <w:rFonts w:ascii="Times New Roman" w:hAnsi="Times New Roman" w:cs="Times New Roman"/>
        </w:rPr>
        <w:t xml:space="preserve"> ve olumlu  ilişkiler mevcuttur.</w:t>
      </w:r>
    </w:p>
    <w:p w14:paraId="509B656E" w14:textId="60794436" w:rsidR="00835ACC" w:rsidRPr="00944A2C" w:rsidRDefault="00AB124C" w:rsidP="00B20327">
      <w:pPr>
        <w:spacing w:line="276" w:lineRule="auto"/>
        <w:jc w:val="both"/>
        <w:rPr>
          <w:rFonts w:ascii="Times New Roman" w:hAnsi="Times New Roman" w:cs="Times New Roman"/>
        </w:rPr>
      </w:pPr>
      <w:r w:rsidRPr="00944A2C">
        <w:rPr>
          <w:rFonts w:ascii="Times New Roman" w:hAnsi="Times New Roman" w:cs="Times New Roman"/>
        </w:rPr>
        <w:t>(</w:t>
      </w:r>
      <w:proofErr w:type="spellStart"/>
      <w:r w:rsidR="004C7549" w:rsidRPr="00944A2C">
        <w:rPr>
          <w:rFonts w:ascii="Times New Roman" w:hAnsi="Times New Roman" w:cs="Times New Roman"/>
        </w:rPr>
        <w:t>Lars</w:t>
      </w:r>
      <w:proofErr w:type="spellEnd"/>
      <w:r w:rsidR="00E30DDB" w:rsidRPr="00944A2C">
        <w:rPr>
          <w:rFonts w:ascii="Times New Roman" w:hAnsi="Times New Roman" w:cs="Times New Roman"/>
        </w:rPr>
        <w:t xml:space="preserve"> ve </w:t>
      </w:r>
      <w:proofErr w:type="spellStart"/>
      <w:r w:rsidR="00E30DDB" w:rsidRPr="00944A2C">
        <w:rPr>
          <w:rFonts w:ascii="Times New Roman" w:hAnsi="Times New Roman" w:cs="Times New Roman"/>
        </w:rPr>
        <w:t>Weber</w:t>
      </w:r>
      <w:proofErr w:type="spellEnd"/>
      <w:r w:rsidR="00835ACC" w:rsidRPr="00944A2C">
        <w:rPr>
          <w:rFonts w:ascii="Times New Roman" w:hAnsi="Times New Roman" w:cs="Times New Roman"/>
        </w:rPr>
        <w:t>, 2004)</w:t>
      </w:r>
      <w:r w:rsidR="00206A18" w:rsidRPr="00944A2C">
        <w:rPr>
          <w:rFonts w:ascii="Times New Roman" w:hAnsi="Times New Roman" w:cs="Times New Roman"/>
        </w:rPr>
        <w:t>, çalışmaları</w:t>
      </w:r>
      <w:r w:rsidR="00835ACC" w:rsidRPr="00944A2C">
        <w:rPr>
          <w:rFonts w:ascii="Times New Roman" w:hAnsi="Times New Roman" w:cs="Times New Roman"/>
        </w:rPr>
        <w:t xml:space="preserve"> 2000-2002 döneminde kredi temerrüt takas, tahvil ve hisse senedi piyasaları arasındaki ampirik ilişkiyi analiz etmektedir. </w:t>
      </w:r>
      <w:proofErr w:type="spellStart"/>
      <w:r w:rsidR="00835ACC" w:rsidRPr="00944A2C">
        <w:rPr>
          <w:rFonts w:ascii="Times New Roman" w:hAnsi="Times New Roman" w:cs="Times New Roman"/>
        </w:rPr>
        <w:t>Zamanlararası</w:t>
      </w:r>
      <w:proofErr w:type="spellEnd"/>
      <w:r w:rsidR="00835ACC" w:rsidRPr="00944A2C">
        <w:rPr>
          <w:rFonts w:ascii="Times New Roman" w:hAnsi="Times New Roman" w:cs="Times New Roman"/>
        </w:rPr>
        <w:t xml:space="preserve"> ortaklaşa odaklanarak, bir vektör </w:t>
      </w:r>
      <w:proofErr w:type="spellStart"/>
      <w:r w:rsidR="00835ACC" w:rsidRPr="00944A2C">
        <w:rPr>
          <w:rFonts w:ascii="Times New Roman" w:hAnsi="Times New Roman" w:cs="Times New Roman"/>
        </w:rPr>
        <w:t>otoregresif</w:t>
      </w:r>
      <w:proofErr w:type="spellEnd"/>
      <w:r w:rsidR="00835ACC" w:rsidRPr="00944A2C">
        <w:rPr>
          <w:rFonts w:ascii="Times New Roman" w:hAnsi="Times New Roman" w:cs="Times New Roman"/>
        </w:rPr>
        <w:t xml:space="preserve"> modelinde haftalık ve günlük kurşun-gecikme ilişkilerini ve eş bütünleşmenin neden olduğu pazarlar arasındaki düzenlemeyi incelenmektedir. F</w:t>
      </w:r>
      <w:r w:rsidRPr="00944A2C">
        <w:rPr>
          <w:rFonts w:ascii="Times New Roman" w:hAnsi="Times New Roman" w:cs="Times New Roman"/>
        </w:rPr>
        <w:t xml:space="preserve">irmaya özgü pazar ortaklığını üç boyutlu vektör </w:t>
      </w:r>
      <w:proofErr w:type="spellStart"/>
      <w:r w:rsidRPr="00944A2C">
        <w:rPr>
          <w:rFonts w:ascii="Times New Roman" w:hAnsi="Times New Roman" w:cs="Times New Roman"/>
        </w:rPr>
        <w:t>otoregresif</w:t>
      </w:r>
      <w:proofErr w:type="spellEnd"/>
      <w:r w:rsidRPr="00944A2C">
        <w:rPr>
          <w:rFonts w:ascii="Times New Roman" w:hAnsi="Times New Roman" w:cs="Times New Roman"/>
        </w:rPr>
        <w:t xml:space="preserve"> bir modelle analiz ederek, haftalık ve günlük hisse senedi getirilerinin CDS ve tahvil spread değişiklikleri ile negatif ilişkili olduğu</w:t>
      </w:r>
      <w:r w:rsidR="00835ACC" w:rsidRPr="00944A2C">
        <w:rPr>
          <w:rFonts w:ascii="Times New Roman" w:hAnsi="Times New Roman" w:cs="Times New Roman"/>
        </w:rPr>
        <w:t xml:space="preserve"> tespit edilmiştir.</w:t>
      </w:r>
    </w:p>
    <w:p w14:paraId="748F1183" w14:textId="77777777" w:rsidR="00835ACC" w:rsidRPr="00944A2C" w:rsidRDefault="00835ACC" w:rsidP="00B20327">
      <w:pPr>
        <w:spacing w:line="276" w:lineRule="auto"/>
        <w:jc w:val="both"/>
        <w:rPr>
          <w:rFonts w:ascii="Times New Roman" w:hAnsi="Times New Roman" w:cs="Times New Roman"/>
        </w:rPr>
      </w:pPr>
      <w:r w:rsidRPr="00944A2C">
        <w:rPr>
          <w:rFonts w:ascii="Times New Roman" w:hAnsi="Times New Roman" w:cs="Times New Roman"/>
        </w:rPr>
        <w:lastRenderedPageBreak/>
        <w:t>(</w:t>
      </w:r>
      <w:proofErr w:type="spellStart"/>
      <w:r w:rsidRPr="00944A2C">
        <w:rPr>
          <w:rFonts w:ascii="Times New Roman" w:hAnsi="Times New Roman" w:cs="Times New Roman"/>
        </w:rPr>
        <w:t>Fung</w:t>
      </w:r>
      <w:proofErr w:type="spellEnd"/>
      <w:r w:rsidRPr="00944A2C">
        <w:rPr>
          <w:rFonts w:ascii="Times New Roman" w:hAnsi="Times New Roman" w:cs="Times New Roman"/>
        </w:rPr>
        <w:t xml:space="preserve">, Sierra, </w:t>
      </w:r>
      <w:proofErr w:type="spellStart"/>
      <w:r w:rsidRPr="00944A2C">
        <w:rPr>
          <w:rFonts w:ascii="Times New Roman" w:hAnsi="Times New Roman" w:cs="Times New Roman"/>
        </w:rPr>
        <w:t>Yau</w:t>
      </w:r>
      <w:proofErr w:type="spellEnd"/>
      <w:r w:rsidRPr="00944A2C">
        <w:rPr>
          <w:rFonts w:ascii="Times New Roman" w:hAnsi="Times New Roman" w:cs="Times New Roman"/>
        </w:rPr>
        <w:t xml:space="preserve"> ve </w:t>
      </w:r>
      <w:proofErr w:type="spellStart"/>
      <w:r w:rsidRPr="00944A2C">
        <w:rPr>
          <w:rFonts w:ascii="Times New Roman" w:hAnsi="Times New Roman" w:cs="Times New Roman"/>
        </w:rPr>
        <w:t>Zhang</w:t>
      </w:r>
      <w:proofErr w:type="spellEnd"/>
      <w:r w:rsidRPr="00944A2C">
        <w:rPr>
          <w:rFonts w:ascii="Times New Roman" w:hAnsi="Times New Roman" w:cs="Times New Roman"/>
        </w:rPr>
        <w:t>, 2008)</w:t>
      </w:r>
      <w:r w:rsidR="00206A18" w:rsidRPr="00944A2C">
        <w:rPr>
          <w:rFonts w:ascii="Times New Roman" w:hAnsi="Times New Roman" w:cs="Times New Roman"/>
        </w:rPr>
        <w:t xml:space="preserve">, araştırmaları </w:t>
      </w:r>
      <w:r w:rsidRPr="00944A2C">
        <w:rPr>
          <w:rFonts w:ascii="Times New Roman" w:hAnsi="Times New Roman" w:cs="Times New Roman"/>
        </w:rPr>
        <w:t>ABD hisse senedi piyasası ile kredi temerrüt takas (CDS) piyasası arasında 2001-2007 dönemi için pazar çapında ilişkileri incelemektedir. Sonuçlar, ABD hisse senedi piyasası ile CDS piyasası arasındaki gecikmeli ilişkinin, dayanak referans kuruluşunun kredi kalitesine bağlı olduğunu göstermektedir. Özellikle, bu çalışma, hisse senedi piyasası ile yüksek verimli CDS piyasası arasında fiyatlandırma ve oynaklık açısından önemli karşılıklı bilgi geri bildirimi bulurken, borsa fiyatlandırma sürecinde yatırım düzeyinde CDS endeksine öncülük etmektedir. CDS pazarı volatilite yayılımında borsadan daha önemli bir rol oynamaktadır. Borsada şirketlerin hisse senedi fiyatlarındaki temerrüt olasılığını etkin bir şekilde yansıttığına dair finansal teoriyi destekleyen kanıtlar sunmaktadır.</w:t>
      </w:r>
    </w:p>
    <w:p w14:paraId="2F9FC5A7" w14:textId="1139A894" w:rsidR="00835ACC" w:rsidRPr="00944A2C" w:rsidRDefault="00835ACC" w:rsidP="00B20327">
      <w:pPr>
        <w:spacing w:line="276" w:lineRule="auto"/>
        <w:jc w:val="both"/>
        <w:rPr>
          <w:rFonts w:ascii="Times New Roman" w:hAnsi="Times New Roman" w:cs="Times New Roman"/>
        </w:rPr>
      </w:pPr>
      <w:r w:rsidRPr="00944A2C">
        <w:rPr>
          <w:rFonts w:ascii="Times New Roman" w:hAnsi="Times New Roman" w:cs="Times New Roman"/>
        </w:rPr>
        <w:t xml:space="preserve">(Güney, </w:t>
      </w:r>
      <w:proofErr w:type="spellStart"/>
      <w:r w:rsidRPr="00944A2C">
        <w:rPr>
          <w:rFonts w:ascii="Times New Roman" w:hAnsi="Times New Roman" w:cs="Times New Roman"/>
        </w:rPr>
        <w:t>Küçüksaraç</w:t>
      </w:r>
      <w:proofErr w:type="spellEnd"/>
      <w:r w:rsidRPr="00944A2C">
        <w:rPr>
          <w:rFonts w:ascii="Times New Roman" w:hAnsi="Times New Roman" w:cs="Times New Roman"/>
        </w:rPr>
        <w:t xml:space="preserve"> ve Onay, 2020)</w:t>
      </w:r>
      <w:r w:rsidR="00206A18" w:rsidRPr="00944A2C">
        <w:rPr>
          <w:rFonts w:ascii="Times New Roman" w:hAnsi="Times New Roman" w:cs="Times New Roman"/>
        </w:rPr>
        <w:t>, çalışmaları</w:t>
      </w:r>
      <w:r w:rsidRPr="00944A2C">
        <w:rPr>
          <w:rFonts w:ascii="Times New Roman" w:hAnsi="Times New Roman" w:cs="Times New Roman"/>
        </w:rPr>
        <w:t xml:space="preserve"> </w:t>
      </w:r>
      <w:r w:rsidR="003C3835" w:rsidRPr="00944A2C">
        <w:rPr>
          <w:rFonts w:ascii="Times New Roman" w:hAnsi="Times New Roman" w:cs="Times New Roman"/>
        </w:rPr>
        <w:t xml:space="preserve">yabancı para tahvillerinin referans alındığı CDS primlerinin </w:t>
      </w:r>
      <w:proofErr w:type="spellStart"/>
      <w:r w:rsidRPr="00944A2C">
        <w:rPr>
          <w:rFonts w:ascii="Times New Roman" w:hAnsi="Times New Roman" w:cs="Times New Roman"/>
        </w:rPr>
        <w:t>Binom</w:t>
      </w:r>
      <w:proofErr w:type="spellEnd"/>
      <w:r w:rsidRPr="00944A2C">
        <w:rPr>
          <w:rFonts w:ascii="Times New Roman" w:hAnsi="Times New Roman" w:cs="Times New Roman"/>
        </w:rPr>
        <w:t xml:space="preserve"> modeli ile</w:t>
      </w:r>
      <w:r w:rsidR="003C3835" w:rsidRPr="00944A2C">
        <w:rPr>
          <w:rFonts w:ascii="Times New Roman" w:hAnsi="Times New Roman" w:cs="Times New Roman"/>
        </w:rPr>
        <w:t xml:space="preserve"> incelenmesinde kredi ödenmeme risk olasılıklarının uzun vadelerde </w:t>
      </w:r>
      <w:r w:rsidR="005F5D3F" w:rsidRPr="00944A2C">
        <w:rPr>
          <w:rFonts w:ascii="Times New Roman" w:hAnsi="Times New Roman" w:cs="Times New Roman"/>
        </w:rPr>
        <w:t xml:space="preserve">kısa vadelere göre daha </w:t>
      </w:r>
      <w:r w:rsidR="003C3835" w:rsidRPr="00944A2C">
        <w:rPr>
          <w:rFonts w:ascii="Times New Roman" w:hAnsi="Times New Roman" w:cs="Times New Roman"/>
        </w:rPr>
        <w:t xml:space="preserve">yüksek oranda </w:t>
      </w:r>
      <w:r w:rsidR="005F5D3F" w:rsidRPr="00944A2C">
        <w:rPr>
          <w:rFonts w:ascii="Times New Roman" w:hAnsi="Times New Roman" w:cs="Times New Roman"/>
        </w:rPr>
        <w:t>olduğu tespit edilmiştir.</w:t>
      </w:r>
    </w:p>
    <w:p w14:paraId="1F6E6346" w14:textId="2396357E" w:rsidR="00AC06E0" w:rsidRPr="00944A2C" w:rsidRDefault="00AC06E0" w:rsidP="00B20327">
      <w:pPr>
        <w:spacing w:line="276" w:lineRule="auto"/>
        <w:jc w:val="both"/>
        <w:rPr>
          <w:rFonts w:ascii="Times New Roman" w:eastAsia="Times New Roman" w:hAnsi="Times New Roman" w:cs="Times New Roman"/>
          <w:color w:val="000000"/>
          <w:lang w:eastAsia="tr-TR"/>
        </w:rPr>
      </w:pPr>
      <w:r w:rsidRPr="00944A2C">
        <w:rPr>
          <w:rFonts w:ascii="Times New Roman" w:eastAsia="Times New Roman" w:hAnsi="Times New Roman" w:cs="Times New Roman"/>
          <w:lang w:eastAsia="tr-TR"/>
        </w:rPr>
        <w:t>(</w:t>
      </w:r>
      <w:proofErr w:type="spellStart"/>
      <w:r w:rsidR="004C7549" w:rsidRPr="00944A2C">
        <w:rPr>
          <w:rFonts w:ascii="Times New Roman" w:hAnsi="Times New Roman" w:cs="Times New Roman"/>
          <w:shd w:val="clear" w:color="auto" w:fill="FFFFFF"/>
        </w:rPr>
        <w:t>Lars</w:t>
      </w:r>
      <w:proofErr w:type="spellEnd"/>
      <w:r w:rsidRPr="00944A2C">
        <w:rPr>
          <w:rFonts w:ascii="Times New Roman" w:hAnsi="Times New Roman" w:cs="Times New Roman"/>
          <w:shd w:val="clear" w:color="auto" w:fill="FFFFFF"/>
        </w:rPr>
        <w:t xml:space="preserve"> ve </w:t>
      </w:r>
      <w:proofErr w:type="spellStart"/>
      <w:r w:rsidRPr="00944A2C">
        <w:rPr>
          <w:rFonts w:ascii="Times New Roman" w:hAnsi="Times New Roman" w:cs="Times New Roman"/>
          <w:shd w:val="clear" w:color="auto" w:fill="FFFFFF"/>
        </w:rPr>
        <w:t>Weber</w:t>
      </w:r>
      <w:proofErr w:type="spellEnd"/>
      <w:r w:rsidRPr="00944A2C">
        <w:rPr>
          <w:rFonts w:ascii="Times New Roman" w:hAnsi="Times New Roman" w:cs="Times New Roman"/>
          <w:shd w:val="clear" w:color="auto" w:fill="FFFFFF"/>
        </w:rPr>
        <w:t>, 2004)</w:t>
      </w:r>
      <w:r w:rsidR="00206A18" w:rsidRPr="00944A2C">
        <w:rPr>
          <w:rFonts w:ascii="Times New Roman" w:hAnsi="Times New Roman" w:cs="Times New Roman"/>
          <w:shd w:val="clear" w:color="auto" w:fill="FFFFFF"/>
        </w:rPr>
        <w:t>,</w:t>
      </w:r>
      <w:r w:rsidRPr="00944A2C">
        <w:rPr>
          <w:rFonts w:ascii="Times New Roman" w:hAnsi="Times New Roman" w:cs="Times New Roman"/>
          <w:shd w:val="clear" w:color="auto" w:fill="FFFFFF"/>
        </w:rPr>
        <w:t xml:space="preserve"> </w:t>
      </w:r>
      <w:r w:rsidR="00206A18" w:rsidRPr="00944A2C">
        <w:rPr>
          <w:rFonts w:ascii="Times New Roman" w:hAnsi="Times New Roman" w:cs="Times New Roman"/>
          <w:shd w:val="clear" w:color="auto" w:fill="FFFFFF"/>
        </w:rPr>
        <w:t>ç</w:t>
      </w:r>
      <w:r w:rsidRPr="00944A2C">
        <w:rPr>
          <w:rFonts w:ascii="Times New Roman" w:hAnsi="Times New Roman" w:cs="Times New Roman"/>
          <w:shd w:val="clear" w:color="auto" w:fill="FFFFFF"/>
        </w:rPr>
        <w:t>alışma h</w:t>
      </w:r>
      <w:r w:rsidRPr="00944A2C">
        <w:rPr>
          <w:rFonts w:ascii="Times New Roman" w:eastAsia="Times New Roman" w:hAnsi="Times New Roman" w:cs="Times New Roman"/>
          <w:lang w:eastAsia="tr-TR"/>
        </w:rPr>
        <w:t xml:space="preserve">isse senedi </w:t>
      </w:r>
      <w:r w:rsidRPr="00944A2C">
        <w:rPr>
          <w:rFonts w:ascii="Times New Roman" w:eastAsia="Times New Roman" w:hAnsi="Times New Roman" w:cs="Times New Roman"/>
          <w:color w:val="000000"/>
          <w:lang w:eastAsia="tr-TR"/>
        </w:rPr>
        <w:t xml:space="preserve">ve kredi temerrüt swap (CDS) piyasalarının 2000-2002 döneminde üç büyük derecelendirme kuruluşu tarafından verilen derecelendirme duyurularına tepkisini analiz etmektedir. Etkinlik çalışması metodolojisini uygulayarak, bu pazarların derecelendirme duyurularına anormal getiri ve düzeltilmiş CDS yayılım değişiklikleri açısından tepki verip vermediğini ve ne kadar güçlü tepki verdiğini incelenmektedir. İlk olarak, her iki pazarın da sadece derecelendirme notlarının düşürülmesini değil, aynı zamanda her üç kurumun notunu düşürmek için incelemeleri de beklediğini görülmektedir. İkincisi, kurumlar içinde ve arasında farklı derecelendirme olaylarının birlikte analizi, </w:t>
      </w:r>
      <w:proofErr w:type="spellStart"/>
      <w:r w:rsidRPr="00944A2C">
        <w:rPr>
          <w:rFonts w:ascii="Times New Roman" w:eastAsia="Times New Roman" w:hAnsi="Times New Roman" w:cs="Times New Roman"/>
          <w:color w:val="000000"/>
          <w:lang w:eastAsia="tr-TR"/>
        </w:rPr>
        <w:t>Standard</w:t>
      </w:r>
      <w:proofErr w:type="spellEnd"/>
      <w:r w:rsidRPr="00944A2C">
        <w:rPr>
          <w:rFonts w:ascii="Times New Roman" w:eastAsia="Times New Roman" w:hAnsi="Times New Roman" w:cs="Times New Roman"/>
          <w:color w:val="000000"/>
          <w:lang w:eastAsia="tr-TR"/>
        </w:rPr>
        <w:t xml:space="preserve"> &amp; </w:t>
      </w:r>
      <w:proofErr w:type="spellStart"/>
      <w:r w:rsidRPr="00944A2C">
        <w:rPr>
          <w:rFonts w:ascii="Times New Roman" w:eastAsia="Times New Roman" w:hAnsi="Times New Roman" w:cs="Times New Roman"/>
          <w:color w:val="000000"/>
          <w:lang w:eastAsia="tr-TR"/>
        </w:rPr>
        <w:t>Poor's</w:t>
      </w:r>
      <w:proofErr w:type="spellEnd"/>
      <w:r w:rsidRPr="00944A2C">
        <w:rPr>
          <w:rFonts w:ascii="Times New Roman" w:eastAsia="Times New Roman" w:hAnsi="Times New Roman" w:cs="Times New Roman"/>
          <w:color w:val="000000"/>
          <w:lang w:eastAsia="tr-TR"/>
        </w:rPr>
        <w:t xml:space="preserve"> ve </w:t>
      </w:r>
      <w:proofErr w:type="spellStart"/>
      <w:r w:rsidRPr="00944A2C">
        <w:rPr>
          <w:rFonts w:ascii="Times New Roman" w:eastAsia="Times New Roman" w:hAnsi="Times New Roman" w:cs="Times New Roman"/>
          <w:color w:val="000000"/>
          <w:lang w:eastAsia="tr-TR"/>
        </w:rPr>
        <w:t>Moody's</w:t>
      </w:r>
      <w:proofErr w:type="spellEnd"/>
      <w:r w:rsidRPr="00944A2C">
        <w:rPr>
          <w:rFonts w:ascii="Times New Roman" w:eastAsia="Times New Roman" w:hAnsi="Times New Roman" w:cs="Times New Roman"/>
          <w:color w:val="000000"/>
          <w:lang w:eastAsia="tr-TR"/>
        </w:rPr>
        <w:t xml:space="preserve"> tarafından eski sürüme geçiş incelemelerinin her iki pazar üzerinde de en büyük etkiyi gösterdiğini ortaya koyuyor. Üçüncüsü, her iki pazardaki anormal performansın büyüklüğü, eski derecelendirme seviyesinden, önceki derecelendirme olaylarından ve yalnızca CDS pazarında, tüm ajansların etkinlik öncesi ortalama derecelendirme düzeyinden etkilenmektedir.</w:t>
      </w:r>
    </w:p>
    <w:p w14:paraId="68E33278" w14:textId="77777777" w:rsidR="00AC06E0" w:rsidRPr="00944A2C" w:rsidRDefault="00AC06E0" w:rsidP="00B20327">
      <w:pPr>
        <w:spacing w:line="276" w:lineRule="auto"/>
        <w:jc w:val="both"/>
        <w:rPr>
          <w:rFonts w:ascii="Times New Roman" w:hAnsi="Times New Roman" w:cs="Times New Roman"/>
        </w:rPr>
      </w:pPr>
      <w:r w:rsidRPr="00944A2C">
        <w:rPr>
          <w:rFonts w:ascii="Times New Roman" w:hAnsi="Times New Roman" w:cs="Times New Roman"/>
        </w:rPr>
        <w:t>(</w:t>
      </w:r>
      <w:proofErr w:type="spellStart"/>
      <w:r w:rsidRPr="00944A2C">
        <w:rPr>
          <w:rFonts w:ascii="Times New Roman" w:hAnsi="Times New Roman" w:cs="Times New Roman"/>
        </w:rPr>
        <w:t>Pu</w:t>
      </w:r>
      <w:proofErr w:type="spellEnd"/>
      <w:r w:rsidRPr="00944A2C">
        <w:rPr>
          <w:rFonts w:ascii="Times New Roman" w:hAnsi="Times New Roman" w:cs="Times New Roman"/>
        </w:rPr>
        <w:t xml:space="preserve">, X. </w:t>
      </w:r>
      <w:proofErr w:type="spellStart"/>
      <w:r w:rsidRPr="00944A2C">
        <w:rPr>
          <w:rFonts w:ascii="Times New Roman" w:hAnsi="Times New Roman" w:cs="Times New Roman"/>
        </w:rPr>
        <w:t>and</w:t>
      </w:r>
      <w:proofErr w:type="spellEnd"/>
      <w:r w:rsidRPr="00944A2C">
        <w:rPr>
          <w:rFonts w:ascii="Times New Roman" w:hAnsi="Times New Roman" w:cs="Times New Roman"/>
        </w:rPr>
        <w:t xml:space="preserve"> J. </w:t>
      </w:r>
      <w:proofErr w:type="spellStart"/>
      <w:r w:rsidRPr="00944A2C">
        <w:rPr>
          <w:rFonts w:ascii="Times New Roman" w:hAnsi="Times New Roman" w:cs="Times New Roman"/>
        </w:rPr>
        <w:t>Zhang</w:t>
      </w:r>
      <w:proofErr w:type="spellEnd"/>
      <w:r w:rsidRPr="00944A2C">
        <w:rPr>
          <w:rFonts w:ascii="Times New Roman" w:hAnsi="Times New Roman" w:cs="Times New Roman"/>
        </w:rPr>
        <w:t>, 2012)</w:t>
      </w:r>
      <w:r w:rsidR="00EA73D6" w:rsidRPr="00944A2C">
        <w:rPr>
          <w:rFonts w:ascii="Times New Roman" w:hAnsi="Times New Roman" w:cs="Times New Roman"/>
        </w:rPr>
        <w:t>, çalışmalarında</w:t>
      </w:r>
      <w:r w:rsidRPr="00944A2C">
        <w:rPr>
          <w:rFonts w:ascii="Times New Roman" w:hAnsi="Times New Roman" w:cs="Times New Roman"/>
        </w:rPr>
        <w:t xml:space="preserve"> 2010 Alman kısa satış yasağının 54 ülke genelindeki kredi temerrüt takası (CDS) </w:t>
      </w:r>
      <w:proofErr w:type="spellStart"/>
      <w:r w:rsidRPr="00944A2C">
        <w:rPr>
          <w:rFonts w:ascii="Times New Roman" w:hAnsi="Times New Roman" w:cs="Times New Roman"/>
        </w:rPr>
        <w:t>spreadleri</w:t>
      </w:r>
      <w:proofErr w:type="spellEnd"/>
      <w:r w:rsidRPr="00944A2C">
        <w:rPr>
          <w:rFonts w:ascii="Times New Roman" w:hAnsi="Times New Roman" w:cs="Times New Roman"/>
        </w:rPr>
        <w:t>, oynaklığı ve likiditesi üzerindeki küresel etkisi incelen</w:t>
      </w:r>
      <w:r w:rsidR="000C170F" w:rsidRPr="00944A2C">
        <w:rPr>
          <w:rFonts w:ascii="Times New Roman" w:hAnsi="Times New Roman" w:cs="Times New Roman"/>
        </w:rPr>
        <w:t>miştir.</w:t>
      </w:r>
      <w:r w:rsidRPr="00944A2C">
        <w:rPr>
          <w:rFonts w:ascii="Times New Roman" w:hAnsi="Times New Roman" w:cs="Times New Roman"/>
        </w:rPr>
        <w:t xml:space="preserve"> Borç kriz bölgesindeki yasaktan sonra CDS </w:t>
      </w:r>
      <w:proofErr w:type="spellStart"/>
      <w:r w:rsidRPr="00944A2C">
        <w:rPr>
          <w:rFonts w:ascii="Times New Roman" w:hAnsi="Times New Roman" w:cs="Times New Roman"/>
        </w:rPr>
        <w:t>spreadlerinin</w:t>
      </w:r>
      <w:proofErr w:type="spellEnd"/>
      <w:r w:rsidRPr="00944A2C">
        <w:rPr>
          <w:rFonts w:ascii="Times New Roman" w:hAnsi="Times New Roman" w:cs="Times New Roman"/>
        </w:rPr>
        <w:t xml:space="preserve"> artmaya devam ettiği</w:t>
      </w:r>
      <w:r w:rsidR="000C170F" w:rsidRPr="00944A2C">
        <w:rPr>
          <w:rFonts w:ascii="Times New Roman" w:hAnsi="Times New Roman" w:cs="Times New Roman"/>
        </w:rPr>
        <w:t xml:space="preserve"> görülmektedir. K</w:t>
      </w:r>
      <w:r w:rsidRPr="00944A2C">
        <w:rPr>
          <w:rFonts w:ascii="Times New Roman" w:hAnsi="Times New Roman" w:cs="Times New Roman"/>
        </w:rPr>
        <w:t>ısa satış yasağının bu ülkelerdeki yükselen borçlanma maliyetlerini baskılayamayacağını göster</w:t>
      </w:r>
      <w:r w:rsidR="000C170F" w:rsidRPr="00944A2C">
        <w:rPr>
          <w:rFonts w:ascii="Times New Roman" w:hAnsi="Times New Roman" w:cs="Times New Roman"/>
        </w:rPr>
        <w:t>mektedir.</w:t>
      </w:r>
      <w:r w:rsidRPr="00944A2C">
        <w:rPr>
          <w:rFonts w:ascii="Times New Roman" w:hAnsi="Times New Roman" w:cs="Times New Roman"/>
        </w:rPr>
        <w:t xml:space="preserve"> Bununla birlikte, yasağın CDS oynaklığını azaltarak CDS pazarını dengelemeye yardımcı olduğunu görü</w:t>
      </w:r>
      <w:r w:rsidR="000C170F" w:rsidRPr="00944A2C">
        <w:rPr>
          <w:rFonts w:ascii="Times New Roman" w:hAnsi="Times New Roman" w:cs="Times New Roman"/>
        </w:rPr>
        <w:t>lmektedir. E</w:t>
      </w:r>
      <w:r w:rsidRPr="00944A2C">
        <w:rPr>
          <w:rFonts w:ascii="Times New Roman" w:hAnsi="Times New Roman" w:cs="Times New Roman"/>
        </w:rPr>
        <w:t>konominin önemli ölçüde iyileştirilmemesi durumunda, borç krizi bölgesindeki dış borçlanma maliyetlerini azaltmak için açığa satış yasağının etkisiz olduğunu göstermektedir.</w:t>
      </w:r>
    </w:p>
    <w:p w14:paraId="6F140EB7" w14:textId="77777777" w:rsidR="00BD3877" w:rsidRPr="00944A2C" w:rsidRDefault="00BD3877" w:rsidP="00B20327">
      <w:pPr>
        <w:spacing w:line="276" w:lineRule="auto"/>
        <w:jc w:val="both"/>
        <w:rPr>
          <w:rFonts w:ascii="Times New Roman" w:hAnsi="Times New Roman" w:cs="Times New Roman"/>
        </w:rPr>
      </w:pPr>
      <w:r w:rsidRPr="00944A2C">
        <w:rPr>
          <w:rFonts w:ascii="Times New Roman" w:hAnsi="Times New Roman" w:cs="Times New Roman"/>
        </w:rPr>
        <w:t>(Hancı, 2014)</w:t>
      </w:r>
      <w:r w:rsidR="00EA73D6" w:rsidRPr="00944A2C">
        <w:rPr>
          <w:rFonts w:ascii="Times New Roman" w:hAnsi="Times New Roman" w:cs="Times New Roman"/>
        </w:rPr>
        <w:t>,</w:t>
      </w:r>
      <w:r w:rsidRPr="00944A2C">
        <w:rPr>
          <w:rFonts w:ascii="Times New Roman" w:hAnsi="Times New Roman" w:cs="Times New Roman"/>
        </w:rPr>
        <w:t xml:space="preserve"> </w:t>
      </w:r>
      <w:r w:rsidR="00EA73D6" w:rsidRPr="00944A2C">
        <w:rPr>
          <w:rFonts w:ascii="Times New Roman" w:hAnsi="Times New Roman" w:cs="Times New Roman"/>
        </w:rPr>
        <w:t>ç</w:t>
      </w:r>
      <w:r w:rsidRPr="00944A2C">
        <w:rPr>
          <w:rFonts w:ascii="Times New Roman" w:hAnsi="Times New Roman" w:cs="Times New Roman"/>
        </w:rPr>
        <w:t xml:space="preserve">alışmasında Türkiye CDS Baz puanları ile Ocak </w:t>
      </w:r>
      <w:proofErr w:type="gramStart"/>
      <w:r w:rsidRPr="00944A2C">
        <w:rPr>
          <w:rFonts w:ascii="Times New Roman" w:hAnsi="Times New Roman" w:cs="Times New Roman"/>
        </w:rPr>
        <w:t>2008 -</w:t>
      </w:r>
      <w:proofErr w:type="gramEnd"/>
      <w:r w:rsidRPr="00944A2C">
        <w:rPr>
          <w:rFonts w:ascii="Times New Roman" w:hAnsi="Times New Roman" w:cs="Times New Roman"/>
        </w:rPr>
        <w:t xml:space="preserve"> Aralık 2012 arası günlük BİST-100 getirileri arasında ilişki GARCH Modellemesi ile incelenmiş, ters yönlü bir ilişki tespit edilmiştir.</w:t>
      </w:r>
    </w:p>
    <w:p w14:paraId="6F857C9C" w14:textId="77777777" w:rsidR="00BD3877" w:rsidRPr="00944A2C" w:rsidRDefault="00BD3877" w:rsidP="00B20327">
      <w:pPr>
        <w:spacing w:line="276" w:lineRule="auto"/>
        <w:jc w:val="both"/>
        <w:rPr>
          <w:rFonts w:ascii="Times New Roman" w:hAnsi="Times New Roman" w:cs="Times New Roman"/>
        </w:rPr>
      </w:pPr>
      <w:r w:rsidRPr="00944A2C">
        <w:rPr>
          <w:rFonts w:ascii="Times New Roman" w:hAnsi="Times New Roman" w:cs="Times New Roman"/>
        </w:rPr>
        <w:t>(Kaya, Öner ve Yalçıner, 2014)</w:t>
      </w:r>
      <w:r w:rsidR="00EA73D6" w:rsidRPr="00944A2C">
        <w:rPr>
          <w:rFonts w:ascii="Times New Roman" w:hAnsi="Times New Roman" w:cs="Times New Roman"/>
        </w:rPr>
        <w:t>, ç</w:t>
      </w:r>
      <w:r w:rsidRPr="00944A2C">
        <w:rPr>
          <w:rFonts w:ascii="Times New Roman" w:hAnsi="Times New Roman" w:cs="Times New Roman"/>
        </w:rPr>
        <w:t>alışmalarında 01.2007 ile 22.04.2014 tarihleri arasında tespit edilen 127 olayın Türkiye’nin derecelendirme notlarındaki ve</w:t>
      </w:r>
      <w:r w:rsidR="00EA73D6" w:rsidRPr="00944A2C">
        <w:rPr>
          <w:rFonts w:ascii="Times New Roman" w:hAnsi="Times New Roman" w:cs="Times New Roman"/>
        </w:rPr>
        <w:t xml:space="preserve"> </w:t>
      </w:r>
      <w:r w:rsidRPr="00944A2C">
        <w:rPr>
          <w:rFonts w:ascii="Times New Roman" w:hAnsi="Times New Roman" w:cs="Times New Roman"/>
        </w:rPr>
        <w:t xml:space="preserve">CDS primlerindeki değişimi üzerinde var olan etkisi çoklu regresyon analizi yöntemi </w:t>
      </w:r>
      <w:proofErr w:type="gramStart"/>
      <w:r w:rsidRPr="00944A2C">
        <w:rPr>
          <w:rFonts w:ascii="Times New Roman" w:hAnsi="Times New Roman" w:cs="Times New Roman"/>
        </w:rPr>
        <w:t>ile  test</w:t>
      </w:r>
      <w:proofErr w:type="gramEnd"/>
      <w:r w:rsidRPr="00944A2C">
        <w:rPr>
          <w:rFonts w:ascii="Times New Roman" w:hAnsi="Times New Roman" w:cs="Times New Roman"/>
        </w:rPr>
        <w:t xml:space="preserve"> edilmiş, yurt dışı olayların CDS üzerinde etkisinin olmadığı, derecelendirme notlarının yurt içi ve dışı olaylardan daha anlamlı bir etkileşimde bulunduğunu tespit etmişlerdir.</w:t>
      </w:r>
    </w:p>
    <w:p w14:paraId="6F0A6FDE" w14:textId="77777777" w:rsidR="003B52E4" w:rsidRPr="00944A2C" w:rsidRDefault="003B52E4" w:rsidP="00B20327">
      <w:pPr>
        <w:spacing w:line="276" w:lineRule="auto"/>
        <w:jc w:val="both"/>
        <w:rPr>
          <w:rFonts w:ascii="Times New Roman" w:hAnsi="Times New Roman" w:cs="Times New Roman"/>
        </w:rPr>
      </w:pPr>
      <w:proofErr w:type="spellStart"/>
      <w:r w:rsidRPr="00944A2C">
        <w:rPr>
          <w:rFonts w:ascii="Times New Roman" w:hAnsi="Times New Roman" w:cs="Times New Roman"/>
        </w:rPr>
        <w:t>Tolikas</w:t>
      </w:r>
      <w:proofErr w:type="spellEnd"/>
      <w:r w:rsidRPr="00944A2C">
        <w:rPr>
          <w:rFonts w:ascii="Times New Roman" w:hAnsi="Times New Roman" w:cs="Times New Roman"/>
        </w:rPr>
        <w:t xml:space="preserve">, K., ve </w:t>
      </w:r>
      <w:proofErr w:type="spellStart"/>
      <w:r w:rsidRPr="00944A2C">
        <w:rPr>
          <w:rFonts w:ascii="Times New Roman" w:hAnsi="Times New Roman" w:cs="Times New Roman"/>
        </w:rPr>
        <w:t>Topaloglou</w:t>
      </w:r>
      <w:proofErr w:type="spellEnd"/>
      <w:r w:rsidRPr="00944A2C">
        <w:rPr>
          <w:rFonts w:ascii="Times New Roman" w:hAnsi="Times New Roman" w:cs="Times New Roman"/>
        </w:rPr>
        <w:t xml:space="preserve">, </w:t>
      </w:r>
      <w:proofErr w:type="gramStart"/>
      <w:r w:rsidRPr="00944A2C">
        <w:rPr>
          <w:rFonts w:ascii="Times New Roman" w:hAnsi="Times New Roman" w:cs="Times New Roman"/>
        </w:rPr>
        <w:t>N.(</w:t>
      </w:r>
      <w:proofErr w:type="gramEnd"/>
      <w:r w:rsidRPr="00944A2C">
        <w:rPr>
          <w:rFonts w:ascii="Times New Roman" w:hAnsi="Times New Roman" w:cs="Times New Roman"/>
        </w:rPr>
        <w:t xml:space="preserve">2017), araştırmalarında </w:t>
      </w:r>
      <w:proofErr w:type="spellStart"/>
      <w:r w:rsidRPr="00944A2C">
        <w:rPr>
          <w:rFonts w:ascii="Times New Roman" w:hAnsi="Times New Roman" w:cs="Times New Roman"/>
        </w:rPr>
        <w:t>Thomson</w:t>
      </w:r>
      <w:proofErr w:type="spellEnd"/>
      <w:r w:rsidRPr="00944A2C">
        <w:rPr>
          <w:rFonts w:ascii="Times New Roman" w:hAnsi="Times New Roman" w:cs="Times New Roman"/>
        </w:rPr>
        <w:t xml:space="preserve"> Reuters'ten elde edilen CDS endekslerinin kapsamlı bir veri kümesini ve manuel olarak oluşturulan temel hisse senedi portföyleri incelenmiştir. Veri seti 1 Ocak 2008'den 30 Haziran 2014'e kadar olan süre boyunca Kuzey Amerika, Avrupa, İngiltere ve Asya'daki dokuz ana ekonomik sektörü kapsamaktadır. Hisse senedi piyasasının değişen temerrüt riskini CDS piyasasının ekonomik sektör seviyesinden daha hızlı fiyatlandırdığı tespit edilmiştir.</w:t>
      </w:r>
    </w:p>
    <w:p w14:paraId="7E7299F2" w14:textId="77777777" w:rsidR="00EA73D6" w:rsidRPr="00944A2C" w:rsidRDefault="0022223C" w:rsidP="00B20327">
      <w:pPr>
        <w:spacing w:line="276" w:lineRule="auto"/>
        <w:jc w:val="both"/>
        <w:rPr>
          <w:rFonts w:ascii="Times New Roman" w:hAnsi="Times New Roman" w:cs="Times New Roman"/>
        </w:rPr>
      </w:pPr>
      <w:proofErr w:type="spellStart"/>
      <w:r w:rsidRPr="00944A2C">
        <w:rPr>
          <w:rFonts w:ascii="Times New Roman" w:hAnsi="Times New Roman" w:cs="Times New Roman"/>
        </w:rPr>
        <w:lastRenderedPageBreak/>
        <w:t>Zghal</w:t>
      </w:r>
      <w:proofErr w:type="spellEnd"/>
      <w:r w:rsidRPr="00944A2C">
        <w:rPr>
          <w:rFonts w:ascii="Times New Roman" w:hAnsi="Times New Roman" w:cs="Times New Roman"/>
        </w:rPr>
        <w:t xml:space="preserve">, R., </w:t>
      </w:r>
      <w:proofErr w:type="spellStart"/>
      <w:r w:rsidRPr="00944A2C">
        <w:rPr>
          <w:rFonts w:ascii="Times New Roman" w:hAnsi="Times New Roman" w:cs="Times New Roman"/>
        </w:rPr>
        <w:t>Ghorbel</w:t>
      </w:r>
      <w:proofErr w:type="spellEnd"/>
      <w:r w:rsidRPr="00944A2C">
        <w:rPr>
          <w:rFonts w:ascii="Times New Roman" w:hAnsi="Times New Roman" w:cs="Times New Roman"/>
        </w:rPr>
        <w:t xml:space="preserve">, A., ve </w:t>
      </w:r>
      <w:proofErr w:type="spellStart"/>
      <w:r w:rsidRPr="00944A2C">
        <w:rPr>
          <w:rFonts w:ascii="Times New Roman" w:hAnsi="Times New Roman" w:cs="Times New Roman"/>
        </w:rPr>
        <w:t>Triki</w:t>
      </w:r>
      <w:proofErr w:type="spellEnd"/>
      <w:r w:rsidRPr="00944A2C">
        <w:rPr>
          <w:rFonts w:ascii="Times New Roman" w:hAnsi="Times New Roman" w:cs="Times New Roman"/>
        </w:rPr>
        <w:t xml:space="preserve">, M. (2018). </w:t>
      </w:r>
      <w:proofErr w:type="spellStart"/>
      <w:r w:rsidR="003B52E4" w:rsidRPr="00944A2C">
        <w:rPr>
          <w:rFonts w:ascii="Times New Roman" w:hAnsi="Times New Roman" w:cs="Times New Roman"/>
        </w:rPr>
        <w:t>CDS'nin</w:t>
      </w:r>
      <w:proofErr w:type="spellEnd"/>
      <w:r w:rsidR="003B52E4" w:rsidRPr="00944A2C">
        <w:rPr>
          <w:rFonts w:ascii="Times New Roman" w:hAnsi="Times New Roman" w:cs="Times New Roman"/>
        </w:rPr>
        <w:t xml:space="preserve"> hisse senedi sektörlerinin dalgalanmalarına karşı güçlü bir mekanizma olarak CDS rolünü vurgulayarak, CDS ve çeşitli hissedarlar arasında devam eden dinamik ilişkilerin kapsamlı olarak araştırılmıştır.</w:t>
      </w:r>
      <w:r w:rsidRPr="00944A2C">
        <w:rPr>
          <w:rFonts w:ascii="Times New Roman" w:hAnsi="Times New Roman" w:cs="Times New Roman"/>
        </w:rPr>
        <w:t xml:space="preserve"> DCC ve </w:t>
      </w:r>
      <w:proofErr w:type="spellStart"/>
      <w:r w:rsidRPr="00944A2C">
        <w:rPr>
          <w:rFonts w:ascii="Times New Roman" w:hAnsi="Times New Roman" w:cs="Times New Roman"/>
        </w:rPr>
        <w:t>ADCCmodels</w:t>
      </w:r>
      <w:proofErr w:type="spellEnd"/>
      <w:r w:rsidRPr="00944A2C">
        <w:rPr>
          <w:rFonts w:ascii="Times New Roman" w:hAnsi="Times New Roman" w:cs="Times New Roman"/>
        </w:rPr>
        <w:t xml:space="preserve"> ile işlenen günlük ve haftalık verileri kullanarak ulaşılan sonuçlarda </w:t>
      </w:r>
      <w:proofErr w:type="spellStart"/>
      <w:r w:rsidRPr="00944A2C">
        <w:rPr>
          <w:rFonts w:ascii="Times New Roman" w:hAnsi="Times New Roman" w:cs="Times New Roman"/>
        </w:rPr>
        <w:t>CDS’in</w:t>
      </w:r>
      <w:proofErr w:type="spellEnd"/>
      <w:r w:rsidRPr="00944A2C">
        <w:rPr>
          <w:rFonts w:ascii="Times New Roman" w:hAnsi="Times New Roman" w:cs="Times New Roman"/>
        </w:rPr>
        <w:t xml:space="preserve"> güvenli bir sığınak olarak yatırımcılara hizmet ettiği tespit edilmiştir.</w:t>
      </w:r>
    </w:p>
    <w:p w14:paraId="0D88D453" w14:textId="23A286AC" w:rsidR="0022223C" w:rsidRPr="00944A2C" w:rsidRDefault="0022223C" w:rsidP="00B20327">
      <w:pPr>
        <w:spacing w:line="276" w:lineRule="auto"/>
        <w:jc w:val="both"/>
        <w:rPr>
          <w:rFonts w:ascii="Times New Roman" w:hAnsi="Times New Roman" w:cs="Times New Roman"/>
        </w:rPr>
      </w:pPr>
      <w:r w:rsidRPr="00944A2C">
        <w:rPr>
          <w:rFonts w:ascii="Times New Roman" w:hAnsi="Times New Roman" w:cs="Times New Roman"/>
        </w:rPr>
        <w:t>Eren, Murat (201</w:t>
      </w:r>
      <w:r w:rsidR="00E33DDB" w:rsidRPr="00944A2C">
        <w:rPr>
          <w:rFonts w:ascii="Times New Roman" w:hAnsi="Times New Roman" w:cs="Times New Roman"/>
        </w:rPr>
        <w:t>6</w:t>
      </w:r>
      <w:proofErr w:type="gramStart"/>
      <w:r w:rsidRPr="00944A2C">
        <w:rPr>
          <w:rFonts w:ascii="Times New Roman" w:hAnsi="Times New Roman" w:cs="Times New Roman"/>
        </w:rPr>
        <w:t>),  çalışmasında</w:t>
      </w:r>
      <w:proofErr w:type="gramEnd"/>
      <w:r w:rsidRPr="00944A2C">
        <w:rPr>
          <w:rFonts w:ascii="Times New Roman" w:hAnsi="Times New Roman" w:cs="Times New Roman"/>
        </w:rPr>
        <w:t xml:space="preserve"> </w:t>
      </w:r>
      <w:proofErr w:type="spellStart"/>
      <w:r w:rsidRPr="00944A2C">
        <w:rPr>
          <w:rFonts w:ascii="Times New Roman" w:hAnsi="Times New Roman" w:cs="Times New Roman"/>
        </w:rPr>
        <w:t>CDS’lerin</w:t>
      </w:r>
      <w:proofErr w:type="spellEnd"/>
      <w:r w:rsidRPr="00944A2C">
        <w:rPr>
          <w:rFonts w:ascii="Times New Roman" w:hAnsi="Times New Roman" w:cs="Times New Roman"/>
        </w:rPr>
        <w:t xml:space="preserve"> endeks üzerindeki etkilerine bakıldığında, uzun dönemde </w:t>
      </w:r>
      <w:proofErr w:type="spellStart"/>
      <w:r w:rsidRPr="00944A2C">
        <w:rPr>
          <w:rFonts w:ascii="Times New Roman" w:hAnsi="Times New Roman" w:cs="Times New Roman"/>
        </w:rPr>
        <w:t>CDS’lerin</w:t>
      </w:r>
      <w:proofErr w:type="spellEnd"/>
      <w:r w:rsidRPr="00944A2C">
        <w:rPr>
          <w:rFonts w:ascii="Times New Roman" w:hAnsi="Times New Roman" w:cs="Times New Roman"/>
        </w:rPr>
        <w:t xml:space="preserve"> hisse senedi fiyatları üzerinde pozitif etkide bulunmasına karşın, söz konusu bu etkinin kısa dönemde negatif olduğu görülmüştür.</w:t>
      </w:r>
    </w:p>
    <w:p w14:paraId="55462DEC" w14:textId="77777777" w:rsidR="0022223C" w:rsidRPr="00944A2C" w:rsidRDefault="0022223C" w:rsidP="00B20327">
      <w:pPr>
        <w:spacing w:line="276" w:lineRule="auto"/>
        <w:jc w:val="both"/>
        <w:rPr>
          <w:rFonts w:ascii="Times New Roman" w:hAnsi="Times New Roman" w:cs="Times New Roman"/>
          <w:b/>
          <w:bCs/>
          <w:sz w:val="24"/>
          <w:szCs w:val="24"/>
        </w:rPr>
      </w:pPr>
    </w:p>
    <w:p w14:paraId="005C924D" w14:textId="77777777" w:rsidR="0022223C" w:rsidRPr="00944A2C" w:rsidRDefault="0022223C" w:rsidP="00B20327">
      <w:pPr>
        <w:spacing w:line="276" w:lineRule="auto"/>
        <w:jc w:val="both"/>
        <w:rPr>
          <w:rFonts w:ascii="Times New Roman" w:hAnsi="Times New Roman" w:cs="Times New Roman"/>
          <w:b/>
          <w:bCs/>
          <w:sz w:val="24"/>
          <w:szCs w:val="24"/>
        </w:rPr>
      </w:pPr>
      <w:r w:rsidRPr="00944A2C">
        <w:rPr>
          <w:rFonts w:ascii="Times New Roman" w:hAnsi="Times New Roman" w:cs="Times New Roman"/>
          <w:b/>
          <w:bCs/>
          <w:sz w:val="24"/>
          <w:szCs w:val="24"/>
        </w:rPr>
        <w:t>Yöntem ve Bulgular</w:t>
      </w:r>
    </w:p>
    <w:p w14:paraId="4D1DCC83" w14:textId="31D537AE" w:rsidR="00A91E76" w:rsidRPr="00944A2C" w:rsidRDefault="00A91E76" w:rsidP="00B20327">
      <w:pPr>
        <w:spacing w:line="276" w:lineRule="auto"/>
        <w:jc w:val="both"/>
        <w:rPr>
          <w:rFonts w:ascii="Times New Roman" w:hAnsi="Times New Roman" w:cs="Times New Roman"/>
        </w:rPr>
      </w:pPr>
      <w:bookmarkStart w:id="0" w:name="_Hlk32010052"/>
      <w:r w:rsidRPr="00944A2C">
        <w:rPr>
          <w:rFonts w:ascii="Times New Roman" w:hAnsi="Times New Roman" w:cs="Times New Roman"/>
        </w:rPr>
        <w:t xml:space="preserve">Çalışma </w:t>
      </w:r>
      <w:proofErr w:type="gramStart"/>
      <w:r w:rsidRPr="00944A2C">
        <w:rPr>
          <w:rFonts w:ascii="Times New Roman" w:hAnsi="Times New Roman" w:cs="Times New Roman"/>
        </w:rPr>
        <w:t>2011:09 -</w:t>
      </w:r>
      <w:proofErr w:type="gramEnd"/>
      <w:r w:rsidRPr="00944A2C">
        <w:rPr>
          <w:rFonts w:ascii="Times New Roman" w:hAnsi="Times New Roman" w:cs="Times New Roman"/>
        </w:rPr>
        <w:t xml:space="preserve"> 2020:09 dönemini kapsamaktadır. Analizler günlük veriler ile yapılmıştır. Çalışmada CDS ve B</w:t>
      </w:r>
      <w:r w:rsidR="00621405" w:rsidRPr="00944A2C">
        <w:rPr>
          <w:rFonts w:ascii="Times New Roman" w:hAnsi="Times New Roman" w:cs="Times New Roman"/>
        </w:rPr>
        <w:t>IST</w:t>
      </w:r>
      <w:r w:rsidRPr="00944A2C">
        <w:rPr>
          <w:rFonts w:ascii="Times New Roman" w:hAnsi="Times New Roman" w:cs="Times New Roman"/>
        </w:rPr>
        <w:t>30 günlük verileri kullanılmıştır. Her iki değişken Bloomberg Veri Tabanından alınmıştır. Veri analizleri Eviews8 programı kullanılarak yapılmıştır.</w:t>
      </w:r>
    </w:p>
    <w:p w14:paraId="5021C3A4" w14:textId="4A57CB7F" w:rsidR="00A91E76" w:rsidRPr="00944A2C" w:rsidRDefault="00A91E76" w:rsidP="00B20327">
      <w:pPr>
        <w:spacing w:line="276" w:lineRule="auto"/>
        <w:jc w:val="both"/>
        <w:rPr>
          <w:rFonts w:ascii="Times New Roman" w:hAnsi="Times New Roman" w:cs="Times New Roman"/>
          <w:highlight w:val="yellow"/>
        </w:rPr>
      </w:pPr>
      <w:r w:rsidRPr="00944A2C">
        <w:rPr>
          <w:rFonts w:ascii="Times New Roman" w:hAnsi="Times New Roman" w:cs="Times New Roman"/>
        </w:rPr>
        <w:t xml:space="preserve">Çalışma kapsamında ilk olarak incelenen değişkenlerin durağanlık incelemesi ADF Birim Kök </w:t>
      </w:r>
      <w:proofErr w:type="spellStart"/>
      <w:r w:rsidRPr="00944A2C">
        <w:rPr>
          <w:rFonts w:ascii="Times New Roman" w:hAnsi="Times New Roman" w:cs="Times New Roman"/>
        </w:rPr>
        <w:t>Testi’yle</w:t>
      </w:r>
      <w:proofErr w:type="spellEnd"/>
      <w:r w:rsidRPr="00944A2C">
        <w:rPr>
          <w:rFonts w:ascii="Times New Roman" w:hAnsi="Times New Roman" w:cs="Times New Roman"/>
        </w:rPr>
        <w:t xml:space="preserve"> gerçekleştirilmiştir. Birinci mertebeden durağanlık sınaması elde edilen değişkenlerin uzun dönemli ilişkininin incelenmesi için </w:t>
      </w:r>
      <w:proofErr w:type="spellStart"/>
      <w:r w:rsidRPr="00944A2C">
        <w:rPr>
          <w:rFonts w:ascii="Times New Roman" w:hAnsi="Times New Roman" w:cs="Times New Roman"/>
        </w:rPr>
        <w:t>Johansen</w:t>
      </w:r>
      <w:proofErr w:type="spellEnd"/>
      <w:r w:rsidRPr="00944A2C">
        <w:rPr>
          <w:rFonts w:ascii="Times New Roman" w:hAnsi="Times New Roman" w:cs="Times New Roman"/>
        </w:rPr>
        <w:t xml:space="preserve"> </w:t>
      </w:r>
      <w:proofErr w:type="spellStart"/>
      <w:r w:rsidRPr="00944A2C">
        <w:rPr>
          <w:rFonts w:ascii="Times New Roman" w:hAnsi="Times New Roman" w:cs="Times New Roman"/>
        </w:rPr>
        <w:t>Eşbütünleşme</w:t>
      </w:r>
      <w:proofErr w:type="spellEnd"/>
      <w:r w:rsidRPr="00944A2C">
        <w:rPr>
          <w:rFonts w:ascii="Times New Roman" w:hAnsi="Times New Roman" w:cs="Times New Roman"/>
        </w:rPr>
        <w:t xml:space="preserve"> Analizi kullanılmıştır. Uzun dönemli ilişki bulgusunun elde edilmesinin ardından ise değişkenler arasındaki ilişkinin yönünü tespit etmek için </w:t>
      </w:r>
      <w:proofErr w:type="spellStart"/>
      <w:r w:rsidRPr="00944A2C">
        <w:rPr>
          <w:rFonts w:ascii="Times New Roman" w:hAnsi="Times New Roman" w:cs="Times New Roman"/>
        </w:rPr>
        <w:t>Granger</w:t>
      </w:r>
      <w:proofErr w:type="spellEnd"/>
      <w:r w:rsidRPr="00944A2C">
        <w:rPr>
          <w:rFonts w:ascii="Times New Roman" w:hAnsi="Times New Roman" w:cs="Times New Roman"/>
        </w:rPr>
        <w:t xml:space="preserve"> Nedensellik Analizi kullanılmıştır. Çalışmada </w:t>
      </w:r>
      <w:r w:rsidR="00621405" w:rsidRPr="00944A2C">
        <w:rPr>
          <w:rFonts w:ascii="Times New Roman" w:hAnsi="Times New Roman" w:cs="Times New Roman"/>
        </w:rPr>
        <w:t>BIST</w:t>
      </w:r>
      <w:r w:rsidRPr="00944A2C">
        <w:rPr>
          <w:rFonts w:ascii="Times New Roman" w:hAnsi="Times New Roman" w:cs="Times New Roman"/>
        </w:rPr>
        <w:t>30 değişkeni bağımlı, CDS değişkeni bağımsız değişken olarak tanımlanmıştır.</w:t>
      </w:r>
    </w:p>
    <w:p w14:paraId="3A5B5B1F" w14:textId="77777777" w:rsidR="00A91E76" w:rsidRPr="00944A2C" w:rsidRDefault="00A91E76" w:rsidP="00B20327">
      <w:pPr>
        <w:spacing w:line="276" w:lineRule="auto"/>
        <w:rPr>
          <w:rFonts w:ascii="Times New Roman" w:hAnsi="Times New Roman" w:cs="Times New Roman"/>
        </w:rPr>
      </w:pPr>
      <w:r w:rsidRPr="00944A2C">
        <w:rPr>
          <w:rFonts w:ascii="Times New Roman" w:hAnsi="Times New Roman" w:cs="Times New Roman"/>
        </w:rPr>
        <w:t>Çalışma kapsamında ele alınan değişkenlere ait tanımlayıcı istatistikler Tablo 1 ile ifade edildiği gibidir;</w:t>
      </w:r>
    </w:p>
    <w:p w14:paraId="5DC3875B" w14:textId="77777777" w:rsidR="00A91E76" w:rsidRPr="006A69FA" w:rsidRDefault="00A91E76" w:rsidP="00B20327">
      <w:pPr>
        <w:spacing w:line="276" w:lineRule="auto"/>
        <w:ind w:firstLine="567"/>
        <w:rPr>
          <w:rFonts w:ascii="Times New Roman" w:hAnsi="Times New Roman" w:cs="Times New Roman"/>
          <w:sz w:val="24"/>
          <w:szCs w:val="24"/>
        </w:rPr>
      </w:pPr>
    </w:p>
    <w:p w14:paraId="312C98C2" w14:textId="77777777" w:rsidR="00A91E76" w:rsidRDefault="00A91E76" w:rsidP="00B20327">
      <w:pPr>
        <w:spacing w:line="276" w:lineRule="auto"/>
        <w:rPr>
          <w:rFonts w:ascii="Times New Roman" w:hAnsi="Times New Roman" w:cs="Times New Roman"/>
          <w:sz w:val="20"/>
          <w:szCs w:val="20"/>
        </w:rPr>
      </w:pPr>
      <w:r w:rsidRPr="00A644B9">
        <w:rPr>
          <w:rFonts w:ascii="Times New Roman" w:hAnsi="Times New Roman" w:cs="Times New Roman"/>
          <w:b/>
          <w:sz w:val="20"/>
          <w:szCs w:val="20"/>
        </w:rPr>
        <w:t xml:space="preserve">Tablo </w:t>
      </w:r>
      <w:proofErr w:type="gramStart"/>
      <w:r w:rsidRPr="00A644B9">
        <w:rPr>
          <w:rFonts w:ascii="Times New Roman" w:hAnsi="Times New Roman" w:cs="Times New Roman"/>
          <w:b/>
          <w:sz w:val="20"/>
          <w:szCs w:val="20"/>
        </w:rPr>
        <w:t>1. :</w:t>
      </w:r>
      <w:proofErr w:type="gramEnd"/>
      <w:r w:rsidRPr="00A644B9">
        <w:rPr>
          <w:rFonts w:ascii="Times New Roman" w:hAnsi="Times New Roman" w:cs="Times New Roman"/>
          <w:sz w:val="20"/>
          <w:szCs w:val="20"/>
        </w:rPr>
        <w:t xml:space="preserve"> Tanımlayıcı İstatistikler</w:t>
      </w:r>
    </w:p>
    <w:p w14:paraId="16ED1722" w14:textId="77777777" w:rsidR="00A91E76" w:rsidRDefault="00A91E76" w:rsidP="00B20327">
      <w:pPr>
        <w:spacing w:line="276" w:lineRule="auto"/>
        <w:jc w:val="center"/>
        <w:rPr>
          <w:rFonts w:ascii="Times New Roman" w:hAnsi="Times New Roman" w:cs="Times New Roman"/>
          <w:b/>
          <w:bCs/>
          <w:color w:val="000000"/>
          <w:sz w:val="24"/>
          <w:szCs w:val="24"/>
        </w:rPr>
      </w:pPr>
      <w:r>
        <w:rPr>
          <w:rFonts w:ascii="Times New Roman" w:hAnsi="Times New Roman" w:cs="Times New Roman"/>
          <w:b/>
          <w:bCs/>
          <w:noProof/>
          <w:color w:val="000000"/>
          <w:sz w:val="24"/>
          <w:szCs w:val="24"/>
        </w:rPr>
        <w:drawing>
          <wp:inline distT="0" distB="0" distL="0" distR="0" wp14:anchorId="700D070A" wp14:editId="3ED40ECF">
            <wp:extent cx="2486372" cy="2581635"/>
            <wp:effectExtent l="0" t="0" r="9525" b="9525"/>
            <wp:docPr id="2" name="Resim 2" descr="tabl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tablo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2486372" cy="2581635"/>
                    </a:xfrm>
                    <a:prstGeom prst="rect">
                      <a:avLst/>
                    </a:prstGeom>
                  </pic:spPr>
                </pic:pic>
              </a:graphicData>
            </a:graphic>
          </wp:inline>
        </w:drawing>
      </w:r>
    </w:p>
    <w:p w14:paraId="209D1FDC" w14:textId="77777777" w:rsidR="00A91E76" w:rsidRDefault="00A91E76" w:rsidP="00B20327">
      <w:pPr>
        <w:spacing w:line="276" w:lineRule="auto"/>
        <w:rPr>
          <w:rFonts w:ascii="Times New Roman" w:hAnsi="Times New Roman" w:cs="Times New Roman"/>
          <w:b/>
          <w:bCs/>
          <w:color w:val="000000"/>
          <w:sz w:val="24"/>
          <w:szCs w:val="24"/>
        </w:rPr>
      </w:pPr>
    </w:p>
    <w:p w14:paraId="46DC10B7" w14:textId="77777777" w:rsidR="00A91E76" w:rsidRPr="00944A2C" w:rsidRDefault="00A91E76" w:rsidP="00B20327">
      <w:pPr>
        <w:spacing w:line="276" w:lineRule="auto"/>
        <w:rPr>
          <w:rFonts w:ascii="Times New Roman" w:hAnsi="Times New Roman" w:cs="Times New Roman"/>
        </w:rPr>
      </w:pPr>
      <w:r w:rsidRPr="00944A2C">
        <w:rPr>
          <w:rFonts w:ascii="Times New Roman" w:hAnsi="Times New Roman" w:cs="Times New Roman"/>
          <w:b/>
          <w:bCs/>
          <w:color w:val="000000"/>
        </w:rPr>
        <w:t xml:space="preserve">Not: </w:t>
      </w:r>
      <w:r w:rsidRPr="00944A2C">
        <w:rPr>
          <w:rFonts w:ascii="Times New Roman" w:hAnsi="Times New Roman" w:cs="Times New Roman"/>
          <w:color w:val="000000"/>
        </w:rPr>
        <w:t xml:space="preserve">Çarpıklık </w:t>
      </w:r>
      <w:proofErr w:type="gramStart"/>
      <w:r w:rsidRPr="00944A2C">
        <w:rPr>
          <w:rFonts w:ascii="Times New Roman" w:hAnsi="Times New Roman" w:cs="Times New Roman"/>
          <w:color w:val="000000"/>
        </w:rPr>
        <w:t>değeri(</w:t>
      </w:r>
      <w:proofErr w:type="spellStart"/>
      <w:proofErr w:type="gramEnd"/>
      <w:r w:rsidRPr="00944A2C">
        <w:rPr>
          <w:rFonts w:ascii="Times New Roman" w:hAnsi="Times New Roman" w:cs="Times New Roman"/>
          <w:color w:val="000000"/>
        </w:rPr>
        <w:t>Skewness</w:t>
      </w:r>
      <w:proofErr w:type="spellEnd"/>
      <w:r w:rsidRPr="00944A2C">
        <w:rPr>
          <w:rFonts w:ascii="Times New Roman" w:hAnsi="Times New Roman" w:cs="Times New Roman"/>
          <w:color w:val="000000"/>
        </w:rPr>
        <w:t xml:space="preserve">) &lt; 0 ise; sola çarpık, Çarpıklık değeri &gt; 0 ise; sağa çarpıktır. Basıklık </w:t>
      </w:r>
      <w:proofErr w:type="gramStart"/>
      <w:r w:rsidRPr="00944A2C">
        <w:rPr>
          <w:rFonts w:ascii="Times New Roman" w:hAnsi="Times New Roman" w:cs="Times New Roman"/>
          <w:color w:val="000000"/>
        </w:rPr>
        <w:t>değeri(</w:t>
      </w:r>
      <w:proofErr w:type="spellStart"/>
      <w:proofErr w:type="gramEnd"/>
      <w:r w:rsidRPr="00944A2C">
        <w:rPr>
          <w:rFonts w:ascii="Times New Roman" w:hAnsi="Times New Roman" w:cs="Times New Roman"/>
          <w:color w:val="000000"/>
        </w:rPr>
        <w:t>Kurtossis</w:t>
      </w:r>
      <w:proofErr w:type="spellEnd"/>
      <w:r w:rsidRPr="00944A2C">
        <w:rPr>
          <w:rFonts w:ascii="Times New Roman" w:hAnsi="Times New Roman" w:cs="Times New Roman"/>
          <w:color w:val="000000"/>
        </w:rPr>
        <w:t>) &lt; 3 ise; basık, Basıklık değeri &gt; 3 ise; diktir.</w:t>
      </w:r>
    </w:p>
    <w:p w14:paraId="7D977AE1" w14:textId="499A19AF" w:rsidR="00A91E76" w:rsidRPr="00944A2C" w:rsidRDefault="00A91E76" w:rsidP="00B20327">
      <w:pPr>
        <w:spacing w:line="276" w:lineRule="auto"/>
        <w:rPr>
          <w:rFonts w:ascii="Times New Roman" w:hAnsi="Times New Roman" w:cs="Times New Roman"/>
          <w:color w:val="000000"/>
        </w:rPr>
      </w:pPr>
      <w:r w:rsidRPr="00944A2C">
        <w:rPr>
          <w:rFonts w:ascii="Times New Roman" w:hAnsi="Times New Roman" w:cs="Times New Roman"/>
          <w:color w:val="000000"/>
        </w:rPr>
        <w:lastRenderedPageBreak/>
        <w:t xml:space="preserve">Tablo 1 ile ifade edilen Tanımlayıcı istatistiklere göre Bist30 ve CDS verilerine ait ortalama değerler sırasıyla; </w:t>
      </w:r>
      <w:r w:rsidR="00621405" w:rsidRPr="00944A2C">
        <w:rPr>
          <w:rFonts w:ascii="Times New Roman" w:hAnsi="Times New Roman" w:cs="Times New Roman"/>
          <w:color w:val="000000"/>
        </w:rPr>
        <w:t>BIST</w:t>
      </w:r>
      <w:r w:rsidRPr="00944A2C">
        <w:rPr>
          <w:rFonts w:ascii="Times New Roman" w:hAnsi="Times New Roman" w:cs="Times New Roman"/>
          <w:color w:val="000000"/>
        </w:rPr>
        <w:t xml:space="preserve"> 30 için </w:t>
      </w:r>
      <w:proofErr w:type="gramStart"/>
      <w:r w:rsidRPr="00944A2C">
        <w:rPr>
          <w:rFonts w:ascii="Times New Roman" w:hAnsi="Times New Roman" w:cs="Times New Roman"/>
          <w:color w:val="000000"/>
        </w:rPr>
        <w:t>1.047.859 ,</w:t>
      </w:r>
      <w:proofErr w:type="gramEnd"/>
      <w:r w:rsidRPr="00944A2C">
        <w:rPr>
          <w:rFonts w:ascii="Times New Roman" w:hAnsi="Times New Roman" w:cs="Times New Roman"/>
          <w:color w:val="000000"/>
        </w:rPr>
        <w:t xml:space="preserve"> CDS için 2.657.611  olarak elde edilmiştir. </w:t>
      </w:r>
    </w:p>
    <w:p w14:paraId="37521076" w14:textId="7C34096D" w:rsidR="00A91E76" w:rsidRPr="00944A2C" w:rsidRDefault="00A91E76" w:rsidP="00B20327">
      <w:pPr>
        <w:spacing w:line="276" w:lineRule="auto"/>
        <w:rPr>
          <w:rFonts w:ascii="Times New Roman" w:hAnsi="Times New Roman" w:cs="Times New Roman"/>
          <w:color w:val="000000"/>
        </w:rPr>
      </w:pPr>
      <w:r w:rsidRPr="00944A2C">
        <w:rPr>
          <w:rFonts w:ascii="Times New Roman" w:hAnsi="Times New Roman" w:cs="Times New Roman"/>
          <w:color w:val="000000"/>
        </w:rPr>
        <w:t xml:space="preserve">Değişkenlere ait tanımlayıcı istatistiklerde yüksek oynaklığın göstergesi olan standart sapma açısından değerlendirildiğinde, </w:t>
      </w:r>
      <w:r w:rsidR="00621405" w:rsidRPr="00944A2C">
        <w:rPr>
          <w:rFonts w:ascii="Times New Roman" w:hAnsi="Times New Roman" w:cs="Times New Roman"/>
          <w:color w:val="000000"/>
        </w:rPr>
        <w:t>BIST</w:t>
      </w:r>
      <w:r w:rsidRPr="00944A2C">
        <w:rPr>
          <w:rFonts w:ascii="Times New Roman" w:hAnsi="Times New Roman" w:cs="Times New Roman"/>
          <w:color w:val="000000"/>
        </w:rPr>
        <w:t>30 için 2.008.209, CDS için 1.052.077 verileri elde edilmiştir. Yüksek oynaklıkta olduğunu göstermektedir.</w:t>
      </w:r>
    </w:p>
    <w:p w14:paraId="624E491F" w14:textId="0EAED04D" w:rsidR="00A91E76" w:rsidRPr="00944A2C" w:rsidRDefault="00A91E76" w:rsidP="00B20327">
      <w:pPr>
        <w:spacing w:line="276" w:lineRule="auto"/>
        <w:rPr>
          <w:rFonts w:ascii="Times New Roman" w:hAnsi="Times New Roman" w:cs="Times New Roman"/>
          <w:color w:val="000000"/>
        </w:rPr>
      </w:pPr>
      <w:r w:rsidRPr="00944A2C">
        <w:rPr>
          <w:rFonts w:ascii="Times New Roman" w:hAnsi="Times New Roman" w:cs="Times New Roman"/>
          <w:color w:val="000000"/>
        </w:rPr>
        <w:t xml:space="preserve">Değişkenlerin olasılık dağılımlarındaki </w:t>
      </w:r>
      <w:proofErr w:type="spellStart"/>
      <w:r w:rsidRPr="00944A2C">
        <w:rPr>
          <w:rFonts w:ascii="Times New Roman" w:hAnsi="Times New Roman" w:cs="Times New Roman"/>
          <w:color w:val="000000"/>
        </w:rPr>
        <w:t>asimetrikliği</w:t>
      </w:r>
      <w:proofErr w:type="spellEnd"/>
      <w:r w:rsidRPr="00944A2C">
        <w:rPr>
          <w:rFonts w:ascii="Times New Roman" w:hAnsi="Times New Roman" w:cs="Times New Roman"/>
          <w:color w:val="000000"/>
        </w:rPr>
        <w:t xml:space="preserve"> ölçen çarpıklık (</w:t>
      </w:r>
      <w:proofErr w:type="spellStart"/>
      <w:r w:rsidRPr="00944A2C">
        <w:rPr>
          <w:rFonts w:ascii="Times New Roman" w:hAnsi="Times New Roman" w:cs="Times New Roman"/>
          <w:color w:val="000000"/>
        </w:rPr>
        <w:t>skewness</w:t>
      </w:r>
      <w:proofErr w:type="spellEnd"/>
      <w:r w:rsidRPr="00944A2C">
        <w:rPr>
          <w:rFonts w:ascii="Times New Roman" w:hAnsi="Times New Roman" w:cs="Times New Roman"/>
          <w:color w:val="000000"/>
        </w:rPr>
        <w:t xml:space="preserve">) katsayısı dikkate alındığında; </w:t>
      </w:r>
      <w:r w:rsidR="00621405" w:rsidRPr="00944A2C">
        <w:rPr>
          <w:rFonts w:ascii="Times New Roman" w:hAnsi="Times New Roman" w:cs="Times New Roman"/>
          <w:color w:val="000000"/>
        </w:rPr>
        <w:t>BIST</w:t>
      </w:r>
      <w:r w:rsidRPr="00944A2C">
        <w:rPr>
          <w:rFonts w:ascii="Times New Roman" w:hAnsi="Times New Roman" w:cs="Times New Roman"/>
          <w:color w:val="000000"/>
        </w:rPr>
        <w:t>30 ve CDS serisinin sağa çarpık, dağılım eğrilerinin kuyruk dağılımını ifade eden basıklık (</w:t>
      </w:r>
      <w:proofErr w:type="spellStart"/>
      <w:r w:rsidRPr="00944A2C">
        <w:rPr>
          <w:rFonts w:ascii="Times New Roman" w:hAnsi="Times New Roman" w:cs="Times New Roman"/>
          <w:color w:val="000000"/>
        </w:rPr>
        <w:t>kurtosis</w:t>
      </w:r>
      <w:proofErr w:type="spellEnd"/>
      <w:r w:rsidRPr="00944A2C">
        <w:rPr>
          <w:rFonts w:ascii="Times New Roman" w:hAnsi="Times New Roman" w:cs="Times New Roman"/>
          <w:color w:val="000000"/>
        </w:rPr>
        <w:t xml:space="preserve">) katsayısına göre ise; </w:t>
      </w:r>
      <w:r w:rsidR="00621405" w:rsidRPr="00944A2C">
        <w:rPr>
          <w:rFonts w:ascii="Times New Roman" w:hAnsi="Times New Roman" w:cs="Times New Roman"/>
          <w:color w:val="000000"/>
        </w:rPr>
        <w:t>BIST</w:t>
      </w:r>
      <w:r w:rsidRPr="00944A2C">
        <w:rPr>
          <w:rFonts w:ascii="Times New Roman" w:hAnsi="Times New Roman" w:cs="Times New Roman"/>
          <w:color w:val="000000"/>
        </w:rPr>
        <w:t>30 serisinin basık, CDS verisinin ise dik olduğu görülmektedir.</w:t>
      </w:r>
    </w:p>
    <w:p w14:paraId="70580453" w14:textId="54D98EC8" w:rsidR="00A91E76" w:rsidRPr="00944A2C" w:rsidRDefault="00A91E76" w:rsidP="00B20327">
      <w:pPr>
        <w:spacing w:line="276" w:lineRule="auto"/>
        <w:rPr>
          <w:rFonts w:ascii="Times New Roman" w:hAnsi="Times New Roman" w:cs="Times New Roman"/>
        </w:rPr>
      </w:pPr>
      <w:r w:rsidRPr="00944A2C">
        <w:rPr>
          <w:rFonts w:ascii="Times New Roman" w:hAnsi="Times New Roman" w:cs="Times New Roman"/>
          <w:color w:val="000000"/>
        </w:rPr>
        <w:t>Boş hipotezinin (H</w:t>
      </w:r>
      <w:r w:rsidRPr="00944A2C">
        <w:rPr>
          <w:rFonts w:ascii="Times New Roman" w:hAnsi="Times New Roman" w:cs="Times New Roman"/>
          <w:color w:val="000000"/>
          <w:vertAlign w:val="subscript"/>
        </w:rPr>
        <w:t>0</w:t>
      </w:r>
      <w:r w:rsidRPr="00944A2C">
        <w:rPr>
          <w:rFonts w:ascii="Times New Roman" w:hAnsi="Times New Roman" w:cs="Times New Roman"/>
          <w:color w:val="000000"/>
        </w:rPr>
        <w:t xml:space="preserve">) normal dağılımı ifade ettiği </w:t>
      </w:r>
      <w:proofErr w:type="spellStart"/>
      <w:r w:rsidRPr="00944A2C">
        <w:rPr>
          <w:rFonts w:ascii="Times New Roman" w:hAnsi="Times New Roman" w:cs="Times New Roman"/>
          <w:color w:val="000000"/>
        </w:rPr>
        <w:t>Jarque</w:t>
      </w:r>
      <w:proofErr w:type="spellEnd"/>
      <w:r w:rsidRPr="00944A2C">
        <w:rPr>
          <w:rFonts w:ascii="Times New Roman" w:hAnsi="Times New Roman" w:cs="Times New Roman"/>
          <w:color w:val="000000"/>
        </w:rPr>
        <w:t xml:space="preserve">-Bera test istatistiğine göre; </w:t>
      </w:r>
      <w:r w:rsidR="00621405" w:rsidRPr="00944A2C">
        <w:rPr>
          <w:rFonts w:ascii="Times New Roman" w:hAnsi="Times New Roman" w:cs="Times New Roman"/>
          <w:color w:val="000000"/>
        </w:rPr>
        <w:t>BIST</w:t>
      </w:r>
      <w:r w:rsidRPr="00944A2C">
        <w:rPr>
          <w:rFonts w:ascii="Times New Roman" w:hAnsi="Times New Roman" w:cs="Times New Roman"/>
          <w:color w:val="000000"/>
        </w:rPr>
        <w:t>30 ve CDS değişkenleri için boş hipotez reddedilmekte ve alternatif hipotez (H</w:t>
      </w:r>
      <w:r w:rsidRPr="00944A2C">
        <w:rPr>
          <w:rFonts w:ascii="Times New Roman" w:hAnsi="Times New Roman" w:cs="Times New Roman"/>
          <w:color w:val="000000"/>
          <w:vertAlign w:val="subscript"/>
        </w:rPr>
        <w:t>1</w:t>
      </w:r>
      <w:r w:rsidRPr="00944A2C">
        <w:rPr>
          <w:rFonts w:ascii="Times New Roman" w:hAnsi="Times New Roman" w:cs="Times New Roman"/>
          <w:color w:val="000000"/>
        </w:rPr>
        <w:t xml:space="preserve">) kabul edilmektedir. Dolayısıyla söz konusu değişkenler normal dağılmamaktadır. </w:t>
      </w:r>
    </w:p>
    <w:p w14:paraId="62303508" w14:textId="1F460374" w:rsidR="00A91E76" w:rsidRPr="00944A2C" w:rsidRDefault="00A91E76" w:rsidP="00B20327">
      <w:pPr>
        <w:spacing w:line="276" w:lineRule="auto"/>
        <w:jc w:val="both"/>
        <w:rPr>
          <w:rFonts w:ascii="Times New Roman" w:hAnsi="Times New Roman" w:cs="Times New Roman"/>
        </w:rPr>
      </w:pPr>
      <w:r w:rsidRPr="00944A2C">
        <w:rPr>
          <w:rFonts w:ascii="Times New Roman" w:hAnsi="Times New Roman" w:cs="Times New Roman"/>
        </w:rPr>
        <w:t xml:space="preserve">Zaman serisi analizlerinde genel olarak ekonomik verilerin durağan olup olmadığı incelenmelidir. Değişkenlerin ayrıca hangi mertebeden birim kök içerip içermediği de uzun dönem analizleri için önemlidir. Bir seride birim kök bulunmuyorsa durağan, birim kök bulunuyorsa durağan olmadığı kararı verilmektedir. Bununla beraber bir serinin birim kökünün bulunmaması, zamana göre değişiklik göstermeyen bir </w:t>
      </w:r>
      <w:proofErr w:type="spellStart"/>
      <w:r w:rsidRPr="00944A2C">
        <w:rPr>
          <w:rFonts w:ascii="Times New Roman" w:hAnsi="Times New Roman" w:cs="Times New Roman"/>
        </w:rPr>
        <w:t>varyansın</w:t>
      </w:r>
      <w:proofErr w:type="spellEnd"/>
      <w:r w:rsidRPr="00944A2C">
        <w:rPr>
          <w:rFonts w:ascii="Times New Roman" w:hAnsi="Times New Roman" w:cs="Times New Roman"/>
        </w:rPr>
        <w:t xml:space="preserve"> bulunması meydana gelebilecek şokların belirli bir zaman sonunda ortadan kalkabileceği anlamına gelmektedir. </w:t>
      </w:r>
      <w:r w:rsidR="005F5D3F" w:rsidRPr="00944A2C">
        <w:rPr>
          <w:rFonts w:ascii="Times New Roman" w:hAnsi="Times New Roman" w:cs="Times New Roman"/>
        </w:rPr>
        <w:t xml:space="preserve">Durağan olmayan seriler </w:t>
      </w:r>
      <w:proofErr w:type="spellStart"/>
      <w:r w:rsidR="005F5D3F" w:rsidRPr="00944A2C">
        <w:rPr>
          <w:rFonts w:ascii="Times New Roman" w:hAnsi="Times New Roman" w:cs="Times New Roman"/>
        </w:rPr>
        <w:t>rassal</w:t>
      </w:r>
      <w:proofErr w:type="spellEnd"/>
      <w:r w:rsidR="005F5D3F" w:rsidRPr="00944A2C">
        <w:rPr>
          <w:rFonts w:ascii="Times New Roman" w:hAnsi="Times New Roman" w:cs="Times New Roman"/>
        </w:rPr>
        <w:t xml:space="preserve"> şoklardan etkilenebilir.</w:t>
      </w:r>
    </w:p>
    <w:p w14:paraId="6E6F70A9" w14:textId="77777777" w:rsidR="00A91E76" w:rsidRPr="00944A2C" w:rsidRDefault="00A91E76" w:rsidP="00B20327">
      <w:pPr>
        <w:spacing w:line="276" w:lineRule="auto"/>
        <w:rPr>
          <w:rFonts w:ascii="Times New Roman" w:hAnsi="Times New Roman" w:cs="Times New Roman"/>
        </w:rPr>
      </w:pPr>
      <w:r w:rsidRPr="00944A2C">
        <w:rPr>
          <w:rFonts w:ascii="Times New Roman" w:hAnsi="Times New Roman" w:cs="Times New Roman"/>
        </w:rPr>
        <w:t xml:space="preserve">Bir ekonomik analizde serilerin durağan olmaları arzu edilen bir durumdur fakat birim kök testlerin bu istenen durumu genellikle gerçekleşmemektedir (Nelson &amp; </w:t>
      </w:r>
      <w:proofErr w:type="spellStart"/>
      <w:r w:rsidRPr="00944A2C">
        <w:rPr>
          <w:rFonts w:ascii="Times New Roman" w:hAnsi="Times New Roman" w:cs="Times New Roman"/>
        </w:rPr>
        <w:t>Plosser</w:t>
      </w:r>
      <w:proofErr w:type="spellEnd"/>
      <w:r w:rsidRPr="00944A2C">
        <w:rPr>
          <w:rFonts w:ascii="Times New Roman" w:hAnsi="Times New Roman" w:cs="Times New Roman"/>
        </w:rPr>
        <w:t>, 1982). Birim kök içeren serilerle yapılan analizler sahte regresyon sorunun ortaya çıkması sonuçların sapmalı olması gibi sorunlara neden olmaktadır (</w:t>
      </w:r>
      <w:proofErr w:type="spellStart"/>
      <w:r w:rsidRPr="00944A2C">
        <w:rPr>
          <w:rFonts w:ascii="Times New Roman" w:hAnsi="Times New Roman" w:cs="Times New Roman"/>
        </w:rPr>
        <w:t>Dickey</w:t>
      </w:r>
      <w:proofErr w:type="spellEnd"/>
      <w:r w:rsidRPr="00944A2C">
        <w:rPr>
          <w:rFonts w:ascii="Times New Roman" w:hAnsi="Times New Roman" w:cs="Times New Roman"/>
        </w:rPr>
        <w:t xml:space="preserve"> &amp; Fuller, 1981). Serilerin birim kök içerip içermediği ilk olarak genelleştirilmiş </w:t>
      </w:r>
      <w:proofErr w:type="spellStart"/>
      <w:r w:rsidRPr="00944A2C">
        <w:rPr>
          <w:rFonts w:ascii="Times New Roman" w:hAnsi="Times New Roman" w:cs="Times New Roman"/>
        </w:rPr>
        <w:t>Dickey</w:t>
      </w:r>
      <w:proofErr w:type="spellEnd"/>
      <w:r w:rsidRPr="00944A2C">
        <w:rPr>
          <w:rFonts w:ascii="Times New Roman" w:hAnsi="Times New Roman" w:cs="Times New Roman"/>
        </w:rPr>
        <w:t xml:space="preserve">-Fuller birim kök testi ile incelenmiştir. </w:t>
      </w:r>
    </w:p>
    <w:p w14:paraId="4441EDCB" w14:textId="77777777" w:rsidR="00A91E76" w:rsidRPr="00944A2C" w:rsidRDefault="00A91E76" w:rsidP="00B20327">
      <w:pPr>
        <w:spacing w:line="276" w:lineRule="auto"/>
        <w:rPr>
          <w:rFonts w:ascii="Times New Roman" w:hAnsi="Times New Roman" w:cs="Times New Roman"/>
        </w:rPr>
      </w:pPr>
      <w:r w:rsidRPr="00944A2C">
        <w:rPr>
          <w:rFonts w:ascii="Times New Roman" w:hAnsi="Times New Roman" w:cs="Times New Roman"/>
        </w:rPr>
        <w:t>ADF birim kök testine ilişkin kullanılan formül düzeni aşağıdaki gibidir;</w:t>
      </w:r>
    </w:p>
    <w:p w14:paraId="304C5BE4" w14:textId="77777777" w:rsidR="00A91E76" w:rsidRPr="00944A2C" w:rsidRDefault="00A91E76" w:rsidP="00B20327">
      <w:pPr>
        <w:spacing w:line="276" w:lineRule="auto"/>
        <w:ind w:firstLine="567"/>
        <w:rPr>
          <w:rFonts w:ascii="Times New Roman" w:hAnsi="Times New Roman" w:cs="Times New Roman"/>
        </w:rPr>
      </w:pPr>
    </w:p>
    <w:p w14:paraId="7C6DF6D1" w14:textId="77777777" w:rsidR="00A91E76" w:rsidRPr="00944A2C" w:rsidRDefault="00A91E76" w:rsidP="00B20327">
      <w:pPr>
        <w:pStyle w:val="ListeParagraf"/>
        <w:numPr>
          <w:ilvl w:val="0"/>
          <w:numId w:val="2"/>
        </w:numPr>
        <w:spacing w:after="0"/>
        <w:jc w:val="both"/>
        <w:rPr>
          <w:rFonts w:ascii="Times New Roman" w:hAnsi="Times New Roman" w:cs="Times New Roman"/>
        </w:rPr>
      </w:pPr>
      <w:r w:rsidRPr="00944A2C">
        <w:rPr>
          <w:rFonts w:ascii="Times New Roman" w:hAnsi="Times New Roman" w:cs="Times New Roman"/>
        </w:rPr>
        <w:t xml:space="preserve">Sabit olmayan ve </w:t>
      </w:r>
      <w:proofErr w:type="spellStart"/>
      <w:r w:rsidRPr="00944A2C">
        <w:rPr>
          <w:rFonts w:ascii="Times New Roman" w:hAnsi="Times New Roman" w:cs="Times New Roman"/>
        </w:rPr>
        <w:t>trendsiz</w:t>
      </w:r>
      <w:proofErr w:type="spellEnd"/>
      <w:r w:rsidRPr="00944A2C">
        <w:rPr>
          <w:rFonts w:ascii="Times New Roman" w:hAnsi="Times New Roman" w:cs="Times New Roman"/>
        </w:rPr>
        <w:t xml:space="preserve"> model için;</w:t>
      </w:r>
    </w:p>
    <w:p w14:paraId="21A2AA96" w14:textId="39DDCD0F" w:rsidR="00A91E76" w:rsidRPr="00944A2C" w:rsidRDefault="00A91E76" w:rsidP="00B20327">
      <w:pPr>
        <w:spacing w:line="276" w:lineRule="auto"/>
        <w:ind w:left="1985"/>
        <w:rPr>
          <w:rFonts w:ascii="Times New Roman" w:hAnsi="Times New Roman" w:cs="Times New Roman"/>
        </w:rPr>
      </w:pPr>
      <m:oMath>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m:t>
            </m:r>
          </m:sub>
        </m:sSub>
        <m:r>
          <w:rPr>
            <w:rFonts w:ascii="Cambria Math" w:hAnsi="Cambria Math" w:cs="Times New Roman"/>
          </w:rPr>
          <m:t>=φ</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t-1</m:t>
            </m:r>
          </m:sub>
        </m:sSub>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k</m:t>
            </m:r>
          </m:sup>
          <m:e>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i</m:t>
                </m:r>
              </m:sub>
            </m:sSub>
          </m:e>
        </m:nary>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t</m:t>
            </m:r>
          </m:sub>
        </m:sSub>
      </m:oMath>
      <w:r w:rsidR="004C6C79">
        <w:rPr>
          <w:rFonts w:ascii="Times New Roman" w:eastAsiaTheme="minorEastAsia" w:hAnsi="Times New Roman" w:cs="Times New Roman"/>
        </w:rPr>
        <w:tab/>
      </w:r>
      <w:r w:rsidR="004C6C79">
        <w:rPr>
          <w:rFonts w:ascii="Times New Roman" w:eastAsiaTheme="minorEastAsia" w:hAnsi="Times New Roman" w:cs="Times New Roman"/>
        </w:rPr>
        <w:tab/>
      </w:r>
      <w:r w:rsidR="004C6C79">
        <w:rPr>
          <w:rFonts w:ascii="Times New Roman" w:eastAsiaTheme="minorEastAsia" w:hAnsi="Times New Roman" w:cs="Times New Roman"/>
        </w:rPr>
        <w:tab/>
      </w:r>
      <w:r w:rsidR="004C6C79">
        <w:rPr>
          <w:rFonts w:ascii="Times New Roman" w:eastAsiaTheme="minorEastAsia" w:hAnsi="Times New Roman" w:cs="Times New Roman"/>
        </w:rPr>
        <w:tab/>
      </w:r>
      <w:r w:rsidR="004C6C79">
        <w:rPr>
          <w:rFonts w:ascii="Times New Roman" w:eastAsiaTheme="minorEastAsia" w:hAnsi="Times New Roman" w:cs="Times New Roman"/>
        </w:rPr>
        <w:tab/>
      </w:r>
      <w:r w:rsidRPr="00944A2C">
        <w:rPr>
          <w:rFonts w:ascii="Times New Roman" w:eastAsiaTheme="minorEastAsia" w:hAnsi="Times New Roman" w:cs="Times New Roman"/>
        </w:rPr>
        <w:t>(</w:t>
      </w:r>
      <w:r w:rsidR="004C6C79">
        <w:rPr>
          <w:rFonts w:ascii="Times New Roman" w:eastAsiaTheme="minorEastAsia" w:hAnsi="Times New Roman" w:cs="Times New Roman"/>
        </w:rPr>
        <w:t>1</w:t>
      </w:r>
      <w:r w:rsidRPr="00944A2C">
        <w:rPr>
          <w:rFonts w:ascii="Times New Roman" w:eastAsiaTheme="minorEastAsia" w:hAnsi="Times New Roman" w:cs="Times New Roman"/>
        </w:rPr>
        <w:t>)</w:t>
      </w:r>
    </w:p>
    <w:p w14:paraId="7876FD4D" w14:textId="77777777" w:rsidR="00A91E76" w:rsidRPr="00944A2C" w:rsidRDefault="00A91E76" w:rsidP="00B20327">
      <w:pPr>
        <w:pStyle w:val="ListeParagraf"/>
        <w:numPr>
          <w:ilvl w:val="0"/>
          <w:numId w:val="2"/>
        </w:numPr>
        <w:spacing w:after="0"/>
        <w:jc w:val="both"/>
        <w:rPr>
          <w:rFonts w:ascii="Times New Roman" w:hAnsi="Times New Roman" w:cs="Times New Roman"/>
        </w:rPr>
      </w:pPr>
      <w:r w:rsidRPr="00944A2C">
        <w:rPr>
          <w:rFonts w:ascii="Times New Roman" w:hAnsi="Times New Roman" w:cs="Times New Roman"/>
        </w:rPr>
        <w:t xml:space="preserve">Sabit olan ve </w:t>
      </w:r>
      <w:proofErr w:type="spellStart"/>
      <w:r w:rsidRPr="00944A2C">
        <w:rPr>
          <w:rFonts w:ascii="Times New Roman" w:hAnsi="Times New Roman" w:cs="Times New Roman"/>
        </w:rPr>
        <w:t>trendsiz</w:t>
      </w:r>
      <w:proofErr w:type="spellEnd"/>
      <w:r w:rsidRPr="00944A2C">
        <w:rPr>
          <w:rFonts w:ascii="Times New Roman" w:hAnsi="Times New Roman" w:cs="Times New Roman"/>
        </w:rPr>
        <w:t xml:space="preserve"> model için;</w:t>
      </w:r>
    </w:p>
    <w:p w14:paraId="07E077C0" w14:textId="513886A6" w:rsidR="00A91E76" w:rsidRPr="00944A2C" w:rsidRDefault="00A91E76" w:rsidP="00B20327">
      <w:pPr>
        <w:pStyle w:val="ListeParagraf"/>
        <w:ind w:left="1985"/>
        <w:rPr>
          <w:rFonts w:ascii="Times New Roman" w:hAnsi="Times New Roman" w:cs="Times New Roman"/>
        </w:rPr>
      </w:pPr>
      <m:oMath>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m:t>
            </m:r>
          </m:sub>
        </m:sSub>
        <m:r>
          <w:rPr>
            <w:rFonts w:ascii="Cambria Math" w:hAnsi="Cambria Math" w:cs="Times New Roman"/>
          </w:rPr>
          <m:t>=α+φ</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t-1</m:t>
            </m:r>
          </m:sub>
        </m:sSub>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k</m:t>
            </m:r>
          </m:sup>
          <m:e>
            <m:sSub>
              <m:sSubPr>
                <m:ctrlPr>
                  <w:rPr>
                    <w:rFonts w:ascii="Cambria Math" w:hAnsi="Cambria Math" w:cs="Times New Roman"/>
                    <w:i/>
                  </w:rPr>
                </m:ctrlPr>
              </m:sSubPr>
              <m:e>
                <m:r>
                  <w:rPr>
                    <w:rFonts w:ascii="Cambria Math" w:hAnsi="Cambria Math" w:cs="Times New Roman"/>
                  </w:rPr>
                  <m:t>φ</m:t>
                </m:r>
              </m:e>
              <m:sub>
                <m:r>
                  <w:rPr>
                    <w:rFonts w:ascii="Cambria Math" w:hAnsi="Cambria Math" w:cs="Times New Roman"/>
                  </w:rPr>
                  <m:t>i</m:t>
                </m:r>
              </m:sub>
            </m:sSub>
          </m:e>
        </m:nary>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t</m:t>
            </m:r>
          </m:sub>
        </m:sSub>
      </m:oMath>
      <w:r w:rsidRPr="00944A2C">
        <w:rPr>
          <w:rFonts w:ascii="Times New Roman" w:eastAsiaTheme="minorEastAsia" w:hAnsi="Times New Roman" w:cs="Times New Roman"/>
        </w:rPr>
        <w:tab/>
      </w:r>
      <w:r w:rsidR="004C6C79">
        <w:rPr>
          <w:rFonts w:ascii="Times New Roman" w:eastAsiaTheme="minorEastAsia" w:hAnsi="Times New Roman" w:cs="Times New Roman"/>
        </w:rPr>
        <w:tab/>
      </w:r>
      <w:r w:rsidR="004C6C79">
        <w:rPr>
          <w:rFonts w:ascii="Times New Roman" w:eastAsiaTheme="minorEastAsia" w:hAnsi="Times New Roman" w:cs="Times New Roman"/>
        </w:rPr>
        <w:tab/>
      </w:r>
      <w:r w:rsidR="004C6C79">
        <w:rPr>
          <w:rFonts w:ascii="Times New Roman" w:eastAsiaTheme="minorEastAsia" w:hAnsi="Times New Roman" w:cs="Times New Roman"/>
        </w:rPr>
        <w:tab/>
      </w:r>
      <w:r w:rsidR="004C6C79">
        <w:rPr>
          <w:rFonts w:ascii="Times New Roman" w:eastAsiaTheme="minorEastAsia" w:hAnsi="Times New Roman" w:cs="Times New Roman"/>
        </w:rPr>
        <w:tab/>
      </w:r>
      <w:r w:rsidRPr="00944A2C">
        <w:rPr>
          <w:rFonts w:ascii="Times New Roman" w:eastAsiaTheme="minorEastAsia" w:hAnsi="Times New Roman" w:cs="Times New Roman"/>
        </w:rPr>
        <w:t>(</w:t>
      </w:r>
      <w:r w:rsidR="004C6C79">
        <w:rPr>
          <w:rFonts w:ascii="Times New Roman" w:eastAsiaTheme="minorEastAsia" w:hAnsi="Times New Roman" w:cs="Times New Roman"/>
        </w:rPr>
        <w:t>2</w:t>
      </w:r>
      <w:r w:rsidRPr="00944A2C">
        <w:rPr>
          <w:rFonts w:ascii="Times New Roman" w:eastAsiaTheme="minorEastAsia" w:hAnsi="Times New Roman" w:cs="Times New Roman"/>
        </w:rPr>
        <w:t>)</w:t>
      </w:r>
    </w:p>
    <w:p w14:paraId="495EAF21" w14:textId="77777777" w:rsidR="00A91E76" w:rsidRPr="006A69FA" w:rsidRDefault="00A91E76" w:rsidP="00B20327">
      <w:pPr>
        <w:pStyle w:val="ListeParagraf"/>
        <w:numPr>
          <w:ilvl w:val="0"/>
          <w:numId w:val="2"/>
        </w:numPr>
        <w:spacing w:after="0"/>
        <w:jc w:val="both"/>
        <w:rPr>
          <w:rFonts w:ascii="Times New Roman" w:hAnsi="Times New Roman" w:cs="Times New Roman"/>
          <w:sz w:val="24"/>
          <w:szCs w:val="24"/>
        </w:rPr>
      </w:pPr>
      <w:r w:rsidRPr="006A69FA">
        <w:rPr>
          <w:rFonts w:ascii="Times New Roman" w:hAnsi="Times New Roman" w:cs="Times New Roman"/>
          <w:sz w:val="24"/>
          <w:szCs w:val="24"/>
        </w:rPr>
        <w:t xml:space="preserve">Sabit olan ve </w:t>
      </w:r>
      <w:proofErr w:type="spellStart"/>
      <w:r w:rsidRPr="006A69FA">
        <w:rPr>
          <w:rFonts w:ascii="Times New Roman" w:hAnsi="Times New Roman" w:cs="Times New Roman"/>
          <w:sz w:val="24"/>
          <w:szCs w:val="24"/>
        </w:rPr>
        <w:t>trendli</w:t>
      </w:r>
      <w:proofErr w:type="spellEnd"/>
      <w:r w:rsidRPr="006A69FA">
        <w:rPr>
          <w:rFonts w:ascii="Times New Roman" w:hAnsi="Times New Roman" w:cs="Times New Roman"/>
          <w:sz w:val="24"/>
          <w:szCs w:val="24"/>
        </w:rPr>
        <w:t xml:space="preserve"> model için;</w:t>
      </w:r>
    </w:p>
    <w:p w14:paraId="50716F89" w14:textId="41DF12BB" w:rsidR="00A91E76" w:rsidRPr="006A69FA" w:rsidRDefault="00A91E76" w:rsidP="00B20327">
      <w:pPr>
        <w:pStyle w:val="ListeParagraf"/>
        <w:ind w:left="1985"/>
        <w:rPr>
          <w:rFonts w:ascii="Times New Roman" w:eastAsiaTheme="minorEastAsia" w:hAnsi="Times New Roman" w:cs="Times New Roman"/>
          <w:sz w:val="24"/>
          <w:szCs w:val="24"/>
        </w:rPr>
      </w:pP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w:rPr>
            <w:rFonts w:ascii="Cambria Math" w:hAnsi="Cambria Math" w:cs="Times New Roman"/>
            <w:sz w:val="24"/>
            <w:szCs w:val="24"/>
          </w:rPr>
          <m:t>=α+BT+φ</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k</m:t>
            </m:r>
          </m:sup>
          <m:e>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e>
        </m:nary>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t</m:t>
            </m:r>
          </m:sub>
        </m:sSub>
      </m:oMath>
      <w:r w:rsidR="004C6C79">
        <w:rPr>
          <w:rFonts w:ascii="Times New Roman" w:eastAsiaTheme="minorEastAsia" w:hAnsi="Times New Roman" w:cs="Times New Roman"/>
          <w:sz w:val="24"/>
          <w:szCs w:val="24"/>
        </w:rPr>
        <w:tab/>
      </w:r>
      <w:r w:rsidR="004C6C79">
        <w:rPr>
          <w:rFonts w:ascii="Times New Roman" w:eastAsiaTheme="minorEastAsia" w:hAnsi="Times New Roman" w:cs="Times New Roman"/>
          <w:sz w:val="24"/>
          <w:szCs w:val="24"/>
        </w:rPr>
        <w:tab/>
      </w:r>
      <w:r w:rsidR="004C6C79">
        <w:rPr>
          <w:rFonts w:ascii="Times New Roman" w:eastAsiaTheme="minorEastAsia" w:hAnsi="Times New Roman" w:cs="Times New Roman"/>
          <w:sz w:val="24"/>
          <w:szCs w:val="24"/>
        </w:rPr>
        <w:tab/>
      </w:r>
      <w:r w:rsidRPr="006A69FA">
        <w:rPr>
          <w:rFonts w:ascii="Times New Roman" w:eastAsiaTheme="minorEastAsia" w:hAnsi="Times New Roman" w:cs="Times New Roman"/>
          <w:sz w:val="24"/>
          <w:szCs w:val="24"/>
        </w:rPr>
        <w:t>(</w:t>
      </w:r>
      <w:r w:rsidR="004C6C79">
        <w:rPr>
          <w:rFonts w:ascii="Times New Roman" w:eastAsiaTheme="minorEastAsia" w:hAnsi="Times New Roman" w:cs="Times New Roman"/>
          <w:sz w:val="24"/>
          <w:szCs w:val="24"/>
        </w:rPr>
        <w:t>3</w:t>
      </w:r>
      <w:r w:rsidRPr="006A69FA">
        <w:rPr>
          <w:rFonts w:ascii="Times New Roman" w:eastAsiaTheme="minorEastAsia" w:hAnsi="Times New Roman" w:cs="Times New Roman"/>
          <w:sz w:val="24"/>
          <w:szCs w:val="24"/>
        </w:rPr>
        <w:t>)</w:t>
      </w:r>
    </w:p>
    <w:p w14:paraId="2AD0BFD9" w14:textId="77777777" w:rsidR="00A91E76" w:rsidRPr="006A69FA" w:rsidRDefault="00A91E76" w:rsidP="00B20327">
      <w:pPr>
        <w:pStyle w:val="ListeParagraf"/>
        <w:ind w:left="1985"/>
        <w:rPr>
          <w:rFonts w:ascii="Times New Roman" w:hAnsi="Times New Roman" w:cs="Times New Roman"/>
          <w:sz w:val="24"/>
          <w:szCs w:val="24"/>
        </w:rPr>
      </w:pPr>
    </w:p>
    <w:p w14:paraId="255CC2F2" w14:textId="77777777" w:rsidR="00A91E76" w:rsidRPr="00B20327" w:rsidRDefault="00A91E76" w:rsidP="00B20327">
      <w:pPr>
        <w:spacing w:line="276" w:lineRule="auto"/>
        <w:jc w:val="both"/>
        <w:rPr>
          <w:rFonts w:ascii="Times New Roman" w:hAnsi="Times New Roman" w:cs="Times New Roman"/>
        </w:rPr>
      </w:pPr>
      <w:r w:rsidRPr="00B20327">
        <w:rPr>
          <w:rFonts w:ascii="Times New Roman" w:hAnsi="Times New Roman" w:cs="Times New Roman"/>
        </w:rPr>
        <w:t xml:space="preserve">Formüllerdeki </w:t>
      </w:r>
      <w:proofErr w:type="spellStart"/>
      <w:r w:rsidRPr="00B20327">
        <w:rPr>
          <w:rFonts w:ascii="Times New Roman" w:hAnsi="Times New Roman" w:cs="Times New Roman"/>
        </w:rPr>
        <w:t>y</w:t>
      </w:r>
      <w:r w:rsidRPr="00B20327">
        <w:rPr>
          <w:rFonts w:ascii="Times New Roman" w:hAnsi="Times New Roman" w:cs="Times New Roman"/>
          <w:vertAlign w:val="subscript"/>
        </w:rPr>
        <w:t>t</w:t>
      </w:r>
      <w:proofErr w:type="spellEnd"/>
      <w:r w:rsidRPr="00B20327">
        <w:rPr>
          <w:rFonts w:ascii="Times New Roman" w:hAnsi="Times New Roman" w:cs="Times New Roman"/>
        </w:rPr>
        <w:t xml:space="preserve"> değişkeni, birim kökün varlığını test etmektedir. Son denklemdeki </w:t>
      </w:r>
      <w:proofErr w:type="spellStart"/>
      <w:r w:rsidRPr="00B20327">
        <w:rPr>
          <w:rFonts w:ascii="Times New Roman" w:hAnsi="Times New Roman" w:cs="Times New Roman"/>
        </w:rPr>
        <w:t>deterministik</w:t>
      </w:r>
      <w:proofErr w:type="spellEnd"/>
      <w:r w:rsidRPr="00B20327">
        <w:rPr>
          <w:rFonts w:ascii="Times New Roman" w:hAnsi="Times New Roman" w:cs="Times New Roman"/>
        </w:rPr>
        <w:t xml:space="preserve"> trendin varlığını ifade etmektedir. Modele ayrıca gecikmeli fark terimleri ilave edilmesi ile hata teriminin </w:t>
      </w:r>
      <w:proofErr w:type="spellStart"/>
      <w:r w:rsidRPr="00B20327">
        <w:rPr>
          <w:rFonts w:ascii="Times New Roman" w:hAnsi="Times New Roman" w:cs="Times New Roman"/>
        </w:rPr>
        <w:t>otokorelasyonlu</w:t>
      </w:r>
      <w:proofErr w:type="spellEnd"/>
      <w:r w:rsidRPr="00B20327">
        <w:rPr>
          <w:rFonts w:ascii="Times New Roman" w:hAnsi="Times New Roman" w:cs="Times New Roman"/>
        </w:rPr>
        <w:t xml:space="preserve"> olması durumu da ortadan kaldırılmıştır. Son formüldeki </w:t>
      </w:r>
      <w:proofErr w:type="spellStart"/>
      <w:r w:rsidRPr="00B20327">
        <w:rPr>
          <w:rFonts w:ascii="Times New Roman" w:hAnsi="Times New Roman" w:cs="Times New Roman"/>
        </w:rPr>
        <w:t>y</w:t>
      </w:r>
      <w:r w:rsidRPr="00B20327">
        <w:rPr>
          <w:rFonts w:ascii="Times New Roman" w:hAnsi="Times New Roman" w:cs="Times New Roman"/>
          <w:vertAlign w:val="subscript"/>
        </w:rPr>
        <w:t>t</w:t>
      </w:r>
      <w:proofErr w:type="spellEnd"/>
      <w:r w:rsidRPr="00B20327">
        <w:rPr>
          <w:rFonts w:ascii="Times New Roman" w:hAnsi="Times New Roman" w:cs="Times New Roman"/>
        </w:rPr>
        <w:t xml:space="preserve"> değişkeni trendin durağan halde bulunduğu alternatifine karşı birim kökün bulunduğu temel hipotezi analiz etmektedir. İlk iki denklemdeki ise </w:t>
      </w:r>
      <w:proofErr w:type="spellStart"/>
      <w:r w:rsidRPr="00B20327">
        <w:rPr>
          <w:rFonts w:ascii="Times New Roman" w:hAnsi="Times New Roman" w:cs="Times New Roman"/>
        </w:rPr>
        <w:t>y</w:t>
      </w:r>
      <w:r w:rsidRPr="00B20327">
        <w:rPr>
          <w:rFonts w:ascii="Times New Roman" w:hAnsi="Times New Roman" w:cs="Times New Roman"/>
          <w:vertAlign w:val="subscript"/>
        </w:rPr>
        <w:t>t</w:t>
      </w:r>
      <w:proofErr w:type="spellEnd"/>
      <w:r w:rsidRPr="00B20327">
        <w:rPr>
          <w:rFonts w:ascii="Times New Roman" w:hAnsi="Times New Roman" w:cs="Times New Roman"/>
        </w:rPr>
        <w:t xml:space="preserve"> değişkeninin ortalama etrafında durağan olmasına karşı birim kökün bulunduğu temel hipotezi incelemektedir. Bu varsayımların altında kullanılacak hipotezler aşağıdaki gibidir;</w:t>
      </w:r>
    </w:p>
    <w:p w14:paraId="72AF92F4" w14:textId="77777777" w:rsidR="00A91E76" w:rsidRPr="00B20327" w:rsidRDefault="00A91E76" w:rsidP="00B20327">
      <w:pPr>
        <w:spacing w:line="276" w:lineRule="auto"/>
        <w:ind w:firstLine="567"/>
        <w:rPr>
          <w:rFonts w:ascii="Times New Roman" w:hAnsi="Times New Roman" w:cs="Times New Roman"/>
        </w:rPr>
      </w:pPr>
    </w:p>
    <w:p w14:paraId="54A5A110" w14:textId="17D49694" w:rsidR="00A91E76" w:rsidRPr="00B20327" w:rsidRDefault="00863205" w:rsidP="00B20327">
      <w:pPr>
        <w:spacing w:line="276" w:lineRule="auto"/>
        <w:ind w:left="2268"/>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 xml:space="preserve">:φ=0 ve </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1</m:t>
            </m:r>
          </m:sub>
        </m:sSub>
        <m:r>
          <w:rPr>
            <w:rFonts w:ascii="Cambria Math" w:hAnsi="Cambria Math" w:cs="Times New Roman"/>
          </w:rPr>
          <m:t xml:space="preserve">:φ&lt;0 </m:t>
        </m:r>
      </m:oMath>
      <w:r w:rsidR="00A91E76" w:rsidRPr="00B20327">
        <w:rPr>
          <w:rFonts w:ascii="Times New Roman" w:eastAsiaTheme="minorEastAsia" w:hAnsi="Times New Roman" w:cs="Times New Roman"/>
        </w:rPr>
        <w:tab/>
      </w:r>
      <w:r w:rsidR="00A91E76" w:rsidRPr="00B20327">
        <w:rPr>
          <w:rFonts w:ascii="Times New Roman" w:eastAsiaTheme="minorEastAsia" w:hAnsi="Times New Roman" w:cs="Times New Roman"/>
        </w:rPr>
        <w:tab/>
      </w:r>
      <w:r w:rsidR="00A91E76" w:rsidRPr="00B20327">
        <w:rPr>
          <w:rFonts w:ascii="Times New Roman" w:eastAsiaTheme="minorEastAsia" w:hAnsi="Times New Roman" w:cs="Times New Roman"/>
        </w:rPr>
        <w:tab/>
      </w:r>
      <w:r w:rsidR="00A91E76" w:rsidRPr="00B20327">
        <w:rPr>
          <w:rFonts w:ascii="Times New Roman" w:eastAsiaTheme="minorEastAsia" w:hAnsi="Times New Roman" w:cs="Times New Roman"/>
        </w:rPr>
        <w:tab/>
      </w:r>
      <w:r w:rsidR="00A91E76" w:rsidRPr="00B20327">
        <w:rPr>
          <w:rFonts w:ascii="Times New Roman" w:eastAsiaTheme="minorEastAsia" w:hAnsi="Times New Roman" w:cs="Times New Roman"/>
        </w:rPr>
        <w:tab/>
      </w:r>
      <w:r w:rsidR="00A91E76" w:rsidRPr="00B20327">
        <w:rPr>
          <w:rFonts w:ascii="Times New Roman" w:eastAsiaTheme="minorEastAsia" w:hAnsi="Times New Roman" w:cs="Times New Roman"/>
        </w:rPr>
        <w:tab/>
        <w:t>(</w:t>
      </w:r>
      <w:r w:rsidR="00117B94">
        <w:rPr>
          <w:rFonts w:ascii="Times New Roman" w:eastAsiaTheme="minorEastAsia" w:hAnsi="Times New Roman" w:cs="Times New Roman"/>
        </w:rPr>
        <w:t>4</w:t>
      </w:r>
      <w:r w:rsidR="00A91E76" w:rsidRPr="00B20327">
        <w:rPr>
          <w:rFonts w:ascii="Times New Roman" w:eastAsiaTheme="minorEastAsia" w:hAnsi="Times New Roman" w:cs="Times New Roman"/>
        </w:rPr>
        <w:t>)</w:t>
      </w:r>
    </w:p>
    <w:p w14:paraId="7120B78E" w14:textId="77777777" w:rsidR="00A91E76" w:rsidRPr="00B20327" w:rsidRDefault="00A91E76" w:rsidP="00B20327">
      <w:pPr>
        <w:spacing w:line="276" w:lineRule="auto"/>
        <w:ind w:left="2268"/>
        <w:rPr>
          <w:rFonts w:ascii="Times New Roman" w:eastAsiaTheme="minorEastAsia" w:hAnsi="Times New Roman" w:cs="Times New Roman"/>
        </w:rPr>
      </w:pPr>
    </w:p>
    <w:p w14:paraId="247234F1" w14:textId="77777777" w:rsidR="005F5D3F" w:rsidRPr="00B20327" w:rsidRDefault="00A91E76" w:rsidP="00B20327">
      <w:pPr>
        <w:spacing w:line="276" w:lineRule="auto"/>
        <w:jc w:val="both"/>
        <w:rPr>
          <w:rFonts w:ascii="Times New Roman" w:hAnsi="Times New Roman" w:cs="Times New Roman"/>
        </w:rPr>
      </w:pPr>
      <m:oMath>
        <m:r>
          <w:rPr>
            <w:rFonts w:ascii="Cambria Math" w:hAnsi="Cambria Math" w:cs="Times New Roman"/>
          </w:rPr>
          <m:t>φ</m:t>
        </m:r>
      </m:oMath>
      <w:r w:rsidRPr="00B20327">
        <w:rPr>
          <w:rFonts w:ascii="Times New Roman" w:hAnsi="Times New Roman" w:cs="Times New Roman"/>
        </w:rPr>
        <w:t xml:space="preserve"> </w:t>
      </w:r>
      <w:proofErr w:type="gramStart"/>
      <w:r w:rsidRPr="00B20327">
        <w:rPr>
          <w:rFonts w:ascii="Times New Roman" w:hAnsi="Times New Roman" w:cs="Times New Roman"/>
        </w:rPr>
        <w:t>değeri</w:t>
      </w:r>
      <w:proofErr w:type="gramEnd"/>
      <w:r w:rsidRPr="00B20327">
        <w:rPr>
          <w:rFonts w:ascii="Times New Roman" w:hAnsi="Times New Roman" w:cs="Times New Roman"/>
        </w:rPr>
        <w:t xml:space="preserve"> sıfır</w:t>
      </w:r>
      <w:r w:rsidR="005F5D3F" w:rsidRPr="00B20327">
        <w:rPr>
          <w:rFonts w:ascii="Times New Roman" w:hAnsi="Times New Roman" w:cs="Times New Roman"/>
        </w:rPr>
        <w:t xml:space="preserve">a eşit olduğu durumda </w:t>
      </w:r>
      <w:r w:rsidRPr="00B20327">
        <w:rPr>
          <w:rFonts w:ascii="Times New Roman" w:hAnsi="Times New Roman" w:cs="Times New Roman"/>
        </w:rPr>
        <w:t xml:space="preserve">birim kök temel hipotezi reddedilememektedir. </w:t>
      </w:r>
    </w:p>
    <w:p w14:paraId="0F2EAD23" w14:textId="5AB31D27" w:rsidR="00A91E76" w:rsidRPr="00B20327" w:rsidRDefault="00A91E76" w:rsidP="00B20327">
      <w:pPr>
        <w:spacing w:line="276" w:lineRule="auto"/>
        <w:jc w:val="both"/>
        <w:rPr>
          <w:rFonts w:ascii="Times New Roman" w:hAnsi="Times New Roman" w:cs="Times New Roman"/>
        </w:rPr>
      </w:pPr>
      <m:oMath>
        <m:r>
          <w:rPr>
            <w:rFonts w:ascii="Cambria Math" w:hAnsi="Cambria Math" w:cs="Times New Roman"/>
          </w:rPr>
          <m:t xml:space="preserve">φ&lt;0 </m:t>
        </m:r>
      </m:oMath>
      <w:proofErr w:type="gramStart"/>
      <w:r w:rsidRPr="00B20327">
        <w:rPr>
          <w:rFonts w:ascii="Times New Roman" w:hAnsi="Times New Roman" w:cs="Times New Roman"/>
        </w:rPr>
        <w:t>durumundaysa</w:t>
      </w:r>
      <w:proofErr w:type="gramEnd"/>
      <w:r w:rsidRPr="00B20327">
        <w:rPr>
          <w:rFonts w:ascii="Times New Roman" w:hAnsi="Times New Roman" w:cs="Times New Roman"/>
        </w:rPr>
        <w:t xml:space="preserve"> alternatif hipotez kabul edilecektir.  </w:t>
      </w:r>
    </w:p>
    <w:p w14:paraId="0CB4D695" w14:textId="77777777" w:rsidR="00A91E76" w:rsidRPr="00B20327" w:rsidRDefault="00A91E76" w:rsidP="00B20327">
      <w:pPr>
        <w:spacing w:line="276" w:lineRule="auto"/>
        <w:rPr>
          <w:rFonts w:ascii="Times New Roman" w:hAnsi="Times New Roman" w:cs="Times New Roman"/>
        </w:rPr>
      </w:pPr>
      <w:r w:rsidRPr="00B20327">
        <w:rPr>
          <w:rFonts w:ascii="Times New Roman" w:hAnsi="Times New Roman" w:cs="Times New Roman"/>
        </w:rPr>
        <w:t>Değişkenler arasındaki uzun dönemli ilişkinin varlığını test etmeden önce serilerin durağanlık seviyelerinin elde etmek gerekmektedir. Ele alınan değişkenlere ait ADF birim kök testi ile elde edilen bulgular Tablo 2’deki gibi ifade edilmektedir.</w:t>
      </w:r>
    </w:p>
    <w:p w14:paraId="67D1ED1E" w14:textId="2D152F28" w:rsidR="00A91E76" w:rsidRDefault="00A91E76" w:rsidP="00B20327">
      <w:pPr>
        <w:spacing w:line="276" w:lineRule="auto"/>
        <w:rPr>
          <w:rFonts w:ascii="Times New Roman" w:hAnsi="Times New Roman" w:cs="Times New Roman"/>
          <w:color w:val="000000"/>
          <w:sz w:val="20"/>
          <w:szCs w:val="20"/>
        </w:rPr>
      </w:pPr>
      <w:r w:rsidRPr="00A644B9">
        <w:rPr>
          <w:rFonts w:ascii="Times New Roman" w:hAnsi="Times New Roman" w:cs="Times New Roman"/>
          <w:b/>
          <w:bCs/>
          <w:color w:val="000000"/>
          <w:sz w:val="20"/>
          <w:szCs w:val="20"/>
        </w:rPr>
        <w:t xml:space="preserve">Tablo </w:t>
      </w:r>
      <w:proofErr w:type="gramStart"/>
      <w:r>
        <w:rPr>
          <w:rFonts w:ascii="Times New Roman" w:hAnsi="Times New Roman" w:cs="Times New Roman"/>
          <w:b/>
          <w:bCs/>
          <w:color w:val="000000"/>
          <w:sz w:val="20"/>
          <w:szCs w:val="20"/>
        </w:rPr>
        <w:t>2</w:t>
      </w:r>
      <w:r w:rsidRPr="00A644B9">
        <w:rPr>
          <w:rFonts w:ascii="Times New Roman" w:hAnsi="Times New Roman" w:cs="Times New Roman"/>
          <w:b/>
          <w:bCs/>
          <w:color w:val="000000"/>
          <w:sz w:val="20"/>
          <w:szCs w:val="20"/>
        </w:rPr>
        <w:t>. :</w:t>
      </w:r>
      <w:proofErr w:type="gramEnd"/>
      <w:r w:rsidRPr="00A644B9">
        <w:rPr>
          <w:rFonts w:ascii="Times New Roman" w:hAnsi="Times New Roman" w:cs="Times New Roman"/>
          <w:b/>
          <w:bCs/>
          <w:color w:val="000000"/>
          <w:sz w:val="20"/>
          <w:szCs w:val="20"/>
        </w:rPr>
        <w:t xml:space="preserve"> </w:t>
      </w:r>
      <w:r w:rsidRPr="00A644B9">
        <w:rPr>
          <w:rFonts w:ascii="Times New Roman" w:hAnsi="Times New Roman" w:cs="Times New Roman"/>
          <w:color w:val="000000"/>
          <w:sz w:val="20"/>
          <w:szCs w:val="20"/>
        </w:rPr>
        <w:t>ADF Birim Kök Test Sonuçları</w:t>
      </w:r>
    </w:p>
    <w:p w14:paraId="7B827B66" w14:textId="77777777" w:rsidR="00A91E76" w:rsidRDefault="00A91E76" w:rsidP="00B20327">
      <w:pPr>
        <w:spacing w:line="276" w:lineRule="auto"/>
        <w:rPr>
          <w:rFonts w:ascii="Times New Roman" w:hAnsi="Times New Roman" w:cs="Times New Roman"/>
          <w:color w:val="000000"/>
          <w:sz w:val="20"/>
          <w:szCs w:val="20"/>
        </w:rPr>
      </w:pPr>
    </w:p>
    <w:p w14:paraId="57C500A6" w14:textId="77777777" w:rsidR="00A91E76" w:rsidRDefault="00A91E76" w:rsidP="00B20327">
      <w:pPr>
        <w:spacing w:line="276" w:lineRule="auto"/>
        <w:rPr>
          <w:rFonts w:ascii="Times New Roman" w:hAnsi="Times New Roman" w:cs="Times New Roman"/>
          <w:color w:val="000000"/>
          <w:sz w:val="20"/>
          <w:szCs w:val="20"/>
        </w:rPr>
      </w:pPr>
      <w:r w:rsidRPr="00393021">
        <w:rPr>
          <w:rFonts w:ascii="Times New Roman" w:hAnsi="Times New Roman" w:cs="Times New Roman"/>
          <w:noProof/>
          <w:color w:val="000000"/>
          <w:sz w:val="20"/>
          <w:szCs w:val="20"/>
        </w:rPr>
        <w:drawing>
          <wp:anchor distT="0" distB="0" distL="114300" distR="114300" simplePos="0" relativeHeight="251664384" behindDoc="0" locked="0" layoutInCell="1" allowOverlap="1" wp14:anchorId="6848DE8F" wp14:editId="522AC5D8">
            <wp:simplePos x="0" y="0"/>
            <wp:positionH relativeFrom="margin">
              <wp:posOffset>2935605</wp:posOffset>
            </wp:positionH>
            <wp:positionV relativeFrom="paragraph">
              <wp:posOffset>5503</wp:posOffset>
            </wp:positionV>
            <wp:extent cx="2881630" cy="2878667"/>
            <wp:effectExtent l="0" t="0" r="1270" b="4445"/>
            <wp:wrapNone/>
            <wp:docPr id="1" name="Resim 15" descr="tablo içeren bir resim&#10;&#10;Açıklama otomatik olarak oluşturuldu">
              <a:extLst xmlns:a="http://schemas.openxmlformats.org/drawingml/2006/main">
                <a:ext uri="{FF2B5EF4-FFF2-40B4-BE49-F238E27FC236}">
                  <a16:creationId xmlns:a16="http://schemas.microsoft.com/office/drawing/2014/main" id="{19F912C4-23CC-4F1F-A7BB-7187B7018C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5" descr="tablo içeren bir resim&#10;&#10;Açıklama otomatik olarak oluşturuldu">
                      <a:extLst>
                        <a:ext uri="{FF2B5EF4-FFF2-40B4-BE49-F238E27FC236}">
                          <a16:creationId xmlns:a16="http://schemas.microsoft.com/office/drawing/2014/main" id="{19F912C4-23CC-4F1F-A7BB-7187B7018CA1}"/>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89264" cy="2886294"/>
                    </a:xfrm>
                    <a:prstGeom prst="rect">
                      <a:avLst/>
                    </a:prstGeom>
                  </pic:spPr>
                </pic:pic>
              </a:graphicData>
            </a:graphic>
            <wp14:sizeRelH relativeFrom="margin">
              <wp14:pctWidth>0</wp14:pctWidth>
            </wp14:sizeRelH>
            <wp14:sizeRelV relativeFrom="margin">
              <wp14:pctHeight>0</wp14:pctHeight>
            </wp14:sizeRelV>
          </wp:anchor>
        </w:drawing>
      </w:r>
      <w:r w:rsidRPr="00393021">
        <w:rPr>
          <w:rFonts w:ascii="Times New Roman" w:hAnsi="Times New Roman" w:cs="Times New Roman"/>
          <w:b/>
          <w:noProof/>
          <w:sz w:val="24"/>
          <w:szCs w:val="24"/>
        </w:rPr>
        <w:drawing>
          <wp:inline distT="0" distB="0" distL="0" distR="0" wp14:anchorId="5DF73C86" wp14:editId="3FB21B01">
            <wp:extent cx="2752445" cy="2886921"/>
            <wp:effectExtent l="0" t="0" r="3810" b="0"/>
            <wp:docPr id="3" name="Resim 2" descr="tablo içeren bir resim&#10;&#10;Açıklama otomatik olarak oluşturuldu">
              <a:extLst xmlns:a="http://schemas.openxmlformats.org/drawingml/2006/main">
                <a:ext uri="{FF2B5EF4-FFF2-40B4-BE49-F238E27FC236}">
                  <a16:creationId xmlns:a16="http://schemas.microsoft.com/office/drawing/2014/main" id="{CF037187-F157-4EDD-95CD-C9B23D1886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tablo içeren bir resim&#10;&#10;Açıklama otomatik olarak oluşturuldu">
                      <a:extLst>
                        <a:ext uri="{FF2B5EF4-FFF2-40B4-BE49-F238E27FC236}">
                          <a16:creationId xmlns:a16="http://schemas.microsoft.com/office/drawing/2014/main" id="{CF037187-F157-4EDD-95CD-C9B23D188619}"/>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791414" cy="2927794"/>
                    </a:xfrm>
                    <a:prstGeom prst="rect">
                      <a:avLst/>
                    </a:prstGeom>
                  </pic:spPr>
                </pic:pic>
              </a:graphicData>
            </a:graphic>
          </wp:inline>
        </w:drawing>
      </w:r>
    </w:p>
    <w:p w14:paraId="6CD36651" w14:textId="77777777" w:rsidR="00A91E76" w:rsidRDefault="00A91E76" w:rsidP="00B20327">
      <w:pPr>
        <w:spacing w:line="276" w:lineRule="auto"/>
        <w:rPr>
          <w:rFonts w:ascii="Times New Roman" w:hAnsi="Times New Roman" w:cs="Times New Roman"/>
          <w:b/>
          <w:sz w:val="24"/>
          <w:szCs w:val="24"/>
        </w:rPr>
      </w:pPr>
    </w:p>
    <w:p w14:paraId="0509257E" w14:textId="77777777" w:rsidR="00A91E76" w:rsidRDefault="00A91E76" w:rsidP="00B20327">
      <w:pPr>
        <w:spacing w:line="276" w:lineRule="auto"/>
        <w:rPr>
          <w:rFonts w:ascii="Times New Roman" w:hAnsi="Times New Roman" w:cs="Times New Roman"/>
          <w:b/>
          <w:sz w:val="24"/>
          <w:szCs w:val="24"/>
        </w:rPr>
      </w:pPr>
      <w:r w:rsidRPr="00393021">
        <w:rPr>
          <w:rFonts w:ascii="Times New Roman" w:hAnsi="Times New Roman" w:cs="Times New Roman"/>
          <w:noProof/>
          <w:color w:val="000000"/>
          <w:sz w:val="20"/>
          <w:szCs w:val="20"/>
        </w:rPr>
        <w:drawing>
          <wp:anchor distT="0" distB="0" distL="114300" distR="114300" simplePos="0" relativeHeight="251665408" behindDoc="0" locked="0" layoutInCell="1" allowOverlap="1" wp14:anchorId="703EFF29" wp14:editId="5E5A76D8">
            <wp:simplePos x="0" y="0"/>
            <wp:positionH relativeFrom="margin">
              <wp:posOffset>2961005</wp:posOffset>
            </wp:positionH>
            <wp:positionV relativeFrom="paragraph">
              <wp:posOffset>6138</wp:posOffset>
            </wp:positionV>
            <wp:extent cx="2885440" cy="2743200"/>
            <wp:effectExtent l="0" t="0" r="0" b="0"/>
            <wp:wrapNone/>
            <wp:docPr id="8" name="Resim 17" descr="tablo içeren bir resim&#10;&#10;Açıklama otomatik olarak oluşturuldu">
              <a:extLst xmlns:a="http://schemas.openxmlformats.org/drawingml/2006/main">
                <a:ext uri="{FF2B5EF4-FFF2-40B4-BE49-F238E27FC236}">
                  <a16:creationId xmlns:a16="http://schemas.microsoft.com/office/drawing/2014/main" id="{2B99BB7A-1A19-44DC-A9CF-D9BBD8C1CC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im 17" descr="tablo içeren bir resim&#10;&#10;Açıklama otomatik olarak oluşturuldu">
                      <a:extLst>
                        <a:ext uri="{FF2B5EF4-FFF2-40B4-BE49-F238E27FC236}">
                          <a16:creationId xmlns:a16="http://schemas.microsoft.com/office/drawing/2014/main" id="{2B99BB7A-1A19-44DC-A9CF-D9BBD8C1CCA8}"/>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897567" cy="2754729"/>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BEEC7D5" wp14:editId="2CC9C459">
            <wp:extent cx="2813050" cy="2751666"/>
            <wp:effectExtent l="0" t="0" r="0" b="4445"/>
            <wp:docPr id="5" name="Resim 4" descr="tablo içeren bir resim&#10;&#10;Açıklama otomatik olarak oluşturuldu">
              <a:extLst xmlns:a="http://schemas.openxmlformats.org/drawingml/2006/main">
                <a:ext uri="{FF2B5EF4-FFF2-40B4-BE49-F238E27FC236}">
                  <a16:creationId xmlns:a16="http://schemas.microsoft.com/office/drawing/2014/main" id="{86288D30-C324-4150-B284-CCE9191D10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4" descr="tablo içeren bir resim&#10;&#10;Açıklama otomatik olarak oluşturuldu">
                      <a:extLst>
                        <a:ext uri="{FF2B5EF4-FFF2-40B4-BE49-F238E27FC236}">
                          <a16:creationId xmlns:a16="http://schemas.microsoft.com/office/drawing/2014/main" id="{86288D30-C324-4150-B284-CCE9191D101E}"/>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856708" cy="2794371"/>
                    </a:xfrm>
                    <a:prstGeom prst="rect">
                      <a:avLst/>
                    </a:prstGeom>
                  </pic:spPr>
                </pic:pic>
              </a:graphicData>
            </a:graphic>
          </wp:inline>
        </w:drawing>
      </w:r>
    </w:p>
    <w:p w14:paraId="77433EDD" w14:textId="1413F11C" w:rsidR="00A91E76" w:rsidRPr="00B20327" w:rsidRDefault="00621405" w:rsidP="00B20327">
      <w:pPr>
        <w:spacing w:line="276" w:lineRule="auto"/>
        <w:jc w:val="both"/>
        <w:rPr>
          <w:rFonts w:ascii="Times New Roman" w:hAnsi="Times New Roman" w:cs="Times New Roman"/>
        </w:rPr>
      </w:pPr>
      <w:r w:rsidRPr="00B20327">
        <w:rPr>
          <w:rFonts w:ascii="Times New Roman" w:hAnsi="Times New Roman" w:cs="Times New Roman"/>
          <w:b/>
        </w:rPr>
        <w:lastRenderedPageBreak/>
        <w:t>NOT</w:t>
      </w:r>
      <w:r w:rsidR="00A91E76" w:rsidRPr="00B20327">
        <w:rPr>
          <w:rFonts w:ascii="Times New Roman" w:hAnsi="Times New Roman" w:cs="Times New Roman"/>
          <w:b/>
        </w:rPr>
        <w:t>:</w:t>
      </w:r>
      <w:r w:rsidR="00A91E76" w:rsidRPr="00B20327">
        <w:rPr>
          <w:rFonts w:ascii="Times New Roman" w:hAnsi="Times New Roman" w:cs="Times New Roman"/>
        </w:rPr>
        <w:t xml:space="preserve"> *, **, *** sırasıyla %1, %5 ve %10 anlamlılık düzeylerinde H</w:t>
      </w:r>
      <w:r w:rsidR="00A91E76" w:rsidRPr="00B20327">
        <w:rPr>
          <w:rFonts w:ascii="Times New Roman" w:hAnsi="Times New Roman" w:cs="Times New Roman"/>
          <w:vertAlign w:val="subscript"/>
        </w:rPr>
        <w:t>0</w:t>
      </w:r>
      <w:r w:rsidR="00A91E76" w:rsidRPr="00B20327">
        <w:rPr>
          <w:rFonts w:ascii="Times New Roman" w:hAnsi="Times New Roman" w:cs="Times New Roman"/>
        </w:rPr>
        <w:t xml:space="preserve"> hipotezinin reddedileceğini belirtmektedir.</w:t>
      </w:r>
    </w:p>
    <w:p w14:paraId="5DF1A0A3" w14:textId="77777777" w:rsidR="00A91E76" w:rsidRPr="00B20327" w:rsidRDefault="00A91E76" w:rsidP="00B20327">
      <w:pPr>
        <w:spacing w:line="276" w:lineRule="auto"/>
        <w:rPr>
          <w:rFonts w:ascii="Times New Roman" w:hAnsi="Times New Roman" w:cs="Times New Roman"/>
        </w:rPr>
      </w:pPr>
      <w:r w:rsidRPr="00B20327">
        <w:rPr>
          <w:rFonts w:ascii="Times New Roman" w:hAnsi="Times New Roman" w:cs="Times New Roman"/>
        </w:rPr>
        <w:t xml:space="preserve">Tablo 2. incelendiğinde analiz kapsamında ele alınan değişkenlerin hepsinin düzey değerinde durağan hale geldiği görülmektedir. </w:t>
      </w:r>
    </w:p>
    <w:p w14:paraId="19AC8374" w14:textId="77777777" w:rsidR="00A91E76" w:rsidRPr="00B20327" w:rsidRDefault="00A91E76" w:rsidP="00B20327">
      <w:pPr>
        <w:spacing w:line="276" w:lineRule="auto"/>
        <w:rPr>
          <w:rFonts w:ascii="Times New Roman" w:hAnsi="Times New Roman" w:cs="Times New Roman"/>
        </w:rPr>
      </w:pPr>
      <w:proofErr w:type="spellStart"/>
      <w:r w:rsidRPr="00B20327">
        <w:rPr>
          <w:rFonts w:ascii="Times New Roman" w:hAnsi="Times New Roman" w:cs="Times New Roman"/>
        </w:rPr>
        <w:t>Eşbütünleşme</w:t>
      </w:r>
      <w:proofErr w:type="spellEnd"/>
      <w:r w:rsidRPr="00B20327">
        <w:rPr>
          <w:rFonts w:ascii="Times New Roman" w:hAnsi="Times New Roman" w:cs="Times New Roman"/>
        </w:rPr>
        <w:t xml:space="preserve"> analizi durağan olmayan serilerde bile uzun dönemde bir ilişkinin bulunup bulunmayacağını, eğer uzun dönemde bir ilişki varsa bu ilişkilerin durağan olabileceklerini ifade etmektedir. Böylece eğer seriler arasında bir durağanlık ilişkisi bulunuyorsa, serilerin uzun dönemde beraber hareket edebileceği ve bir denge oluşturabileceği teorisi </w:t>
      </w:r>
      <w:proofErr w:type="spellStart"/>
      <w:r w:rsidRPr="00B20327">
        <w:rPr>
          <w:rFonts w:ascii="Times New Roman" w:hAnsi="Times New Roman" w:cs="Times New Roman"/>
        </w:rPr>
        <w:t>eşbütünleşme</w:t>
      </w:r>
      <w:proofErr w:type="spellEnd"/>
      <w:r w:rsidRPr="00B20327">
        <w:rPr>
          <w:rFonts w:ascii="Times New Roman" w:hAnsi="Times New Roman" w:cs="Times New Roman"/>
        </w:rPr>
        <w:t xml:space="preserve"> analizi yardımıyla test edilmektedir. Seriler arasında bir </w:t>
      </w:r>
      <w:proofErr w:type="spellStart"/>
      <w:r w:rsidRPr="00B20327">
        <w:rPr>
          <w:rFonts w:ascii="Times New Roman" w:hAnsi="Times New Roman" w:cs="Times New Roman"/>
        </w:rPr>
        <w:t>eşbütünleşme</w:t>
      </w:r>
      <w:proofErr w:type="spellEnd"/>
      <w:r w:rsidRPr="00B20327">
        <w:rPr>
          <w:rFonts w:ascii="Times New Roman" w:hAnsi="Times New Roman" w:cs="Times New Roman"/>
        </w:rPr>
        <w:t xml:space="preserve"> ilişkisinin bulunması serilerin kendine özgü dinamiklerinin etkisinde değil ortak bir trendin etkisinde kaldıklarını belirtmektedir. Bu seriler ortak trendin etkisindeyseler oluşturulan regresyon sahte olmayıp anlamlı olacaktır.</w:t>
      </w:r>
    </w:p>
    <w:p w14:paraId="0A3BC4BF" w14:textId="77777777" w:rsidR="00A91E76" w:rsidRPr="00B20327" w:rsidRDefault="00A91E76" w:rsidP="00B20327">
      <w:pPr>
        <w:spacing w:line="276" w:lineRule="auto"/>
        <w:rPr>
          <w:rFonts w:ascii="Times New Roman" w:hAnsi="Times New Roman" w:cs="Times New Roman"/>
        </w:rPr>
      </w:pPr>
      <w:proofErr w:type="spellStart"/>
      <w:r w:rsidRPr="00B20327">
        <w:rPr>
          <w:rFonts w:ascii="Times New Roman" w:hAnsi="Times New Roman" w:cs="Times New Roman"/>
        </w:rPr>
        <w:t>Johansen</w:t>
      </w:r>
      <w:proofErr w:type="spellEnd"/>
      <w:r w:rsidRPr="00B20327">
        <w:rPr>
          <w:rFonts w:ascii="Times New Roman" w:hAnsi="Times New Roman" w:cs="Times New Roman"/>
        </w:rPr>
        <w:t xml:space="preserve"> </w:t>
      </w:r>
      <w:proofErr w:type="spellStart"/>
      <w:r w:rsidRPr="00B20327">
        <w:rPr>
          <w:rFonts w:ascii="Times New Roman" w:hAnsi="Times New Roman" w:cs="Times New Roman"/>
        </w:rPr>
        <w:t>eşbütünleşme</w:t>
      </w:r>
      <w:proofErr w:type="spellEnd"/>
      <w:r w:rsidRPr="00B20327">
        <w:rPr>
          <w:rFonts w:ascii="Times New Roman" w:hAnsi="Times New Roman" w:cs="Times New Roman"/>
        </w:rPr>
        <w:t xml:space="preserve"> testi durağan olmayan serilerin fark değerleri ve düzey değerlerini içeren VAR modelinin çözümü ile yapılmaktadır. Aşağıda bu VAR modeli gösterilmiştir (</w:t>
      </w:r>
      <w:proofErr w:type="spellStart"/>
      <w:r w:rsidRPr="00B20327">
        <w:rPr>
          <w:rFonts w:ascii="Times New Roman" w:hAnsi="Times New Roman" w:cs="Times New Roman"/>
        </w:rPr>
        <w:t>Sevüktekin</w:t>
      </w:r>
      <w:proofErr w:type="spellEnd"/>
      <w:r w:rsidRPr="00B20327">
        <w:rPr>
          <w:rFonts w:ascii="Times New Roman" w:hAnsi="Times New Roman" w:cs="Times New Roman"/>
        </w:rPr>
        <w:t xml:space="preserve"> ve Çınar, 2017: 581):</w:t>
      </w:r>
    </w:p>
    <w:p w14:paraId="31F7916E" w14:textId="673941F3" w:rsidR="00A91E76" w:rsidRPr="00B20327" w:rsidRDefault="00863205" w:rsidP="00B20327">
      <w:pPr>
        <w:spacing w:line="276" w:lineRule="auto"/>
        <w:ind w:left="1701"/>
        <w:rPr>
          <w:rFonts w:ascii="Times New Roman" w:eastAsiaTheme="minorEastAsia" w:hAnsi="Times New Roman" w:cs="Times New Roman"/>
          <w:bCs/>
        </w:rPr>
      </w:pPr>
      <m:oMath>
        <m:sSub>
          <m:sSubPr>
            <m:ctrlPr>
              <w:rPr>
                <w:rFonts w:ascii="Cambria Math" w:hAnsi="Cambria Math" w:cs="Times New Roman"/>
                <w:bCs/>
                <w:i/>
              </w:rPr>
            </m:ctrlPr>
          </m:sSubPr>
          <m:e>
            <m:r>
              <w:rPr>
                <w:rFonts w:ascii="Cambria Math" w:hAnsi="Cambria Math" w:cs="Times New Roman"/>
              </w:rPr>
              <m:t>∆X</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bCs/>
                <w:i/>
              </w:rPr>
            </m:ctrlPr>
          </m:sSubPr>
          <m:e>
            <m:r>
              <m:rPr>
                <m:sty m:val="p"/>
              </m:rPr>
              <w:rPr>
                <w:rFonts w:ascii="Cambria Math" w:hAnsi="Cambria Math" w:cs="Times New Roman"/>
              </w:rPr>
              <m:t>Γ</m:t>
            </m:r>
          </m:e>
          <m:sub>
            <m:r>
              <w:rPr>
                <w:rFonts w:ascii="Cambria Math" w:hAnsi="Cambria Math" w:cs="Times New Roman"/>
              </w:rPr>
              <m:t>1</m:t>
            </m:r>
          </m:sub>
        </m:sSub>
        <m:sSub>
          <m:sSubPr>
            <m:ctrlPr>
              <w:rPr>
                <w:rFonts w:ascii="Cambria Math" w:hAnsi="Cambria Math" w:cs="Times New Roman"/>
                <w:bCs/>
                <w:i/>
              </w:rPr>
            </m:ctrlPr>
          </m:sSubPr>
          <m:e>
            <m:r>
              <w:rPr>
                <w:rFonts w:ascii="Cambria Math" w:hAnsi="Cambria Math" w:cs="Times New Roman"/>
              </w:rPr>
              <m:t>∆X</m:t>
            </m:r>
          </m:e>
          <m:sub>
            <m:r>
              <w:rPr>
                <w:rFonts w:ascii="Cambria Math" w:hAnsi="Cambria Math" w:cs="Times New Roman"/>
              </w:rPr>
              <m:t>t-1</m:t>
            </m:r>
          </m:sub>
        </m:sSub>
        <m:r>
          <w:rPr>
            <w:rFonts w:ascii="Cambria Math" w:hAnsi="Cambria Math" w:cs="Times New Roman"/>
          </w:rPr>
          <m:t>+…+</m:t>
        </m:r>
        <m:sSub>
          <m:sSubPr>
            <m:ctrlPr>
              <w:rPr>
                <w:rFonts w:ascii="Cambria Math" w:hAnsi="Cambria Math" w:cs="Times New Roman"/>
                <w:bCs/>
                <w:i/>
              </w:rPr>
            </m:ctrlPr>
          </m:sSubPr>
          <m:e>
            <m:r>
              <m:rPr>
                <m:sty m:val="p"/>
              </m:rPr>
              <w:rPr>
                <w:rFonts w:ascii="Cambria Math" w:hAnsi="Cambria Math" w:cs="Times New Roman"/>
              </w:rPr>
              <m:t>Γ</m:t>
            </m:r>
          </m:e>
          <m:sub>
            <m:r>
              <w:rPr>
                <w:rFonts w:ascii="Cambria Math" w:hAnsi="Cambria Math" w:cs="Times New Roman"/>
              </w:rPr>
              <m:t>k-1</m:t>
            </m:r>
          </m:sub>
        </m:sSub>
        <m:sSub>
          <m:sSubPr>
            <m:ctrlPr>
              <w:rPr>
                <w:rFonts w:ascii="Cambria Math" w:hAnsi="Cambria Math" w:cs="Times New Roman"/>
                <w:bCs/>
                <w:i/>
              </w:rPr>
            </m:ctrlPr>
          </m:sSubPr>
          <m:e>
            <m:r>
              <w:rPr>
                <w:rFonts w:ascii="Cambria Math" w:hAnsi="Cambria Math" w:cs="Times New Roman"/>
              </w:rPr>
              <m:t>∆X</m:t>
            </m:r>
          </m:e>
          <m:sub>
            <m:r>
              <w:rPr>
                <w:rFonts w:ascii="Cambria Math" w:hAnsi="Cambria Math" w:cs="Times New Roman"/>
              </w:rPr>
              <m:t>t-k+1</m:t>
            </m:r>
          </m:sub>
        </m:sSub>
        <m:r>
          <w:rPr>
            <w:rFonts w:ascii="Cambria Math" w:hAnsi="Cambria Math" w:cs="Times New Roman"/>
          </w:rPr>
          <m:t>+</m:t>
        </m:r>
        <m:r>
          <m:rPr>
            <m:sty m:val="p"/>
          </m:rPr>
          <w:rPr>
            <w:rFonts w:ascii="Cambria Math" w:hAnsi="Cambria Math" w:cs="Times New Roman"/>
          </w:rPr>
          <m:t>Π</m:t>
        </m:r>
        <m:sSub>
          <m:sSubPr>
            <m:ctrlPr>
              <w:rPr>
                <w:rFonts w:ascii="Cambria Math" w:hAnsi="Cambria Math" w:cs="Times New Roman"/>
                <w:bCs/>
                <w:i/>
              </w:rPr>
            </m:ctrlPr>
          </m:sSubPr>
          <m:e>
            <m:r>
              <w:rPr>
                <w:rFonts w:ascii="Cambria Math" w:hAnsi="Cambria Math" w:cs="Times New Roman"/>
              </w:rPr>
              <m:t>∆X</m:t>
            </m:r>
          </m:e>
          <m:sub>
            <m:r>
              <w:rPr>
                <w:rFonts w:ascii="Cambria Math" w:hAnsi="Cambria Math" w:cs="Times New Roman"/>
              </w:rPr>
              <m:t>t-k</m:t>
            </m:r>
          </m:sub>
        </m:sSub>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ε</m:t>
            </m:r>
          </m:e>
          <m:sub>
            <m:r>
              <w:rPr>
                <w:rFonts w:ascii="Cambria Math" w:hAnsi="Cambria Math" w:cs="Times New Roman"/>
              </w:rPr>
              <m:t>t</m:t>
            </m:r>
          </m:sub>
        </m:sSub>
      </m:oMath>
      <w:r w:rsidR="00117B94">
        <w:rPr>
          <w:rFonts w:ascii="Times New Roman" w:eastAsiaTheme="minorEastAsia" w:hAnsi="Times New Roman" w:cs="Times New Roman"/>
          <w:bCs/>
        </w:rPr>
        <w:tab/>
      </w:r>
      <w:r w:rsidR="00117B94">
        <w:rPr>
          <w:rFonts w:ascii="Times New Roman" w:eastAsiaTheme="minorEastAsia" w:hAnsi="Times New Roman" w:cs="Times New Roman"/>
          <w:bCs/>
        </w:rPr>
        <w:tab/>
      </w:r>
      <w:r w:rsidR="00117B94">
        <w:rPr>
          <w:rFonts w:ascii="Times New Roman" w:eastAsiaTheme="minorEastAsia" w:hAnsi="Times New Roman" w:cs="Times New Roman"/>
          <w:bCs/>
        </w:rPr>
        <w:tab/>
        <w:t>(5)</w:t>
      </w:r>
      <w:r w:rsidR="00A91E76" w:rsidRPr="00B20327">
        <w:rPr>
          <w:rFonts w:ascii="Times New Roman" w:eastAsiaTheme="minorEastAsia" w:hAnsi="Times New Roman" w:cs="Times New Roman"/>
          <w:bCs/>
        </w:rPr>
        <w:tab/>
      </w:r>
      <w:r w:rsidR="00A91E76" w:rsidRPr="00B20327">
        <w:rPr>
          <w:rFonts w:ascii="Times New Roman" w:eastAsiaTheme="minorEastAsia" w:hAnsi="Times New Roman" w:cs="Times New Roman"/>
          <w:bCs/>
        </w:rPr>
        <w:tab/>
      </w:r>
    </w:p>
    <w:p w14:paraId="0192EBBA" w14:textId="1F22097E" w:rsidR="00A91E76" w:rsidRPr="00B20327" w:rsidRDefault="00863205" w:rsidP="00B20327">
      <w:pPr>
        <w:spacing w:line="276" w:lineRule="auto"/>
        <w:ind w:left="1701"/>
        <w:rPr>
          <w:rFonts w:ascii="Times New Roman" w:eastAsiaTheme="minorEastAsia" w:hAnsi="Times New Roman" w:cs="Times New Roman"/>
        </w:rPr>
      </w:pPr>
      <m:oMath>
        <m:sSub>
          <m:sSubPr>
            <m:ctrlPr>
              <w:rPr>
                <w:rFonts w:ascii="Cambria Math" w:hAnsi="Cambria Math" w:cs="Times New Roman"/>
                <w:bCs/>
                <w:i/>
              </w:rPr>
            </m:ctrlPr>
          </m:sSubPr>
          <m:e>
            <m:r>
              <m:rPr>
                <m:sty m:val="p"/>
              </m:rPr>
              <w:rPr>
                <w:rFonts w:ascii="Cambria Math" w:hAnsi="Cambria Math" w:cs="Times New Roman"/>
              </w:rPr>
              <m:t>Γ</m:t>
            </m:r>
          </m:e>
          <m:sub>
            <m:r>
              <w:rPr>
                <w:rFonts w:ascii="Cambria Math" w:hAnsi="Cambria Math" w:cs="Times New Roman"/>
              </w:rPr>
              <m:t>i</m:t>
            </m:r>
          </m:sub>
        </m:sSub>
        <m:r>
          <w:rPr>
            <w:rFonts w:ascii="Cambria Math" w:hAnsi="Cambria Math" w:cs="Times New Roman"/>
          </w:rPr>
          <m:t>=-1+</m:t>
        </m:r>
        <m:sSub>
          <m:sSubPr>
            <m:ctrlPr>
              <w:rPr>
                <w:rFonts w:ascii="Cambria Math" w:hAnsi="Cambria Math" w:cs="Times New Roman"/>
                <w:bCs/>
                <w:i/>
              </w:rPr>
            </m:ctrlPr>
          </m:sSubPr>
          <m:e>
            <m:r>
              <m:rPr>
                <m:sty m:val="p"/>
              </m:rPr>
              <w:rPr>
                <w:rFonts w:ascii="Cambria Math" w:hAnsi="Cambria Math" w:cs="Times New Roman"/>
              </w:rPr>
              <m:t>Π</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bCs/>
                <w:i/>
              </w:rPr>
            </m:ctrlPr>
          </m:sSubPr>
          <m:e>
            <m:r>
              <m:rPr>
                <m:sty m:val="p"/>
              </m:rPr>
              <w:rPr>
                <w:rFonts w:ascii="Cambria Math" w:hAnsi="Cambria Math" w:cs="Times New Roman"/>
              </w:rPr>
              <m:t>Π</m:t>
            </m:r>
          </m:e>
          <m:sub>
            <m:r>
              <w:rPr>
                <w:rFonts w:ascii="Cambria Math" w:hAnsi="Cambria Math" w:cs="Times New Roman"/>
              </w:rPr>
              <m:t>i</m:t>
            </m:r>
          </m:sub>
        </m:sSub>
        <m:r>
          <w:rPr>
            <w:rFonts w:ascii="Cambria Math" w:hAnsi="Cambria Math" w:cs="Times New Roman"/>
          </w:rPr>
          <m:t>,    i=1,…,k</m:t>
        </m:r>
      </m:oMath>
      <w:r w:rsidR="00A91E76" w:rsidRPr="00B20327">
        <w:rPr>
          <w:rFonts w:ascii="Times New Roman" w:eastAsiaTheme="minorEastAsia" w:hAnsi="Times New Roman" w:cs="Times New Roman"/>
        </w:rPr>
        <w:tab/>
      </w:r>
      <w:r w:rsidR="00A91E76" w:rsidRPr="00B20327">
        <w:rPr>
          <w:rFonts w:ascii="Times New Roman" w:eastAsiaTheme="minorEastAsia" w:hAnsi="Times New Roman" w:cs="Times New Roman"/>
        </w:rPr>
        <w:tab/>
      </w:r>
      <w:r w:rsidR="00A91E76" w:rsidRPr="00B20327">
        <w:rPr>
          <w:rFonts w:ascii="Times New Roman" w:eastAsiaTheme="minorEastAsia" w:hAnsi="Times New Roman" w:cs="Times New Roman"/>
        </w:rPr>
        <w:tab/>
      </w:r>
      <w:r w:rsidR="00A91E76" w:rsidRPr="00B20327">
        <w:rPr>
          <w:rFonts w:ascii="Times New Roman" w:eastAsiaTheme="minorEastAsia" w:hAnsi="Times New Roman" w:cs="Times New Roman"/>
        </w:rPr>
        <w:tab/>
      </w:r>
      <w:r w:rsidR="00A91E76" w:rsidRPr="00B20327">
        <w:rPr>
          <w:rFonts w:ascii="Times New Roman" w:eastAsiaTheme="minorEastAsia" w:hAnsi="Times New Roman" w:cs="Times New Roman"/>
        </w:rPr>
        <w:tab/>
        <w:t>(</w:t>
      </w:r>
      <w:r w:rsidR="00117B94">
        <w:rPr>
          <w:rFonts w:ascii="Times New Roman" w:eastAsiaTheme="minorEastAsia" w:hAnsi="Times New Roman" w:cs="Times New Roman"/>
        </w:rPr>
        <w:t>6</w:t>
      </w:r>
      <w:r w:rsidR="00A91E76" w:rsidRPr="00B20327">
        <w:rPr>
          <w:rFonts w:ascii="Times New Roman" w:eastAsiaTheme="minorEastAsia" w:hAnsi="Times New Roman" w:cs="Times New Roman"/>
        </w:rPr>
        <w:t>)</w:t>
      </w:r>
    </w:p>
    <w:p w14:paraId="7C69EBF9" w14:textId="77777777" w:rsidR="00A91E76" w:rsidRPr="00B20327" w:rsidRDefault="00A91E76" w:rsidP="00B20327">
      <w:pPr>
        <w:spacing w:line="276" w:lineRule="auto"/>
        <w:rPr>
          <w:rFonts w:ascii="Times New Roman" w:eastAsiaTheme="minorEastAsia" w:hAnsi="Times New Roman" w:cs="Times New Roman"/>
          <w:bCs/>
        </w:rPr>
      </w:pPr>
      <w:r w:rsidRPr="00B20327">
        <w:rPr>
          <w:rFonts w:ascii="Times New Roman" w:eastAsiaTheme="minorEastAsia" w:hAnsi="Times New Roman" w:cs="Times New Roman"/>
          <w:bCs/>
        </w:rPr>
        <w:tab/>
      </w:r>
    </w:p>
    <w:p w14:paraId="068EB283" w14:textId="77777777" w:rsidR="00A91E76" w:rsidRPr="00B20327" w:rsidRDefault="00A91E76" w:rsidP="00B20327">
      <w:pPr>
        <w:spacing w:line="276" w:lineRule="auto"/>
        <w:rPr>
          <w:rFonts w:ascii="Times New Roman" w:hAnsi="Times New Roman" w:cs="Times New Roman"/>
        </w:rPr>
      </w:pPr>
      <m:oMath>
        <m:r>
          <m:rPr>
            <m:sty m:val="p"/>
          </m:rPr>
          <w:rPr>
            <w:rFonts w:ascii="Cambria Math" w:hAnsi="Cambria Math" w:cs="Times New Roman"/>
          </w:rPr>
          <m:t>Γ</m:t>
        </m:r>
      </m:oMath>
      <w:r w:rsidRPr="00B20327">
        <w:rPr>
          <w:rFonts w:ascii="Times New Roman" w:hAnsi="Times New Roman" w:cs="Times New Roman"/>
        </w:rPr>
        <w:t xml:space="preserve">, X matrisinin fark değerlerinin gecikmelerini ifade etmektedir. </w:t>
      </w:r>
      <m:oMath>
        <m:r>
          <m:rPr>
            <m:sty m:val="p"/>
          </m:rPr>
          <w:rPr>
            <w:rFonts w:ascii="Cambria Math" w:hAnsi="Cambria Math" w:cs="Times New Roman"/>
          </w:rPr>
          <m:t>Π</m:t>
        </m:r>
      </m:oMath>
      <w:r w:rsidRPr="00B20327">
        <w:rPr>
          <w:rFonts w:ascii="Times New Roman" w:hAnsi="Times New Roman" w:cs="Times New Roman"/>
        </w:rPr>
        <w:t xml:space="preserve"> </w:t>
      </w:r>
      <w:proofErr w:type="gramStart"/>
      <w:r w:rsidRPr="00B20327">
        <w:rPr>
          <w:rFonts w:ascii="Times New Roman" w:hAnsi="Times New Roman" w:cs="Times New Roman"/>
        </w:rPr>
        <w:t>ise</w:t>
      </w:r>
      <w:proofErr w:type="gramEnd"/>
      <w:r w:rsidRPr="00B20327">
        <w:rPr>
          <w:rFonts w:ascii="Times New Roman" w:hAnsi="Times New Roman" w:cs="Times New Roman"/>
        </w:rPr>
        <w:t xml:space="preserve"> serilerin düzey değerlerine ilişkin katsayı matrisidir. Yukarıdaki denklem sisteminde </w:t>
      </w:r>
      <m:oMath>
        <m:r>
          <m:rPr>
            <m:sty m:val="p"/>
          </m:rPr>
          <w:rPr>
            <w:rFonts w:ascii="Cambria Math" w:hAnsi="Cambria Math" w:cs="Times New Roman"/>
          </w:rPr>
          <m:t>Π</m:t>
        </m:r>
      </m:oMath>
      <w:r w:rsidRPr="00B20327">
        <w:rPr>
          <w:rFonts w:ascii="Times New Roman" w:hAnsi="Times New Roman" w:cs="Times New Roman"/>
        </w:rPr>
        <w:t xml:space="preserve"> matrisinin </w:t>
      </w:r>
      <w:proofErr w:type="spellStart"/>
      <w:r w:rsidRPr="00B20327">
        <w:rPr>
          <w:rFonts w:ascii="Times New Roman" w:hAnsi="Times New Roman" w:cs="Times New Roman"/>
        </w:rPr>
        <w:t>rankının</w:t>
      </w:r>
      <w:proofErr w:type="spellEnd"/>
      <w:r w:rsidRPr="00B20327">
        <w:rPr>
          <w:rFonts w:ascii="Times New Roman" w:hAnsi="Times New Roman" w:cs="Times New Roman"/>
        </w:rPr>
        <w:t xml:space="preserve"> bulunması değişkenler arasındaki </w:t>
      </w:r>
      <w:proofErr w:type="spellStart"/>
      <w:r w:rsidRPr="00B20327">
        <w:rPr>
          <w:rFonts w:ascii="Times New Roman" w:hAnsi="Times New Roman" w:cs="Times New Roman"/>
        </w:rPr>
        <w:t>eşbütünleşme</w:t>
      </w:r>
      <w:proofErr w:type="spellEnd"/>
      <w:r w:rsidRPr="00B20327">
        <w:rPr>
          <w:rFonts w:ascii="Times New Roman" w:hAnsi="Times New Roman" w:cs="Times New Roman"/>
        </w:rPr>
        <w:t xml:space="preserve"> ilişkisini göstermektedir. Eğer </w:t>
      </w:r>
      <w:proofErr w:type="spellStart"/>
      <w:r w:rsidRPr="00B20327">
        <w:rPr>
          <w:rFonts w:ascii="Times New Roman" w:hAnsi="Times New Roman" w:cs="Times New Roman"/>
        </w:rPr>
        <w:t>rank</w:t>
      </w:r>
      <w:proofErr w:type="spellEnd"/>
      <w:r w:rsidRPr="00B20327">
        <w:rPr>
          <w:rFonts w:ascii="Times New Roman" w:hAnsi="Times New Roman" w:cs="Times New Roman"/>
        </w:rPr>
        <w:t xml:space="preserve"> sıfıra eşitse X matrisini oluşturan seriler arasında </w:t>
      </w:r>
      <w:proofErr w:type="spellStart"/>
      <w:r w:rsidRPr="00B20327">
        <w:rPr>
          <w:rFonts w:ascii="Times New Roman" w:hAnsi="Times New Roman" w:cs="Times New Roman"/>
        </w:rPr>
        <w:t>eşbütünleşme</w:t>
      </w:r>
      <w:proofErr w:type="spellEnd"/>
      <w:r w:rsidRPr="00B20327">
        <w:rPr>
          <w:rFonts w:ascii="Times New Roman" w:hAnsi="Times New Roman" w:cs="Times New Roman"/>
        </w:rPr>
        <w:t xml:space="preserve"> ilişkisinin olmadığını ifade etmektedir. Bu </w:t>
      </w:r>
      <w:proofErr w:type="spellStart"/>
      <w:r w:rsidRPr="00B20327">
        <w:rPr>
          <w:rFonts w:ascii="Times New Roman" w:hAnsi="Times New Roman" w:cs="Times New Roman"/>
        </w:rPr>
        <w:t>rank</w:t>
      </w:r>
      <w:proofErr w:type="spellEnd"/>
      <w:r w:rsidRPr="00B20327">
        <w:rPr>
          <w:rFonts w:ascii="Times New Roman" w:hAnsi="Times New Roman" w:cs="Times New Roman"/>
        </w:rPr>
        <w:t xml:space="preserve"> değerinin bire eşit olması durumunda ise bu seriler arasında uzun dönemli bir </w:t>
      </w:r>
      <w:proofErr w:type="spellStart"/>
      <w:r w:rsidRPr="00B20327">
        <w:rPr>
          <w:rFonts w:ascii="Times New Roman" w:hAnsi="Times New Roman" w:cs="Times New Roman"/>
        </w:rPr>
        <w:t>eşbütünleşme</w:t>
      </w:r>
      <w:proofErr w:type="spellEnd"/>
      <w:r w:rsidRPr="00B20327">
        <w:rPr>
          <w:rFonts w:ascii="Times New Roman" w:hAnsi="Times New Roman" w:cs="Times New Roman"/>
        </w:rPr>
        <w:t xml:space="preserve"> ilişkisinin bulunduğunu</w:t>
      </w:r>
      <w:r w:rsidRPr="006A69FA">
        <w:rPr>
          <w:rFonts w:ascii="Times New Roman" w:hAnsi="Times New Roman" w:cs="Times New Roman"/>
          <w:sz w:val="24"/>
          <w:szCs w:val="24"/>
        </w:rPr>
        <w:t xml:space="preserve"> </w:t>
      </w:r>
      <w:r w:rsidRPr="00B20327">
        <w:rPr>
          <w:rFonts w:ascii="Times New Roman" w:hAnsi="Times New Roman" w:cs="Times New Roman"/>
        </w:rPr>
        <w:t xml:space="preserve">belirtmektedir. </w:t>
      </w:r>
      <w:proofErr w:type="spellStart"/>
      <w:r w:rsidRPr="00B20327">
        <w:rPr>
          <w:rFonts w:ascii="Times New Roman" w:hAnsi="Times New Roman" w:cs="Times New Roman"/>
        </w:rPr>
        <w:t>Rankın</w:t>
      </w:r>
      <w:proofErr w:type="spellEnd"/>
      <w:r w:rsidRPr="00B20327">
        <w:rPr>
          <w:rFonts w:ascii="Times New Roman" w:hAnsi="Times New Roman" w:cs="Times New Roman"/>
        </w:rPr>
        <w:t xml:space="preserve"> birden büyük bir sayı olması durumunda ise bu seriler arasında birden fazla </w:t>
      </w:r>
      <w:proofErr w:type="spellStart"/>
      <w:r w:rsidRPr="00B20327">
        <w:rPr>
          <w:rFonts w:ascii="Times New Roman" w:hAnsi="Times New Roman" w:cs="Times New Roman"/>
        </w:rPr>
        <w:t>eşbütünleşme</w:t>
      </w:r>
      <w:proofErr w:type="spellEnd"/>
      <w:r w:rsidRPr="00B20327">
        <w:rPr>
          <w:rFonts w:ascii="Times New Roman" w:hAnsi="Times New Roman" w:cs="Times New Roman"/>
        </w:rPr>
        <w:t xml:space="preserve"> olduğuna işaret etmektedir (</w:t>
      </w:r>
      <w:proofErr w:type="spellStart"/>
      <w:r w:rsidRPr="00B20327">
        <w:rPr>
          <w:rFonts w:ascii="Times New Roman" w:hAnsi="Times New Roman" w:cs="Times New Roman"/>
        </w:rPr>
        <w:t>Saatcioğlu</w:t>
      </w:r>
      <w:proofErr w:type="spellEnd"/>
      <w:r w:rsidRPr="00B20327">
        <w:rPr>
          <w:rFonts w:ascii="Times New Roman" w:hAnsi="Times New Roman" w:cs="Times New Roman"/>
        </w:rPr>
        <w:t xml:space="preserve"> ve Karaca, 2004: 188). </w:t>
      </w:r>
    </w:p>
    <w:p w14:paraId="2B62FEC4" w14:textId="77777777" w:rsidR="00A91E76" w:rsidRPr="00B20327" w:rsidRDefault="00A91E76" w:rsidP="00B20327">
      <w:pPr>
        <w:spacing w:line="276" w:lineRule="auto"/>
        <w:ind w:firstLine="567"/>
        <w:jc w:val="both"/>
        <w:rPr>
          <w:rFonts w:ascii="Times New Roman" w:hAnsi="Times New Roman" w:cs="Times New Roman"/>
        </w:rPr>
      </w:pPr>
      <w:proofErr w:type="spellStart"/>
      <w:r w:rsidRPr="00B20327">
        <w:rPr>
          <w:rFonts w:ascii="Times New Roman" w:hAnsi="Times New Roman" w:cs="Times New Roman"/>
        </w:rPr>
        <w:t>Eşbütünleşme</w:t>
      </w:r>
      <w:proofErr w:type="spellEnd"/>
      <w:r w:rsidRPr="00B20327">
        <w:rPr>
          <w:rFonts w:ascii="Times New Roman" w:hAnsi="Times New Roman" w:cs="Times New Roman"/>
        </w:rPr>
        <w:t xml:space="preserve"> modelinin test edilmesinde iki test istatistiği kullanılmaktadır. İlk test istatistiği iz (</w:t>
      </w:r>
      <w:proofErr w:type="spellStart"/>
      <w:r w:rsidRPr="00B20327">
        <w:rPr>
          <w:rFonts w:ascii="Times New Roman" w:hAnsi="Times New Roman" w:cs="Times New Roman"/>
        </w:rPr>
        <w:t>trace</w:t>
      </w:r>
      <w:proofErr w:type="spellEnd"/>
      <w:r w:rsidRPr="00B20327">
        <w:rPr>
          <w:rFonts w:ascii="Times New Roman" w:hAnsi="Times New Roman" w:cs="Times New Roman"/>
        </w:rPr>
        <w:t xml:space="preserve">) değeridir. İz test istatistiğinde boş hipotezin kurulumu şu şekilde gerçekleşmektedir. Π katsayı matrisinin </w:t>
      </w:r>
      <w:proofErr w:type="spellStart"/>
      <w:r w:rsidRPr="00B20327">
        <w:rPr>
          <w:rFonts w:ascii="Times New Roman" w:hAnsi="Times New Roman" w:cs="Times New Roman"/>
        </w:rPr>
        <w:t>rankını</w:t>
      </w:r>
      <w:proofErr w:type="spellEnd"/>
      <w:r w:rsidRPr="00B20327">
        <w:rPr>
          <w:rFonts w:ascii="Times New Roman" w:hAnsi="Times New Roman" w:cs="Times New Roman"/>
        </w:rPr>
        <w:t xml:space="preserve"> ele alarak bu </w:t>
      </w:r>
      <w:proofErr w:type="spellStart"/>
      <w:r w:rsidRPr="00B20327">
        <w:rPr>
          <w:rFonts w:ascii="Times New Roman" w:hAnsi="Times New Roman" w:cs="Times New Roman"/>
        </w:rPr>
        <w:t>rank</w:t>
      </w:r>
      <w:proofErr w:type="spellEnd"/>
      <w:r w:rsidRPr="00B20327">
        <w:rPr>
          <w:rFonts w:ascii="Times New Roman" w:hAnsi="Times New Roman" w:cs="Times New Roman"/>
        </w:rPr>
        <w:t xml:space="preserve"> değerinin m’ye eşit ya da m’den küçük olduğu şeklinde (</w:t>
      </w:r>
      <w:proofErr w:type="spellStart"/>
      <w:r w:rsidRPr="00B20327">
        <w:rPr>
          <w:rFonts w:ascii="Times New Roman" w:hAnsi="Times New Roman" w:cs="Times New Roman"/>
        </w:rPr>
        <w:t>r≤m</w:t>
      </w:r>
      <w:proofErr w:type="spellEnd"/>
      <w:r w:rsidRPr="00B20327">
        <w:rPr>
          <w:rFonts w:ascii="Times New Roman" w:hAnsi="Times New Roman" w:cs="Times New Roman"/>
        </w:rPr>
        <w:t xml:space="preserve">) boş hipotez oluşturulur ve test edilir. </w:t>
      </w:r>
      <w:proofErr w:type="gramStart"/>
      <w:r w:rsidRPr="00B20327">
        <w:rPr>
          <w:rFonts w:ascii="Times New Roman" w:hAnsi="Times New Roman" w:cs="Times New Roman"/>
        </w:rPr>
        <w:t>r’nin</w:t>
      </w:r>
      <w:proofErr w:type="gramEnd"/>
      <w:r w:rsidRPr="00B20327">
        <w:rPr>
          <w:rFonts w:ascii="Times New Roman" w:hAnsi="Times New Roman" w:cs="Times New Roman"/>
        </w:rPr>
        <w:t xml:space="preserve"> ifade ettiği anlam </w:t>
      </w:r>
      <w:proofErr w:type="spellStart"/>
      <w:r w:rsidRPr="00B20327">
        <w:rPr>
          <w:rFonts w:ascii="Times New Roman" w:hAnsi="Times New Roman" w:cs="Times New Roman"/>
        </w:rPr>
        <w:t>eşbütünleşik</w:t>
      </w:r>
      <w:proofErr w:type="spellEnd"/>
      <w:r w:rsidRPr="00B20327">
        <w:rPr>
          <w:rFonts w:ascii="Times New Roman" w:hAnsi="Times New Roman" w:cs="Times New Roman"/>
        </w:rPr>
        <w:t xml:space="preserve"> vektör sayısıdır. İz istatistiği belli bir güven düzeyinde kritik değerden büyükse boş hipotez </w:t>
      </w:r>
      <w:proofErr w:type="gramStart"/>
      <w:r w:rsidRPr="00B20327">
        <w:rPr>
          <w:rFonts w:ascii="Times New Roman" w:hAnsi="Times New Roman" w:cs="Times New Roman"/>
        </w:rPr>
        <w:t>ret edilir</w:t>
      </w:r>
      <w:proofErr w:type="gramEnd"/>
      <w:r w:rsidRPr="00B20327">
        <w:rPr>
          <w:rFonts w:ascii="Times New Roman" w:hAnsi="Times New Roman" w:cs="Times New Roman"/>
        </w:rPr>
        <w:t xml:space="preserve">. Diğer test istatistiği ise maksimum </w:t>
      </w:r>
      <w:proofErr w:type="spellStart"/>
      <w:r w:rsidRPr="00B20327">
        <w:rPr>
          <w:rFonts w:ascii="Times New Roman" w:hAnsi="Times New Roman" w:cs="Times New Roman"/>
        </w:rPr>
        <w:t>özdeğer</w:t>
      </w:r>
      <w:proofErr w:type="spellEnd"/>
      <w:r w:rsidRPr="00B20327">
        <w:rPr>
          <w:rFonts w:ascii="Times New Roman" w:hAnsi="Times New Roman" w:cs="Times New Roman"/>
        </w:rPr>
        <w:t xml:space="preserve"> istatistiğidir. Bu test istatistiğinde boş hipotez </w:t>
      </w:r>
      <w:proofErr w:type="spellStart"/>
      <w:r w:rsidRPr="00B20327">
        <w:rPr>
          <w:rFonts w:ascii="Times New Roman" w:hAnsi="Times New Roman" w:cs="Times New Roman"/>
        </w:rPr>
        <w:t>rank</w:t>
      </w:r>
      <w:proofErr w:type="spellEnd"/>
      <w:r w:rsidRPr="00B20327">
        <w:rPr>
          <w:rFonts w:ascii="Times New Roman" w:hAnsi="Times New Roman" w:cs="Times New Roman"/>
        </w:rPr>
        <w:t xml:space="preserve"> değerinin bire eşit olduğu şekilde, alternatif hipotez ise m+1 şeklinde oluşturulur. Hesaplanan maksimum </w:t>
      </w:r>
      <w:proofErr w:type="spellStart"/>
      <w:r w:rsidRPr="00B20327">
        <w:rPr>
          <w:rFonts w:ascii="Times New Roman" w:hAnsi="Times New Roman" w:cs="Times New Roman"/>
        </w:rPr>
        <w:t>özdeğer</w:t>
      </w:r>
      <w:proofErr w:type="spellEnd"/>
      <w:r w:rsidRPr="00B20327">
        <w:rPr>
          <w:rFonts w:ascii="Times New Roman" w:hAnsi="Times New Roman" w:cs="Times New Roman"/>
        </w:rPr>
        <w:t xml:space="preserve"> istatistiği yine belli güven düzeylerinde kritik değer ile karşılaştırılır ve maksimum </w:t>
      </w:r>
      <w:proofErr w:type="spellStart"/>
      <w:r w:rsidRPr="00B20327">
        <w:rPr>
          <w:rFonts w:ascii="Times New Roman" w:hAnsi="Times New Roman" w:cs="Times New Roman"/>
        </w:rPr>
        <w:t>özdeğer</w:t>
      </w:r>
      <w:proofErr w:type="spellEnd"/>
      <w:r w:rsidRPr="00B20327">
        <w:rPr>
          <w:rFonts w:ascii="Times New Roman" w:hAnsi="Times New Roman" w:cs="Times New Roman"/>
        </w:rPr>
        <w:t xml:space="preserve"> istatistiği kritik değerden büyükse boş hipotez reddedilir.</w:t>
      </w:r>
    </w:p>
    <w:p w14:paraId="0FD4815E" w14:textId="77777777" w:rsidR="00A91E76" w:rsidRPr="00B20327" w:rsidRDefault="00A91E76" w:rsidP="00B20327">
      <w:pPr>
        <w:spacing w:line="276" w:lineRule="auto"/>
        <w:jc w:val="both"/>
        <w:rPr>
          <w:rFonts w:ascii="Times New Roman" w:hAnsi="Times New Roman" w:cs="Times New Roman"/>
        </w:rPr>
      </w:pPr>
      <w:proofErr w:type="spellStart"/>
      <w:r w:rsidRPr="00B20327">
        <w:rPr>
          <w:rFonts w:ascii="Times New Roman" w:hAnsi="Times New Roman" w:cs="Times New Roman"/>
        </w:rPr>
        <w:t>Eşbütünleşme</w:t>
      </w:r>
      <w:proofErr w:type="spellEnd"/>
      <w:r w:rsidRPr="00B20327">
        <w:rPr>
          <w:rFonts w:ascii="Times New Roman" w:hAnsi="Times New Roman" w:cs="Times New Roman"/>
        </w:rPr>
        <w:t xml:space="preserve"> testinden önce durağanlık sınaması yapılan seriler, düzey değerlerinde durağan bulunamamış ve farkları alınarak durağanlaştırılmıştır. Serilerin aynı mertebeden durağan çıkmaları sonucu </w:t>
      </w:r>
      <w:proofErr w:type="spellStart"/>
      <w:r w:rsidRPr="00B20327">
        <w:rPr>
          <w:rFonts w:ascii="Times New Roman" w:hAnsi="Times New Roman" w:cs="Times New Roman"/>
        </w:rPr>
        <w:t>Johansen</w:t>
      </w:r>
      <w:proofErr w:type="spellEnd"/>
      <w:r w:rsidRPr="00B20327">
        <w:rPr>
          <w:rFonts w:ascii="Times New Roman" w:hAnsi="Times New Roman" w:cs="Times New Roman"/>
        </w:rPr>
        <w:t xml:space="preserve"> </w:t>
      </w:r>
      <w:proofErr w:type="spellStart"/>
      <w:r w:rsidRPr="00B20327">
        <w:rPr>
          <w:rFonts w:ascii="Times New Roman" w:hAnsi="Times New Roman" w:cs="Times New Roman"/>
        </w:rPr>
        <w:t>eşbütünleşme</w:t>
      </w:r>
      <w:proofErr w:type="spellEnd"/>
      <w:r w:rsidRPr="00B20327">
        <w:rPr>
          <w:rFonts w:ascii="Times New Roman" w:hAnsi="Times New Roman" w:cs="Times New Roman"/>
        </w:rPr>
        <w:t xml:space="preserve"> testine geçilmiştir. </w:t>
      </w:r>
      <w:proofErr w:type="spellStart"/>
      <w:r w:rsidRPr="00B20327">
        <w:rPr>
          <w:rFonts w:ascii="Times New Roman" w:hAnsi="Times New Roman" w:cs="Times New Roman"/>
        </w:rPr>
        <w:t>Eşbütünleşme</w:t>
      </w:r>
      <w:proofErr w:type="spellEnd"/>
      <w:r w:rsidRPr="00B20327">
        <w:rPr>
          <w:rFonts w:ascii="Times New Roman" w:hAnsi="Times New Roman" w:cs="Times New Roman"/>
        </w:rPr>
        <w:t xml:space="preserve"> testinden önce ilk olarak kısıtsız VAR modelinin kurulması gereklidir. Bu amaçla öncelikle kısıtsız VAR modeli kurulmuştur. VAR modelinin uygun gecikme sayısı Tablo 3 ile belirlenmiştir;</w:t>
      </w:r>
    </w:p>
    <w:p w14:paraId="0542BD21" w14:textId="77777777" w:rsidR="00A91E76" w:rsidRDefault="00A91E76" w:rsidP="00B20327">
      <w:pPr>
        <w:spacing w:line="276" w:lineRule="auto"/>
        <w:rPr>
          <w:rFonts w:ascii="Times New Roman" w:hAnsi="Times New Roman" w:cs="Times New Roman"/>
          <w:sz w:val="20"/>
          <w:szCs w:val="20"/>
        </w:rPr>
      </w:pPr>
      <w:r w:rsidRPr="00A644B9">
        <w:rPr>
          <w:rFonts w:ascii="Times New Roman" w:hAnsi="Times New Roman" w:cs="Times New Roman"/>
          <w:b/>
          <w:sz w:val="20"/>
          <w:szCs w:val="20"/>
        </w:rPr>
        <w:t xml:space="preserve">Tablo </w:t>
      </w:r>
      <w:proofErr w:type="gramStart"/>
      <w:r>
        <w:rPr>
          <w:rFonts w:ascii="Times New Roman" w:hAnsi="Times New Roman" w:cs="Times New Roman"/>
          <w:b/>
          <w:sz w:val="20"/>
          <w:szCs w:val="20"/>
        </w:rPr>
        <w:t>3</w:t>
      </w:r>
      <w:r w:rsidRPr="00A644B9">
        <w:rPr>
          <w:rFonts w:ascii="Times New Roman" w:hAnsi="Times New Roman" w:cs="Times New Roman"/>
          <w:b/>
          <w:sz w:val="20"/>
          <w:szCs w:val="20"/>
        </w:rPr>
        <w:t>. :</w:t>
      </w:r>
      <w:proofErr w:type="gramEnd"/>
      <w:r w:rsidRPr="00A644B9">
        <w:rPr>
          <w:rFonts w:ascii="Times New Roman" w:hAnsi="Times New Roman" w:cs="Times New Roman"/>
          <w:b/>
          <w:sz w:val="20"/>
          <w:szCs w:val="20"/>
        </w:rPr>
        <w:t xml:space="preserve"> </w:t>
      </w:r>
      <w:r w:rsidRPr="00A644B9">
        <w:rPr>
          <w:rFonts w:ascii="Times New Roman" w:hAnsi="Times New Roman" w:cs="Times New Roman"/>
          <w:sz w:val="20"/>
          <w:szCs w:val="20"/>
        </w:rPr>
        <w:t>Gecikme Uzunluğunun Tespit Edilmesi</w:t>
      </w:r>
    </w:p>
    <w:p w14:paraId="77628F01" w14:textId="77777777" w:rsidR="00A91E76" w:rsidRPr="006A69FA" w:rsidRDefault="00A91E76" w:rsidP="00B20327">
      <w:pPr>
        <w:spacing w:line="276" w:lineRule="auto"/>
        <w:jc w:val="center"/>
        <w:rPr>
          <w:rFonts w:ascii="Times New Roman" w:hAnsi="Times New Roman" w:cs="Times New Roman"/>
          <w:sz w:val="24"/>
          <w:szCs w:val="24"/>
        </w:rPr>
      </w:pPr>
      <w:r w:rsidRPr="00393021">
        <w:rPr>
          <w:rFonts w:ascii="Times New Roman" w:hAnsi="Times New Roman" w:cs="Times New Roman"/>
          <w:noProof/>
          <w:sz w:val="24"/>
          <w:szCs w:val="24"/>
        </w:rPr>
        <w:lastRenderedPageBreak/>
        <w:drawing>
          <wp:inline distT="0" distB="0" distL="0" distR="0" wp14:anchorId="5DDCBE75" wp14:editId="1DAB8E2F">
            <wp:extent cx="5164667" cy="2480270"/>
            <wp:effectExtent l="0" t="0" r="4445" b="0"/>
            <wp:docPr id="4" name="Resim 2" descr="tablo içeren bir resim&#10;&#10;Açıklama otomatik olarak oluşturuldu">
              <a:extLst xmlns:a="http://schemas.openxmlformats.org/drawingml/2006/main">
                <a:ext uri="{FF2B5EF4-FFF2-40B4-BE49-F238E27FC236}">
                  <a16:creationId xmlns:a16="http://schemas.microsoft.com/office/drawing/2014/main" id="{9362A0C2-24C5-4B60-893D-7003244268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tablo içeren bir resim&#10;&#10;Açıklama otomatik olarak oluşturuldu">
                      <a:extLst>
                        <a:ext uri="{FF2B5EF4-FFF2-40B4-BE49-F238E27FC236}">
                          <a16:creationId xmlns:a16="http://schemas.microsoft.com/office/drawing/2014/main" id="{9362A0C2-24C5-4B60-893D-7003244268B2}"/>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215648" cy="2504753"/>
                    </a:xfrm>
                    <a:prstGeom prst="rect">
                      <a:avLst/>
                    </a:prstGeom>
                  </pic:spPr>
                </pic:pic>
              </a:graphicData>
            </a:graphic>
          </wp:inline>
        </w:drawing>
      </w:r>
    </w:p>
    <w:p w14:paraId="1EBC2D28" w14:textId="0C158879" w:rsidR="00E33DDB" w:rsidRPr="00B20327" w:rsidRDefault="00A91E76" w:rsidP="00B20327">
      <w:pPr>
        <w:spacing w:line="276" w:lineRule="auto"/>
        <w:jc w:val="both"/>
        <w:rPr>
          <w:rFonts w:ascii="Times New Roman" w:hAnsi="Times New Roman" w:cs="Times New Roman"/>
        </w:rPr>
      </w:pPr>
      <w:r w:rsidRPr="00B20327">
        <w:rPr>
          <w:rFonts w:ascii="Times New Roman" w:hAnsi="Times New Roman" w:cs="Times New Roman"/>
        </w:rPr>
        <w:t xml:space="preserve">Bilgi kriterleri göz önüne </w:t>
      </w:r>
      <w:proofErr w:type="gramStart"/>
      <w:r w:rsidRPr="00B20327">
        <w:rPr>
          <w:rFonts w:ascii="Times New Roman" w:hAnsi="Times New Roman" w:cs="Times New Roman"/>
        </w:rPr>
        <w:t>alınarak  uygun</w:t>
      </w:r>
      <w:proofErr w:type="gramEnd"/>
      <w:r w:rsidRPr="00B20327">
        <w:rPr>
          <w:rFonts w:ascii="Times New Roman" w:hAnsi="Times New Roman" w:cs="Times New Roman"/>
        </w:rPr>
        <w:t xml:space="preserve"> gecikme uzunluğu 3 olarak tespit edilmiştir. Uygun VAR modeli kurulduktan sonra </w:t>
      </w:r>
      <w:proofErr w:type="spellStart"/>
      <w:r w:rsidRPr="00B20327">
        <w:rPr>
          <w:rFonts w:ascii="Times New Roman" w:hAnsi="Times New Roman" w:cs="Times New Roman"/>
        </w:rPr>
        <w:t>eşbütünleşme</w:t>
      </w:r>
      <w:proofErr w:type="spellEnd"/>
      <w:r w:rsidRPr="00B20327">
        <w:rPr>
          <w:rFonts w:ascii="Times New Roman" w:hAnsi="Times New Roman" w:cs="Times New Roman"/>
        </w:rPr>
        <w:t xml:space="preserve"> testi yapılmıştır. </w:t>
      </w:r>
      <w:proofErr w:type="spellStart"/>
      <w:r w:rsidRPr="00B20327">
        <w:rPr>
          <w:rFonts w:ascii="Times New Roman" w:hAnsi="Times New Roman" w:cs="Times New Roman"/>
        </w:rPr>
        <w:t>Johansen</w:t>
      </w:r>
      <w:proofErr w:type="spellEnd"/>
      <w:r w:rsidRPr="00B20327">
        <w:rPr>
          <w:rFonts w:ascii="Times New Roman" w:hAnsi="Times New Roman" w:cs="Times New Roman"/>
        </w:rPr>
        <w:t xml:space="preserve"> </w:t>
      </w:r>
      <w:proofErr w:type="spellStart"/>
      <w:r w:rsidRPr="00B20327">
        <w:rPr>
          <w:rFonts w:ascii="Times New Roman" w:hAnsi="Times New Roman" w:cs="Times New Roman"/>
        </w:rPr>
        <w:t>eşbütünleşme</w:t>
      </w:r>
      <w:proofErr w:type="spellEnd"/>
      <w:r w:rsidRPr="00B20327">
        <w:rPr>
          <w:rFonts w:ascii="Times New Roman" w:hAnsi="Times New Roman" w:cs="Times New Roman"/>
        </w:rPr>
        <w:t xml:space="preserve"> testi ile elde edilen bulgular aşağıdaki tabloda gösterilmiştir.</w:t>
      </w:r>
    </w:p>
    <w:p w14:paraId="5A197370" w14:textId="77777777" w:rsidR="00E33DDB" w:rsidRDefault="00E33DDB" w:rsidP="00B20327">
      <w:pPr>
        <w:spacing w:line="276" w:lineRule="auto"/>
        <w:rPr>
          <w:rFonts w:ascii="Times New Roman" w:hAnsi="Times New Roman" w:cs="Times New Roman"/>
          <w:b/>
          <w:sz w:val="20"/>
          <w:szCs w:val="20"/>
        </w:rPr>
      </w:pPr>
    </w:p>
    <w:p w14:paraId="33F22241" w14:textId="77777777" w:rsidR="00E33DDB" w:rsidRDefault="00E33DDB" w:rsidP="00B20327">
      <w:pPr>
        <w:spacing w:line="276" w:lineRule="auto"/>
        <w:rPr>
          <w:rFonts w:ascii="Times New Roman" w:hAnsi="Times New Roman" w:cs="Times New Roman"/>
          <w:b/>
          <w:sz w:val="20"/>
          <w:szCs w:val="20"/>
        </w:rPr>
      </w:pPr>
    </w:p>
    <w:p w14:paraId="57D4B589" w14:textId="312144A1" w:rsidR="00E33DDB" w:rsidRDefault="00E33DDB" w:rsidP="00B20327">
      <w:pPr>
        <w:spacing w:line="276" w:lineRule="auto"/>
        <w:rPr>
          <w:rFonts w:ascii="Times New Roman" w:hAnsi="Times New Roman" w:cs="Times New Roman"/>
          <w:b/>
          <w:sz w:val="20"/>
          <w:szCs w:val="20"/>
        </w:rPr>
      </w:pPr>
    </w:p>
    <w:p w14:paraId="6452A793" w14:textId="77777777" w:rsidR="00B20327" w:rsidRDefault="00B20327" w:rsidP="00B20327">
      <w:pPr>
        <w:spacing w:line="276" w:lineRule="auto"/>
        <w:rPr>
          <w:rFonts w:ascii="Times New Roman" w:hAnsi="Times New Roman" w:cs="Times New Roman"/>
          <w:b/>
          <w:sz w:val="20"/>
          <w:szCs w:val="20"/>
        </w:rPr>
      </w:pPr>
    </w:p>
    <w:p w14:paraId="5B1E7091" w14:textId="0981E902" w:rsidR="00A91E76" w:rsidRDefault="00A91E76" w:rsidP="00B20327">
      <w:pPr>
        <w:spacing w:line="276" w:lineRule="auto"/>
        <w:rPr>
          <w:rFonts w:ascii="Times New Roman" w:hAnsi="Times New Roman" w:cs="Times New Roman"/>
          <w:sz w:val="20"/>
          <w:szCs w:val="20"/>
        </w:rPr>
      </w:pPr>
      <w:r w:rsidRPr="00A644B9">
        <w:rPr>
          <w:rFonts w:ascii="Times New Roman" w:hAnsi="Times New Roman" w:cs="Times New Roman"/>
          <w:b/>
          <w:sz w:val="20"/>
          <w:szCs w:val="20"/>
        </w:rPr>
        <w:t xml:space="preserve">Tablo </w:t>
      </w:r>
      <w:proofErr w:type="gramStart"/>
      <w:r>
        <w:rPr>
          <w:rFonts w:ascii="Times New Roman" w:hAnsi="Times New Roman" w:cs="Times New Roman"/>
          <w:b/>
          <w:sz w:val="20"/>
          <w:szCs w:val="20"/>
        </w:rPr>
        <w:t>4</w:t>
      </w:r>
      <w:r w:rsidRPr="00A644B9">
        <w:rPr>
          <w:rFonts w:ascii="Times New Roman" w:hAnsi="Times New Roman" w:cs="Times New Roman"/>
          <w:b/>
          <w:sz w:val="20"/>
          <w:szCs w:val="20"/>
        </w:rPr>
        <w:t>. :</w:t>
      </w:r>
      <w:proofErr w:type="gramEnd"/>
      <w:r w:rsidRPr="00A644B9">
        <w:rPr>
          <w:rFonts w:ascii="Times New Roman" w:hAnsi="Times New Roman" w:cs="Times New Roman"/>
          <w:b/>
          <w:sz w:val="20"/>
          <w:szCs w:val="20"/>
        </w:rPr>
        <w:t xml:space="preserve"> </w:t>
      </w:r>
      <w:proofErr w:type="spellStart"/>
      <w:r w:rsidRPr="00A644B9">
        <w:rPr>
          <w:rFonts w:ascii="Times New Roman" w:hAnsi="Times New Roman" w:cs="Times New Roman"/>
          <w:sz w:val="20"/>
          <w:szCs w:val="20"/>
        </w:rPr>
        <w:t>Johansen</w:t>
      </w:r>
      <w:proofErr w:type="spellEnd"/>
      <w:r w:rsidRPr="00A644B9">
        <w:rPr>
          <w:rFonts w:ascii="Times New Roman" w:hAnsi="Times New Roman" w:cs="Times New Roman"/>
          <w:sz w:val="20"/>
          <w:szCs w:val="20"/>
        </w:rPr>
        <w:t xml:space="preserve"> </w:t>
      </w:r>
      <w:proofErr w:type="spellStart"/>
      <w:r w:rsidRPr="00A644B9">
        <w:rPr>
          <w:rFonts w:ascii="Times New Roman" w:hAnsi="Times New Roman" w:cs="Times New Roman"/>
          <w:sz w:val="20"/>
          <w:szCs w:val="20"/>
        </w:rPr>
        <w:t>Eşbütünleşme</w:t>
      </w:r>
      <w:proofErr w:type="spellEnd"/>
      <w:r w:rsidRPr="00A644B9">
        <w:rPr>
          <w:rFonts w:ascii="Times New Roman" w:hAnsi="Times New Roman" w:cs="Times New Roman"/>
          <w:sz w:val="20"/>
          <w:szCs w:val="20"/>
        </w:rPr>
        <w:t xml:space="preserve"> Analizi Sonuçları</w:t>
      </w:r>
    </w:p>
    <w:p w14:paraId="39D14B42" w14:textId="77777777" w:rsidR="00A91E76" w:rsidRDefault="00A91E76" w:rsidP="00B20327">
      <w:pPr>
        <w:spacing w:line="276" w:lineRule="auto"/>
        <w:rPr>
          <w:rFonts w:ascii="Times New Roman" w:hAnsi="Times New Roman" w:cs="Times New Roman"/>
          <w:sz w:val="20"/>
          <w:szCs w:val="20"/>
        </w:rPr>
      </w:pPr>
    </w:p>
    <w:p w14:paraId="2D4101FD" w14:textId="77777777" w:rsidR="00A91E76" w:rsidRDefault="00A91E76" w:rsidP="00B20327">
      <w:pPr>
        <w:spacing w:line="276"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5F32D5F" wp14:editId="3D208C20">
            <wp:extent cx="3886200" cy="3705225"/>
            <wp:effectExtent l="0" t="0" r="0" b="9525"/>
            <wp:docPr id="6" name="Resim 6" descr="tabl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descr="tablo içeren bir resim&#10;&#10;Açıklama otomatik olarak oluşturuldu"/>
                    <pic:cNvPicPr/>
                  </pic:nvPicPr>
                  <pic:blipFill>
                    <a:blip r:embed="rId14">
                      <a:extLst>
                        <a:ext uri="{28A0092B-C50C-407E-A947-70E740481C1C}">
                          <a14:useLocalDpi xmlns:a14="http://schemas.microsoft.com/office/drawing/2010/main" val="0"/>
                        </a:ext>
                      </a:extLst>
                    </a:blip>
                    <a:stretch>
                      <a:fillRect/>
                    </a:stretch>
                  </pic:blipFill>
                  <pic:spPr>
                    <a:xfrm>
                      <a:off x="0" y="0"/>
                      <a:ext cx="3886753" cy="3705752"/>
                    </a:xfrm>
                    <a:prstGeom prst="rect">
                      <a:avLst/>
                    </a:prstGeom>
                  </pic:spPr>
                </pic:pic>
              </a:graphicData>
            </a:graphic>
          </wp:inline>
        </w:drawing>
      </w:r>
    </w:p>
    <w:p w14:paraId="31F606AD" w14:textId="77777777" w:rsidR="00A91E76" w:rsidRDefault="00A91E76" w:rsidP="00B20327">
      <w:pPr>
        <w:spacing w:line="276" w:lineRule="auto"/>
        <w:rPr>
          <w:rFonts w:ascii="Times New Roman" w:hAnsi="Times New Roman" w:cs="Times New Roman"/>
          <w:b/>
          <w:sz w:val="24"/>
          <w:szCs w:val="24"/>
        </w:rPr>
      </w:pPr>
    </w:p>
    <w:p w14:paraId="466AE46D" w14:textId="77777777" w:rsidR="00A91E76" w:rsidRPr="00B20327" w:rsidRDefault="00A91E76" w:rsidP="00B20327">
      <w:pPr>
        <w:spacing w:line="276" w:lineRule="auto"/>
        <w:jc w:val="both"/>
        <w:rPr>
          <w:rFonts w:ascii="Times New Roman" w:hAnsi="Times New Roman" w:cs="Times New Roman"/>
        </w:rPr>
      </w:pPr>
      <w:r w:rsidRPr="00B20327">
        <w:rPr>
          <w:rFonts w:ascii="Times New Roman" w:hAnsi="Times New Roman" w:cs="Times New Roman"/>
          <w:b/>
        </w:rPr>
        <w:t>NOT:</w:t>
      </w:r>
      <w:r w:rsidRPr="00B20327">
        <w:rPr>
          <w:rFonts w:ascii="Times New Roman" w:hAnsi="Times New Roman" w:cs="Times New Roman"/>
        </w:rPr>
        <w:t xml:space="preserve"> *, **, *** sırasıyla %1, %5 ve %10 anlamlılık düzeylerinde H</w:t>
      </w:r>
      <w:r w:rsidRPr="00B20327">
        <w:rPr>
          <w:rFonts w:ascii="Times New Roman" w:hAnsi="Times New Roman" w:cs="Times New Roman"/>
          <w:vertAlign w:val="subscript"/>
        </w:rPr>
        <w:t>0</w:t>
      </w:r>
      <w:r w:rsidRPr="00B20327">
        <w:rPr>
          <w:rFonts w:ascii="Times New Roman" w:hAnsi="Times New Roman" w:cs="Times New Roman"/>
        </w:rPr>
        <w:t xml:space="preserve"> hipotezinin reddedileceğini belirtmektedir.</w:t>
      </w:r>
    </w:p>
    <w:p w14:paraId="0DCA11AD" w14:textId="77777777" w:rsidR="00A91E76" w:rsidRPr="00B20327" w:rsidRDefault="00A91E76" w:rsidP="00B20327">
      <w:pPr>
        <w:spacing w:line="276" w:lineRule="auto"/>
        <w:rPr>
          <w:rFonts w:ascii="Times New Roman" w:hAnsi="Times New Roman" w:cs="Times New Roman"/>
        </w:rPr>
      </w:pPr>
    </w:p>
    <w:p w14:paraId="1C14D8CA" w14:textId="0DAD6F18" w:rsidR="00A91E76" w:rsidRPr="00B20327" w:rsidRDefault="00A91E76" w:rsidP="00B20327">
      <w:pPr>
        <w:spacing w:line="276" w:lineRule="auto"/>
        <w:jc w:val="both"/>
        <w:rPr>
          <w:rFonts w:ascii="Times New Roman" w:hAnsi="Times New Roman" w:cs="Times New Roman"/>
        </w:rPr>
      </w:pPr>
      <w:r w:rsidRPr="00B20327">
        <w:rPr>
          <w:rFonts w:ascii="Times New Roman" w:hAnsi="Times New Roman" w:cs="Times New Roman"/>
        </w:rPr>
        <w:t xml:space="preserve">Tablo 4 ile gösterilen </w:t>
      </w:r>
      <w:proofErr w:type="spellStart"/>
      <w:r w:rsidRPr="00B20327">
        <w:rPr>
          <w:rFonts w:ascii="Times New Roman" w:hAnsi="Times New Roman" w:cs="Times New Roman"/>
        </w:rPr>
        <w:t>Johansen</w:t>
      </w:r>
      <w:proofErr w:type="spellEnd"/>
      <w:r w:rsidRPr="00B20327">
        <w:rPr>
          <w:rFonts w:ascii="Times New Roman" w:hAnsi="Times New Roman" w:cs="Times New Roman"/>
        </w:rPr>
        <w:t xml:space="preserve"> </w:t>
      </w:r>
      <w:proofErr w:type="spellStart"/>
      <w:r w:rsidRPr="00B20327">
        <w:rPr>
          <w:rFonts w:ascii="Times New Roman" w:hAnsi="Times New Roman" w:cs="Times New Roman"/>
        </w:rPr>
        <w:t>eşbütünleşme</w:t>
      </w:r>
      <w:proofErr w:type="spellEnd"/>
      <w:r w:rsidRPr="00B20327">
        <w:rPr>
          <w:rFonts w:ascii="Times New Roman" w:hAnsi="Times New Roman" w:cs="Times New Roman"/>
        </w:rPr>
        <w:t xml:space="preserve"> testi </w:t>
      </w:r>
      <w:proofErr w:type="spellStart"/>
      <w:r w:rsidRPr="00B20327">
        <w:rPr>
          <w:rFonts w:ascii="Times New Roman" w:hAnsi="Times New Roman" w:cs="Times New Roman"/>
        </w:rPr>
        <w:t>eşbütünleşik</w:t>
      </w:r>
      <w:proofErr w:type="spellEnd"/>
      <w:r w:rsidRPr="00B20327">
        <w:rPr>
          <w:rFonts w:ascii="Times New Roman" w:hAnsi="Times New Roman" w:cs="Times New Roman"/>
        </w:rPr>
        <w:t xml:space="preserve"> vektör sayısının belli sayıda ve daha küçük olduğunu belirten H</w:t>
      </w:r>
      <w:r w:rsidRPr="00B20327">
        <w:rPr>
          <w:rFonts w:ascii="Times New Roman" w:hAnsi="Times New Roman" w:cs="Times New Roman"/>
          <w:vertAlign w:val="subscript"/>
        </w:rPr>
        <w:t>0</w:t>
      </w:r>
      <w:r w:rsidRPr="00B20327">
        <w:rPr>
          <w:rFonts w:ascii="Times New Roman" w:hAnsi="Times New Roman" w:cs="Times New Roman"/>
        </w:rPr>
        <w:t xml:space="preserve"> hipotezi alternatif hipoteze karşı sınamaktadır. Analiz sonuçlarından görüleceği üzere iz testi sonucu seriler arasında iki tane </w:t>
      </w:r>
      <w:proofErr w:type="spellStart"/>
      <w:r w:rsidRPr="00B20327">
        <w:rPr>
          <w:rFonts w:ascii="Times New Roman" w:hAnsi="Times New Roman" w:cs="Times New Roman"/>
        </w:rPr>
        <w:t>eşbütünleşik</w:t>
      </w:r>
      <w:proofErr w:type="spellEnd"/>
      <w:r w:rsidRPr="00B20327">
        <w:rPr>
          <w:rFonts w:ascii="Times New Roman" w:hAnsi="Times New Roman" w:cs="Times New Roman"/>
        </w:rPr>
        <w:t xml:space="preserve"> vektör bulunduğuna işaret etmektedir. Buna göre seriler arasında iki tane </w:t>
      </w:r>
      <w:proofErr w:type="spellStart"/>
      <w:r w:rsidRPr="00B20327">
        <w:rPr>
          <w:rFonts w:ascii="Times New Roman" w:hAnsi="Times New Roman" w:cs="Times New Roman"/>
        </w:rPr>
        <w:t>eşbütünleşik</w:t>
      </w:r>
      <w:proofErr w:type="spellEnd"/>
      <w:r w:rsidRPr="00B20327">
        <w:rPr>
          <w:rFonts w:ascii="Times New Roman" w:hAnsi="Times New Roman" w:cs="Times New Roman"/>
        </w:rPr>
        <w:t xml:space="preserve"> vektör bulunduğu ve uzun dönem ilişkisi bulunduğu söylenebilir.</w:t>
      </w:r>
    </w:p>
    <w:p w14:paraId="66CD8709" w14:textId="77777777" w:rsidR="00A91E76" w:rsidRPr="00B20327" w:rsidRDefault="00A91E76" w:rsidP="00B20327">
      <w:pPr>
        <w:spacing w:line="276" w:lineRule="auto"/>
        <w:jc w:val="both"/>
        <w:rPr>
          <w:rFonts w:ascii="Times New Roman" w:hAnsi="Times New Roman" w:cs="Times New Roman"/>
        </w:rPr>
      </w:pPr>
      <w:r w:rsidRPr="00B20327">
        <w:rPr>
          <w:rFonts w:ascii="Times New Roman" w:hAnsi="Times New Roman" w:cs="Times New Roman"/>
        </w:rPr>
        <w:t>Değişkenler arasında olan ilişkilerin gecikme yapısı ve yönünün tespit edildiği uygulamaya “</w:t>
      </w:r>
      <w:proofErr w:type="spellStart"/>
      <w:r w:rsidRPr="00B20327">
        <w:rPr>
          <w:rFonts w:ascii="Times New Roman" w:hAnsi="Times New Roman" w:cs="Times New Roman"/>
        </w:rPr>
        <w:t>Granger</w:t>
      </w:r>
      <w:proofErr w:type="spellEnd"/>
      <w:r w:rsidRPr="00B20327">
        <w:rPr>
          <w:rFonts w:ascii="Times New Roman" w:hAnsi="Times New Roman" w:cs="Times New Roman"/>
        </w:rPr>
        <w:t xml:space="preserve"> Nedensellik Sınaması” denilmektedir. Bu sınamadaki amacı; birden fazla değişkenin bulunduğu modellerde değişkenler arasındaki tek yönlü veya çift yönlü (karşılıklı) ilişkinin tespit edilmesi olarak tanımlamak mümkündür.</w:t>
      </w:r>
    </w:p>
    <w:p w14:paraId="75C2534F" w14:textId="77777777" w:rsidR="00A91E76" w:rsidRPr="00B20327" w:rsidRDefault="00A91E76" w:rsidP="00B20327">
      <w:pPr>
        <w:spacing w:line="276" w:lineRule="auto"/>
        <w:jc w:val="both"/>
        <w:rPr>
          <w:rFonts w:ascii="Times New Roman" w:hAnsi="Times New Roman" w:cs="Times New Roman"/>
        </w:rPr>
      </w:pPr>
      <w:proofErr w:type="spellStart"/>
      <w:r w:rsidRPr="00B20327">
        <w:rPr>
          <w:rFonts w:ascii="Times New Roman" w:hAnsi="Times New Roman" w:cs="Times New Roman"/>
        </w:rPr>
        <w:t>Granger</w:t>
      </w:r>
      <w:proofErr w:type="spellEnd"/>
      <w:r w:rsidRPr="00B20327">
        <w:rPr>
          <w:rFonts w:ascii="Times New Roman" w:hAnsi="Times New Roman" w:cs="Times New Roman"/>
        </w:rPr>
        <w:t xml:space="preserve"> nedensellik sınamasında X ve Y şeklindeki iki değişken arasında bir ilişkinin yönü araştırılmaktadır. İki değişkenin bulunduğu modelde değişkenler arasındaki etkileme ilişkisi tespit edilirken aşağıdaki formüller uygulanmaktadır. </w:t>
      </w:r>
    </w:p>
    <w:p w14:paraId="3B03053F" w14:textId="77777777" w:rsidR="00A91E76" w:rsidRPr="006A69FA" w:rsidRDefault="00A91E76" w:rsidP="00B20327">
      <w:pPr>
        <w:spacing w:line="276" w:lineRule="auto"/>
        <w:ind w:firstLine="567"/>
        <w:rPr>
          <w:rFonts w:ascii="Times New Roman" w:hAnsi="Times New Roman" w:cs="Times New Roman"/>
          <w:sz w:val="24"/>
          <w:szCs w:val="24"/>
        </w:rPr>
      </w:pPr>
    </w:p>
    <w:p w14:paraId="7DED0BFD" w14:textId="3B4A6327" w:rsidR="00A91E76" w:rsidRPr="00B20327" w:rsidRDefault="00863205" w:rsidP="00B20327">
      <w:pPr>
        <w:spacing w:line="276" w:lineRule="auto"/>
        <w:ind w:left="1701"/>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m:t>
            </m:r>
          </m:sub>
        </m:sSub>
        <m:r>
          <w:rPr>
            <w:rFonts w:ascii="Cambria Math" w:hAnsi="Cambria Math" w:cs="Times New Roman"/>
          </w:rPr>
          <m:t>=</m:t>
        </m:r>
        <m:nary>
          <m:naryPr>
            <m:chr m:val="∑"/>
            <m:limLoc m:val="subSup"/>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p</m:t>
            </m:r>
          </m:sup>
          <m:e>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i</m:t>
                </m:r>
              </m:sub>
            </m:sSub>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t-i</m:t>
                </m:r>
              </m:sub>
            </m:sSub>
          </m:e>
        </m:nary>
        <m:r>
          <w:rPr>
            <w:rFonts w:ascii="Cambria Math" w:hAnsi="Cambria Math" w:cs="Times New Roman"/>
          </w:rPr>
          <m:t>+</m:t>
        </m:r>
        <m:nary>
          <m:naryPr>
            <m:chr m:val="∑"/>
            <m:limLoc m:val="subSup"/>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p</m:t>
            </m:r>
          </m:sup>
          <m:e>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i</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t-i</m:t>
                </m:r>
              </m:sub>
            </m:sSub>
          </m:e>
        </m:nary>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1t</m:t>
            </m:r>
          </m:sub>
        </m:sSub>
      </m:oMath>
      <w:r w:rsidR="00117B94">
        <w:rPr>
          <w:rFonts w:ascii="Times New Roman" w:eastAsiaTheme="minorEastAsia" w:hAnsi="Times New Roman" w:cs="Times New Roman"/>
        </w:rPr>
        <w:tab/>
      </w:r>
      <w:r w:rsidR="00117B94">
        <w:rPr>
          <w:rFonts w:ascii="Times New Roman" w:eastAsiaTheme="minorEastAsia" w:hAnsi="Times New Roman" w:cs="Times New Roman"/>
        </w:rPr>
        <w:tab/>
      </w:r>
      <w:r w:rsidR="00117B94">
        <w:rPr>
          <w:rFonts w:ascii="Times New Roman" w:eastAsiaTheme="minorEastAsia" w:hAnsi="Times New Roman" w:cs="Times New Roman"/>
        </w:rPr>
        <w:tab/>
      </w:r>
      <w:r w:rsidR="00117B94">
        <w:rPr>
          <w:rFonts w:ascii="Times New Roman" w:eastAsiaTheme="minorEastAsia" w:hAnsi="Times New Roman" w:cs="Times New Roman"/>
        </w:rPr>
        <w:tab/>
      </w:r>
      <w:r w:rsidR="00117B94">
        <w:rPr>
          <w:rFonts w:ascii="Times New Roman" w:eastAsiaTheme="minorEastAsia" w:hAnsi="Times New Roman" w:cs="Times New Roman"/>
        </w:rPr>
        <w:tab/>
        <w:t>(7)</w:t>
      </w:r>
      <w:r w:rsidR="00A91E76" w:rsidRPr="00B20327">
        <w:rPr>
          <w:rFonts w:ascii="Times New Roman" w:eastAsiaTheme="minorEastAsia" w:hAnsi="Times New Roman" w:cs="Times New Roman"/>
        </w:rPr>
        <w:tab/>
      </w:r>
    </w:p>
    <w:p w14:paraId="09F1DB67" w14:textId="77777777" w:rsidR="00A91E76" w:rsidRPr="00B20327" w:rsidRDefault="00A91E76" w:rsidP="00B20327">
      <w:pPr>
        <w:spacing w:line="276" w:lineRule="auto"/>
        <w:ind w:left="1701"/>
        <w:rPr>
          <w:rFonts w:ascii="Times New Roman" w:hAnsi="Times New Roman" w:cs="Times New Roman"/>
        </w:rPr>
      </w:pPr>
      <w:r w:rsidRPr="00B20327">
        <w:rPr>
          <w:rFonts w:ascii="Times New Roman" w:eastAsiaTheme="minorEastAsia" w:hAnsi="Times New Roman" w:cs="Times New Roman"/>
        </w:rPr>
        <w:tab/>
      </w:r>
      <w:r w:rsidRPr="00B20327">
        <w:rPr>
          <w:rFonts w:ascii="Times New Roman" w:eastAsiaTheme="minorEastAsia" w:hAnsi="Times New Roman" w:cs="Times New Roman"/>
        </w:rPr>
        <w:tab/>
      </w:r>
      <w:r w:rsidRPr="00B20327">
        <w:rPr>
          <w:rFonts w:ascii="Times New Roman" w:eastAsiaTheme="minorEastAsia" w:hAnsi="Times New Roman" w:cs="Times New Roman"/>
        </w:rPr>
        <w:tab/>
      </w:r>
      <w:r w:rsidRPr="00B20327">
        <w:rPr>
          <w:rFonts w:ascii="Times New Roman" w:eastAsiaTheme="minorEastAsia" w:hAnsi="Times New Roman" w:cs="Times New Roman"/>
        </w:rPr>
        <w:tab/>
      </w:r>
      <w:r w:rsidRPr="00B20327">
        <w:rPr>
          <w:rFonts w:ascii="Times New Roman" w:eastAsiaTheme="minorEastAsia" w:hAnsi="Times New Roman" w:cs="Times New Roman"/>
        </w:rPr>
        <w:tab/>
      </w:r>
    </w:p>
    <w:p w14:paraId="1E7AC6E0" w14:textId="2FCAACE8" w:rsidR="00A91E76" w:rsidRPr="00B20327" w:rsidRDefault="00863205" w:rsidP="00B20327">
      <w:pPr>
        <w:spacing w:line="276" w:lineRule="auto"/>
        <w:ind w:left="1701"/>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t</m:t>
            </m:r>
          </m:sub>
        </m:sSub>
        <m:r>
          <w:rPr>
            <w:rFonts w:ascii="Cambria Math" w:hAnsi="Cambria Math" w:cs="Times New Roman"/>
          </w:rPr>
          <m:t>=</m:t>
        </m:r>
        <m:nary>
          <m:naryPr>
            <m:chr m:val="∑"/>
            <m:limLoc m:val="subSup"/>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p</m:t>
            </m:r>
          </m:sup>
          <m:e>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i</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t-i</m:t>
                </m:r>
              </m:sub>
            </m:sSub>
          </m:e>
        </m:nary>
        <m:r>
          <w:rPr>
            <w:rFonts w:ascii="Cambria Math" w:hAnsi="Cambria Math" w:cs="Times New Roman"/>
          </w:rPr>
          <m:t>+</m:t>
        </m:r>
        <m:nary>
          <m:naryPr>
            <m:chr m:val="∑"/>
            <m:limLoc m:val="subSup"/>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p</m:t>
            </m:r>
          </m:sup>
          <m:e>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i</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t-i</m:t>
                </m:r>
              </m:sub>
            </m:sSub>
          </m:e>
        </m:nary>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2t</m:t>
            </m:r>
          </m:sub>
        </m:sSub>
      </m:oMath>
      <w:r w:rsidR="00A91E76" w:rsidRPr="00B20327">
        <w:rPr>
          <w:rFonts w:ascii="Times New Roman" w:eastAsiaTheme="minorEastAsia" w:hAnsi="Times New Roman" w:cs="Times New Roman"/>
        </w:rPr>
        <w:tab/>
      </w:r>
      <w:r w:rsidR="00A91E76" w:rsidRPr="00B20327">
        <w:rPr>
          <w:rFonts w:ascii="Times New Roman" w:eastAsiaTheme="minorEastAsia" w:hAnsi="Times New Roman" w:cs="Times New Roman"/>
        </w:rPr>
        <w:tab/>
      </w:r>
      <w:r w:rsidR="00A91E76" w:rsidRPr="00B20327">
        <w:rPr>
          <w:rFonts w:ascii="Times New Roman" w:eastAsiaTheme="minorEastAsia" w:hAnsi="Times New Roman" w:cs="Times New Roman"/>
        </w:rPr>
        <w:tab/>
      </w:r>
      <w:r w:rsidR="00A91E76" w:rsidRPr="00B20327">
        <w:rPr>
          <w:rFonts w:ascii="Times New Roman" w:eastAsiaTheme="minorEastAsia" w:hAnsi="Times New Roman" w:cs="Times New Roman"/>
        </w:rPr>
        <w:tab/>
      </w:r>
      <w:r w:rsidR="00A91E76" w:rsidRPr="00B20327">
        <w:rPr>
          <w:rFonts w:ascii="Times New Roman" w:eastAsiaTheme="minorEastAsia" w:hAnsi="Times New Roman" w:cs="Times New Roman"/>
        </w:rPr>
        <w:tab/>
        <w:t>(8)</w:t>
      </w:r>
    </w:p>
    <w:p w14:paraId="672C4BA6" w14:textId="77777777" w:rsidR="00A91E76" w:rsidRPr="00B20327" w:rsidRDefault="00A91E76" w:rsidP="00B20327">
      <w:pPr>
        <w:spacing w:line="276" w:lineRule="auto"/>
        <w:ind w:firstLine="567"/>
        <w:rPr>
          <w:rFonts w:ascii="Times New Roman" w:hAnsi="Times New Roman" w:cs="Times New Roman"/>
        </w:rPr>
      </w:pPr>
    </w:p>
    <w:p w14:paraId="295F1C10" w14:textId="77777777" w:rsidR="00A91E76" w:rsidRPr="00B20327" w:rsidRDefault="00A91E76" w:rsidP="00B20327">
      <w:pPr>
        <w:spacing w:line="276" w:lineRule="auto"/>
        <w:rPr>
          <w:rFonts w:ascii="Times New Roman" w:hAnsi="Times New Roman" w:cs="Times New Roman"/>
        </w:rPr>
      </w:pPr>
      <w:r w:rsidRPr="00B20327">
        <w:rPr>
          <w:rFonts w:ascii="Times New Roman" w:hAnsi="Times New Roman" w:cs="Times New Roman"/>
        </w:rPr>
        <w:t xml:space="preserve">Bu formüllerdeki </w:t>
      </w:r>
      <m:oMath>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1t</m:t>
            </m:r>
          </m:sub>
        </m:sSub>
      </m:oMath>
      <w:r w:rsidRPr="00B20327">
        <w:rPr>
          <w:rFonts w:ascii="Times New Roman" w:hAnsi="Times New Roman" w:cs="Times New Roman"/>
          <w:vertAlign w:val="subscript"/>
        </w:rPr>
        <w:t xml:space="preserve"> </w:t>
      </w:r>
      <w:r w:rsidRPr="00B20327">
        <w:rPr>
          <w:rFonts w:ascii="Times New Roman" w:hAnsi="Times New Roman" w:cs="Times New Roman"/>
        </w:rPr>
        <w:t xml:space="preserve">ve </w:t>
      </w:r>
      <m:oMath>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2t</m:t>
            </m:r>
          </m:sub>
        </m:sSub>
      </m:oMath>
      <w:r w:rsidRPr="00B20327">
        <w:rPr>
          <w:rFonts w:ascii="Times New Roman" w:hAnsi="Times New Roman" w:cs="Times New Roman"/>
        </w:rPr>
        <w:t xml:space="preserve"> hata terimleri “ilişkisizdir” olarak kabul edilmektedir. Bu sayede verilen denklemler ilgili değişkenlerin geçmişteki değerleri ile ilişkili olduğu kadar kendilerinin geçmişteki değerlerinin de bir fonksiyonu olarak kabul edilir. </w:t>
      </w:r>
      <w:proofErr w:type="spellStart"/>
      <w:r w:rsidRPr="00B20327">
        <w:rPr>
          <w:rFonts w:ascii="Times New Roman" w:hAnsi="Times New Roman" w:cs="Times New Roman"/>
        </w:rPr>
        <w:t>Granger</w:t>
      </w:r>
      <w:proofErr w:type="spellEnd"/>
      <w:r w:rsidRPr="00B20327">
        <w:rPr>
          <w:rFonts w:ascii="Times New Roman" w:hAnsi="Times New Roman" w:cs="Times New Roman"/>
        </w:rPr>
        <w:t xml:space="preserve"> nedensellik sınamasında </w:t>
      </w:r>
      <w:proofErr w:type="spellStart"/>
      <w:r w:rsidRPr="00B20327">
        <w:rPr>
          <w:rFonts w:ascii="Times New Roman" w:hAnsi="Times New Roman" w:cs="Times New Roman"/>
        </w:rPr>
        <w:t>X</w:t>
      </w:r>
      <w:r w:rsidRPr="00B20327">
        <w:rPr>
          <w:rFonts w:ascii="Times New Roman" w:hAnsi="Times New Roman" w:cs="Times New Roman"/>
          <w:vertAlign w:val="subscript"/>
        </w:rPr>
        <w:t>t</w:t>
      </w:r>
      <w:proofErr w:type="spellEnd"/>
      <w:r w:rsidRPr="00B20327">
        <w:rPr>
          <w:rFonts w:ascii="Times New Roman" w:hAnsi="Times New Roman" w:cs="Times New Roman"/>
        </w:rPr>
        <w:t xml:space="preserve"> ile </w:t>
      </w:r>
      <w:proofErr w:type="spellStart"/>
      <w:r w:rsidRPr="00B20327">
        <w:rPr>
          <w:rFonts w:ascii="Times New Roman" w:hAnsi="Times New Roman" w:cs="Times New Roman"/>
        </w:rPr>
        <w:t>Y</w:t>
      </w:r>
      <w:r w:rsidRPr="00B20327">
        <w:rPr>
          <w:rFonts w:ascii="Times New Roman" w:hAnsi="Times New Roman" w:cs="Times New Roman"/>
          <w:vertAlign w:val="subscript"/>
        </w:rPr>
        <w:t>t</w:t>
      </w:r>
      <w:proofErr w:type="spellEnd"/>
      <w:r w:rsidRPr="00B20327">
        <w:rPr>
          <w:rFonts w:ascii="Times New Roman" w:hAnsi="Times New Roman" w:cs="Times New Roman"/>
        </w:rPr>
        <w:t xml:space="preserve"> arasında tek veya çift yönlü nedensellik bağı olabildiği gibi, değişkenlerin arasında bir nedensellik bağı olmaması da söz konusudur (Akıncı vd., 2014: 8).</w:t>
      </w:r>
    </w:p>
    <w:p w14:paraId="40C455D9" w14:textId="77777777" w:rsidR="00A91E76" w:rsidRPr="006A69FA" w:rsidRDefault="00A91E76" w:rsidP="00B20327">
      <w:pPr>
        <w:spacing w:line="276" w:lineRule="auto"/>
        <w:ind w:firstLine="567"/>
        <w:rPr>
          <w:rFonts w:ascii="Times New Roman" w:hAnsi="Times New Roman" w:cs="Times New Roman"/>
          <w:sz w:val="24"/>
          <w:szCs w:val="24"/>
        </w:rPr>
      </w:pPr>
    </w:p>
    <w:p w14:paraId="03853BC3" w14:textId="77777777" w:rsidR="00117B94" w:rsidRDefault="00117B94" w:rsidP="00B20327">
      <w:pPr>
        <w:spacing w:line="276" w:lineRule="auto"/>
        <w:rPr>
          <w:rFonts w:ascii="Times New Roman" w:hAnsi="Times New Roman" w:cs="Times New Roman"/>
          <w:b/>
          <w:sz w:val="20"/>
          <w:szCs w:val="20"/>
        </w:rPr>
      </w:pPr>
    </w:p>
    <w:p w14:paraId="58B3D684" w14:textId="77777777" w:rsidR="00117B94" w:rsidRDefault="00117B94" w:rsidP="00B20327">
      <w:pPr>
        <w:spacing w:line="276" w:lineRule="auto"/>
        <w:rPr>
          <w:rFonts w:ascii="Times New Roman" w:hAnsi="Times New Roman" w:cs="Times New Roman"/>
          <w:b/>
          <w:sz w:val="20"/>
          <w:szCs w:val="20"/>
        </w:rPr>
      </w:pPr>
    </w:p>
    <w:p w14:paraId="66303178" w14:textId="77777777" w:rsidR="00117B94" w:rsidRDefault="00117B94" w:rsidP="00B20327">
      <w:pPr>
        <w:spacing w:line="276" w:lineRule="auto"/>
        <w:rPr>
          <w:rFonts w:ascii="Times New Roman" w:hAnsi="Times New Roman" w:cs="Times New Roman"/>
          <w:b/>
          <w:sz w:val="20"/>
          <w:szCs w:val="20"/>
        </w:rPr>
      </w:pPr>
    </w:p>
    <w:p w14:paraId="6DA96C2B" w14:textId="77777777" w:rsidR="00117B94" w:rsidRDefault="00117B94" w:rsidP="00B20327">
      <w:pPr>
        <w:spacing w:line="276" w:lineRule="auto"/>
        <w:rPr>
          <w:rFonts w:ascii="Times New Roman" w:hAnsi="Times New Roman" w:cs="Times New Roman"/>
          <w:b/>
          <w:sz w:val="20"/>
          <w:szCs w:val="20"/>
        </w:rPr>
      </w:pPr>
    </w:p>
    <w:p w14:paraId="12CD9721" w14:textId="77777777" w:rsidR="00117B94" w:rsidRDefault="00117B94" w:rsidP="00B20327">
      <w:pPr>
        <w:spacing w:line="276" w:lineRule="auto"/>
        <w:rPr>
          <w:rFonts w:ascii="Times New Roman" w:hAnsi="Times New Roman" w:cs="Times New Roman"/>
          <w:b/>
          <w:sz w:val="20"/>
          <w:szCs w:val="20"/>
        </w:rPr>
      </w:pPr>
    </w:p>
    <w:p w14:paraId="457BB4ED" w14:textId="77777777" w:rsidR="00117B94" w:rsidRDefault="00117B94" w:rsidP="00B20327">
      <w:pPr>
        <w:spacing w:line="276" w:lineRule="auto"/>
        <w:rPr>
          <w:rFonts w:ascii="Times New Roman" w:hAnsi="Times New Roman" w:cs="Times New Roman"/>
          <w:b/>
          <w:sz w:val="20"/>
          <w:szCs w:val="20"/>
        </w:rPr>
      </w:pPr>
    </w:p>
    <w:p w14:paraId="57EB21FA" w14:textId="77777777" w:rsidR="00117B94" w:rsidRDefault="00117B94" w:rsidP="00B20327">
      <w:pPr>
        <w:spacing w:line="276" w:lineRule="auto"/>
        <w:rPr>
          <w:rFonts w:ascii="Times New Roman" w:hAnsi="Times New Roman" w:cs="Times New Roman"/>
          <w:b/>
          <w:sz w:val="20"/>
          <w:szCs w:val="20"/>
        </w:rPr>
      </w:pPr>
    </w:p>
    <w:p w14:paraId="36ADEB5F" w14:textId="77777777" w:rsidR="00117B94" w:rsidRDefault="00117B94" w:rsidP="00B20327">
      <w:pPr>
        <w:spacing w:line="276" w:lineRule="auto"/>
        <w:rPr>
          <w:rFonts w:ascii="Times New Roman" w:hAnsi="Times New Roman" w:cs="Times New Roman"/>
          <w:b/>
          <w:sz w:val="20"/>
          <w:szCs w:val="20"/>
        </w:rPr>
      </w:pPr>
    </w:p>
    <w:p w14:paraId="471E3CF9" w14:textId="72836B07" w:rsidR="00A91E76" w:rsidRDefault="00A91E76" w:rsidP="00B20327">
      <w:pPr>
        <w:spacing w:line="276" w:lineRule="auto"/>
        <w:rPr>
          <w:rFonts w:ascii="Times New Roman" w:hAnsi="Times New Roman" w:cs="Times New Roman"/>
          <w:sz w:val="20"/>
          <w:szCs w:val="20"/>
        </w:rPr>
      </w:pPr>
      <w:r w:rsidRPr="00A644B9">
        <w:rPr>
          <w:rFonts w:ascii="Times New Roman" w:hAnsi="Times New Roman" w:cs="Times New Roman"/>
          <w:b/>
          <w:sz w:val="20"/>
          <w:szCs w:val="20"/>
        </w:rPr>
        <w:lastRenderedPageBreak/>
        <w:t>Tablo</w:t>
      </w:r>
      <w:proofErr w:type="gramStart"/>
      <w:r>
        <w:rPr>
          <w:rFonts w:ascii="Times New Roman" w:hAnsi="Times New Roman" w:cs="Times New Roman"/>
          <w:b/>
          <w:sz w:val="20"/>
          <w:szCs w:val="20"/>
        </w:rPr>
        <w:t>5</w:t>
      </w:r>
      <w:r w:rsidRPr="00A644B9">
        <w:rPr>
          <w:rFonts w:ascii="Times New Roman" w:hAnsi="Times New Roman" w:cs="Times New Roman"/>
          <w:b/>
          <w:sz w:val="20"/>
          <w:szCs w:val="20"/>
        </w:rPr>
        <w:t>. :</w:t>
      </w:r>
      <w:proofErr w:type="gramEnd"/>
      <w:r w:rsidRPr="00A644B9">
        <w:rPr>
          <w:rFonts w:ascii="Times New Roman" w:hAnsi="Times New Roman" w:cs="Times New Roman"/>
          <w:b/>
          <w:sz w:val="20"/>
          <w:szCs w:val="20"/>
        </w:rPr>
        <w:t xml:space="preserve"> </w:t>
      </w:r>
      <w:proofErr w:type="spellStart"/>
      <w:r w:rsidRPr="00A644B9">
        <w:rPr>
          <w:rFonts w:ascii="Times New Roman" w:hAnsi="Times New Roman" w:cs="Times New Roman"/>
          <w:sz w:val="20"/>
          <w:szCs w:val="20"/>
        </w:rPr>
        <w:t>Granger</w:t>
      </w:r>
      <w:proofErr w:type="spellEnd"/>
      <w:r w:rsidRPr="00A644B9">
        <w:rPr>
          <w:rFonts w:ascii="Times New Roman" w:hAnsi="Times New Roman" w:cs="Times New Roman"/>
          <w:sz w:val="20"/>
          <w:szCs w:val="20"/>
        </w:rPr>
        <w:t xml:space="preserve"> Nedensellik Testi</w:t>
      </w:r>
    </w:p>
    <w:p w14:paraId="6E15FFCF" w14:textId="77777777" w:rsidR="00A91E76" w:rsidRDefault="00A91E76" w:rsidP="00B20327">
      <w:pPr>
        <w:spacing w:line="276"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24AC6FB5" wp14:editId="0646428E">
            <wp:extent cx="3600953" cy="3610479"/>
            <wp:effectExtent l="0" t="0" r="0" b="9525"/>
            <wp:docPr id="7" name="Resim 7" descr="tabl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descr="tablo içeren bir resim&#10;&#10;Açıklama otomatik olarak oluşturuldu"/>
                    <pic:cNvPicPr/>
                  </pic:nvPicPr>
                  <pic:blipFill>
                    <a:blip r:embed="rId15">
                      <a:extLst>
                        <a:ext uri="{28A0092B-C50C-407E-A947-70E740481C1C}">
                          <a14:useLocalDpi xmlns:a14="http://schemas.microsoft.com/office/drawing/2010/main" val="0"/>
                        </a:ext>
                      </a:extLst>
                    </a:blip>
                    <a:stretch>
                      <a:fillRect/>
                    </a:stretch>
                  </pic:blipFill>
                  <pic:spPr>
                    <a:xfrm>
                      <a:off x="0" y="0"/>
                      <a:ext cx="3600953" cy="3610479"/>
                    </a:xfrm>
                    <a:prstGeom prst="rect">
                      <a:avLst/>
                    </a:prstGeom>
                  </pic:spPr>
                </pic:pic>
              </a:graphicData>
            </a:graphic>
          </wp:inline>
        </w:drawing>
      </w:r>
    </w:p>
    <w:p w14:paraId="5D03A2DB" w14:textId="77777777" w:rsidR="00A91E76" w:rsidRDefault="00A91E76" w:rsidP="00B20327">
      <w:pPr>
        <w:spacing w:line="276" w:lineRule="auto"/>
        <w:rPr>
          <w:rFonts w:ascii="Times New Roman" w:hAnsi="Times New Roman" w:cs="Times New Roman"/>
          <w:sz w:val="20"/>
          <w:szCs w:val="20"/>
        </w:rPr>
      </w:pPr>
    </w:p>
    <w:p w14:paraId="588914B5" w14:textId="77777777" w:rsidR="00A91E76" w:rsidRPr="006A69FA" w:rsidRDefault="00A91E76" w:rsidP="00B20327">
      <w:pPr>
        <w:spacing w:line="276" w:lineRule="auto"/>
        <w:ind w:firstLine="567"/>
        <w:rPr>
          <w:rFonts w:ascii="Times New Roman" w:hAnsi="Times New Roman" w:cs="Times New Roman"/>
          <w:bCs/>
          <w:sz w:val="24"/>
          <w:szCs w:val="24"/>
        </w:rPr>
      </w:pPr>
    </w:p>
    <w:p w14:paraId="1DEC3880" w14:textId="51BF8794" w:rsidR="00A91E76" w:rsidRPr="00B20327" w:rsidRDefault="00A91E76" w:rsidP="00B20327">
      <w:pPr>
        <w:spacing w:line="276" w:lineRule="auto"/>
        <w:rPr>
          <w:rFonts w:ascii="Times New Roman" w:hAnsi="Times New Roman" w:cs="Times New Roman"/>
          <w:bCs/>
        </w:rPr>
      </w:pPr>
      <w:r w:rsidRPr="00B20327">
        <w:rPr>
          <w:rFonts w:ascii="Times New Roman" w:hAnsi="Times New Roman" w:cs="Times New Roman"/>
          <w:bCs/>
        </w:rPr>
        <w:t>Tablo 5</w:t>
      </w:r>
      <w:r w:rsidR="00775014" w:rsidRPr="00B20327">
        <w:rPr>
          <w:rFonts w:ascii="Times New Roman" w:hAnsi="Times New Roman" w:cs="Times New Roman"/>
          <w:bCs/>
        </w:rPr>
        <w:t xml:space="preserve"> </w:t>
      </w:r>
      <w:r w:rsidRPr="00B20327">
        <w:rPr>
          <w:rFonts w:ascii="Times New Roman" w:hAnsi="Times New Roman" w:cs="Times New Roman"/>
          <w:bCs/>
        </w:rPr>
        <w:t>ile verilen nedensellik analizleri sonuçları incelenecek olursa;</w:t>
      </w:r>
    </w:p>
    <w:p w14:paraId="0A404AB0" w14:textId="774F94C4" w:rsidR="00A91E76" w:rsidRPr="00B20327" w:rsidRDefault="00621405" w:rsidP="00B20327">
      <w:pPr>
        <w:tabs>
          <w:tab w:val="left" w:pos="5370"/>
        </w:tabs>
        <w:spacing w:line="276" w:lineRule="auto"/>
        <w:ind w:firstLine="567"/>
        <w:rPr>
          <w:rFonts w:ascii="Times New Roman" w:hAnsi="Times New Roman" w:cs="Times New Roman"/>
          <w:bCs/>
        </w:rPr>
      </w:pPr>
      <w:r w:rsidRPr="00B20327">
        <w:rPr>
          <w:rFonts w:ascii="Times New Roman" w:hAnsi="Times New Roman" w:cs="Times New Roman"/>
          <w:bCs/>
          <w:i/>
          <w:iCs/>
        </w:rPr>
        <w:t>BIST</w:t>
      </w:r>
      <w:proofErr w:type="gramStart"/>
      <w:r w:rsidR="00A91E76" w:rsidRPr="00B20327">
        <w:rPr>
          <w:rFonts w:ascii="Times New Roman" w:hAnsi="Times New Roman" w:cs="Times New Roman"/>
          <w:bCs/>
          <w:i/>
          <w:iCs/>
        </w:rPr>
        <w:t>30</w:t>
      </w:r>
      <w:r w:rsidR="00A91E76" w:rsidRPr="00B20327">
        <w:rPr>
          <w:rFonts w:ascii="Times New Roman" w:hAnsi="Times New Roman" w:cs="Times New Roman"/>
          <w:bCs/>
          <w:i/>
          <w:iCs/>
          <w:vertAlign w:val="subscript"/>
        </w:rPr>
        <w:t>t</w:t>
      </w:r>
      <w:r w:rsidR="00A91E76" w:rsidRPr="00B20327">
        <w:rPr>
          <w:rFonts w:ascii="Times New Roman" w:hAnsi="Times New Roman" w:cs="Times New Roman"/>
          <w:bCs/>
          <w:i/>
          <w:iCs/>
        </w:rPr>
        <w:t xml:space="preserve">  </w:t>
      </w:r>
      <w:r w:rsidR="00A91E76" w:rsidRPr="00B20327">
        <w:rPr>
          <w:rFonts w:ascii="Times New Roman" w:hAnsi="Times New Roman" w:cs="Times New Roman"/>
          <w:b/>
          <w:bCs/>
        </w:rPr>
        <w:t>=</w:t>
      </w:r>
      <w:proofErr w:type="gramEnd"/>
      <w:r w:rsidR="00A91E76" w:rsidRPr="00B20327">
        <w:rPr>
          <w:rFonts w:ascii="Times New Roman" w:hAnsi="Times New Roman" w:cs="Times New Roman"/>
          <w:bCs/>
          <w:i/>
          <w:iCs/>
        </w:rPr>
        <w:t xml:space="preserve"> </w:t>
      </w:r>
      <w:r w:rsidR="00A91E76" w:rsidRPr="00B20327">
        <w:rPr>
          <w:rFonts w:ascii="Times New Roman" w:hAnsi="Times New Roman" w:cs="Times New Roman"/>
          <w:b/>
          <w:bCs/>
          <w:i/>
          <w:iCs/>
        </w:rPr>
        <w:t>α</w:t>
      </w:r>
      <w:r w:rsidR="00A91E76" w:rsidRPr="00B20327">
        <w:rPr>
          <w:rFonts w:ascii="Times New Roman" w:hAnsi="Times New Roman" w:cs="Times New Roman"/>
          <w:bCs/>
          <w:i/>
          <w:iCs/>
        </w:rPr>
        <w:t xml:space="preserve"> </w:t>
      </w:r>
      <w:r w:rsidR="00A91E76" w:rsidRPr="00B20327">
        <w:rPr>
          <w:rFonts w:ascii="Times New Roman" w:hAnsi="Times New Roman" w:cs="Times New Roman"/>
          <w:bCs/>
          <w:vertAlign w:val="subscript"/>
        </w:rPr>
        <w:t>0</w:t>
      </w:r>
      <w:r w:rsidR="00A91E76" w:rsidRPr="00B20327">
        <w:rPr>
          <w:rFonts w:ascii="Times New Roman" w:hAnsi="Times New Roman" w:cs="Times New Roman"/>
          <w:bCs/>
          <w:i/>
          <w:iCs/>
        </w:rPr>
        <w:t xml:space="preserve"> </w:t>
      </w:r>
      <w:r w:rsidR="00A91E76" w:rsidRPr="00B20327">
        <w:rPr>
          <w:rFonts w:ascii="Times New Roman" w:hAnsi="Times New Roman" w:cs="Times New Roman"/>
          <w:b/>
          <w:bCs/>
        </w:rPr>
        <w:t>+</w:t>
      </w:r>
      <w:r w:rsidR="00A91E76" w:rsidRPr="00B20327">
        <w:rPr>
          <w:rFonts w:ascii="Times New Roman" w:hAnsi="Times New Roman" w:cs="Times New Roman"/>
          <w:bCs/>
          <w:i/>
          <w:iCs/>
        </w:rPr>
        <w:t xml:space="preserve"> </w:t>
      </w:r>
      <w:r w:rsidR="00A91E76" w:rsidRPr="00B20327">
        <w:rPr>
          <w:rFonts w:ascii="Times New Roman" w:hAnsi="Times New Roman" w:cs="Times New Roman"/>
          <w:b/>
          <w:bCs/>
          <w:i/>
          <w:iCs/>
        </w:rPr>
        <w:t>α</w:t>
      </w:r>
      <w:r w:rsidR="00A91E76" w:rsidRPr="00B20327">
        <w:rPr>
          <w:rFonts w:ascii="Times New Roman" w:hAnsi="Times New Roman" w:cs="Times New Roman"/>
          <w:bCs/>
          <w:i/>
          <w:iCs/>
        </w:rPr>
        <w:t xml:space="preserve"> </w:t>
      </w:r>
      <w:r w:rsidR="00A91E76" w:rsidRPr="00B20327">
        <w:rPr>
          <w:rFonts w:ascii="Times New Roman" w:hAnsi="Times New Roman" w:cs="Times New Roman"/>
          <w:bCs/>
          <w:vertAlign w:val="subscript"/>
        </w:rPr>
        <w:t>1</w:t>
      </w:r>
      <w:r w:rsidR="00A91E76" w:rsidRPr="00B20327">
        <w:rPr>
          <w:rFonts w:ascii="Times New Roman" w:hAnsi="Times New Roman" w:cs="Times New Roman"/>
          <w:bCs/>
          <w:i/>
          <w:iCs/>
        </w:rPr>
        <w:t xml:space="preserve"> </w:t>
      </w:r>
      <w:r w:rsidRPr="00B20327">
        <w:rPr>
          <w:rFonts w:ascii="Times New Roman" w:hAnsi="Times New Roman" w:cs="Times New Roman"/>
          <w:bCs/>
          <w:i/>
          <w:iCs/>
        </w:rPr>
        <w:t>BIST</w:t>
      </w:r>
      <w:r w:rsidR="00A91E76" w:rsidRPr="00B20327">
        <w:rPr>
          <w:rFonts w:ascii="Times New Roman" w:hAnsi="Times New Roman" w:cs="Times New Roman"/>
          <w:bCs/>
          <w:i/>
          <w:iCs/>
        </w:rPr>
        <w:t>30</w:t>
      </w:r>
      <w:r w:rsidR="00A91E76" w:rsidRPr="00B20327">
        <w:rPr>
          <w:rFonts w:ascii="Times New Roman" w:hAnsi="Times New Roman" w:cs="Times New Roman"/>
          <w:bCs/>
          <w:i/>
          <w:iCs/>
          <w:vertAlign w:val="subscript"/>
        </w:rPr>
        <w:t>t</w:t>
      </w:r>
      <w:r w:rsidR="00A91E76" w:rsidRPr="00B20327">
        <w:rPr>
          <w:rFonts w:ascii="Times New Roman" w:hAnsi="Times New Roman" w:cs="Times New Roman"/>
          <w:bCs/>
          <w:i/>
          <w:iCs/>
        </w:rPr>
        <w:t xml:space="preserve"> </w:t>
      </w:r>
      <w:r w:rsidR="00A91E76" w:rsidRPr="00B20327">
        <w:rPr>
          <w:rFonts w:ascii="Times New Roman" w:hAnsi="Times New Roman" w:cs="Times New Roman"/>
          <w:b/>
          <w:bCs/>
          <w:vertAlign w:val="subscript"/>
        </w:rPr>
        <w:t>−</w:t>
      </w:r>
      <w:r w:rsidR="00A91E76" w:rsidRPr="00B20327">
        <w:rPr>
          <w:rFonts w:ascii="Times New Roman" w:hAnsi="Times New Roman" w:cs="Times New Roman"/>
          <w:bCs/>
          <w:vertAlign w:val="subscript"/>
        </w:rPr>
        <w:t>1</w:t>
      </w:r>
      <w:r w:rsidR="00A91E76" w:rsidRPr="00B20327">
        <w:rPr>
          <w:rFonts w:ascii="Times New Roman" w:hAnsi="Times New Roman" w:cs="Times New Roman"/>
          <w:bCs/>
          <w:i/>
          <w:iCs/>
        </w:rPr>
        <w:t xml:space="preserve"> </w:t>
      </w:r>
      <w:r w:rsidR="00A91E76" w:rsidRPr="00B20327">
        <w:rPr>
          <w:rFonts w:ascii="Times New Roman" w:hAnsi="Times New Roman" w:cs="Times New Roman"/>
          <w:b/>
          <w:bCs/>
        </w:rPr>
        <w:t>+</w:t>
      </w:r>
      <w:r w:rsidR="00A91E76" w:rsidRPr="00B20327">
        <w:rPr>
          <w:rFonts w:ascii="Times New Roman" w:hAnsi="Times New Roman" w:cs="Times New Roman"/>
          <w:bCs/>
          <w:i/>
          <w:iCs/>
        </w:rPr>
        <w:t xml:space="preserve"> </w:t>
      </w:r>
      <w:r w:rsidR="00A91E76" w:rsidRPr="00B20327">
        <w:rPr>
          <w:rFonts w:ascii="Times New Roman" w:hAnsi="Times New Roman" w:cs="Times New Roman"/>
          <w:b/>
          <w:bCs/>
          <w:i/>
          <w:iCs/>
        </w:rPr>
        <w:t>α</w:t>
      </w:r>
      <w:r w:rsidR="00A91E76" w:rsidRPr="00B20327">
        <w:rPr>
          <w:rFonts w:ascii="Times New Roman" w:hAnsi="Times New Roman" w:cs="Times New Roman"/>
          <w:bCs/>
          <w:i/>
          <w:iCs/>
        </w:rPr>
        <w:t xml:space="preserve"> </w:t>
      </w:r>
      <w:r w:rsidR="00A91E76" w:rsidRPr="00B20327">
        <w:rPr>
          <w:rFonts w:ascii="Times New Roman" w:hAnsi="Times New Roman" w:cs="Times New Roman"/>
          <w:bCs/>
          <w:vertAlign w:val="subscript"/>
        </w:rPr>
        <w:t>2</w:t>
      </w:r>
      <w:r w:rsidR="00A91E76" w:rsidRPr="00B20327">
        <w:rPr>
          <w:rFonts w:ascii="Times New Roman" w:hAnsi="Times New Roman" w:cs="Times New Roman"/>
          <w:bCs/>
          <w:i/>
          <w:iCs/>
        </w:rPr>
        <w:t xml:space="preserve"> </w:t>
      </w:r>
      <w:r w:rsidR="00A91E76" w:rsidRPr="00B20327">
        <w:rPr>
          <w:rFonts w:ascii="Times New Roman" w:hAnsi="Times New Roman" w:cs="Times New Roman"/>
          <w:b/>
          <w:bCs/>
        </w:rPr>
        <w:t>∆</w:t>
      </w:r>
      <w:proofErr w:type="spellStart"/>
      <w:r w:rsidR="00A91E76" w:rsidRPr="00B20327">
        <w:rPr>
          <w:rFonts w:ascii="Times New Roman" w:hAnsi="Times New Roman" w:cs="Times New Roman"/>
          <w:bCs/>
          <w:i/>
          <w:iCs/>
        </w:rPr>
        <w:t>CDS</w:t>
      </w:r>
      <w:r w:rsidR="00A91E76" w:rsidRPr="00B20327">
        <w:rPr>
          <w:rFonts w:ascii="Times New Roman" w:hAnsi="Times New Roman" w:cs="Times New Roman"/>
          <w:bCs/>
          <w:i/>
          <w:iCs/>
          <w:vertAlign w:val="subscript"/>
        </w:rPr>
        <w:t>t</w:t>
      </w:r>
      <w:proofErr w:type="spellEnd"/>
      <w:r w:rsidR="00A91E76" w:rsidRPr="00B20327">
        <w:rPr>
          <w:rFonts w:ascii="Times New Roman" w:hAnsi="Times New Roman" w:cs="Times New Roman"/>
          <w:bCs/>
          <w:i/>
          <w:iCs/>
        </w:rPr>
        <w:t xml:space="preserve"> </w:t>
      </w:r>
      <w:r w:rsidR="00A91E76" w:rsidRPr="00B20327">
        <w:rPr>
          <w:rFonts w:ascii="Times New Roman" w:hAnsi="Times New Roman" w:cs="Times New Roman"/>
          <w:b/>
          <w:bCs/>
          <w:vertAlign w:val="subscript"/>
        </w:rPr>
        <w:t>−</w:t>
      </w:r>
      <w:r w:rsidR="00A91E76" w:rsidRPr="00B20327">
        <w:rPr>
          <w:rFonts w:ascii="Times New Roman" w:hAnsi="Times New Roman" w:cs="Times New Roman"/>
          <w:bCs/>
          <w:vertAlign w:val="subscript"/>
        </w:rPr>
        <w:t>1</w:t>
      </w:r>
      <w:r w:rsidR="00A91E76" w:rsidRPr="00B20327">
        <w:rPr>
          <w:rFonts w:ascii="Times New Roman" w:hAnsi="Times New Roman" w:cs="Times New Roman"/>
          <w:bCs/>
          <w:i/>
          <w:iCs/>
        </w:rPr>
        <w:t xml:space="preserve"> </w:t>
      </w:r>
      <w:r w:rsidR="00A91E76" w:rsidRPr="00B20327">
        <w:rPr>
          <w:rFonts w:ascii="Times New Roman" w:hAnsi="Times New Roman" w:cs="Times New Roman"/>
          <w:b/>
          <w:bCs/>
        </w:rPr>
        <w:t>+</w:t>
      </w:r>
      <w:r w:rsidR="00A91E76" w:rsidRPr="00B20327">
        <w:rPr>
          <w:rFonts w:ascii="Times New Roman" w:hAnsi="Times New Roman" w:cs="Times New Roman"/>
          <w:bCs/>
          <w:i/>
          <w:iCs/>
        </w:rPr>
        <w:t xml:space="preserve"> </w:t>
      </w:r>
      <w:r w:rsidR="00A91E76" w:rsidRPr="00B20327">
        <w:rPr>
          <w:rFonts w:ascii="Times New Roman" w:hAnsi="Times New Roman" w:cs="Times New Roman"/>
          <w:b/>
          <w:bCs/>
          <w:i/>
          <w:iCs/>
        </w:rPr>
        <w:t>ε</w:t>
      </w:r>
      <w:r w:rsidR="00A91E76" w:rsidRPr="00B20327">
        <w:rPr>
          <w:rFonts w:ascii="Times New Roman" w:hAnsi="Times New Roman" w:cs="Times New Roman"/>
          <w:bCs/>
          <w:vertAlign w:val="subscript"/>
        </w:rPr>
        <w:t>2</w:t>
      </w:r>
      <w:r w:rsidR="00A91E76" w:rsidRPr="00B20327">
        <w:rPr>
          <w:rFonts w:ascii="Times New Roman" w:hAnsi="Times New Roman" w:cs="Times New Roman"/>
          <w:bCs/>
          <w:i/>
          <w:iCs/>
          <w:vertAlign w:val="subscript"/>
        </w:rPr>
        <w:t xml:space="preserve">t   </w:t>
      </w:r>
      <w:r w:rsidR="00A91E76" w:rsidRPr="00B20327">
        <w:rPr>
          <w:rFonts w:ascii="Times New Roman" w:hAnsi="Times New Roman" w:cs="Times New Roman"/>
          <w:bCs/>
          <w:i/>
          <w:iCs/>
          <w:vertAlign w:val="subscript"/>
        </w:rPr>
        <w:tab/>
      </w:r>
      <w:r w:rsidR="00117B94">
        <w:rPr>
          <w:rFonts w:ascii="Times New Roman" w:hAnsi="Times New Roman" w:cs="Times New Roman"/>
          <w:bCs/>
          <w:i/>
          <w:iCs/>
          <w:vertAlign w:val="subscript"/>
        </w:rPr>
        <w:tab/>
      </w:r>
      <w:r w:rsidR="00117B94">
        <w:rPr>
          <w:rFonts w:ascii="Times New Roman" w:hAnsi="Times New Roman" w:cs="Times New Roman"/>
          <w:bCs/>
          <w:i/>
          <w:iCs/>
          <w:vertAlign w:val="subscript"/>
        </w:rPr>
        <w:tab/>
      </w:r>
      <w:r w:rsidR="00117B94">
        <w:rPr>
          <w:rFonts w:ascii="Times New Roman" w:hAnsi="Times New Roman" w:cs="Times New Roman"/>
          <w:bCs/>
          <w:i/>
          <w:iCs/>
          <w:vertAlign w:val="subscript"/>
        </w:rPr>
        <w:tab/>
      </w:r>
      <w:r w:rsidR="00117B94">
        <w:rPr>
          <w:rFonts w:ascii="Times New Roman" w:hAnsi="Times New Roman" w:cs="Times New Roman"/>
          <w:bCs/>
          <w:i/>
          <w:iCs/>
          <w:vertAlign w:val="subscript"/>
        </w:rPr>
        <w:tab/>
      </w:r>
      <w:r w:rsidR="00117B94">
        <w:rPr>
          <w:rFonts w:ascii="Times New Roman" w:hAnsi="Times New Roman" w:cs="Times New Roman"/>
          <w:bCs/>
          <w:i/>
          <w:iCs/>
          <w:vertAlign w:val="subscript"/>
        </w:rPr>
        <w:tab/>
      </w:r>
      <w:r w:rsidR="00A91E76" w:rsidRPr="00117B94">
        <w:rPr>
          <w:rFonts w:ascii="Times New Roman" w:hAnsi="Times New Roman" w:cs="Times New Roman"/>
          <w:bCs/>
          <w:vertAlign w:val="subscript"/>
        </w:rPr>
        <w:t>(</w:t>
      </w:r>
      <w:r w:rsidR="00117B94" w:rsidRPr="00117B94">
        <w:rPr>
          <w:rFonts w:ascii="Times New Roman" w:hAnsi="Times New Roman" w:cs="Times New Roman"/>
          <w:bCs/>
          <w:vertAlign w:val="subscript"/>
        </w:rPr>
        <w:t>9</w:t>
      </w:r>
      <w:r w:rsidR="00A91E76" w:rsidRPr="00117B94">
        <w:rPr>
          <w:rFonts w:ascii="Times New Roman" w:hAnsi="Times New Roman" w:cs="Times New Roman"/>
          <w:bCs/>
          <w:vertAlign w:val="subscript"/>
        </w:rPr>
        <w:t>)</w:t>
      </w:r>
    </w:p>
    <w:p w14:paraId="5F7E00A7" w14:textId="05683530" w:rsidR="00A91E76" w:rsidRPr="00B20327" w:rsidRDefault="00A91E76" w:rsidP="00B20327">
      <w:pPr>
        <w:spacing w:line="276" w:lineRule="auto"/>
        <w:ind w:firstLine="567"/>
        <w:rPr>
          <w:rFonts w:ascii="Times New Roman" w:hAnsi="Times New Roman" w:cs="Times New Roman"/>
          <w:bCs/>
          <w:i/>
          <w:iCs/>
          <w:vertAlign w:val="subscript"/>
        </w:rPr>
      </w:pPr>
      <w:r w:rsidRPr="00B20327">
        <w:rPr>
          <w:rFonts w:ascii="Times New Roman" w:hAnsi="Times New Roman" w:cs="Times New Roman"/>
          <w:b/>
          <w:bCs/>
        </w:rPr>
        <w:t>∆</w:t>
      </w:r>
      <w:r w:rsidRPr="00B20327">
        <w:rPr>
          <w:rFonts w:ascii="Times New Roman" w:hAnsi="Times New Roman" w:cs="Times New Roman"/>
          <w:bCs/>
          <w:i/>
          <w:iCs/>
        </w:rPr>
        <w:t>CDS</w:t>
      </w:r>
      <w:r w:rsidRPr="00B20327">
        <w:rPr>
          <w:rFonts w:ascii="Times New Roman" w:hAnsi="Times New Roman" w:cs="Times New Roman"/>
          <w:b/>
          <w:bCs/>
        </w:rPr>
        <w:t xml:space="preserve"> </w:t>
      </w:r>
      <w:proofErr w:type="gramStart"/>
      <w:r w:rsidRPr="00B20327">
        <w:rPr>
          <w:rFonts w:ascii="Times New Roman" w:hAnsi="Times New Roman" w:cs="Times New Roman"/>
          <w:bCs/>
          <w:i/>
          <w:iCs/>
          <w:vertAlign w:val="subscript"/>
        </w:rPr>
        <w:t>t</w:t>
      </w:r>
      <w:r w:rsidRPr="00B20327">
        <w:rPr>
          <w:rFonts w:ascii="Times New Roman" w:hAnsi="Times New Roman" w:cs="Times New Roman"/>
          <w:b/>
          <w:bCs/>
        </w:rPr>
        <w:t xml:space="preserve">  =</w:t>
      </w:r>
      <w:proofErr w:type="gramEnd"/>
      <w:r w:rsidRPr="00B20327">
        <w:rPr>
          <w:rFonts w:ascii="Times New Roman" w:hAnsi="Times New Roman" w:cs="Times New Roman"/>
          <w:b/>
          <w:bCs/>
        </w:rPr>
        <w:t xml:space="preserve"> </w:t>
      </w:r>
      <w:r w:rsidRPr="00B20327">
        <w:rPr>
          <w:rFonts w:ascii="Times New Roman" w:hAnsi="Times New Roman" w:cs="Times New Roman"/>
          <w:b/>
          <w:bCs/>
          <w:i/>
          <w:iCs/>
        </w:rPr>
        <w:t>β</w:t>
      </w:r>
      <w:r w:rsidRPr="00B20327">
        <w:rPr>
          <w:rFonts w:ascii="Times New Roman" w:hAnsi="Times New Roman" w:cs="Times New Roman"/>
          <w:b/>
          <w:bCs/>
        </w:rPr>
        <w:t xml:space="preserve"> </w:t>
      </w:r>
      <w:r w:rsidRPr="00B20327">
        <w:rPr>
          <w:rFonts w:ascii="Times New Roman" w:hAnsi="Times New Roman" w:cs="Times New Roman"/>
          <w:bCs/>
          <w:vertAlign w:val="subscript"/>
        </w:rPr>
        <w:t>0</w:t>
      </w:r>
      <w:r w:rsidRPr="00B20327">
        <w:rPr>
          <w:rFonts w:ascii="Times New Roman" w:hAnsi="Times New Roman" w:cs="Times New Roman"/>
          <w:b/>
          <w:bCs/>
        </w:rPr>
        <w:t xml:space="preserve"> + </w:t>
      </w:r>
      <w:r w:rsidRPr="00B20327">
        <w:rPr>
          <w:rFonts w:ascii="Times New Roman" w:hAnsi="Times New Roman" w:cs="Times New Roman"/>
          <w:b/>
          <w:bCs/>
          <w:i/>
          <w:iCs/>
        </w:rPr>
        <w:t>β</w:t>
      </w:r>
      <w:r w:rsidRPr="00B20327">
        <w:rPr>
          <w:rFonts w:ascii="Times New Roman" w:hAnsi="Times New Roman" w:cs="Times New Roman"/>
          <w:bCs/>
          <w:vertAlign w:val="subscript"/>
        </w:rPr>
        <w:t>1</w:t>
      </w:r>
      <w:r w:rsidRPr="00B20327">
        <w:rPr>
          <w:rFonts w:ascii="Times New Roman" w:hAnsi="Times New Roman" w:cs="Times New Roman"/>
          <w:b/>
          <w:bCs/>
        </w:rPr>
        <w:t>∆</w:t>
      </w:r>
      <w:r w:rsidRPr="00B20327">
        <w:rPr>
          <w:rFonts w:ascii="Times New Roman" w:hAnsi="Times New Roman" w:cs="Times New Roman"/>
          <w:bCs/>
          <w:i/>
          <w:iCs/>
        </w:rPr>
        <w:t>CDS</w:t>
      </w:r>
      <w:r w:rsidRPr="00B20327">
        <w:rPr>
          <w:rFonts w:ascii="Times New Roman" w:hAnsi="Times New Roman" w:cs="Times New Roman"/>
          <w:b/>
          <w:bCs/>
        </w:rPr>
        <w:t xml:space="preserve"> </w:t>
      </w:r>
      <w:r w:rsidRPr="00B20327">
        <w:rPr>
          <w:rFonts w:ascii="Times New Roman" w:hAnsi="Times New Roman" w:cs="Times New Roman"/>
          <w:bCs/>
          <w:i/>
          <w:iCs/>
          <w:vertAlign w:val="subscript"/>
        </w:rPr>
        <w:t>t</w:t>
      </w:r>
      <w:r w:rsidRPr="00B20327">
        <w:rPr>
          <w:rFonts w:ascii="Times New Roman" w:hAnsi="Times New Roman" w:cs="Times New Roman"/>
          <w:b/>
          <w:bCs/>
        </w:rPr>
        <w:t xml:space="preserve"> </w:t>
      </w:r>
      <w:r w:rsidRPr="00B20327">
        <w:rPr>
          <w:rFonts w:ascii="Times New Roman" w:hAnsi="Times New Roman" w:cs="Times New Roman"/>
          <w:b/>
          <w:bCs/>
          <w:vertAlign w:val="subscript"/>
        </w:rPr>
        <w:t>−</w:t>
      </w:r>
      <w:r w:rsidRPr="00B20327">
        <w:rPr>
          <w:rFonts w:ascii="Times New Roman" w:hAnsi="Times New Roman" w:cs="Times New Roman"/>
          <w:bCs/>
          <w:vertAlign w:val="subscript"/>
        </w:rPr>
        <w:t>1</w:t>
      </w:r>
      <w:r w:rsidRPr="00B20327">
        <w:rPr>
          <w:rFonts w:ascii="Times New Roman" w:hAnsi="Times New Roman" w:cs="Times New Roman"/>
          <w:b/>
          <w:bCs/>
        </w:rPr>
        <w:t xml:space="preserve"> + </w:t>
      </w:r>
      <w:r w:rsidRPr="00B20327">
        <w:rPr>
          <w:rFonts w:ascii="Times New Roman" w:hAnsi="Times New Roman" w:cs="Times New Roman"/>
          <w:b/>
          <w:bCs/>
          <w:i/>
          <w:iCs/>
        </w:rPr>
        <w:t>β</w:t>
      </w:r>
      <w:r w:rsidRPr="00B20327">
        <w:rPr>
          <w:rFonts w:ascii="Times New Roman" w:hAnsi="Times New Roman" w:cs="Times New Roman"/>
          <w:b/>
          <w:bCs/>
        </w:rPr>
        <w:t xml:space="preserve"> </w:t>
      </w:r>
      <w:r w:rsidRPr="00B20327">
        <w:rPr>
          <w:rFonts w:ascii="Times New Roman" w:hAnsi="Times New Roman" w:cs="Times New Roman"/>
          <w:bCs/>
          <w:vertAlign w:val="subscript"/>
        </w:rPr>
        <w:t>2</w:t>
      </w:r>
      <w:r w:rsidRPr="00B20327">
        <w:rPr>
          <w:rFonts w:ascii="Times New Roman" w:hAnsi="Times New Roman" w:cs="Times New Roman"/>
          <w:b/>
          <w:bCs/>
        </w:rPr>
        <w:t xml:space="preserve"> </w:t>
      </w:r>
      <w:r w:rsidR="00621405" w:rsidRPr="00B20327">
        <w:rPr>
          <w:rFonts w:ascii="Times New Roman" w:hAnsi="Times New Roman" w:cs="Times New Roman"/>
          <w:bCs/>
          <w:i/>
          <w:iCs/>
        </w:rPr>
        <w:t>BIST</w:t>
      </w:r>
      <w:r w:rsidRPr="00B20327">
        <w:rPr>
          <w:rFonts w:ascii="Times New Roman" w:hAnsi="Times New Roman" w:cs="Times New Roman"/>
          <w:bCs/>
          <w:i/>
          <w:iCs/>
        </w:rPr>
        <w:t>30</w:t>
      </w:r>
      <w:r w:rsidRPr="00B20327">
        <w:rPr>
          <w:rFonts w:ascii="Times New Roman" w:hAnsi="Times New Roman" w:cs="Times New Roman"/>
          <w:bCs/>
          <w:i/>
          <w:iCs/>
          <w:vertAlign w:val="subscript"/>
        </w:rPr>
        <w:t>t</w:t>
      </w:r>
      <w:r w:rsidRPr="00B20327">
        <w:rPr>
          <w:rFonts w:ascii="Times New Roman" w:hAnsi="Times New Roman" w:cs="Times New Roman"/>
          <w:b/>
          <w:bCs/>
        </w:rPr>
        <w:t xml:space="preserve"> </w:t>
      </w:r>
      <w:r w:rsidRPr="00B20327">
        <w:rPr>
          <w:rFonts w:ascii="Times New Roman" w:hAnsi="Times New Roman" w:cs="Times New Roman"/>
          <w:b/>
          <w:bCs/>
          <w:vertAlign w:val="subscript"/>
        </w:rPr>
        <w:t>−</w:t>
      </w:r>
      <w:r w:rsidRPr="00B20327">
        <w:rPr>
          <w:rFonts w:ascii="Times New Roman" w:hAnsi="Times New Roman" w:cs="Times New Roman"/>
          <w:bCs/>
          <w:vertAlign w:val="subscript"/>
        </w:rPr>
        <w:t>1</w:t>
      </w:r>
      <w:r w:rsidRPr="00B20327">
        <w:rPr>
          <w:rFonts w:ascii="Times New Roman" w:hAnsi="Times New Roman" w:cs="Times New Roman"/>
          <w:b/>
          <w:bCs/>
        </w:rPr>
        <w:t xml:space="preserve"> + </w:t>
      </w:r>
      <w:r w:rsidRPr="00B20327">
        <w:rPr>
          <w:rFonts w:ascii="Times New Roman" w:hAnsi="Times New Roman" w:cs="Times New Roman"/>
          <w:b/>
          <w:bCs/>
          <w:i/>
          <w:iCs/>
        </w:rPr>
        <w:t>ε</w:t>
      </w:r>
      <w:r w:rsidRPr="00B20327">
        <w:rPr>
          <w:rFonts w:ascii="Times New Roman" w:hAnsi="Times New Roman" w:cs="Times New Roman"/>
          <w:bCs/>
          <w:vertAlign w:val="subscript"/>
        </w:rPr>
        <w:t>1</w:t>
      </w:r>
      <w:r w:rsidRPr="00B20327">
        <w:rPr>
          <w:rFonts w:ascii="Times New Roman" w:hAnsi="Times New Roman" w:cs="Times New Roman"/>
          <w:bCs/>
          <w:i/>
          <w:iCs/>
          <w:vertAlign w:val="subscript"/>
        </w:rPr>
        <w:t xml:space="preserve">t     </w:t>
      </w:r>
      <w:r w:rsidR="00117B94">
        <w:rPr>
          <w:rFonts w:ascii="Times New Roman" w:hAnsi="Times New Roman" w:cs="Times New Roman"/>
          <w:bCs/>
          <w:i/>
          <w:iCs/>
          <w:vertAlign w:val="subscript"/>
        </w:rPr>
        <w:tab/>
      </w:r>
      <w:r w:rsidR="00117B94">
        <w:rPr>
          <w:rFonts w:ascii="Times New Roman" w:hAnsi="Times New Roman" w:cs="Times New Roman"/>
          <w:bCs/>
          <w:i/>
          <w:iCs/>
          <w:vertAlign w:val="subscript"/>
        </w:rPr>
        <w:tab/>
      </w:r>
      <w:r w:rsidR="00117B94">
        <w:rPr>
          <w:rFonts w:ascii="Times New Roman" w:hAnsi="Times New Roman" w:cs="Times New Roman"/>
          <w:bCs/>
          <w:i/>
          <w:iCs/>
          <w:vertAlign w:val="subscript"/>
        </w:rPr>
        <w:tab/>
      </w:r>
      <w:r w:rsidR="00117B94">
        <w:rPr>
          <w:rFonts w:ascii="Times New Roman" w:hAnsi="Times New Roman" w:cs="Times New Roman"/>
          <w:bCs/>
          <w:i/>
          <w:iCs/>
          <w:vertAlign w:val="subscript"/>
        </w:rPr>
        <w:tab/>
      </w:r>
      <w:r w:rsidR="00117B94">
        <w:rPr>
          <w:rFonts w:ascii="Times New Roman" w:hAnsi="Times New Roman" w:cs="Times New Roman"/>
          <w:bCs/>
          <w:i/>
          <w:iCs/>
          <w:vertAlign w:val="subscript"/>
        </w:rPr>
        <w:tab/>
      </w:r>
      <w:r w:rsidR="00117B94">
        <w:rPr>
          <w:rFonts w:ascii="Times New Roman" w:hAnsi="Times New Roman" w:cs="Times New Roman"/>
          <w:bCs/>
          <w:vertAlign w:val="subscript"/>
        </w:rPr>
        <w:t>(10</w:t>
      </w:r>
      <w:r w:rsidRPr="00B20327">
        <w:rPr>
          <w:rFonts w:ascii="Times New Roman" w:hAnsi="Times New Roman" w:cs="Times New Roman"/>
          <w:bCs/>
          <w:vertAlign w:val="subscript"/>
        </w:rPr>
        <w:t>)</w:t>
      </w:r>
    </w:p>
    <w:p w14:paraId="7FEBE1C7" w14:textId="77777777" w:rsidR="00A91E76" w:rsidRPr="00B20327" w:rsidRDefault="00A91E76" w:rsidP="00B20327">
      <w:pPr>
        <w:spacing w:line="276" w:lineRule="auto"/>
        <w:ind w:firstLine="567"/>
        <w:rPr>
          <w:rFonts w:ascii="Times New Roman" w:hAnsi="Times New Roman" w:cs="Times New Roman"/>
          <w:bCs/>
        </w:rPr>
      </w:pPr>
    </w:p>
    <w:p w14:paraId="17418AB4" w14:textId="27F67EBA" w:rsidR="00A91E76" w:rsidRPr="00022FD5" w:rsidRDefault="00A91E76" w:rsidP="00B20327">
      <w:pPr>
        <w:spacing w:line="276" w:lineRule="auto"/>
        <w:jc w:val="both"/>
        <w:rPr>
          <w:rFonts w:ascii="Times New Roman" w:hAnsi="Times New Roman" w:cs="Times New Roman"/>
          <w:bCs/>
          <w:sz w:val="24"/>
          <w:szCs w:val="24"/>
        </w:rPr>
      </w:pPr>
      <w:r w:rsidRPr="00B20327">
        <w:rPr>
          <w:rFonts w:ascii="Times New Roman" w:hAnsi="Times New Roman" w:cs="Times New Roman"/>
          <w:bCs/>
        </w:rPr>
        <w:t xml:space="preserve">Burada ilk model yardımıyla H </w:t>
      </w:r>
      <w:proofErr w:type="gramStart"/>
      <w:r w:rsidRPr="00B20327">
        <w:rPr>
          <w:rFonts w:ascii="Times New Roman" w:hAnsi="Times New Roman" w:cs="Times New Roman"/>
          <w:bCs/>
        </w:rPr>
        <w:t>0 :</w:t>
      </w:r>
      <w:proofErr w:type="gramEnd"/>
      <w:r w:rsidRPr="00B20327">
        <w:rPr>
          <w:rFonts w:ascii="Times New Roman" w:hAnsi="Times New Roman" w:cs="Times New Roman"/>
          <w:bCs/>
        </w:rPr>
        <w:t xml:space="preserve"> CDS → </w:t>
      </w:r>
      <w:r w:rsidR="00621405" w:rsidRPr="00B20327">
        <w:rPr>
          <w:rFonts w:ascii="Times New Roman" w:hAnsi="Times New Roman" w:cs="Times New Roman"/>
          <w:bCs/>
        </w:rPr>
        <w:t>BIST</w:t>
      </w:r>
      <w:r w:rsidRPr="00B20327">
        <w:rPr>
          <w:rFonts w:ascii="Times New Roman" w:hAnsi="Times New Roman" w:cs="Times New Roman"/>
          <w:bCs/>
        </w:rPr>
        <w:t xml:space="preserve">30 ( </w:t>
      </w:r>
      <w:r w:rsidRPr="00B20327">
        <w:rPr>
          <w:rFonts w:ascii="Times New Roman" w:hAnsi="Times New Roman" w:cs="Times New Roman"/>
          <w:bCs/>
          <w:lang w:val="el-GR"/>
        </w:rPr>
        <w:t xml:space="preserve">α2 = 0) </w:t>
      </w:r>
      <w:r w:rsidRPr="00B20327">
        <w:rPr>
          <w:rFonts w:ascii="Times New Roman" w:hAnsi="Times New Roman" w:cs="Times New Roman"/>
          <w:bCs/>
        </w:rPr>
        <w:t xml:space="preserve">yani CDS  </w:t>
      </w:r>
      <w:r w:rsidR="00621405" w:rsidRPr="00B20327">
        <w:rPr>
          <w:rFonts w:ascii="Times New Roman" w:hAnsi="Times New Roman" w:cs="Times New Roman"/>
          <w:bCs/>
        </w:rPr>
        <w:t>BIST</w:t>
      </w:r>
      <w:r w:rsidRPr="00B20327">
        <w:rPr>
          <w:rFonts w:ascii="Times New Roman" w:hAnsi="Times New Roman" w:cs="Times New Roman"/>
          <w:bCs/>
        </w:rPr>
        <w:t xml:space="preserve">30’un nedeni değildir hipotezi sınanmaktadır. Test sonucu CDS’ </w:t>
      </w:r>
      <w:proofErr w:type="gramStart"/>
      <w:r w:rsidRPr="00B20327">
        <w:rPr>
          <w:rFonts w:ascii="Times New Roman" w:hAnsi="Times New Roman" w:cs="Times New Roman"/>
          <w:bCs/>
        </w:rPr>
        <w:t xml:space="preserve">in  </w:t>
      </w:r>
      <w:r w:rsidR="00621405" w:rsidRPr="00B20327">
        <w:rPr>
          <w:rFonts w:ascii="Times New Roman" w:hAnsi="Times New Roman" w:cs="Times New Roman"/>
          <w:bCs/>
        </w:rPr>
        <w:t>BIST</w:t>
      </w:r>
      <w:proofErr w:type="gramEnd"/>
      <w:r w:rsidRPr="00B20327">
        <w:rPr>
          <w:rFonts w:ascii="Times New Roman" w:hAnsi="Times New Roman" w:cs="Times New Roman"/>
          <w:bCs/>
        </w:rPr>
        <w:t>30’un nedeni</w:t>
      </w:r>
      <w:r w:rsidR="00CE17CE" w:rsidRPr="00B20327">
        <w:rPr>
          <w:rFonts w:ascii="Times New Roman" w:hAnsi="Times New Roman" w:cs="Times New Roman"/>
          <w:bCs/>
        </w:rPr>
        <w:t xml:space="preserve"> </w:t>
      </w:r>
      <w:r w:rsidRPr="00B20327">
        <w:rPr>
          <w:rFonts w:ascii="Times New Roman" w:hAnsi="Times New Roman" w:cs="Times New Roman"/>
          <w:bCs/>
        </w:rPr>
        <w:t>olduğu</w:t>
      </w:r>
      <w:r w:rsidR="00CE17CE">
        <w:rPr>
          <w:rFonts w:ascii="Times New Roman" w:hAnsi="Times New Roman" w:cs="Times New Roman"/>
          <w:bCs/>
          <w:sz w:val="24"/>
          <w:szCs w:val="24"/>
        </w:rPr>
        <w:t>;</w:t>
      </w:r>
    </w:p>
    <w:p w14:paraId="60919C15" w14:textId="4C7EFDD9" w:rsidR="00A91E76" w:rsidRDefault="00A91E76" w:rsidP="00B20327">
      <w:pPr>
        <w:spacing w:line="276" w:lineRule="auto"/>
        <w:jc w:val="both"/>
        <w:rPr>
          <w:rFonts w:ascii="Times New Roman" w:hAnsi="Times New Roman" w:cs="Times New Roman"/>
          <w:bCs/>
        </w:rPr>
      </w:pPr>
      <w:r w:rsidRPr="00B20327">
        <w:rPr>
          <w:rFonts w:ascii="Times New Roman" w:hAnsi="Times New Roman" w:cs="Times New Roman"/>
          <w:bCs/>
        </w:rPr>
        <w:t xml:space="preserve">İkinci modelde ise H </w:t>
      </w:r>
      <w:proofErr w:type="gramStart"/>
      <w:r w:rsidRPr="00B20327">
        <w:rPr>
          <w:rFonts w:ascii="Times New Roman" w:hAnsi="Times New Roman" w:cs="Times New Roman"/>
          <w:bCs/>
        </w:rPr>
        <w:t>0 :</w:t>
      </w:r>
      <w:proofErr w:type="gramEnd"/>
      <w:r w:rsidRPr="00B20327">
        <w:rPr>
          <w:rFonts w:ascii="Times New Roman" w:hAnsi="Times New Roman" w:cs="Times New Roman"/>
          <w:bCs/>
        </w:rPr>
        <w:t xml:space="preserve"> </w:t>
      </w:r>
      <w:r w:rsidR="00621405" w:rsidRPr="00B20327">
        <w:rPr>
          <w:rFonts w:ascii="Times New Roman" w:hAnsi="Times New Roman" w:cs="Times New Roman"/>
          <w:bCs/>
        </w:rPr>
        <w:t>BIST</w:t>
      </w:r>
      <w:r w:rsidRPr="00B20327">
        <w:rPr>
          <w:rFonts w:ascii="Times New Roman" w:hAnsi="Times New Roman" w:cs="Times New Roman"/>
          <w:bCs/>
        </w:rPr>
        <w:t xml:space="preserve">30 → CDS( </w:t>
      </w:r>
      <w:r w:rsidRPr="00B20327">
        <w:rPr>
          <w:rFonts w:ascii="Times New Roman" w:hAnsi="Times New Roman" w:cs="Times New Roman"/>
          <w:bCs/>
          <w:lang w:val="el-GR"/>
        </w:rPr>
        <w:t xml:space="preserve">β2 = 0) </w:t>
      </w:r>
      <w:r w:rsidR="00621405" w:rsidRPr="00B20327">
        <w:rPr>
          <w:rFonts w:ascii="Times New Roman" w:hAnsi="Times New Roman" w:cs="Times New Roman"/>
          <w:bCs/>
        </w:rPr>
        <w:t>BIST</w:t>
      </w:r>
      <w:r w:rsidRPr="00B20327">
        <w:rPr>
          <w:rFonts w:ascii="Times New Roman" w:hAnsi="Times New Roman" w:cs="Times New Roman"/>
          <w:bCs/>
        </w:rPr>
        <w:t xml:space="preserve">30 </w:t>
      </w:r>
      <w:proofErr w:type="spellStart"/>
      <w:r w:rsidRPr="00B20327">
        <w:rPr>
          <w:rFonts w:ascii="Times New Roman" w:hAnsi="Times New Roman" w:cs="Times New Roman"/>
          <w:bCs/>
        </w:rPr>
        <w:t>CDS’in</w:t>
      </w:r>
      <w:proofErr w:type="spellEnd"/>
      <w:r w:rsidRPr="00B20327">
        <w:rPr>
          <w:rFonts w:ascii="Times New Roman" w:hAnsi="Times New Roman" w:cs="Times New Roman"/>
          <w:bCs/>
        </w:rPr>
        <w:t xml:space="preserve"> nedeni değildir hipotezi sınanmaktadır. </w:t>
      </w:r>
      <w:r w:rsidR="00621405" w:rsidRPr="00B20327">
        <w:rPr>
          <w:rFonts w:ascii="Times New Roman" w:hAnsi="Times New Roman" w:cs="Times New Roman"/>
          <w:bCs/>
        </w:rPr>
        <w:t>BIST</w:t>
      </w:r>
      <w:r w:rsidRPr="00B20327">
        <w:rPr>
          <w:rFonts w:ascii="Times New Roman" w:hAnsi="Times New Roman" w:cs="Times New Roman"/>
          <w:bCs/>
        </w:rPr>
        <w:t xml:space="preserve">30’ dan CDS’ e doğru bir nedensellik ilişkisinin olmadığı tespit edilmiştir. </w:t>
      </w:r>
      <w:bookmarkEnd w:id="0"/>
    </w:p>
    <w:p w14:paraId="3EDD5CA7" w14:textId="77777777" w:rsidR="00B20327" w:rsidRPr="00B20327" w:rsidRDefault="00B20327" w:rsidP="00B20327">
      <w:pPr>
        <w:spacing w:line="276" w:lineRule="auto"/>
        <w:jc w:val="both"/>
        <w:rPr>
          <w:rFonts w:ascii="Times New Roman" w:hAnsi="Times New Roman" w:cs="Times New Roman"/>
          <w:bCs/>
        </w:rPr>
      </w:pPr>
    </w:p>
    <w:p w14:paraId="1A3F1AC8" w14:textId="2C9ED2CC" w:rsidR="00D50EB8" w:rsidRPr="00B20327" w:rsidRDefault="00D50EB8" w:rsidP="00B20327">
      <w:pPr>
        <w:spacing w:line="276" w:lineRule="auto"/>
        <w:jc w:val="both"/>
        <w:rPr>
          <w:rFonts w:ascii="Times New Roman" w:hAnsi="Times New Roman" w:cs="Times New Roman"/>
          <w:b/>
          <w:bCs/>
        </w:rPr>
      </w:pPr>
      <w:r w:rsidRPr="00B20327">
        <w:rPr>
          <w:rFonts w:ascii="Times New Roman" w:hAnsi="Times New Roman" w:cs="Times New Roman"/>
          <w:b/>
          <w:bCs/>
        </w:rPr>
        <w:t>Sonuç</w:t>
      </w:r>
    </w:p>
    <w:p w14:paraId="688CBC5D" w14:textId="7A075BC1" w:rsidR="0022223C" w:rsidRPr="00117B94" w:rsidRDefault="00782EFE" w:rsidP="00B20327">
      <w:pPr>
        <w:spacing w:line="276" w:lineRule="auto"/>
        <w:jc w:val="both"/>
        <w:rPr>
          <w:rFonts w:ascii="Times New Roman" w:eastAsia="Calibri" w:hAnsi="Times New Roman" w:cs="Times New Roman"/>
        </w:rPr>
      </w:pPr>
      <w:r w:rsidRPr="00B20327">
        <w:rPr>
          <w:rFonts w:ascii="Times New Roman" w:eastAsia="Calibri" w:hAnsi="Times New Roman" w:cs="Times New Roman"/>
        </w:rPr>
        <w:t xml:space="preserve">Uluslararası ülke ve kredi riski karşılaştırmalarında en önemli göstergelerden biri haline gelen CDS’ </w:t>
      </w:r>
      <w:proofErr w:type="spellStart"/>
      <w:r w:rsidRPr="00B20327">
        <w:rPr>
          <w:rFonts w:ascii="Times New Roman" w:eastAsia="Calibri" w:hAnsi="Times New Roman" w:cs="Times New Roman"/>
        </w:rPr>
        <w:t>ler</w:t>
      </w:r>
      <w:proofErr w:type="spellEnd"/>
      <w:r w:rsidRPr="00B20327">
        <w:rPr>
          <w:rFonts w:ascii="Times New Roman" w:eastAsia="Calibri" w:hAnsi="Times New Roman" w:cs="Times New Roman"/>
        </w:rPr>
        <w:t xml:space="preserve"> ülkemiz yatırımcıları ve kredi kuruluşlarınca tahminlerde kullanım yeri bulmuştur. Analizimizde </w:t>
      </w:r>
      <w:proofErr w:type="spellStart"/>
      <w:r w:rsidRPr="00B20327">
        <w:rPr>
          <w:rFonts w:ascii="Times New Roman" w:eastAsia="Calibri" w:hAnsi="Times New Roman" w:cs="Times New Roman"/>
        </w:rPr>
        <w:t>Johansen</w:t>
      </w:r>
      <w:proofErr w:type="spellEnd"/>
      <w:r w:rsidRPr="00B20327">
        <w:rPr>
          <w:rFonts w:ascii="Times New Roman" w:eastAsia="Calibri" w:hAnsi="Times New Roman" w:cs="Times New Roman"/>
        </w:rPr>
        <w:t xml:space="preserve"> </w:t>
      </w:r>
      <w:proofErr w:type="spellStart"/>
      <w:r w:rsidRPr="00B20327">
        <w:rPr>
          <w:rFonts w:ascii="Times New Roman" w:eastAsia="Calibri" w:hAnsi="Times New Roman" w:cs="Times New Roman"/>
        </w:rPr>
        <w:t>Eşbütünleşme</w:t>
      </w:r>
      <w:proofErr w:type="spellEnd"/>
      <w:r w:rsidRPr="00B20327">
        <w:rPr>
          <w:rFonts w:ascii="Times New Roman" w:eastAsia="Calibri" w:hAnsi="Times New Roman" w:cs="Times New Roman"/>
        </w:rPr>
        <w:t xml:space="preserve"> testi </w:t>
      </w:r>
      <w:proofErr w:type="spellStart"/>
      <w:r w:rsidRPr="00B20327">
        <w:rPr>
          <w:rFonts w:ascii="Times New Roman" w:eastAsia="Calibri" w:hAnsi="Times New Roman" w:cs="Times New Roman"/>
        </w:rPr>
        <w:t>eşbütünleşik</w:t>
      </w:r>
      <w:proofErr w:type="spellEnd"/>
      <w:r w:rsidRPr="00B20327">
        <w:rPr>
          <w:rFonts w:ascii="Times New Roman" w:eastAsia="Calibri" w:hAnsi="Times New Roman" w:cs="Times New Roman"/>
        </w:rPr>
        <w:t xml:space="preserve"> vektör sayısının belli sayıda ve daha küçük olduğunu belirten H</w:t>
      </w:r>
      <w:r w:rsidRPr="00B20327">
        <w:rPr>
          <w:rFonts w:ascii="Times New Roman" w:eastAsia="Calibri" w:hAnsi="Times New Roman" w:cs="Times New Roman"/>
          <w:vertAlign w:val="subscript"/>
        </w:rPr>
        <w:t>0</w:t>
      </w:r>
      <w:r w:rsidRPr="00B20327">
        <w:rPr>
          <w:rFonts w:ascii="Times New Roman" w:eastAsia="Calibri" w:hAnsi="Times New Roman" w:cs="Times New Roman"/>
        </w:rPr>
        <w:t xml:space="preserve"> hipotezi alternatif hipoteze karşı sınamaktadır. Analiz sonuçlarından görüleceği üzere iz testi sonucu seriler arasında iki tane </w:t>
      </w:r>
      <w:proofErr w:type="spellStart"/>
      <w:r w:rsidRPr="00B20327">
        <w:rPr>
          <w:rFonts w:ascii="Times New Roman" w:eastAsia="Calibri" w:hAnsi="Times New Roman" w:cs="Times New Roman"/>
        </w:rPr>
        <w:t>eşbütünleşik</w:t>
      </w:r>
      <w:proofErr w:type="spellEnd"/>
      <w:r w:rsidRPr="00B20327">
        <w:rPr>
          <w:rFonts w:ascii="Times New Roman" w:eastAsia="Calibri" w:hAnsi="Times New Roman" w:cs="Times New Roman"/>
        </w:rPr>
        <w:t xml:space="preserve"> vektör bulunduğuna işaret etmektedir. Buna göre seriler arasında iki tane </w:t>
      </w:r>
      <w:proofErr w:type="spellStart"/>
      <w:r w:rsidRPr="00B20327">
        <w:rPr>
          <w:rFonts w:ascii="Times New Roman" w:eastAsia="Calibri" w:hAnsi="Times New Roman" w:cs="Times New Roman"/>
        </w:rPr>
        <w:t>eşbütünleşik</w:t>
      </w:r>
      <w:proofErr w:type="spellEnd"/>
      <w:r w:rsidRPr="00B20327">
        <w:rPr>
          <w:rFonts w:ascii="Times New Roman" w:eastAsia="Calibri" w:hAnsi="Times New Roman" w:cs="Times New Roman"/>
        </w:rPr>
        <w:t xml:space="preserve"> vektör bulunduğu ve uzun dönem ilişkisi bulunduğu söylenebilir. </w:t>
      </w:r>
      <w:proofErr w:type="spellStart"/>
      <w:r w:rsidRPr="00B20327">
        <w:rPr>
          <w:rFonts w:ascii="Times New Roman" w:eastAsia="Calibri" w:hAnsi="Times New Roman" w:cs="Times New Roman"/>
        </w:rPr>
        <w:t>Granger</w:t>
      </w:r>
      <w:proofErr w:type="spellEnd"/>
      <w:r w:rsidRPr="00B20327">
        <w:rPr>
          <w:rFonts w:ascii="Times New Roman" w:eastAsia="Calibri" w:hAnsi="Times New Roman" w:cs="Times New Roman"/>
        </w:rPr>
        <w:t xml:space="preserve"> Nedensellik Analizinde Kredi Temerrüt Swaplarının BIST 30 Endeksinin nedeni olduğu görülmüştür</w:t>
      </w:r>
      <w:r w:rsidR="00117B94">
        <w:rPr>
          <w:rFonts w:ascii="Times New Roman" w:eastAsia="Calibri" w:hAnsi="Times New Roman" w:cs="Times New Roman"/>
        </w:rPr>
        <w:t>.</w:t>
      </w:r>
    </w:p>
    <w:p w14:paraId="517170DD" w14:textId="77777777" w:rsidR="00117B94" w:rsidRDefault="00117B94" w:rsidP="00B20327">
      <w:pPr>
        <w:spacing w:line="276" w:lineRule="auto"/>
        <w:jc w:val="both"/>
        <w:rPr>
          <w:rFonts w:ascii="Times New Roman" w:hAnsi="Times New Roman" w:cs="Times New Roman"/>
          <w:sz w:val="24"/>
          <w:szCs w:val="24"/>
        </w:rPr>
      </w:pPr>
    </w:p>
    <w:p w14:paraId="03C27A6B" w14:textId="6BDC9CDB" w:rsidR="00455363" w:rsidRPr="00581F20" w:rsidRDefault="00EA73D6" w:rsidP="00B20327">
      <w:pPr>
        <w:spacing w:line="276" w:lineRule="auto"/>
        <w:jc w:val="both"/>
        <w:rPr>
          <w:rFonts w:ascii="Times New Roman" w:hAnsi="Times New Roman" w:cs="Times New Roman"/>
          <w:b/>
          <w:bCs/>
          <w:sz w:val="24"/>
          <w:szCs w:val="24"/>
        </w:rPr>
      </w:pPr>
      <w:r w:rsidRPr="00581F20">
        <w:rPr>
          <w:rFonts w:ascii="Times New Roman" w:hAnsi="Times New Roman" w:cs="Times New Roman"/>
          <w:b/>
          <w:bCs/>
          <w:sz w:val="24"/>
          <w:szCs w:val="24"/>
        </w:rPr>
        <w:lastRenderedPageBreak/>
        <w:t>K</w:t>
      </w:r>
      <w:r w:rsidR="00117B94" w:rsidRPr="00581F20">
        <w:rPr>
          <w:rFonts w:ascii="Times New Roman" w:hAnsi="Times New Roman" w:cs="Times New Roman"/>
          <w:b/>
          <w:bCs/>
          <w:sz w:val="24"/>
          <w:szCs w:val="24"/>
        </w:rPr>
        <w:t>AYNAKÇA</w:t>
      </w:r>
    </w:p>
    <w:p w14:paraId="0876A120" w14:textId="2FACA567" w:rsidR="00CE17CE" w:rsidRDefault="00CE17CE" w:rsidP="00B20327">
      <w:pPr>
        <w:spacing w:line="276" w:lineRule="auto"/>
        <w:rPr>
          <w:rFonts w:ascii="Times New Roman" w:hAnsi="Times New Roman" w:cs="Times New Roman"/>
          <w:sz w:val="24"/>
          <w:szCs w:val="24"/>
        </w:rPr>
      </w:pPr>
      <w:r w:rsidRPr="006A69FA">
        <w:rPr>
          <w:rFonts w:ascii="Times New Roman" w:hAnsi="Times New Roman" w:cs="Times New Roman"/>
          <w:sz w:val="24"/>
          <w:szCs w:val="24"/>
        </w:rPr>
        <w:t>Akıncı, M., Yüce Akıncı, G. ve Yılmaz, Ö., 2014. Sendikal Hareketlerin İki Yüzü: OECD Ülkelerinde İktisadi Büyüme Üzerindeki Etkilerinin Analizi, H.Ü. İktisadi ve İdari Bilimler Fakültesi Dergisi, 32(1), 1-27.</w:t>
      </w:r>
    </w:p>
    <w:p w14:paraId="56DF1B15" w14:textId="55BB2B3D" w:rsidR="001276E1" w:rsidRPr="00D14ED4" w:rsidRDefault="001276E1" w:rsidP="00B20327">
      <w:pPr>
        <w:spacing w:line="276" w:lineRule="auto"/>
        <w:rPr>
          <w:rFonts w:ascii="Times New Roman" w:hAnsi="Times New Roman" w:cs="Times New Roman"/>
          <w:sz w:val="24"/>
          <w:szCs w:val="24"/>
        </w:rPr>
      </w:pPr>
      <w:r w:rsidRPr="00D14ED4">
        <w:rPr>
          <w:rFonts w:ascii="Times New Roman" w:hAnsi="Times New Roman" w:cs="Times New Roman"/>
          <w:sz w:val="24"/>
          <w:szCs w:val="24"/>
        </w:rPr>
        <w:t xml:space="preserve">Aksoylu, E. ve Görmüş, Ş. (2018). </w:t>
      </w:r>
      <w:proofErr w:type="gramStart"/>
      <w:r w:rsidRPr="00D14ED4">
        <w:rPr>
          <w:rFonts w:ascii="Times New Roman" w:hAnsi="Times New Roman" w:cs="Times New Roman"/>
          <w:sz w:val="24"/>
          <w:szCs w:val="24"/>
        </w:rPr>
        <w:t>Gelişmekte  Olan</w:t>
      </w:r>
      <w:proofErr w:type="gramEnd"/>
      <w:r w:rsidRPr="00D14ED4">
        <w:rPr>
          <w:rFonts w:ascii="Times New Roman" w:hAnsi="Times New Roman" w:cs="Times New Roman"/>
          <w:sz w:val="24"/>
          <w:szCs w:val="24"/>
        </w:rPr>
        <w:t xml:space="preserve">  Ülkelerde  Ülke Riski Göstergesi Olarak Kredi Temerrüt Swapları: Asimetrik Nedensellik Yöntemi. </w:t>
      </w:r>
      <w:r w:rsidRPr="00D14ED4">
        <w:rPr>
          <w:rFonts w:ascii="Times New Roman" w:hAnsi="Times New Roman" w:cs="Times New Roman"/>
          <w:i/>
          <w:iCs/>
          <w:sz w:val="24"/>
          <w:szCs w:val="24"/>
        </w:rPr>
        <w:t>Ekonomik ve Sosyal Araştırmalar Dergisi</w:t>
      </w:r>
      <w:r w:rsidRPr="00D14ED4">
        <w:rPr>
          <w:rFonts w:ascii="Times New Roman" w:hAnsi="Times New Roman" w:cs="Times New Roman"/>
          <w:sz w:val="24"/>
          <w:szCs w:val="24"/>
        </w:rPr>
        <w:t>, 14(1), 15-33.</w:t>
      </w:r>
    </w:p>
    <w:p w14:paraId="481EE805" w14:textId="77777777" w:rsidR="001276E1" w:rsidRPr="00D14ED4" w:rsidRDefault="001276E1" w:rsidP="00B20327">
      <w:pPr>
        <w:spacing w:line="276" w:lineRule="auto"/>
        <w:rPr>
          <w:rFonts w:ascii="Times New Roman" w:hAnsi="Times New Roman" w:cs="Times New Roman"/>
          <w:sz w:val="24"/>
          <w:szCs w:val="24"/>
        </w:rPr>
      </w:pPr>
      <w:r w:rsidRPr="00D14ED4">
        <w:rPr>
          <w:rFonts w:ascii="Times New Roman" w:hAnsi="Times New Roman" w:cs="Times New Roman"/>
          <w:sz w:val="24"/>
          <w:szCs w:val="24"/>
        </w:rPr>
        <w:t xml:space="preserve">Ali, R., </w:t>
      </w:r>
      <w:proofErr w:type="spellStart"/>
      <w:r w:rsidRPr="00D14ED4">
        <w:rPr>
          <w:rFonts w:ascii="Times New Roman" w:hAnsi="Times New Roman" w:cs="Times New Roman"/>
          <w:sz w:val="24"/>
          <w:szCs w:val="24"/>
        </w:rPr>
        <w:t>Ullah</w:t>
      </w:r>
      <w:proofErr w:type="spellEnd"/>
      <w:r w:rsidRPr="00D14ED4">
        <w:rPr>
          <w:rFonts w:ascii="Times New Roman" w:hAnsi="Times New Roman" w:cs="Times New Roman"/>
          <w:sz w:val="24"/>
          <w:szCs w:val="24"/>
        </w:rPr>
        <w:t xml:space="preserve">, U., </w:t>
      </w:r>
      <w:proofErr w:type="spellStart"/>
      <w:r w:rsidRPr="00D14ED4">
        <w:rPr>
          <w:rFonts w:ascii="Times New Roman" w:hAnsi="Times New Roman" w:cs="Times New Roman"/>
          <w:sz w:val="24"/>
          <w:szCs w:val="24"/>
        </w:rPr>
        <w:t>Khan</w:t>
      </w:r>
      <w:proofErr w:type="spellEnd"/>
      <w:r w:rsidRPr="00D14ED4">
        <w:rPr>
          <w:rFonts w:ascii="Times New Roman" w:hAnsi="Times New Roman" w:cs="Times New Roman"/>
          <w:sz w:val="24"/>
          <w:szCs w:val="24"/>
        </w:rPr>
        <w:t xml:space="preserve">, M., </w:t>
      </w:r>
      <w:proofErr w:type="spellStart"/>
      <w:r w:rsidRPr="00D14ED4">
        <w:rPr>
          <w:rFonts w:ascii="Times New Roman" w:hAnsi="Times New Roman" w:cs="Times New Roman"/>
          <w:sz w:val="24"/>
          <w:szCs w:val="24"/>
        </w:rPr>
        <w:t>Shaheer</w:t>
      </w:r>
      <w:proofErr w:type="spellEnd"/>
      <w:r w:rsidRPr="00D14ED4">
        <w:rPr>
          <w:rFonts w:ascii="Times New Roman" w:hAnsi="Times New Roman" w:cs="Times New Roman"/>
          <w:sz w:val="24"/>
          <w:szCs w:val="24"/>
        </w:rPr>
        <w:t xml:space="preserve">, M., Abbas, F. (2020). </w:t>
      </w:r>
      <w:proofErr w:type="spellStart"/>
      <w:r w:rsidRPr="00D14ED4">
        <w:rPr>
          <w:rFonts w:ascii="Times New Roman" w:hAnsi="Times New Roman" w:cs="Times New Roman"/>
          <w:sz w:val="24"/>
          <w:szCs w:val="24"/>
        </w:rPr>
        <w:t>Empirical</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Evidence</w:t>
      </w:r>
      <w:proofErr w:type="spellEnd"/>
      <w:r w:rsidRPr="00D14ED4">
        <w:rPr>
          <w:rFonts w:ascii="Times New Roman" w:hAnsi="Times New Roman" w:cs="Times New Roman"/>
          <w:sz w:val="24"/>
          <w:szCs w:val="24"/>
        </w:rPr>
        <w:t xml:space="preserve"> of </w:t>
      </w:r>
      <w:proofErr w:type="spellStart"/>
      <w:r w:rsidRPr="00D14ED4">
        <w:rPr>
          <w:rFonts w:ascii="Times New Roman" w:hAnsi="Times New Roman" w:cs="Times New Roman"/>
          <w:sz w:val="24"/>
          <w:szCs w:val="24"/>
        </w:rPr>
        <w:t>Co-Movement</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between</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the</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Canadian</w:t>
      </w:r>
      <w:proofErr w:type="spellEnd"/>
      <w:r w:rsidRPr="00D14ED4">
        <w:rPr>
          <w:rFonts w:ascii="Times New Roman" w:hAnsi="Times New Roman" w:cs="Times New Roman"/>
          <w:sz w:val="24"/>
          <w:szCs w:val="24"/>
        </w:rPr>
        <w:t xml:space="preserve"> CDS, </w:t>
      </w:r>
      <w:proofErr w:type="spellStart"/>
      <w:r w:rsidRPr="00D14ED4">
        <w:rPr>
          <w:rFonts w:ascii="Times New Roman" w:hAnsi="Times New Roman" w:cs="Times New Roman"/>
          <w:sz w:val="24"/>
          <w:szCs w:val="24"/>
        </w:rPr>
        <w:t>Stock</w:t>
      </w:r>
      <w:proofErr w:type="spellEnd"/>
      <w:r w:rsidRPr="00D14ED4">
        <w:rPr>
          <w:rFonts w:ascii="Times New Roman" w:hAnsi="Times New Roman" w:cs="Times New Roman"/>
          <w:sz w:val="24"/>
          <w:szCs w:val="24"/>
        </w:rPr>
        <w:t xml:space="preserve"> Market </w:t>
      </w:r>
      <w:proofErr w:type="spellStart"/>
      <w:r w:rsidRPr="00D14ED4">
        <w:rPr>
          <w:rFonts w:ascii="Times New Roman" w:hAnsi="Times New Roman" w:cs="Times New Roman"/>
          <w:sz w:val="24"/>
          <w:szCs w:val="24"/>
        </w:rPr>
        <w:t>And</w:t>
      </w:r>
      <w:proofErr w:type="spellEnd"/>
      <w:r w:rsidRPr="00D14ED4">
        <w:rPr>
          <w:rFonts w:ascii="Times New Roman" w:hAnsi="Times New Roman" w:cs="Times New Roman"/>
          <w:sz w:val="24"/>
          <w:szCs w:val="24"/>
        </w:rPr>
        <w:t xml:space="preserve"> TSX 60 </w:t>
      </w:r>
      <w:proofErr w:type="spellStart"/>
      <w:r w:rsidRPr="00D14ED4">
        <w:rPr>
          <w:rFonts w:ascii="Times New Roman" w:hAnsi="Times New Roman" w:cs="Times New Roman"/>
          <w:sz w:val="24"/>
          <w:szCs w:val="24"/>
        </w:rPr>
        <w:t>Volatility</w:t>
      </w:r>
      <w:proofErr w:type="spellEnd"/>
      <w:r w:rsidRPr="00D14ED4">
        <w:rPr>
          <w:rFonts w:ascii="Times New Roman" w:hAnsi="Times New Roman" w:cs="Times New Roman"/>
          <w:sz w:val="24"/>
          <w:szCs w:val="24"/>
        </w:rPr>
        <w:t xml:space="preserve"> Index: A </w:t>
      </w:r>
      <w:proofErr w:type="spellStart"/>
      <w:r w:rsidRPr="00D14ED4">
        <w:rPr>
          <w:rFonts w:ascii="Times New Roman" w:hAnsi="Times New Roman" w:cs="Times New Roman"/>
          <w:sz w:val="24"/>
          <w:szCs w:val="24"/>
        </w:rPr>
        <w:t>Wavelet</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Approach</w:t>
      </w:r>
      <w:proofErr w:type="spellEnd"/>
      <w:r w:rsidRPr="00D14ED4">
        <w:rPr>
          <w:rFonts w:ascii="Times New Roman" w:hAnsi="Times New Roman" w:cs="Times New Roman"/>
          <w:sz w:val="24"/>
          <w:szCs w:val="24"/>
        </w:rPr>
        <w:t xml:space="preserve">. </w:t>
      </w:r>
      <w:r w:rsidRPr="00D14ED4">
        <w:rPr>
          <w:rFonts w:ascii="Times New Roman" w:hAnsi="Times New Roman" w:cs="Times New Roman"/>
          <w:i/>
          <w:iCs/>
          <w:sz w:val="24"/>
          <w:szCs w:val="24"/>
        </w:rPr>
        <w:t xml:space="preserve">SEISENSE </w:t>
      </w:r>
      <w:proofErr w:type="spellStart"/>
      <w:r w:rsidRPr="00D14ED4">
        <w:rPr>
          <w:rFonts w:ascii="Times New Roman" w:hAnsi="Times New Roman" w:cs="Times New Roman"/>
          <w:i/>
          <w:iCs/>
          <w:sz w:val="24"/>
          <w:szCs w:val="24"/>
        </w:rPr>
        <w:t>Journal</w:t>
      </w:r>
      <w:proofErr w:type="spellEnd"/>
      <w:r w:rsidRPr="00D14ED4">
        <w:rPr>
          <w:rFonts w:ascii="Times New Roman" w:hAnsi="Times New Roman" w:cs="Times New Roman"/>
          <w:i/>
          <w:iCs/>
          <w:sz w:val="24"/>
          <w:szCs w:val="24"/>
        </w:rPr>
        <w:t xml:space="preserve"> of Management</w:t>
      </w:r>
      <w:r w:rsidRPr="00D14ED4">
        <w:rPr>
          <w:rFonts w:ascii="Times New Roman" w:hAnsi="Times New Roman" w:cs="Times New Roman"/>
          <w:sz w:val="24"/>
          <w:szCs w:val="24"/>
        </w:rPr>
        <w:t>, 3(3) 51-64.</w:t>
      </w:r>
    </w:p>
    <w:p w14:paraId="64B7D72A" w14:textId="77777777" w:rsidR="001276E1" w:rsidRPr="00D14ED4" w:rsidRDefault="001276E1" w:rsidP="00B20327">
      <w:pPr>
        <w:spacing w:line="276" w:lineRule="auto"/>
        <w:rPr>
          <w:rFonts w:ascii="Times New Roman" w:hAnsi="Times New Roman" w:cs="Times New Roman"/>
          <w:sz w:val="24"/>
          <w:szCs w:val="24"/>
        </w:rPr>
      </w:pPr>
      <w:proofErr w:type="spellStart"/>
      <w:r w:rsidRPr="00D14ED4">
        <w:rPr>
          <w:rFonts w:ascii="Times New Roman" w:hAnsi="Times New Roman" w:cs="Times New Roman"/>
          <w:sz w:val="24"/>
          <w:szCs w:val="24"/>
        </w:rPr>
        <w:t>Bektur</w:t>
      </w:r>
      <w:proofErr w:type="spellEnd"/>
      <w:r w:rsidRPr="00D14ED4">
        <w:rPr>
          <w:rFonts w:ascii="Times New Roman" w:hAnsi="Times New Roman" w:cs="Times New Roman"/>
          <w:sz w:val="24"/>
          <w:szCs w:val="24"/>
        </w:rPr>
        <w:t xml:space="preserve">, Ç.  Ve </w:t>
      </w:r>
      <w:proofErr w:type="spellStart"/>
      <w:r w:rsidRPr="00D14ED4">
        <w:rPr>
          <w:rFonts w:ascii="Times New Roman" w:hAnsi="Times New Roman" w:cs="Times New Roman"/>
          <w:sz w:val="24"/>
          <w:szCs w:val="24"/>
        </w:rPr>
        <w:t>Malcıoğlu</w:t>
      </w:r>
      <w:proofErr w:type="spellEnd"/>
      <w:r w:rsidRPr="00D14ED4">
        <w:rPr>
          <w:rFonts w:ascii="Times New Roman" w:hAnsi="Times New Roman" w:cs="Times New Roman"/>
          <w:sz w:val="24"/>
          <w:szCs w:val="24"/>
        </w:rPr>
        <w:t xml:space="preserve">, G. (2017). Kredi Temerrüt Takasları ile </w:t>
      </w:r>
      <w:proofErr w:type="spellStart"/>
      <w:r w:rsidRPr="00D14ED4">
        <w:rPr>
          <w:rFonts w:ascii="Times New Roman" w:hAnsi="Times New Roman" w:cs="Times New Roman"/>
          <w:sz w:val="24"/>
          <w:szCs w:val="24"/>
        </w:rPr>
        <w:t>Bıst</w:t>
      </w:r>
      <w:proofErr w:type="spellEnd"/>
      <w:r w:rsidRPr="00D14ED4">
        <w:rPr>
          <w:rFonts w:ascii="Times New Roman" w:hAnsi="Times New Roman" w:cs="Times New Roman"/>
          <w:sz w:val="24"/>
          <w:szCs w:val="24"/>
        </w:rPr>
        <w:t xml:space="preserve"> 100 Endeksi Arasındaki İlişki: Asimetrik Nedensellik Analizi. </w:t>
      </w:r>
      <w:r w:rsidRPr="001276E1">
        <w:rPr>
          <w:rFonts w:ascii="Times New Roman" w:hAnsi="Times New Roman" w:cs="Times New Roman"/>
          <w:i/>
          <w:iCs/>
          <w:sz w:val="24"/>
          <w:szCs w:val="24"/>
        </w:rPr>
        <w:t>Abant İzzet Baysal Üniversitesi Sosyal Bilimler Enstitüsü Dergisi</w:t>
      </w:r>
      <w:r w:rsidRPr="00D14ED4">
        <w:rPr>
          <w:rFonts w:ascii="Times New Roman" w:hAnsi="Times New Roman" w:cs="Times New Roman"/>
          <w:sz w:val="24"/>
          <w:szCs w:val="24"/>
        </w:rPr>
        <w:t>, 1(3), 73-83.</w:t>
      </w:r>
    </w:p>
    <w:p w14:paraId="01A3D917" w14:textId="5858B321" w:rsidR="001276E1" w:rsidRDefault="001276E1" w:rsidP="00B20327">
      <w:pPr>
        <w:spacing w:line="276" w:lineRule="auto"/>
        <w:rPr>
          <w:rFonts w:ascii="Times New Roman" w:hAnsi="Times New Roman" w:cs="Times New Roman"/>
          <w:sz w:val="24"/>
          <w:szCs w:val="24"/>
        </w:rPr>
      </w:pPr>
      <w:r w:rsidRPr="00D14ED4">
        <w:rPr>
          <w:rFonts w:ascii="Times New Roman" w:hAnsi="Times New Roman" w:cs="Times New Roman"/>
          <w:sz w:val="24"/>
          <w:szCs w:val="24"/>
        </w:rPr>
        <w:t xml:space="preserve">Blanco, R., </w:t>
      </w:r>
      <w:proofErr w:type="spellStart"/>
      <w:r w:rsidRPr="00D14ED4">
        <w:rPr>
          <w:rFonts w:ascii="Times New Roman" w:hAnsi="Times New Roman" w:cs="Times New Roman"/>
          <w:sz w:val="24"/>
          <w:szCs w:val="24"/>
        </w:rPr>
        <w:t>Brennan</w:t>
      </w:r>
      <w:proofErr w:type="spellEnd"/>
      <w:r w:rsidRPr="00D14ED4">
        <w:rPr>
          <w:rFonts w:ascii="Times New Roman" w:hAnsi="Times New Roman" w:cs="Times New Roman"/>
          <w:sz w:val="24"/>
          <w:szCs w:val="24"/>
        </w:rPr>
        <w:t xml:space="preserve">, S., &amp; </w:t>
      </w:r>
      <w:proofErr w:type="spellStart"/>
      <w:r w:rsidRPr="00D14ED4">
        <w:rPr>
          <w:rFonts w:ascii="Times New Roman" w:hAnsi="Times New Roman" w:cs="Times New Roman"/>
          <w:sz w:val="24"/>
          <w:szCs w:val="24"/>
        </w:rPr>
        <w:t>Marsh</w:t>
      </w:r>
      <w:proofErr w:type="spellEnd"/>
      <w:r w:rsidRPr="00D14ED4">
        <w:rPr>
          <w:rFonts w:ascii="Times New Roman" w:hAnsi="Times New Roman" w:cs="Times New Roman"/>
          <w:sz w:val="24"/>
          <w:szCs w:val="24"/>
        </w:rPr>
        <w:t xml:space="preserve">, I. W. (2005). An </w:t>
      </w:r>
      <w:proofErr w:type="spellStart"/>
      <w:r w:rsidRPr="00D14ED4">
        <w:rPr>
          <w:rFonts w:ascii="Times New Roman" w:hAnsi="Times New Roman" w:cs="Times New Roman"/>
          <w:sz w:val="24"/>
          <w:szCs w:val="24"/>
        </w:rPr>
        <w:t>empirical</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analysis</w:t>
      </w:r>
      <w:proofErr w:type="spellEnd"/>
      <w:r w:rsidRPr="00D14ED4">
        <w:rPr>
          <w:rFonts w:ascii="Times New Roman" w:hAnsi="Times New Roman" w:cs="Times New Roman"/>
          <w:sz w:val="24"/>
          <w:szCs w:val="24"/>
        </w:rPr>
        <w:t xml:space="preserve"> of </w:t>
      </w:r>
      <w:proofErr w:type="spellStart"/>
      <w:r w:rsidRPr="00D14ED4">
        <w:rPr>
          <w:rFonts w:ascii="Times New Roman" w:hAnsi="Times New Roman" w:cs="Times New Roman"/>
          <w:sz w:val="24"/>
          <w:szCs w:val="24"/>
        </w:rPr>
        <w:t>the</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dynamic</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relation</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between</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investment-grade</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bonds</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and</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credit</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default</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swaps</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i/>
          <w:iCs/>
          <w:sz w:val="24"/>
          <w:szCs w:val="24"/>
        </w:rPr>
        <w:t>Journal</w:t>
      </w:r>
      <w:proofErr w:type="spellEnd"/>
      <w:r w:rsidRPr="00D14ED4">
        <w:rPr>
          <w:rFonts w:ascii="Times New Roman" w:hAnsi="Times New Roman" w:cs="Times New Roman"/>
          <w:i/>
          <w:iCs/>
          <w:sz w:val="24"/>
          <w:szCs w:val="24"/>
        </w:rPr>
        <w:t xml:space="preserve"> of Finance</w:t>
      </w:r>
      <w:r w:rsidRPr="00D14ED4">
        <w:rPr>
          <w:rFonts w:ascii="Times New Roman" w:hAnsi="Times New Roman" w:cs="Times New Roman"/>
          <w:sz w:val="24"/>
          <w:szCs w:val="24"/>
        </w:rPr>
        <w:t>, 60, 2255–2281.</w:t>
      </w:r>
    </w:p>
    <w:p w14:paraId="5DDCDC57" w14:textId="34F72171" w:rsidR="00944A2C" w:rsidRPr="00944A2C" w:rsidRDefault="00944A2C" w:rsidP="00B20327">
      <w:pPr>
        <w:spacing w:line="276" w:lineRule="auto"/>
        <w:rPr>
          <w:rFonts w:ascii="Times New Roman" w:eastAsia="Times New Roman" w:hAnsi="Times New Roman" w:cs="Times New Roman"/>
          <w:sz w:val="24"/>
          <w:szCs w:val="24"/>
          <w:lang w:eastAsia="tr-TR"/>
        </w:rPr>
      </w:pPr>
      <w:proofErr w:type="spellStart"/>
      <w:r w:rsidRPr="00012C0A">
        <w:rPr>
          <w:rFonts w:ascii="Times New Roman" w:eastAsia="Times New Roman" w:hAnsi="Times New Roman" w:cs="Times New Roman"/>
          <w:sz w:val="24"/>
          <w:szCs w:val="24"/>
          <w:lang w:eastAsia="tr-TR"/>
        </w:rPr>
        <w:t>Bodie</w:t>
      </w:r>
      <w:proofErr w:type="spellEnd"/>
      <w:r w:rsidRPr="00012C0A">
        <w:rPr>
          <w:rFonts w:ascii="Times New Roman" w:eastAsia="Times New Roman" w:hAnsi="Times New Roman" w:cs="Times New Roman"/>
          <w:sz w:val="24"/>
          <w:szCs w:val="24"/>
          <w:lang w:eastAsia="tr-TR"/>
        </w:rPr>
        <w:t xml:space="preserve">, Z., </w:t>
      </w:r>
      <w:proofErr w:type="spellStart"/>
      <w:r w:rsidRPr="00012C0A">
        <w:rPr>
          <w:rFonts w:ascii="Times New Roman" w:eastAsia="Times New Roman" w:hAnsi="Times New Roman" w:cs="Times New Roman"/>
          <w:sz w:val="24"/>
          <w:szCs w:val="24"/>
          <w:lang w:eastAsia="tr-TR"/>
        </w:rPr>
        <w:t>Kane</w:t>
      </w:r>
      <w:proofErr w:type="spellEnd"/>
      <w:r w:rsidRPr="00012C0A">
        <w:rPr>
          <w:rFonts w:ascii="Times New Roman" w:eastAsia="Times New Roman" w:hAnsi="Times New Roman" w:cs="Times New Roman"/>
          <w:sz w:val="24"/>
          <w:szCs w:val="24"/>
          <w:lang w:eastAsia="tr-TR"/>
        </w:rPr>
        <w:t xml:space="preserve">, A., Alan J. </w:t>
      </w:r>
      <w:proofErr w:type="spellStart"/>
      <w:r w:rsidRPr="00012C0A">
        <w:rPr>
          <w:rFonts w:ascii="Times New Roman" w:eastAsia="Times New Roman" w:hAnsi="Times New Roman" w:cs="Times New Roman"/>
          <w:sz w:val="24"/>
          <w:szCs w:val="24"/>
          <w:lang w:eastAsia="tr-TR"/>
        </w:rPr>
        <w:t>Marcus</w:t>
      </w:r>
      <w:proofErr w:type="spellEnd"/>
      <w:r w:rsidRPr="00012C0A">
        <w:rPr>
          <w:rFonts w:ascii="Times New Roman" w:eastAsia="Times New Roman" w:hAnsi="Times New Roman" w:cs="Times New Roman"/>
          <w:sz w:val="24"/>
          <w:szCs w:val="24"/>
          <w:lang w:eastAsia="tr-TR"/>
        </w:rPr>
        <w:t xml:space="preserve">, A. </w:t>
      </w:r>
      <w:proofErr w:type="gramStart"/>
      <w:r w:rsidRPr="00012C0A">
        <w:rPr>
          <w:rFonts w:ascii="Times New Roman" w:eastAsia="Times New Roman" w:hAnsi="Times New Roman" w:cs="Times New Roman"/>
          <w:sz w:val="24"/>
          <w:szCs w:val="24"/>
          <w:lang w:eastAsia="tr-TR"/>
        </w:rPr>
        <w:t>J.</w:t>
      </w:r>
      <w:r>
        <w:rPr>
          <w:rFonts w:ascii="Times New Roman" w:eastAsia="Times New Roman" w:hAnsi="Times New Roman" w:cs="Times New Roman"/>
          <w:sz w:val="24"/>
          <w:szCs w:val="24"/>
          <w:lang w:eastAsia="tr-TR"/>
        </w:rPr>
        <w:t>(</w:t>
      </w:r>
      <w:proofErr w:type="gramEnd"/>
      <w:r>
        <w:rPr>
          <w:rFonts w:ascii="Times New Roman" w:eastAsia="Times New Roman" w:hAnsi="Times New Roman" w:cs="Times New Roman"/>
          <w:sz w:val="24"/>
          <w:szCs w:val="24"/>
          <w:lang w:eastAsia="tr-TR"/>
        </w:rPr>
        <w:t xml:space="preserve">2013). </w:t>
      </w:r>
      <w:r w:rsidRPr="00012C0A">
        <w:rPr>
          <w:rFonts w:ascii="Times New Roman" w:eastAsia="Times New Roman" w:hAnsi="Times New Roman" w:cs="Times New Roman"/>
          <w:sz w:val="24"/>
          <w:szCs w:val="24"/>
          <w:lang w:eastAsia="tr-TR"/>
        </w:rPr>
        <w:t xml:space="preserve">Essentials of </w:t>
      </w:r>
      <w:proofErr w:type="spellStart"/>
      <w:r w:rsidRPr="00012C0A">
        <w:rPr>
          <w:rFonts w:ascii="Times New Roman" w:eastAsia="Times New Roman" w:hAnsi="Times New Roman" w:cs="Times New Roman"/>
          <w:sz w:val="24"/>
          <w:szCs w:val="24"/>
          <w:lang w:eastAsia="tr-TR"/>
        </w:rPr>
        <w:t>Investments</w:t>
      </w:r>
      <w:proofErr w:type="spellEnd"/>
      <w:r>
        <w:rPr>
          <w:rFonts w:ascii="Times New Roman" w:eastAsia="Times New Roman" w:hAnsi="Times New Roman" w:cs="Times New Roman"/>
          <w:sz w:val="24"/>
          <w:szCs w:val="24"/>
          <w:lang w:eastAsia="tr-TR"/>
        </w:rPr>
        <w:t>.</w:t>
      </w:r>
      <w:r w:rsidRPr="00012C0A">
        <w:rPr>
          <w:rFonts w:ascii="Times New Roman" w:eastAsia="Times New Roman" w:hAnsi="Times New Roman" w:cs="Times New Roman"/>
          <w:sz w:val="24"/>
          <w:szCs w:val="24"/>
          <w:lang w:eastAsia="tr-TR"/>
        </w:rPr>
        <w:t xml:space="preserve"> Ninth Edition</w:t>
      </w:r>
      <w:r>
        <w:rPr>
          <w:rFonts w:ascii="Times New Roman" w:eastAsia="Times New Roman" w:hAnsi="Times New Roman" w:cs="Times New Roman"/>
          <w:sz w:val="24"/>
          <w:szCs w:val="24"/>
          <w:lang w:eastAsia="tr-TR"/>
        </w:rPr>
        <w:t>,</w:t>
      </w:r>
      <w:r w:rsidRPr="00012C0A">
        <w:rPr>
          <w:rFonts w:ascii="Times New Roman" w:eastAsia="Times New Roman" w:hAnsi="Times New Roman" w:cs="Times New Roman"/>
          <w:sz w:val="24"/>
          <w:szCs w:val="24"/>
          <w:lang w:eastAsia="tr-TR"/>
        </w:rPr>
        <w:t xml:space="preserve"> </w:t>
      </w:r>
      <w:proofErr w:type="spellStart"/>
      <w:r w:rsidRPr="00012C0A">
        <w:rPr>
          <w:rFonts w:ascii="Times New Roman" w:eastAsia="Times New Roman" w:hAnsi="Times New Roman" w:cs="Times New Roman"/>
          <w:sz w:val="24"/>
          <w:szCs w:val="24"/>
          <w:lang w:eastAsia="tr-TR"/>
        </w:rPr>
        <w:t>McGrawHill</w:t>
      </w:r>
      <w:proofErr w:type="spellEnd"/>
      <w:r>
        <w:rPr>
          <w:rFonts w:ascii="Times New Roman" w:eastAsia="Times New Roman" w:hAnsi="Times New Roman" w:cs="Times New Roman"/>
          <w:sz w:val="24"/>
          <w:szCs w:val="24"/>
          <w:lang w:eastAsia="tr-TR"/>
        </w:rPr>
        <w:t>.</w:t>
      </w:r>
    </w:p>
    <w:p w14:paraId="78D9B959" w14:textId="6E5B2DA0" w:rsidR="00012C0A" w:rsidRPr="00012C0A" w:rsidRDefault="00012C0A" w:rsidP="00B20327">
      <w:pPr>
        <w:spacing w:line="276" w:lineRule="auto"/>
        <w:rPr>
          <w:rFonts w:ascii="Times New Roman" w:hAnsi="Times New Roman" w:cs="Times New Roman"/>
          <w:sz w:val="24"/>
          <w:szCs w:val="24"/>
        </w:rPr>
      </w:pPr>
      <w:proofErr w:type="spellStart"/>
      <w:r w:rsidRPr="00012C0A">
        <w:rPr>
          <w:rFonts w:ascii="Times New Roman" w:hAnsi="Times New Roman" w:cs="Times New Roman"/>
          <w:sz w:val="24"/>
          <w:szCs w:val="24"/>
        </w:rPr>
        <w:t>Brigham</w:t>
      </w:r>
      <w:proofErr w:type="spellEnd"/>
      <w:r w:rsidRPr="00012C0A">
        <w:rPr>
          <w:rFonts w:ascii="Times New Roman" w:hAnsi="Times New Roman" w:cs="Times New Roman"/>
          <w:sz w:val="24"/>
          <w:szCs w:val="24"/>
        </w:rPr>
        <w:t xml:space="preserve">, E. F. ve Houston, J. F. (2012). Fundamentals of Financial Management. 7. Edition, </w:t>
      </w:r>
      <w:proofErr w:type="spellStart"/>
      <w:r w:rsidRPr="00012C0A">
        <w:rPr>
          <w:rFonts w:ascii="Times New Roman" w:hAnsi="Times New Roman" w:cs="Times New Roman"/>
          <w:sz w:val="24"/>
          <w:szCs w:val="24"/>
        </w:rPr>
        <w:t>Cengage</w:t>
      </w:r>
      <w:proofErr w:type="spellEnd"/>
      <w:r w:rsidRPr="00012C0A">
        <w:rPr>
          <w:rFonts w:ascii="Times New Roman" w:hAnsi="Times New Roman" w:cs="Times New Roman"/>
          <w:sz w:val="24"/>
          <w:szCs w:val="24"/>
        </w:rPr>
        <w:t xml:space="preserve"> South- Western.</w:t>
      </w:r>
    </w:p>
    <w:p w14:paraId="05CC0793" w14:textId="77777777" w:rsidR="001276E1" w:rsidRPr="00D14ED4" w:rsidRDefault="001276E1" w:rsidP="00B20327">
      <w:pPr>
        <w:spacing w:line="276" w:lineRule="auto"/>
        <w:rPr>
          <w:rFonts w:ascii="Times New Roman" w:hAnsi="Times New Roman" w:cs="Times New Roman"/>
          <w:i/>
          <w:iCs/>
          <w:sz w:val="24"/>
          <w:szCs w:val="24"/>
        </w:rPr>
      </w:pPr>
      <w:proofErr w:type="spellStart"/>
      <w:r w:rsidRPr="00D14ED4">
        <w:rPr>
          <w:rFonts w:ascii="Times New Roman" w:hAnsi="Times New Roman" w:cs="Times New Roman"/>
          <w:sz w:val="24"/>
          <w:szCs w:val="24"/>
        </w:rPr>
        <w:t>Cao</w:t>
      </w:r>
      <w:proofErr w:type="spellEnd"/>
      <w:r w:rsidRPr="00D14ED4">
        <w:rPr>
          <w:rFonts w:ascii="Times New Roman" w:hAnsi="Times New Roman" w:cs="Times New Roman"/>
          <w:sz w:val="24"/>
          <w:szCs w:val="24"/>
        </w:rPr>
        <w:t xml:space="preserve">, C., </w:t>
      </w:r>
      <w:proofErr w:type="spellStart"/>
      <w:r w:rsidRPr="00D14ED4">
        <w:rPr>
          <w:rFonts w:ascii="Times New Roman" w:hAnsi="Times New Roman" w:cs="Times New Roman"/>
          <w:sz w:val="24"/>
          <w:szCs w:val="24"/>
        </w:rPr>
        <w:t>Yu</w:t>
      </w:r>
      <w:proofErr w:type="spellEnd"/>
      <w:r w:rsidRPr="00D14ED4">
        <w:rPr>
          <w:rFonts w:ascii="Times New Roman" w:hAnsi="Times New Roman" w:cs="Times New Roman"/>
          <w:sz w:val="24"/>
          <w:szCs w:val="24"/>
        </w:rPr>
        <w:t xml:space="preserve">, F. ve </w:t>
      </w:r>
      <w:proofErr w:type="spellStart"/>
      <w:r w:rsidRPr="00D14ED4">
        <w:rPr>
          <w:rFonts w:ascii="Times New Roman" w:hAnsi="Times New Roman" w:cs="Times New Roman"/>
          <w:sz w:val="24"/>
          <w:szCs w:val="24"/>
        </w:rPr>
        <w:t>Zhong</w:t>
      </w:r>
      <w:proofErr w:type="spellEnd"/>
      <w:r w:rsidRPr="00D14ED4">
        <w:rPr>
          <w:rFonts w:ascii="Times New Roman" w:hAnsi="Times New Roman" w:cs="Times New Roman"/>
          <w:sz w:val="24"/>
          <w:szCs w:val="24"/>
        </w:rPr>
        <w:t xml:space="preserve">, Z. (2010). </w:t>
      </w:r>
      <w:proofErr w:type="spellStart"/>
      <w:r w:rsidRPr="00D14ED4">
        <w:rPr>
          <w:rFonts w:ascii="Times New Roman" w:hAnsi="Times New Roman" w:cs="Times New Roman"/>
          <w:sz w:val="24"/>
          <w:szCs w:val="24"/>
        </w:rPr>
        <w:t>The</w:t>
      </w:r>
      <w:proofErr w:type="spellEnd"/>
      <w:r w:rsidRPr="00D14ED4">
        <w:rPr>
          <w:rFonts w:ascii="Times New Roman" w:hAnsi="Times New Roman" w:cs="Times New Roman"/>
          <w:sz w:val="24"/>
          <w:szCs w:val="24"/>
        </w:rPr>
        <w:t xml:space="preserve"> Information Content of Option-</w:t>
      </w:r>
      <w:proofErr w:type="spellStart"/>
      <w:r w:rsidRPr="00D14ED4">
        <w:rPr>
          <w:rFonts w:ascii="Times New Roman" w:hAnsi="Times New Roman" w:cs="Times New Roman"/>
          <w:sz w:val="24"/>
          <w:szCs w:val="24"/>
        </w:rPr>
        <w:t>Implied</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Volatility</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for</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Credit</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Default</w:t>
      </w:r>
      <w:proofErr w:type="spellEnd"/>
      <w:r w:rsidRPr="00D14ED4">
        <w:rPr>
          <w:rFonts w:ascii="Times New Roman" w:hAnsi="Times New Roman" w:cs="Times New Roman"/>
          <w:sz w:val="24"/>
          <w:szCs w:val="24"/>
        </w:rPr>
        <w:t xml:space="preserve"> Swap </w:t>
      </w:r>
      <w:proofErr w:type="spellStart"/>
      <w:r w:rsidRPr="00D14ED4">
        <w:rPr>
          <w:rFonts w:ascii="Times New Roman" w:hAnsi="Times New Roman" w:cs="Times New Roman"/>
          <w:sz w:val="24"/>
          <w:szCs w:val="24"/>
        </w:rPr>
        <w:t>Valuation</w:t>
      </w:r>
      <w:proofErr w:type="spellEnd"/>
      <w:proofErr w:type="gramStart"/>
      <w:r w:rsidRPr="00D14ED4">
        <w:rPr>
          <w:rFonts w:ascii="Times New Roman" w:hAnsi="Times New Roman" w:cs="Times New Roman"/>
          <w:sz w:val="24"/>
          <w:szCs w:val="24"/>
        </w:rPr>
        <w:t>, )</w:t>
      </w:r>
      <w:proofErr w:type="gramEnd"/>
      <w:r w:rsidRPr="00D14ED4">
        <w:rPr>
          <w:rFonts w:ascii="Times New Roman" w:hAnsi="Times New Roman" w:cs="Times New Roman"/>
          <w:sz w:val="24"/>
          <w:szCs w:val="24"/>
        </w:rPr>
        <w:t xml:space="preserve">.  </w:t>
      </w:r>
      <w:proofErr w:type="spellStart"/>
      <w:r w:rsidRPr="00D14ED4">
        <w:rPr>
          <w:rFonts w:ascii="Times New Roman" w:hAnsi="Times New Roman" w:cs="Times New Roman"/>
          <w:i/>
          <w:iCs/>
          <w:sz w:val="24"/>
          <w:szCs w:val="24"/>
        </w:rPr>
        <w:t>Journal</w:t>
      </w:r>
      <w:proofErr w:type="spellEnd"/>
      <w:r w:rsidRPr="00D14ED4">
        <w:rPr>
          <w:rFonts w:ascii="Times New Roman" w:hAnsi="Times New Roman" w:cs="Times New Roman"/>
          <w:i/>
          <w:iCs/>
          <w:sz w:val="24"/>
          <w:szCs w:val="24"/>
        </w:rPr>
        <w:t xml:space="preserve"> Of Financial </w:t>
      </w:r>
      <w:proofErr w:type="spellStart"/>
      <w:r w:rsidRPr="00D14ED4">
        <w:rPr>
          <w:rFonts w:ascii="Times New Roman" w:hAnsi="Times New Roman" w:cs="Times New Roman"/>
          <w:i/>
          <w:iCs/>
          <w:sz w:val="24"/>
          <w:szCs w:val="24"/>
        </w:rPr>
        <w:t>Markets</w:t>
      </w:r>
      <w:proofErr w:type="spellEnd"/>
      <w:r w:rsidRPr="00D14ED4">
        <w:rPr>
          <w:rFonts w:ascii="Times New Roman" w:hAnsi="Times New Roman" w:cs="Times New Roman"/>
          <w:i/>
          <w:iCs/>
          <w:sz w:val="24"/>
          <w:szCs w:val="24"/>
        </w:rPr>
        <w:t xml:space="preserve">, </w:t>
      </w:r>
      <w:r w:rsidRPr="00D14ED4">
        <w:rPr>
          <w:rFonts w:ascii="Times New Roman" w:hAnsi="Times New Roman" w:cs="Times New Roman"/>
          <w:sz w:val="24"/>
          <w:szCs w:val="24"/>
        </w:rPr>
        <w:t>13(3), 321-343.</w:t>
      </w:r>
    </w:p>
    <w:p w14:paraId="0799FBED" w14:textId="39625CFC" w:rsidR="00CE17CE" w:rsidRDefault="00CE17CE" w:rsidP="00B20327">
      <w:pPr>
        <w:spacing w:line="276" w:lineRule="auto"/>
        <w:rPr>
          <w:rFonts w:ascii="Times New Roman" w:hAnsi="Times New Roman" w:cs="Times New Roman"/>
          <w:sz w:val="24"/>
          <w:szCs w:val="24"/>
        </w:rPr>
      </w:pPr>
      <w:proofErr w:type="spellStart"/>
      <w:r w:rsidRPr="006A69FA">
        <w:rPr>
          <w:rFonts w:ascii="Times New Roman" w:hAnsi="Times New Roman" w:cs="Times New Roman"/>
          <w:sz w:val="24"/>
          <w:szCs w:val="24"/>
        </w:rPr>
        <w:t>Dıckey</w:t>
      </w:r>
      <w:proofErr w:type="spellEnd"/>
      <w:r w:rsidRPr="006A69FA">
        <w:rPr>
          <w:rFonts w:ascii="Times New Roman" w:hAnsi="Times New Roman" w:cs="Times New Roman"/>
          <w:sz w:val="24"/>
          <w:szCs w:val="24"/>
        </w:rPr>
        <w:t xml:space="preserve">, D. A. ve Fuller, W. A. 1981. Distribution of </w:t>
      </w:r>
      <w:proofErr w:type="spellStart"/>
      <w:r w:rsidRPr="006A69FA">
        <w:rPr>
          <w:rFonts w:ascii="Times New Roman" w:hAnsi="Times New Roman" w:cs="Times New Roman"/>
          <w:sz w:val="24"/>
          <w:szCs w:val="24"/>
        </w:rPr>
        <w:t>the</w:t>
      </w:r>
      <w:proofErr w:type="spellEnd"/>
      <w:r w:rsidRPr="006A69FA">
        <w:rPr>
          <w:rFonts w:ascii="Times New Roman" w:hAnsi="Times New Roman" w:cs="Times New Roman"/>
          <w:sz w:val="24"/>
          <w:szCs w:val="24"/>
        </w:rPr>
        <w:t xml:space="preserve"> </w:t>
      </w:r>
      <w:proofErr w:type="spellStart"/>
      <w:r w:rsidRPr="006A69FA">
        <w:rPr>
          <w:rFonts w:ascii="Times New Roman" w:hAnsi="Times New Roman" w:cs="Times New Roman"/>
          <w:sz w:val="24"/>
          <w:szCs w:val="24"/>
        </w:rPr>
        <w:t>estimators</w:t>
      </w:r>
      <w:proofErr w:type="spellEnd"/>
      <w:r w:rsidRPr="006A69FA">
        <w:rPr>
          <w:rFonts w:ascii="Times New Roman" w:hAnsi="Times New Roman" w:cs="Times New Roman"/>
          <w:sz w:val="24"/>
          <w:szCs w:val="24"/>
        </w:rPr>
        <w:t xml:space="preserve"> </w:t>
      </w:r>
      <w:proofErr w:type="spellStart"/>
      <w:r w:rsidRPr="006A69FA">
        <w:rPr>
          <w:rFonts w:ascii="Times New Roman" w:hAnsi="Times New Roman" w:cs="Times New Roman"/>
          <w:sz w:val="24"/>
          <w:szCs w:val="24"/>
        </w:rPr>
        <w:t>for</w:t>
      </w:r>
      <w:proofErr w:type="spellEnd"/>
      <w:r w:rsidRPr="006A69FA">
        <w:rPr>
          <w:rFonts w:ascii="Times New Roman" w:hAnsi="Times New Roman" w:cs="Times New Roman"/>
          <w:sz w:val="24"/>
          <w:szCs w:val="24"/>
        </w:rPr>
        <w:t xml:space="preserve"> </w:t>
      </w:r>
      <w:proofErr w:type="spellStart"/>
      <w:r w:rsidRPr="006A69FA">
        <w:rPr>
          <w:rFonts w:ascii="Times New Roman" w:hAnsi="Times New Roman" w:cs="Times New Roman"/>
          <w:sz w:val="24"/>
          <w:szCs w:val="24"/>
        </w:rPr>
        <w:t>autoregressive</w:t>
      </w:r>
      <w:proofErr w:type="spellEnd"/>
      <w:r w:rsidRPr="006A69FA">
        <w:rPr>
          <w:rFonts w:ascii="Times New Roman" w:hAnsi="Times New Roman" w:cs="Times New Roman"/>
          <w:sz w:val="24"/>
          <w:szCs w:val="24"/>
        </w:rPr>
        <w:t xml:space="preserve"> time </w:t>
      </w:r>
      <w:proofErr w:type="spellStart"/>
      <w:r w:rsidRPr="006A69FA">
        <w:rPr>
          <w:rFonts w:ascii="Times New Roman" w:hAnsi="Times New Roman" w:cs="Times New Roman"/>
          <w:sz w:val="24"/>
          <w:szCs w:val="24"/>
        </w:rPr>
        <w:t>series</w:t>
      </w:r>
      <w:proofErr w:type="spellEnd"/>
      <w:r w:rsidRPr="006A69FA">
        <w:rPr>
          <w:rFonts w:ascii="Times New Roman" w:hAnsi="Times New Roman" w:cs="Times New Roman"/>
          <w:sz w:val="24"/>
          <w:szCs w:val="24"/>
        </w:rPr>
        <w:t xml:space="preserve"> </w:t>
      </w:r>
      <w:proofErr w:type="spellStart"/>
      <w:r w:rsidRPr="006A69FA">
        <w:rPr>
          <w:rFonts w:ascii="Times New Roman" w:hAnsi="Times New Roman" w:cs="Times New Roman"/>
          <w:sz w:val="24"/>
          <w:szCs w:val="24"/>
        </w:rPr>
        <w:t>with</w:t>
      </w:r>
      <w:proofErr w:type="spellEnd"/>
      <w:r w:rsidRPr="006A69FA">
        <w:rPr>
          <w:rFonts w:ascii="Times New Roman" w:hAnsi="Times New Roman" w:cs="Times New Roman"/>
          <w:sz w:val="24"/>
          <w:szCs w:val="24"/>
        </w:rPr>
        <w:t xml:space="preserve"> a </w:t>
      </w:r>
      <w:proofErr w:type="spellStart"/>
      <w:r w:rsidRPr="006A69FA">
        <w:rPr>
          <w:rFonts w:ascii="Times New Roman" w:hAnsi="Times New Roman" w:cs="Times New Roman"/>
          <w:sz w:val="24"/>
          <w:szCs w:val="24"/>
        </w:rPr>
        <w:t>unit</w:t>
      </w:r>
      <w:proofErr w:type="spellEnd"/>
      <w:r w:rsidRPr="006A69FA">
        <w:rPr>
          <w:rFonts w:ascii="Times New Roman" w:hAnsi="Times New Roman" w:cs="Times New Roman"/>
          <w:sz w:val="24"/>
          <w:szCs w:val="24"/>
        </w:rPr>
        <w:t xml:space="preserve"> </w:t>
      </w:r>
      <w:proofErr w:type="spellStart"/>
      <w:r w:rsidRPr="006A69FA">
        <w:rPr>
          <w:rFonts w:ascii="Times New Roman" w:hAnsi="Times New Roman" w:cs="Times New Roman"/>
          <w:sz w:val="24"/>
          <w:szCs w:val="24"/>
        </w:rPr>
        <w:t>root</w:t>
      </w:r>
      <w:proofErr w:type="spellEnd"/>
      <w:r w:rsidRPr="006A69FA">
        <w:rPr>
          <w:rFonts w:ascii="Times New Roman" w:hAnsi="Times New Roman" w:cs="Times New Roman"/>
          <w:sz w:val="24"/>
          <w:szCs w:val="24"/>
        </w:rPr>
        <w:t xml:space="preserve">, </w:t>
      </w:r>
      <w:proofErr w:type="spellStart"/>
      <w:r w:rsidRPr="006A69FA">
        <w:rPr>
          <w:rFonts w:ascii="Times New Roman" w:hAnsi="Times New Roman" w:cs="Times New Roman"/>
          <w:sz w:val="24"/>
          <w:szCs w:val="24"/>
        </w:rPr>
        <w:t>Econometrica</w:t>
      </w:r>
      <w:proofErr w:type="spellEnd"/>
      <w:r w:rsidRPr="006A69FA">
        <w:rPr>
          <w:rFonts w:ascii="Times New Roman" w:hAnsi="Times New Roman" w:cs="Times New Roman"/>
          <w:sz w:val="24"/>
          <w:szCs w:val="24"/>
        </w:rPr>
        <w:t>, 49, 1057-72</w:t>
      </w:r>
    </w:p>
    <w:p w14:paraId="7F4B3910" w14:textId="60D5DD5C" w:rsidR="001276E1" w:rsidRPr="00D14ED4" w:rsidRDefault="001276E1" w:rsidP="00B20327">
      <w:pPr>
        <w:spacing w:line="276" w:lineRule="auto"/>
        <w:rPr>
          <w:rFonts w:ascii="Times New Roman" w:hAnsi="Times New Roman" w:cs="Times New Roman"/>
          <w:sz w:val="24"/>
          <w:szCs w:val="24"/>
        </w:rPr>
      </w:pPr>
      <w:proofErr w:type="spellStart"/>
      <w:proofErr w:type="gramStart"/>
      <w:r w:rsidRPr="00D14ED4">
        <w:rPr>
          <w:rFonts w:ascii="Times New Roman" w:hAnsi="Times New Roman" w:cs="Times New Roman"/>
          <w:sz w:val="24"/>
          <w:szCs w:val="24"/>
        </w:rPr>
        <w:t>Duffie,D</w:t>
      </w:r>
      <w:proofErr w:type="spellEnd"/>
      <w:r w:rsidRPr="00D14ED4">
        <w:rPr>
          <w:rFonts w:ascii="Times New Roman" w:hAnsi="Times New Roman" w:cs="Times New Roman"/>
          <w:sz w:val="24"/>
          <w:szCs w:val="24"/>
        </w:rPr>
        <w:t>.</w:t>
      </w:r>
      <w:proofErr w:type="gramEnd"/>
      <w:r w:rsidRPr="00D14ED4">
        <w:rPr>
          <w:rFonts w:ascii="Times New Roman" w:hAnsi="Times New Roman" w:cs="Times New Roman"/>
          <w:sz w:val="24"/>
          <w:szCs w:val="24"/>
        </w:rPr>
        <w:t>(1999).</w:t>
      </w:r>
      <w:proofErr w:type="spellStart"/>
      <w:r w:rsidRPr="00D14ED4">
        <w:rPr>
          <w:rFonts w:ascii="Times New Roman" w:hAnsi="Times New Roman" w:cs="Times New Roman"/>
          <w:sz w:val="24"/>
          <w:szCs w:val="24"/>
        </w:rPr>
        <w:t>Creditswapvaluation</w:t>
      </w:r>
      <w:proofErr w:type="spellEnd"/>
      <w:r w:rsidRPr="00D14ED4">
        <w:rPr>
          <w:rFonts w:ascii="Times New Roman" w:hAnsi="Times New Roman" w:cs="Times New Roman"/>
          <w:sz w:val="24"/>
          <w:szCs w:val="24"/>
        </w:rPr>
        <w:t xml:space="preserve">. </w:t>
      </w:r>
      <w:r w:rsidRPr="00D14ED4">
        <w:rPr>
          <w:rFonts w:ascii="Times New Roman" w:hAnsi="Times New Roman" w:cs="Times New Roman"/>
          <w:i/>
          <w:iCs/>
          <w:sz w:val="24"/>
          <w:szCs w:val="24"/>
        </w:rPr>
        <w:t xml:space="preserve">Financial </w:t>
      </w:r>
      <w:proofErr w:type="spellStart"/>
      <w:r w:rsidRPr="00D14ED4">
        <w:rPr>
          <w:rFonts w:ascii="Times New Roman" w:hAnsi="Times New Roman" w:cs="Times New Roman"/>
          <w:i/>
          <w:iCs/>
          <w:sz w:val="24"/>
          <w:szCs w:val="24"/>
        </w:rPr>
        <w:t>Analysts</w:t>
      </w:r>
      <w:proofErr w:type="spellEnd"/>
      <w:r w:rsidRPr="00D14ED4">
        <w:rPr>
          <w:rFonts w:ascii="Times New Roman" w:hAnsi="Times New Roman" w:cs="Times New Roman"/>
          <w:i/>
          <w:iCs/>
          <w:sz w:val="24"/>
          <w:szCs w:val="24"/>
        </w:rPr>
        <w:t xml:space="preserve"> </w:t>
      </w:r>
      <w:proofErr w:type="spellStart"/>
      <w:r w:rsidRPr="00D14ED4">
        <w:rPr>
          <w:rFonts w:ascii="Times New Roman" w:hAnsi="Times New Roman" w:cs="Times New Roman"/>
          <w:i/>
          <w:iCs/>
          <w:sz w:val="24"/>
          <w:szCs w:val="24"/>
        </w:rPr>
        <w:t>Journal</w:t>
      </w:r>
      <w:proofErr w:type="spellEnd"/>
      <w:r w:rsidRPr="00D14ED4">
        <w:rPr>
          <w:rFonts w:ascii="Times New Roman" w:hAnsi="Times New Roman" w:cs="Times New Roman"/>
          <w:sz w:val="24"/>
          <w:szCs w:val="24"/>
        </w:rPr>
        <w:t>, 55, 73–87.</w:t>
      </w:r>
    </w:p>
    <w:p w14:paraId="4BE18887" w14:textId="728A5A48" w:rsidR="00E33DDB" w:rsidRPr="00E33DDB" w:rsidRDefault="00E33DDB" w:rsidP="00B20327">
      <w:pPr>
        <w:spacing w:line="276" w:lineRule="auto"/>
        <w:jc w:val="both"/>
        <w:rPr>
          <w:rFonts w:ascii="Times New Roman" w:hAnsi="Times New Roman" w:cs="Times New Roman"/>
          <w:sz w:val="24"/>
          <w:szCs w:val="24"/>
        </w:rPr>
      </w:pPr>
      <w:r w:rsidRPr="00E33DDB">
        <w:rPr>
          <w:rFonts w:ascii="Times New Roman" w:hAnsi="Times New Roman" w:cs="Times New Roman"/>
          <w:sz w:val="24"/>
          <w:szCs w:val="24"/>
        </w:rPr>
        <w:t xml:space="preserve">Eren, </w:t>
      </w:r>
      <w:proofErr w:type="gramStart"/>
      <w:r w:rsidRPr="00E33DDB">
        <w:rPr>
          <w:rFonts w:ascii="Times New Roman" w:hAnsi="Times New Roman" w:cs="Times New Roman"/>
          <w:sz w:val="24"/>
          <w:szCs w:val="24"/>
        </w:rPr>
        <w:t>M ,</w:t>
      </w:r>
      <w:proofErr w:type="gramEnd"/>
      <w:r w:rsidRPr="00E33DDB">
        <w:rPr>
          <w:rFonts w:ascii="Times New Roman" w:hAnsi="Times New Roman" w:cs="Times New Roman"/>
          <w:sz w:val="24"/>
          <w:szCs w:val="24"/>
        </w:rPr>
        <w:t xml:space="preserve"> Başar, S . (2016). Makroekonomik Faktörler Ve Kredi Temerrüt Takaslarının Bıst-100 Endeksi Üzerindeki Etkisi: </w:t>
      </w:r>
      <w:proofErr w:type="spellStart"/>
      <w:r w:rsidRPr="00E33DDB">
        <w:rPr>
          <w:rFonts w:ascii="Times New Roman" w:hAnsi="Times New Roman" w:cs="Times New Roman"/>
          <w:sz w:val="24"/>
          <w:szCs w:val="24"/>
        </w:rPr>
        <w:t>Ardl</w:t>
      </w:r>
      <w:proofErr w:type="spellEnd"/>
      <w:r w:rsidRPr="00E33DDB">
        <w:rPr>
          <w:rFonts w:ascii="Times New Roman" w:hAnsi="Times New Roman" w:cs="Times New Roman"/>
          <w:sz w:val="24"/>
          <w:szCs w:val="24"/>
        </w:rPr>
        <w:t xml:space="preserve"> </w:t>
      </w:r>
      <w:proofErr w:type="gramStart"/>
      <w:r w:rsidRPr="00E33DDB">
        <w:rPr>
          <w:rFonts w:ascii="Times New Roman" w:hAnsi="Times New Roman" w:cs="Times New Roman"/>
          <w:sz w:val="24"/>
          <w:szCs w:val="24"/>
        </w:rPr>
        <w:t>Yaklaşımı .</w:t>
      </w:r>
      <w:proofErr w:type="gramEnd"/>
      <w:r w:rsidRPr="00E33DDB">
        <w:rPr>
          <w:rFonts w:ascii="Times New Roman" w:hAnsi="Times New Roman" w:cs="Times New Roman"/>
          <w:sz w:val="24"/>
          <w:szCs w:val="24"/>
        </w:rPr>
        <w:t xml:space="preserve"> Atatürk Üniversitesi İktisadi ve İdari Bilimler Dergis</w:t>
      </w:r>
      <w:r>
        <w:rPr>
          <w:rFonts w:ascii="Times New Roman" w:hAnsi="Times New Roman" w:cs="Times New Roman"/>
          <w:sz w:val="24"/>
          <w:szCs w:val="24"/>
        </w:rPr>
        <w:t>i</w:t>
      </w:r>
      <w:r w:rsidR="00C9263F">
        <w:rPr>
          <w:rFonts w:ascii="Times New Roman" w:hAnsi="Times New Roman" w:cs="Times New Roman"/>
          <w:sz w:val="24"/>
          <w:szCs w:val="24"/>
        </w:rPr>
        <w:t>,30(3)</w:t>
      </w:r>
    </w:p>
    <w:p w14:paraId="03D91C07" w14:textId="7AFDCF7D" w:rsidR="001276E1" w:rsidRPr="00D14ED4" w:rsidRDefault="001276E1" w:rsidP="00B20327">
      <w:pPr>
        <w:spacing w:line="276" w:lineRule="auto"/>
        <w:rPr>
          <w:rFonts w:ascii="Times New Roman" w:hAnsi="Times New Roman" w:cs="Times New Roman"/>
          <w:sz w:val="24"/>
          <w:szCs w:val="24"/>
        </w:rPr>
      </w:pPr>
      <w:proofErr w:type="spellStart"/>
      <w:proofErr w:type="gramStart"/>
      <w:r w:rsidRPr="00D14ED4">
        <w:rPr>
          <w:rFonts w:ascii="Times New Roman" w:hAnsi="Times New Roman" w:cs="Times New Roman"/>
          <w:sz w:val="24"/>
          <w:szCs w:val="24"/>
        </w:rPr>
        <w:t>Fettahoğlu,S</w:t>
      </w:r>
      <w:proofErr w:type="spellEnd"/>
      <w:r w:rsidRPr="00D14ED4">
        <w:rPr>
          <w:rFonts w:ascii="Times New Roman" w:hAnsi="Times New Roman" w:cs="Times New Roman"/>
          <w:sz w:val="24"/>
          <w:szCs w:val="24"/>
        </w:rPr>
        <w:t>.</w:t>
      </w:r>
      <w:proofErr w:type="gramEnd"/>
      <w:r w:rsidRPr="00D14ED4">
        <w:rPr>
          <w:rFonts w:ascii="Times New Roman" w:hAnsi="Times New Roman" w:cs="Times New Roman"/>
          <w:sz w:val="24"/>
          <w:szCs w:val="24"/>
        </w:rPr>
        <w:t xml:space="preserve"> (2019) </w:t>
      </w:r>
      <w:proofErr w:type="spellStart"/>
      <w:r w:rsidRPr="00D14ED4">
        <w:rPr>
          <w:rFonts w:ascii="Times New Roman" w:hAnsi="Times New Roman" w:cs="Times New Roman"/>
          <w:sz w:val="24"/>
          <w:szCs w:val="24"/>
        </w:rPr>
        <w:t>Relationship</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Between</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Credit</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Default</w:t>
      </w:r>
      <w:proofErr w:type="spellEnd"/>
      <w:r w:rsidRPr="00D14ED4">
        <w:rPr>
          <w:rFonts w:ascii="Times New Roman" w:hAnsi="Times New Roman" w:cs="Times New Roman"/>
          <w:sz w:val="24"/>
          <w:szCs w:val="24"/>
        </w:rPr>
        <w:t xml:space="preserve"> Swap Premium </w:t>
      </w:r>
      <w:proofErr w:type="spellStart"/>
      <w:r w:rsidRPr="00D14ED4">
        <w:rPr>
          <w:rFonts w:ascii="Times New Roman" w:hAnsi="Times New Roman" w:cs="Times New Roman"/>
          <w:sz w:val="24"/>
          <w:szCs w:val="24"/>
        </w:rPr>
        <w:t>and</w:t>
      </w:r>
      <w:proofErr w:type="spellEnd"/>
      <w:r w:rsidRPr="00D14ED4">
        <w:rPr>
          <w:rFonts w:ascii="Times New Roman" w:hAnsi="Times New Roman" w:cs="Times New Roman"/>
          <w:sz w:val="24"/>
          <w:szCs w:val="24"/>
        </w:rPr>
        <w:t xml:space="preserve"> Risk </w:t>
      </w:r>
      <w:proofErr w:type="spellStart"/>
      <w:r w:rsidRPr="00D14ED4">
        <w:rPr>
          <w:rFonts w:ascii="Times New Roman" w:hAnsi="Times New Roman" w:cs="Times New Roman"/>
          <w:sz w:val="24"/>
          <w:szCs w:val="24"/>
        </w:rPr>
        <w:t>Appetite</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According</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to</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Types</w:t>
      </w:r>
      <w:proofErr w:type="spellEnd"/>
      <w:r w:rsidRPr="00D14ED4">
        <w:rPr>
          <w:rFonts w:ascii="Times New Roman" w:hAnsi="Times New Roman" w:cs="Times New Roman"/>
          <w:sz w:val="24"/>
          <w:szCs w:val="24"/>
        </w:rPr>
        <w:t xml:space="preserve"> of </w:t>
      </w:r>
      <w:proofErr w:type="spellStart"/>
      <w:r w:rsidRPr="00D14ED4">
        <w:rPr>
          <w:rFonts w:ascii="Times New Roman" w:hAnsi="Times New Roman" w:cs="Times New Roman"/>
          <w:sz w:val="24"/>
          <w:szCs w:val="24"/>
        </w:rPr>
        <w:t>Investors</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Evidence</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From</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Turkish</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Stock</w:t>
      </w:r>
      <w:proofErr w:type="spellEnd"/>
      <w:r w:rsidRPr="00D14ED4">
        <w:rPr>
          <w:rFonts w:ascii="Times New Roman" w:hAnsi="Times New Roman" w:cs="Times New Roman"/>
          <w:sz w:val="24"/>
          <w:szCs w:val="24"/>
        </w:rPr>
        <w:t xml:space="preserve"> Exchange. </w:t>
      </w:r>
      <w:r w:rsidRPr="00D14ED4">
        <w:rPr>
          <w:rFonts w:ascii="Times New Roman" w:hAnsi="Times New Roman" w:cs="Times New Roman"/>
          <w:i/>
          <w:iCs/>
          <w:sz w:val="24"/>
          <w:szCs w:val="24"/>
        </w:rPr>
        <w:t>Muhasebe ve Finansman Dergisi</w:t>
      </w:r>
      <w:r w:rsidRPr="00D14ED4">
        <w:rPr>
          <w:rFonts w:ascii="Times New Roman" w:hAnsi="Times New Roman" w:cs="Times New Roman"/>
          <w:sz w:val="24"/>
          <w:szCs w:val="24"/>
        </w:rPr>
        <w:t>, (84</w:t>
      </w:r>
      <w:proofErr w:type="gramStart"/>
      <w:r w:rsidRPr="00D14ED4">
        <w:rPr>
          <w:rFonts w:ascii="Times New Roman" w:hAnsi="Times New Roman" w:cs="Times New Roman"/>
          <w:sz w:val="24"/>
          <w:szCs w:val="24"/>
        </w:rPr>
        <w:t>),  265</w:t>
      </w:r>
      <w:proofErr w:type="gramEnd"/>
      <w:r w:rsidRPr="00D14ED4">
        <w:rPr>
          <w:rFonts w:ascii="Times New Roman" w:hAnsi="Times New Roman" w:cs="Times New Roman"/>
          <w:sz w:val="24"/>
          <w:szCs w:val="24"/>
        </w:rPr>
        <w:t>-278.</w:t>
      </w:r>
    </w:p>
    <w:p w14:paraId="3B14DA7C" w14:textId="77777777" w:rsidR="001276E1" w:rsidRPr="00D14ED4" w:rsidRDefault="001276E1" w:rsidP="00B20327">
      <w:pPr>
        <w:spacing w:line="276" w:lineRule="auto"/>
        <w:rPr>
          <w:rFonts w:ascii="Times New Roman" w:hAnsi="Times New Roman" w:cs="Times New Roman"/>
          <w:sz w:val="24"/>
          <w:szCs w:val="24"/>
        </w:rPr>
      </w:pPr>
      <w:proofErr w:type="spellStart"/>
      <w:r w:rsidRPr="00D14ED4">
        <w:rPr>
          <w:rFonts w:ascii="Times New Roman" w:hAnsi="Times New Roman" w:cs="Times New Roman"/>
          <w:sz w:val="24"/>
          <w:szCs w:val="24"/>
        </w:rPr>
        <w:t>Fung</w:t>
      </w:r>
      <w:proofErr w:type="spellEnd"/>
      <w:r w:rsidRPr="00D14ED4">
        <w:rPr>
          <w:rFonts w:ascii="Times New Roman" w:hAnsi="Times New Roman" w:cs="Times New Roman"/>
          <w:sz w:val="24"/>
          <w:szCs w:val="24"/>
        </w:rPr>
        <w:t xml:space="preserve">, H., Sierra, G., </w:t>
      </w:r>
      <w:proofErr w:type="spellStart"/>
      <w:r w:rsidRPr="00D14ED4">
        <w:rPr>
          <w:rFonts w:ascii="Times New Roman" w:hAnsi="Times New Roman" w:cs="Times New Roman"/>
          <w:sz w:val="24"/>
          <w:szCs w:val="24"/>
        </w:rPr>
        <w:t>Yau</w:t>
      </w:r>
      <w:proofErr w:type="spellEnd"/>
      <w:r w:rsidRPr="00D14ED4">
        <w:rPr>
          <w:rFonts w:ascii="Times New Roman" w:hAnsi="Times New Roman" w:cs="Times New Roman"/>
          <w:sz w:val="24"/>
          <w:szCs w:val="24"/>
        </w:rPr>
        <w:t xml:space="preserve">, J. ve </w:t>
      </w:r>
      <w:proofErr w:type="spellStart"/>
      <w:r w:rsidRPr="00D14ED4">
        <w:rPr>
          <w:rFonts w:ascii="Times New Roman" w:hAnsi="Times New Roman" w:cs="Times New Roman"/>
          <w:sz w:val="24"/>
          <w:szCs w:val="24"/>
        </w:rPr>
        <w:t>Zhang</w:t>
      </w:r>
      <w:proofErr w:type="spellEnd"/>
      <w:r w:rsidRPr="00D14ED4">
        <w:rPr>
          <w:rFonts w:ascii="Times New Roman" w:hAnsi="Times New Roman" w:cs="Times New Roman"/>
          <w:sz w:val="24"/>
          <w:szCs w:val="24"/>
        </w:rPr>
        <w:t xml:space="preserve">, G. (2008). </w:t>
      </w:r>
      <w:proofErr w:type="spellStart"/>
      <w:r w:rsidRPr="00D14ED4">
        <w:rPr>
          <w:rFonts w:ascii="Times New Roman" w:hAnsi="Times New Roman" w:cs="Times New Roman"/>
          <w:sz w:val="24"/>
          <w:szCs w:val="24"/>
        </w:rPr>
        <w:t>Are</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the</w:t>
      </w:r>
      <w:proofErr w:type="spellEnd"/>
      <w:r w:rsidRPr="00D14ED4">
        <w:rPr>
          <w:rFonts w:ascii="Times New Roman" w:hAnsi="Times New Roman" w:cs="Times New Roman"/>
          <w:sz w:val="24"/>
          <w:szCs w:val="24"/>
        </w:rPr>
        <w:t xml:space="preserve"> U.S. </w:t>
      </w:r>
      <w:proofErr w:type="spellStart"/>
      <w:r w:rsidRPr="00D14ED4">
        <w:rPr>
          <w:rFonts w:ascii="Times New Roman" w:hAnsi="Times New Roman" w:cs="Times New Roman"/>
          <w:sz w:val="24"/>
          <w:szCs w:val="24"/>
        </w:rPr>
        <w:t>Stock</w:t>
      </w:r>
      <w:proofErr w:type="spellEnd"/>
      <w:r w:rsidRPr="00D14ED4">
        <w:rPr>
          <w:rFonts w:ascii="Times New Roman" w:hAnsi="Times New Roman" w:cs="Times New Roman"/>
          <w:sz w:val="24"/>
          <w:szCs w:val="24"/>
        </w:rPr>
        <w:t xml:space="preserve"> Market </w:t>
      </w:r>
      <w:proofErr w:type="spellStart"/>
      <w:r w:rsidRPr="00D14ED4">
        <w:rPr>
          <w:rFonts w:ascii="Times New Roman" w:hAnsi="Times New Roman" w:cs="Times New Roman"/>
          <w:sz w:val="24"/>
          <w:szCs w:val="24"/>
        </w:rPr>
        <w:t>and</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Credit</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Default</w:t>
      </w:r>
      <w:proofErr w:type="spellEnd"/>
      <w:r w:rsidRPr="00D14ED4">
        <w:rPr>
          <w:rFonts w:ascii="Times New Roman" w:hAnsi="Times New Roman" w:cs="Times New Roman"/>
          <w:sz w:val="24"/>
          <w:szCs w:val="24"/>
        </w:rPr>
        <w:t xml:space="preserve"> Swap Market </w:t>
      </w:r>
      <w:proofErr w:type="spellStart"/>
      <w:r w:rsidRPr="00D14ED4">
        <w:rPr>
          <w:rFonts w:ascii="Times New Roman" w:hAnsi="Times New Roman" w:cs="Times New Roman"/>
          <w:sz w:val="24"/>
          <w:szCs w:val="24"/>
        </w:rPr>
        <w:t>Related</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Evidence</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from</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the</w:t>
      </w:r>
      <w:proofErr w:type="spellEnd"/>
      <w:r w:rsidRPr="00D14ED4">
        <w:rPr>
          <w:rFonts w:ascii="Times New Roman" w:hAnsi="Times New Roman" w:cs="Times New Roman"/>
          <w:sz w:val="24"/>
          <w:szCs w:val="24"/>
        </w:rPr>
        <w:t xml:space="preserve"> CDX </w:t>
      </w:r>
      <w:proofErr w:type="spellStart"/>
      <w:r w:rsidRPr="00D14ED4">
        <w:rPr>
          <w:rFonts w:ascii="Times New Roman" w:hAnsi="Times New Roman" w:cs="Times New Roman"/>
          <w:sz w:val="24"/>
          <w:szCs w:val="24"/>
        </w:rPr>
        <w:t>Indices</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i/>
          <w:iCs/>
          <w:sz w:val="24"/>
          <w:szCs w:val="24"/>
          <w:shd w:val="clear" w:color="auto" w:fill="FFFFFF"/>
        </w:rPr>
        <w:t>The</w:t>
      </w:r>
      <w:proofErr w:type="spellEnd"/>
      <w:r w:rsidRPr="00D14ED4">
        <w:rPr>
          <w:rFonts w:ascii="Times New Roman" w:hAnsi="Times New Roman" w:cs="Times New Roman"/>
          <w:i/>
          <w:iCs/>
          <w:sz w:val="24"/>
          <w:szCs w:val="24"/>
          <w:shd w:val="clear" w:color="auto" w:fill="FFFFFF"/>
        </w:rPr>
        <w:t xml:space="preserve"> </w:t>
      </w:r>
      <w:proofErr w:type="spellStart"/>
      <w:r w:rsidRPr="00D14ED4">
        <w:rPr>
          <w:rFonts w:ascii="Times New Roman" w:hAnsi="Times New Roman" w:cs="Times New Roman"/>
          <w:i/>
          <w:iCs/>
          <w:sz w:val="24"/>
          <w:szCs w:val="24"/>
          <w:shd w:val="clear" w:color="auto" w:fill="FFFFFF"/>
        </w:rPr>
        <w:t>Journal</w:t>
      </w:r>
      <w:proofErr w:type="spellEnd"/>
      <w:r w:rsidRPr="00D14ED4">
        <w:rPr>
          <w:rFonts w:ascii="Times New Roman" w:hAnsi="Times New Roman" w:cs="Times New Roman"/>
          <w:i/>
          <w:iCs/>
          <w:sz w:val="24"/>
          <w:szCs w:val="24"/>
          <w:shd w:val="clear" w:color="auto" w:fill="FFFFFF"/>
        </w:rPr>
        <w:t xml:space="preserve"> of </w:t>
      </w:r>
      <w:proofErr w:type="spellStart"/>
      <w:r w:rsidRPr="00D14ED4">
        <w:rPr>
          <w:rFonts w:ascii="Times New Roman" w:hAnsi="Times New Roman" w:cs="Times New Roman"/>
          <w:i/>
          <w:iCs/>
          <w:sz w:val="24"/>
          <w:szCs w:val="24"/>
          <w:shd w:val="clear" w:color="auto" w:fill="FFFFFF"/>
        </w:rPr>
        <w:t>Alternative</w:t>
      </w:r>
      <w:proofErr w:type="spellEnd"/>
      <w:r w:rsidRPr="00D14ED4">
        <w:rPr>
          <w:rFonts w:ascii="Times New Roman" w:hAnsi="Times New Roman" w:cs="Times New Roman"/>
          <w:i/>
          <w:iCs/>
          <w:sz w:val="24"/>
          <w:szCs w:val="24"/>
          <w:shd w:val="clear" w:color="auto" w:fill="FFFFFF"/>
        </w:rPr>
        <w:t xml:space="preserve"> Investments</w:t>
      </w:r>
      <w:r w:rsidRPr="00D14ED4">
        <w:rPr>
          <w:rFonts w:ascii="Times New Roman" w:hAnsi="Times New Roman" w:cs="Times New Roman"/>
          <w:sz w:val="24"/>
          <w:szCs w:val="24"/>
          <w:shd w:val="clear" w:color="auto" w:fill="FFFFFF"/>
        </w:rPr>
        <w:t>,11(1), 43-61.</w:t>
      </w:r>
    </w:p>
    <w:p w14:paraId="2A0EABC1" w14:textId="728C2C12" w:rsidR="001276E1" w:rsidRPr="00D14ED4" w:rsidRDefault="001276E1" w:rsidP="00B20327">
      <w:pPr>
        <w:spacing w:line="276" w:lineRule="auto"/>
        <w:rPr>
          <w:rFonts w:ascii="Times New Roman" w:hAnsi="Times New Roman" w:cs="Times New Roman"/>
          <w:sz w:val="24"/>
          <w:szCs w:val="24"/>
        </w:rPr>
      </w:pPr>
      <w:r w:rsidRPr="004C7549">
        <w:rPr>
          <w:rFonts w:ascii="Times New Roman" w:hAnsi="Times New Roman" w:cs="Times New Roman"/>
          <w:sz w:val="24"/>
          <w:szCs w:val="24"/>
        </w:rPr>
        <w:t xml:space="preserve">Güney, İ. E., </w:t>
      </w:r>
      <w:proofErr w:type="spellStart"/>
      <w:r w:rsidRPr="004C7549">
        <w:rPr>
          <w:rFonts w:ascii="Times New Roman" w:hAnsi="Times New Roman" w:cs="Times New Roman"/>
          <w:sz w:val="24"/>
          <w:szCs w:val="24"/>
        </w:rPr>
        <w:t>Küçüksaraç</w:t>
      </w:r>
      <w:proofErr w:type="spellEnd"/>
      <w:r w:rsidRPr="004C7549">
        <w:rPr>
          <w:rFonts w:ascii="Times New Roman" w:hAnsi="Times New Roman" w:cs="Times New Roman"/>
          <w:sz w:val="24"/>
          <w:szCs w:val="24"/>
        </w:rPr>
        <w:t>,</w:t>
      </w:r>
      <w:r w:rsidRPr="00D14ED4">
        <w:rPr>
          <w:rFonts w:ascii="Times New Roman" w:hAnsi="Times New Roman" w:cs="Times New Roman"/>
          <w:sz w:val="24"/>
          <w:szCs w:val="24"/>
        </w:rPr>
        <w:t xml:space="preserve"> D., Onay, Y. (20</w:t>
      </w:r>
      <w:r w:rsidR="004C7549">
        <w:rPr>
          <w:rFonts w:ascii="Times New Roman" w:hAnsi="Times New Roman" w:cs="Times New Roman"/>
          <w:sz w:val="24"/>
          <w:szCs w:val="24"/>
        </w:rPr>
        <w:t>20</w:t>
      </w:r>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Modelling</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Sovereign</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Credit</w:t>
      </w:r>
      <w:proofErr w:type="spellEnd"/>
      <w:r w:rsidRPr="00D14ED4">
        <w:rPr>
          <w:rFonts w:ascii="Times New Roman" w:hAnsi="Times New Roman" w:cs="Times New Roman"/>
          <w:sz w:val="24"/>
          <w:szCs w:val="24"/>
        </w:rPr>
        <w:t xml:space="preserve"> Risk: </w:t>
      </w:r>
      <w:proofErr w:type="spellStart"/>
      <w:r w:rsidRPr="00D14ED4">
        <w:rPr>
          <w:rFonts w:ascii="Times New Roman" w:hAnsi="Times New Roman" w:cs="Times New Roman"/>
          <w:sz w:val="24"/>
          <w:szCs w:val="24"/>
        </w:rPr>
        <w:t>Binomial</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Approach</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i/>
          <w:iCs/>
          <w:sz w:val="24"/>
          <w:szCs w:val="24"/>
        </w:rPr>
        <w:t>Research</w:t>
      </w:r>
      <w:proofErr w:type="spellEnd"/>
      <w:r w:rsidRPr="00D14ED4">
        <w:rPr>
          <w:rFonts w:ascii="Times New Roman" w:hAnsi="Times New Roman" w:cs="Times New Roman"/>
          <w:i/>
          <w:iCs/>
          <w:sz w:val="24"/>
          <w:szCs w:val="24"/>
        </w:rPr>
        <w:t xml:space="preserve"> </w:t>
      </w:r>
      <w:proofErr w:type="spellStart"/>
      <w:r w:rsidRPr="00D14ED4">
        <w:rPr>
          <w:rFonts w:ascii="Times New Roman" w:hAnsi="Times New Roman" w:cs="Times New Roman"/>
          <w:i/>
          <w:iCs/>
          <w:sz w:val="24"/>
          <w:szCs w:val="24"/>
        </w:rPr>
        <w:t>Notes</w:t>
      </w:r>
      <w:proofErr w:type="spellEnd"/>
      <w:r w:rsidRPr="00D14ED4">
        <w:rPr>
          <w:rFonts w:ascii="Times New Roman" w:hAnsi="Times New Roman" w:cs="Times New Roman"/>
          <w:i/>
          <w:iCs/>
          <w:sz w:val="24"/>
          <w:szCs w:val="24"/>
        </w:rPr>
        <w:t xml:space="preserve"> in </w:t>
      </w:r>
      <w:proofErr w:type="spellStart"/>
      <w:proofErr w:type="gramStart"/>
      <w:r w:rsidRPr="00D14ED4">
        <w:rPr>
          <w:rFonts w:ascii="Times New Roman" w:hAnsi="Times New Roman" w:cs="Times New Roman"/>
          <w:i/>
          <w:iCs/>
          <w:sz w:val="24"/>
          <w:szCs w:val="24"/>
        </w:rPr>
        <w:t>Economics</w:t>
      </w:r>
      <w:proofErr w:type="spellEnd"/>
      <w:r w:rsidRPr="00D14ED4">
        <w:rPr>
          <w:rFonts w:ascii="Times New Roman" w:hAnsi="Times New Roman" w:cs="Times New Roman"/>
          <w:sz w:val="24"/>
          <w:szCs w:val="24"/>
        </w:rPr>
        <w:t xml:space="preserve">,  </w:t>
      </w:r>
      <w:r w:rsidRPr="00D14ED4">
        <w:rPr>
          <w:rFonts w:ascii="Times New Roman" w:hAnsi="Times New Roman" w:cs="Times New Roman"/>
          <w:sz w:val="24"/>
          <w:szCs w:val="24"/>
          <w:shd w:val="clear" w:color="auto" w:fill="FFFFFF"/>
        </w:rPr>
        <w:t>Central</w:t>
      </w:r>
      <w:proofErr w:type="gramEnd"/>
      <w:r w:rsidRPr="00D14ED4">
        <w:rPr>
          <w:rFonts w:ascii="Times New Roman" w:hAnsi="Times New Roman" w:cs="Times New Roman"/>
          <w:sz w:val="24"/>
          <w:szCs w:val="24"/>
          <w:shd w:val="clear" w:color="auto" w:fill="FFFFFF"/>
        </w:rPr>
        <w:t xml:space="preserve"> Bank of </w:t>
      </w:r>
      <w:proofErr w:type="spellStart"/>
      <w:r w:rsidRPr="00D14ED4">
        <w:rPr>
          <w:rFonts w:ascii="Times New Roman" w:hAnsi="Times New Roman" w:cs="Times New Roman"/>
          <w:sz w:val="24"/>
          <w:szCs w:val="24"/>
          <w:shd w:val="clear" w:color="auto" w:fill="FFFFFF"/>
        </w:rPr>
        <w:t>the</w:t>
      </w:r>
      <w:proofErr w:type="spellEnd"/>
      <w:r w:rsidRPr="00D14ED4">
        <w:rPr>
          <w:rFonts w:ascii="Times New Roman" w:hAnsi="Times New Roman" w:cs="Times New Roman"/>
          <w:sz w:val="24"/>
          <w:szCs w:val="24"/>
          <w:shd w:val="clear" w:color="auto" w:fill="FFFFFF"/>
        </w:rPr>
        <w:t xml:space="preserve"> </w:t>
      </w:r>
      <w:proofErr w:type="spellStart"/>
      <w:r w:rsidRPr="00D14ED4">
        <w:rPr>
          <w:rFonts w:ascii="Times New Roman" w:hAnsi="Times New Roman" w:cs="Times New Roman"/>
          <w:sz w:val="24"/>
          <w:szCs w:val="24"/>
          <w:shd w:val="clear" w:color="auto" w:fill="FFFFFF"/>
        </w:rPr>
        <w:t>Republic</w:t>
      </w:r>
      <w:proofErr w:type="spellEnd"/>
      <w:r w:rsidRPr="00D14ED4">
        <w:rPr>
          <w:rFonts w:ascii="Times New Roman" w:hAnsi="Times New Roman" w:cs="Times New Roman"/>
          <w:sz w:val="24"/>
          <w:szCs w:val="24"/>
          <w:shd w:val="clear" w:color="auto" w:fill="FFFFFF"/>
        </w:rPr>
        <w:t xml:space="preserve"> of </w:t>
      </w:r>
      <w:proofErr w:type="spellStart"/>
      <w:r w:rsidRPr="00D14ED4">
        <w:rPr>
          <w:rFonts w:ascii="Times New Roman" w:hAnsi="Times New Roman" w:cs="Times New Roman"/>
          <w:sz w:val="24"/>
          <w:szCs w:val="24"/>
          <w:shd w:val="clear" w:color="auto" w:fill="FFFFFF"/>
        </w:rPr>
        <w:t>Turkey</w:t>
      </w:r>
      <w:proofErr w:type="spellEnd"/>
      <w:r w:rsidRPr="00D14ED4">
        <w:rPr>
          <w:rFonts w:ascii="Times New Roman" w:hAnsi="Times New Roman" w:cs="Times New Roman"/>
          <w:sz w:val="24"/>
          <w:szCs w:val="24"/>
          <w:shd w:val="clear" w:color="auto" w:fill="FFFFFF"/>
        </w:rPr>
        <w:t>.</w:t>
      </w:r>
    </w:p>
    <w:p w14:paraId="0FDFC363" w14:textId="77777777" w:rsidR="001276E1" w:rsidRPr="00D14ED4" w:rsidRDefault="001276E1" w:rsidP="00B20327">
      <w:pPr>
        <w:spacing w:line="276" w:lineRule="auto"/>
        <w:rPr>
          <w:rFonts w:ascii="Times New Roman" w:hAnsi="Times New Roman" w:cs="Times New Roman"/>
          <w:sz w:val="24"/>
          <w:szCs w:val="24"/>
        </w:rPr>
      </w:pPr>
      <w:r w:rsidRPr="00D14ED4">
        <w:rPr>
          <w:rFonts w:ascii="Times New Roman" w:hAnsi="Times New Roman" w:cs="Times New Roman"/>
          <w:sz w:val="24"/>
          <w:szCs w:val="24"/>
        </w:rPr>
        <w:lastRenderedPageBreak/>
        <w:t xml:space="preserve">Hancı, G. (2014). Kredi Temerrüt Takasları ve BIST-100 Arasındaki İlişkinin İncelenmesi. </w:t>
      </w:r>
      <w:r w:rsidRPr="00D14ED4">
        <w:rPr>
          <w:rFonts w:ascii="Times New Roman" w:hAnsi="Times New Roman" w:cs="Times New Roman"/>
          <w:i/>
          <w:iCs/>
          <w:sz w:val="24"/>
          <w:szCs w:val="24"/>
        </w:rPr>
        <w:t>Maliye Finans Yazıları</w:t>
      </w:r>
      <w:r w:rsidRPr="00D14ED4">
        <w:rPr>
          <w:rFonts w:ascii="Times New Roman" w:hAnsi="Times New Roman" w:cs="Times New Roman"/>
          <w:sz w:val="24"/>
          <w:szCs w:val="24"/>
        </w:rPr>
        <w:t>, 102, ss.9-22.</w:t>
      </w:r>
    </w:p>
    <w:p w14:paraId="16577041" w14:textId="77777777" w:rsidR="001276E1" w:rsidRPr="00D14ED4" w:rsidRDefault="001276E1" w:rsidP="00B20327">
      <w:pPr>
        <w:spacing w:line="276" w:lineRule="auto"/>
        <w:rPr>
          <w:rFonts w:ascii="Times New Roman" w:hAnsi="Times New Roman" w:cs="Times New Roman"/>
          <w:sz w:val="24"/>
          <w:szCs w:val="24"/>
        </w:rPr>
      </w:pPr>
      <w:r w:rsidRPr="00D14ED4">
        <w:rPr>
          <w:rFonts w:ascii="Times New Roman" w:hAnsi="Times New Roman" w:cs="Times New Roman"/>
          <w:sz w:val="24"/>
          <w:szCs w:val="24"/>
        </w:rPr>
        <w:t xml:space="preserve">JP Morgan; </w:t>
      </w:r>
      <w:proofErr w:type="spellStart"/>
      <w:r w:rsidRPr="00D14ED4">
        <w:rPr>
          <w:rFonts w:ascii="Times New Roman" w:hAnsi="Times New Roman" w:cs="Times New Roman"/>
          <w:sz w:val="24"/>
          <w:szCs w:val="24"/>
        </w:rPr>
        <w:t>Credit</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Derivatives</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Handbook</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i/>
          <w:iCs/>
          <w:sz w:val="24"/>
          <w:szCs w:val="24"/>
        </w:rPr>
        <w:t>Corporate</w:t>
      </w:r>
      <w:proofErr w:type="spellEnd"/>
      <w:r w:rsidRPr="00D14ED4">
        <w:rPr>
          <w:rFonts w:ascii="Times New Roman" w:hAnsi="Times New Roman" w:cs="Times New Roman"/>
          <w:i/>
          <w:iCs/>
          <w:sz w:val="24"/>
          <w:szCs w:val="24"/>
        </w:rPr>
        <w:t xml:space="preserve"> </w:t>
      </w:r>
      <w:proofErr w:type="spellStart"/>
      <w:r w:rsidRPr="00D14ED4">
        <w:rPr>
          <w:rFonts w:ascii="Times New Roman" w:hAnsi="Times New Roman" w:cs="Times New Roman"/>
          <w:i/>
          <w:iCs/>
          <w:sz w:val="24"/>
          <w:szCs w:val="24"/>
        </w:rPr>
        <w:t>Quantitative</w:t>
      </w:r>
      <w:proofErr w:type="spellEnd"/>
      <w:r w:rsidRPr="00D14ED4">
        <w:rPr>
          <w:rFonts w:ascii="Times New Roman" w:hAnsi="Times New Roman" w:cs="Times New Roman"/>
          <w:i/>
          <w:iCs/>
          <w:sz w:val="24"/>
          <w:szCs w:val="24"/>
        </w:rPr>
        <w:t xml:space="preserve"> </w:t>
      </w:r>
      <w:proofErr w:type="spellStart"/>
      <w:r w:rsidRPr="00D14ED4">
        <w:rPr>
          <w:rFonts w:ascii="Times New Roman" w:hAnsi="Times New Roman" w:cs="Times New Roman"/>
          <w:i/>
          <w:iCs/>
          <w:sz w:val="24"/>
          <w:szCs w:val="24"/>
        </w:rPr>
        <w:t>Research</w:t>
      </w:r>
      <w:proofErr w:type="spellEnd"/>
      <w:r w:rsidRPr="00D14ED4">
        <w:rPr>
          <w:rFonts w:ascii="Times New Roman" w:hAnsi="Times New Roman" w:cs="Times New Roman"/>
          <w:i/>
          <w:iCs/>
          <w:sz w:val="24"/>
          <w:szCs w:val="24"/>
        </w:rPr>
        <w:t xml:space="preserve"> Report</w:t>
      </w:r>
      <w:r w:rsidRPr="00D14ED4">
        <w:rPr>
          <w:rFonts w:ascii="Times New Roman" w:hAnsi="Times New Roman" w:cs="Times New Roman"/>
          <w:sz w:val="24"/>
          <w:szCs w:val="24"/>
        </w:rPr>
        <w:t>, 10, 2006</w:t>
      </w:r>
    </w:p>
    <w:p w14:paraId="337A2570" w14:textId="77777777" w:rsidR="001276E1" w:rsidRPr="00D14ED4" w:rsidRDefault="001276E1" w:rsidP="00B20327">
      <w:pPr>
        <w:spacing w:line="276" w:lineRule="auto"/>
        <w:rPr>
          <w:rFonts w:ascii="Times New Roman" w:hAnsi="Times New Roman" w:cs="Times New Roman"/>
          <w:sz w:val="24"/>
          <w:szCs w:val="24"/>
        </w:rPr>
      </w:pPr>
      <w:r w:rsidRPr="00D14ED4">
        <w:rPr>
          <w:rFonts w:ascii="Times New Roman" w:hAnsi="Times New Roman" w:cs="Times New Roman"/>
          <w:sz w:val="24"/>
          <w:szCs w:val="24"/>
        </w:rPr>
        <w:t xml:space="preserve">Kaya, B., Kaya, E. Ö. ve Yalçıner, K. (2015). Türkiye’nin Derecelendirme Notları </w:t>
      </w:r>
      <w:proofErr w:type="gramStart"/>
      <w:r w:rsidRPr="00D14ED4">
        <w:rPr>
          <w:rFonts w:ascii="Times New Roman" w:hAnsi="Times New Roman" w:cs="Times New Roman"/>
          <w:sz w:val="24"/>
          <w:szCs w:val="24"/>
        </w:rPr>
        <w:t>Ve</w:t>
      </w:r>
      <w:proofErr w:type="gramEnd"/>
      <w:r w:rsidRPr="00D14ED4">
        <w:rPr>
          <w:rFonts w:ascii="Times New Roman" w:hAnsi="Times New Roman" w:cs="Times New Roman"/>
          <w:sz w:val="24"/>
          <w:szCs w:val="24"/>
        </w:rPr>
        <w:t xml:space="preserve"> Kredi Temerrüt Swap Primlerinin Ekonomik Ve Sosyal Olaylara Tepkisinin Analizi. </w:t>
      </w:r>
      <w:r w:rsidRPr="00D14ED4">
        <w:rPr>
          <w:rFonts w:ascii="Times New Roman" w:hAnsi="Times New Roman" w:cs="Times New Roman"/>
          <w:i/>
          <w:iCs/>
          <w:sz w:val="24"/>
          <w:szCs w:val="24"/>
        </w:rPr>
        <w:t>Maliye Finans Yazıları</w:t>
      </w:r>
      <w:r w:rsidRPr="00D14ED4">
        <w:rPr>
          <w:rFonts w:ascii="Times New Roman" w:hAnsi="Times New Roman" w:cs="Times New Roman"/>
          <w:sz w:val="24"/>
          <w:szCs w:val="24"/>
        </w:rPr>
        <w:t>,1(103), 85-113.</w:t>
      </w:r>
    </w:p>
    <w:p w14:paraId="6FFAF986" w14:textId="77777777" w:rsidR="001276E1" w:rsidRPr="00D14ED4" w:rsidRDefault="001276E1" w:rsidP="00B20327">
      <w:pPr>
        <w:spacing w:line="276" w:lineRule="auto"/>
        <w:rPr>
          <w:rFonts w:ascii="Times New Roman" w:hAnsi="Times New Roman" w:cs="Times New Roman"/>
          <w:sz w:val="24"/>
          <w:szCs w:val="24"/>
        </w:rPr>
      </w:pPr>
      <w:proofErr w:type="spellStart"/>
      <w:r w:rsidRPr="00D14ED4">
        <w:rPr>
          <w:rFonts w:ascii="Times New Roman" w:hAnsi="Times New Roman" w:cs="Times New Roman"/>
          <w:sz w:val="24"/>
          <w:szCs w:val="24"/>
        </w:rPr>
        <w:t>Lars</w:t>
      </w:r>
      <w:proofErr w:type="spellEnd"/>
      <w:r w:rsidRPr="00D14ED4">
        <w:rPr>
          <w:rFonts w:ascii="Times New Roman" w:hAnsi="Times New Roman" w:cs="Times New Roman"/>
          <w:sz w:val="24"/>
          <w:szCs w:val="24"/>
        </w:rPr>
        <w:t xml:space="preserve">, N. ve </w:t>
      </w:r>
      <w:proofErr w:type="spellStart"/>
      <w:r w:rsidRPr="00D14ED4">
        <w:rPr>
          <w:rFonts w:ascii="Times New Roman" w:hAnsi="Times New Roman" w:cs="Times New Roman"/>
          <w:sz w:val="24"/>
          <w:szCs w:val="24"/>
        </w:rPr>
        <w:t>Weber</w:t>
      </w:r>
      <w:proofErr w:type="spellEnd"/>
      <w:r w:rsidRPr="00D14ED4">
        <w:rPr>
          <w:rFonts w:ascii="Times New Roman" w:hAnsi="Times New Roman" w:cs="Times New Roman"/>
          <w:sz w:val="24"/>
          <w:szCs w:val="24"/>
        </w:rPr>
        <w:t xml:space="preserve">, </w:t>
      </w:r>
      <w:proofErr w:type="gramStart"/>
      <w:r w:rsidRPr="00D14ED4">
        <w:rPr>
          <w:rFonts w:ascii="Times New Roman" w:hAnsi="Times New Roman" w:cs="Times New Roman"/>
          <w:sz w:val="24"/>
          <w:szCs w:val="24"/>
        </w:rPr>
        <w:t>M.(</w:t>
      </w:r>
      <w:proofErr w:type="gramEnd"/>
      <w:r w:rsidRPr="00D14ED4">
        <w:rPr>
          <w:rFonts w:ascii="Times New Roman" w:hAnsi="Times New Roman" w:cs="Times New Roman"/>
          <w:sz w:val="24"/>
          <w:szCs w:val="24"/>
        </w:rPr>
        <w:t xml:space="preserve">2004). </w:t>
      </w:r>
      <w:proofErr w:type="spellStart"/>
      <w:r w:rsidRPr="00D14ED4">
        <w:rPr>
          <w:rFonts w:ascii="Times New Roman" w:hAnsi="Times New Roman" w:cs="Times New Roman"/>
          <w:sz w:val="24"/>
          <w:szCs w:val="24"/>
          <w:shd w:val="clear" w:color="auto" w:fill="FFFFFF"/>
        </w:rPr>
        <w:t>Informational</w:t>
      </w:r>
      <w:proofErr w:type="spellEnd"/>
      <w:r w:rsidRPr="00D14ED4">
        <w:rPr>
          <w:rFonts w:ascii="Times New Roman" w:hAnsi="Times New Roman" w:cs="Times New Roman"/>
          <w:sz w:val="24"/>
          <w:szCs w:val="24"/>
          <w:shd w:val="clear" w:color="auto" w:fill="FFFFFF"/>
        </w:rPr>
        <w:t xml:space="preserve"> </w:t>
      </w:r>
      <w:proofErr w:type="spellStart"/>
      <w:r w:rsidRPr="00D14ED4">
        <w:rPr>
          <w:rFonts w:ascii="Times New Roman" w:hAnsi="Times New Roman" w:cs="Times New Roman"/>
          <w:sz w:val="24"/>
          <w:szCs w:val="24"/>
          <w:shd w:val="clear" w:color="auto" w:fill="FFFFFF"/>
        </w:rPr>
        <w:t>efficiency</w:t>
      </w:r>
      <w:proofErr w:type="spellEnd"/>
      <w:r w:rsidRPr="00D14ED4">
        <w:rPr>
          <w:rFonts w:ascii="Times New Roman" w:hAnsi="Times New Roman" w:cs="Times New Roman"/>
          <w:sz w:val="24"/>
          <w:szCs w:val="24"/>
          <w:shd w:val="clear" w:color="auto" w:fill="FFFFFF"/>
        </w:rPr>
        <w:t xml:space="preserve"> of </w:t>
      </w:r>
      <w:proofErr w:type="spellStart"/>
      <w:r w:rsidRPr="00D14ED4">
        <w:rPr>
          <w:rFonts w:ascii="Times New Roman" w:hAnsi="Times New Roman" w:cs="Times New Roman"/>
          <w:sz w:val="24"/>
          <w:szCs w:val="24"/>
          <w:shd w:val="clear" w:color="auto" w:fill="FFFFFF"/>
        </w:rPr>
        <w:t>credit</w:t>
      </w:r>
      <w:proofErr w:type="spellEnd"/>
      <w:r w:rsidRPr="00D14ED4">
        <w:rPr>
          <w:rFonts w:ascii="Times New Roman" w:hAnsi="Times New Roman" w:cs="Times New Roman"/>
          <w:sz w:val="24"/>
          <w:szCs w:val="24"/>
          <w:shd w:val="clear" w:color="auto" w:fill="FFFFFF"/>
        </w:rPr>
        <w:t xml:space="preserve"> </w:t>
      </w:r>
      <w:proofErr w:type="spellStart"/>
      <w:r w:rsidRPr="00D14ED4">
        <w:rPr>
          <w:rFonts w:ascii="Times New Roman" w:hAnsi="Times New Roman" w:cs="Times New Roman"/>
          <w:sz w:val="24"/>
          <w:szCs w:val="24"/>
          <w:shd w:val="clear" w:color="auto" w:fill="FFFFFF"/>
        </w:rPr>
        <w:t>default</w:t>
      </w:r>
      <w:proofErr w:type="spellEnd"/>
      <w:r w:rsidRPr="00D14ED4">
        <w:rPr>
          <w:rFonts w:ascii="Times New Roman" w:hAnsi="Times New Roman" w:cs="Times New Roman"/>
          <w:sz w:val="24"/>
          <w:szCs w:val="24"/>
          <w:shd w:val="clear" w:color="auto" w:fill="FFFFFF"/>
        </w:rPr>
        <w:t xml:space="preserve"> swap </w:t>
      </w:r>
      <w:proofErr w:type="spellStart"/>
      <w:r w:rsidRPr="00D14ED4">
        <w:rPr>
          <w:rFonts w:ascii="Times New Roman" w:hAnsi="Times New Roman" w:cs="Times New Roman"/>
          <w:sz w:val="24"/>
          <w:szCs w:val="24"/>
          <w:shd w:val="clear" w:color="auto" w:fill="FFFFFF"/>
        </w:rPr>
        <w:t>and</w:t>
      </w:r>
      <w:proofErr w:type="spellEnd"/>
      <w:r w:rsidRPr="00D14ED4">
        <w:rPr>
          <w:rFonts w:ascii="Times New Roman" w:hAnsi="Times New Roman" w:cs="Times New Roman"/>
          <w:sz w:val="24"/>
          <w:szCs w:val="24"/>
          <w:shd w:val="clear" w:color="auto" w:fill="FFFFFF"/>
        </w:rPr>
        <w:t xml:space="preserve"> </w:t>
      </w:r>
      <w:proofErr w:type="spellStart"/>
      <w:r w:rsidRPr="00D14ED4">
        <w:rPr>
          <w:rFonts w:ascii="Times New Roman" w:hAnsi="Times New Roman" w:cs="Times New Roman"/>
          <w:sz w:val="24"/>
          <w:szCs w:val="24"/>
          <w:shd w:val="clear" w:color="auto" w:fill="FFFFFF"/>
        </w:rPr>
        <w:t>stock</w:t>
      </w:r>
      <w:proofErr w:type="spellEnd"/>
      <w:r w:rsidRPr="00D14ED4">
        <w:rPr>
          <w:rFonts w:ascii="Times New Roman" w:hAnsi="Times New Roman" w:cs="Times New Roman"/>
          <w:sz w:val="24"/>
          <w:szCs w:val="24"/>
          <w:shd w:val="clear" w:color="auto" w:fill="FFFFFF"/>
        </w:rPr>
        <w:t xml:space="preserve"> </w:t>
      </w:r>
      <w:proofErr w:type="spellStart"/>
      <w:r w:rsidRPr="00D14ED4">
        <w:rPr>
          <w:rFonts w:ascii="Times New Roman" w:hAnsi="Times New Roman" w:cs="Times New Roman"/>
          <w:sz w:val="24"/>
          <w:szCs w:val="24"/>
          <w:shd w:val="clear" w:color="auto" w:fill="FFFFFF"/>
        </w:rPr>
        <w:t>markets</w:t>
      </w:r>
      <w:proofErr w:type="spellEnd"/>
      <w:r w:rsidRPr="00D14ED4">
        <w:rPr>
          <w:rFonts w:ascii="Times New Roman" w:hAnsi="Times New Roman" w:cs="Times New Roman"/>
          <w:sz w:val="24"/>
          <w:szCs w:val="24"/>
          <w:shd w:val="clear" w:color="auto" w:fill="FFFFFF"/>
        </w:rPr>
        <w:t xml:space="preserve">: </w:t>
      </w:r>
      <w:proofErr w:type="spellStart"/>
      <w:r w:rsidRPr="00D14ED4">
        <w:rPr>
          <w:rFonts w:ascii="Times New Roman" w:hAnsi="Times New Roman" w:cs="Times New Roman"/>
          <w:sz w:val="24"/>
          <w:szCs w:val="24"/>
          <w:shd w:val="clear" w:color="auto" w:fill="FFFFFF"/>
        </w:rPr>
        <w:t>The</w:t>
      </w:r>
      <w:proofErr w:type="spellEnd"/>
      <w:r w:rsidRPr="00D14ED4">
        <w:rPr>
          <w:rFonts w:ascii="Times New Roman" w:hAnsi="Times New Roman" w:cs="Times New Roman"/>
          <w:sz w:val="24"/>
          <w:szCs w:val="24"/>
          <w:shd w:val="clear" w:color="auto" w:fill="FFFFFF"/>
        </w:rPr>
        <w:t xml:space="preserve"> </w:t>
      </w:r>
      <w:proofErr w:type="spellStart"/>
      <w:r w:rsidRPr="00D14ED4">
        <w:rPr>
          <w:rFonts w:ascii="Times New Roman" w:hAnsi="Times New Roman" w:cs="Times New Roman"/>
          <w:sz w:val="24"/>
          <w:szCs w:val="24"/>
          <w:shd w:val="clear" w:color="auto" w:fill="FFFFFF"/>
        </w:rPr>
        <w:t>impact</w:t>
      </w:r>
      <w:proofErr w:type="spellEnd"/>
      <w:r w:rsidRPr="00D14ED4">
        <w:rPr>
          <w:rFonts w:ascii="Times New Roman" w:hAnsi="Times New Roman" w:cs="Times New Roman"/>
          <w:sz w:val="24"/>
          <w:szCs w:val="24"/>
          <w:shd w:val="clear" w:color="auto" w:fill="FFFFFF"/>
        </w:rPr>
        <w:t xml:space="preserve"> of </w:t>
      </w:r>
      <w:proofErr w:type="spellStart"/>
      <w:r w:rsidRPr="00D14ED4">
        <w:rPr>
          <w:rFonts w:ascii="Times New Roman" w:hAnsi="Times New Roman" w:cs="Times New Roman"/>
          <w:sz w:val="24"/>
          <w:szCs w:val="24"/>
          <w:shd w:val="clear" w:color="auto" w:fill="FFFFFF"/>
        </w:rPr>
        <w:t>credit</w:t>
      </w:r>
      <w:proofErr w:type="spellEnd"/>
      <w:r w:rsidRPr="00D14ED4">
        <w:rPr>
          <w:rFonts w:ascii="Times New Roman" w:hAnsi="Times New Roman" w:cs="Times New Roman"/>
          <w:sz w:val="24"/>
          <w:szCs w:val="24"/>
          <w:shd w:val="clear" w:color="auto" w:fill="FFFFFF"/>
        </w:rPr>
        <w:t xml:space="preserve"> </w:t>
      </w:r>
      <w:proofErr w:type="spellStart"/>
      <w:r w:rsidRPr="00D14ED4">
        <w:rPr>
          <w:rFonts w:ascii="Times New Roman" w:hAnsi="Times New Roman" w:cs="Times New Roman"/>
          <w:sz w:val="24"/>
          <w:szCs w:val="24"/>
          <w:shd w:val="clear" w:color="auto" w:fill="FFFFFF"/>
        </w:rPr>
        <w:t>rating</w:t>
      </w:r>
      <w:proofErr w:type="spellEnd"/>
      <w:r w:rsidRPr="00D14ED4">
        <w:rPr>
          <w:rFonts w:ascii="Times New Roman" w:hAnsi="Times New Roman" w:cs="Times New Roman"/>
          <w:sz w:val="24"/>
          <w:szCs w:val="24"/>
          <w:shd w:val="clear" w:color="auto" w:fill="FFFFFF"/>
        </w:rPr>
        <w:t xml:space="preserve"> </w:t>
      </w:r>
      <w:proofErr w:type="spellStart"/>
      <w:r w:rsidRPr="00D14ED4">
        <w:rPr>
          <w:rFonts w:ascii="Times New Roman" w:hAnsi="Times New Roman" w:cs="Times New Roman"/>
          <w:sz w:val="24"/>
          <w:szCs w:val="24"/>
          <w:shd w:val="clear" w:color="auto" w:fill="FFFFFF"/>
        </w:rPr>
        <w:t>announcements</w:t>
      </w:r>
      <w:proofErr w:type="spellEnd"/>
      <w:r w:rsidRPr="00D14ED4">
        <w:rPr>
          <w:rFonts w:ascii="Times New Roman" w:hAnsi="Times New Roman" w:cs="Times New Roman"/>
          <w:sz w:val="24"/>
          <w:szCs w:val="24"/>
          <w:shd w:val="clear" w:color="auto" w:fill="FFFFFF"/>
        </w:rPr>
        <w:t xml:space="preserve">. </w:t>
      </w:r>
      <w:proofErr w:type="spellStart"/>
      <w:r w:rsidRPr="00D14ED4">
        <w:rPr>
          <w:rFonts w:ascii="Times New Roman" w:hAnsi="Times New Roman" w:cs="Times New Roman"/>
          <w:i/>
          <w:iCs/>
          <w:sz w:val="24"/>
          <w:szCs w:val="24"/>
        </w:rPr>
        <w:t>Journal</w:t>
      </w:r>
      <w:proofErr w:type="spellEnd"/>
      <w:r w:rsidRPr="00D14ED4">
        <w:rPr>
          <w:rFonts w:ascii="Times New Roman" w:hAnsi="Times New Roman" w:cs="Times New Roman"/>
          <w:i/>
          <w:iCs/>
          <w:sz w:val="24"/>
          <w:szCs w:val="24"/>
        </w:rPr>
        <w:t xml:space="preserve"> of </w:t>
      </w:r>
      <w:proofErr w:type="spellStart"/>
      <w:r w:rsidRPr="00D14ED4">
        <w:rPr>
          <w:rFonts w:ascii="Times New Roman" w:hAnsi="Times New Roman" w:cs="Times New Roman"/>
          <w:i/>
          <w:iCs/>
          <w:sz w:val="24"/>
          <w:szCs w:val="24"/>
        </w:rPr>
        <w:t>Banking</w:t>
      </w:r>
      <w:proofErr w:type="spellEnd"/>
      <w:r w:rsidRPr="00D14ED4">
        <w:rPr>
          <w:rFonts w:ascii="Times New Roman" w:hAnsi="Times New Roman" w:cs="Times New Roman"/>
          <w:i/>
          <w:iCs/>
          <w:sz w:val="24"/>
          <w:szCs w:val="24"/>
        </w:rPr>
        <w:t xml:space="preserve"> &amp; Finance</w:t>
      </w:r>
      <w:r w:rsidRPr="00D14ED4">
        <w:rPr>
          <w:rFonts w:ascii="Times New Roman" w:hAnsi="Times New Roman" w:cs="Times New Roman"/>
          <w:sz w:val="24"/>
          <w:szCs w:val="24"/>
        </w:rPr>
        <w:t>, 28, 2813–2843.</w:t>
      </w:r>
    </w:p>
    <w:p w14:paraId="0A438098" w14:textId="77777777" w:rsidR="001276E1" w:rsidRPr="00D14ED4" w:rsidRDefault="001276E1" w:rsidP="00B20327">
      <w:pPr>
        <w:spacing w:line="276" w:lineRule="auto"/>
        <w:rPr>
          <w:rFonts w:ascii="Times New Roman" w:hAnsi="Times New Roman" w:cs="Times New Roman"/>
          <w:sz w:val="24"/>
          <w:szCs w:val="24"/>
        </w:rPr>
      </w:pPr>
      <w:proofErr w:type="spellStart"/>
      <w:r w:rsidRPr="00D14ED4">
        <w:rPr>
          <w:rFonts w:ascii="Times New Roman" w:hAnsi="Times New Roman" w:cs="Times New Roman"/>
          <w:sz w:val="24"/>
          <w:szCs w:val="24"/>
        </w:rPr>
        <w:t>Lars</w:t>
      </w:r>
      <w:proofErr w:type="spellEnd"/>
      <w:r w:rsidRPr="00D14ED4">
        <w:rPr>
          <w:rFonts w:ascii="Times New Roman" w:hAnsi="Times New Roman" w:cs="Times New Roman"/>
          <w:sz w:val="24"/>
          <w:szCs w:val="24"/>
        </w:rPr>
        <w:t xml:space="preserve">, N. ve </w:t>
      </w:r>
      <w:proofErr w:type="spellStart"/>
      <w:r w:rsidRPr="00D14ED4">
        <w:rPr>
          <w:rFonts w:ascii="Times New Roman" w:hAnsi="Times New Roman" w:cs="Times New Roman"/>
          <w:sz w:val="24"/>
          <w:szCs w:val="24"/>
        </w:rPr>
        <w:t>Weber</w:t>
      </w:r>
      <w:proofErr w:type="spellEnd"/>
      <w:r w:rsidRPr="00D14ED4">
        <w:rPr>
          <w:rFonts w:ascii="Times New Roman" w:hAnsi="Times New Roman" w:cs="Times New Roman"/>
          <w:sz w:val="24"/>
          <w:szCs w:val="24"/>
        </w:rPr>
        <w:t xml:space="preserve">, </w:t>
      </w:r>
      <w:proofErr w:type="gramStart"/>
      <w:r w:rsidRPr="00D14ED4">
        <w:rPr>
          <w:rFonts w:ascii="Times New Roman" w:hAnsi="Times New Roman" w:cs="Times New Roman"/>
          <w:sz w:val="24"/>
          <w:szCs w:val="24"/>
        </w:rPr>
        <w:t>M.(</w:t>
      </w:r>
      <w:proofErr w:type="gramEnd"/>
      <w:r w:rsidRPr="00D14ED4">
        <w:rPr>
          <w:rFonts w:ascii="Times New Roman" w:hAnsi="Times New Roman" w:cs="Times New Roman"/>
          <w:sz w:val="24"/>
          <w:szCs w:val="24"/>
        </w:rPr>
        <w:t xml:space="preserve">2004). </w:t>
      </w:r>
      <w:proofErr w:type="spellStart"/>
      <w:r w:rsidRPr="00D14ED4">
        <w:rPr>
          <w:rFonts w:ascii="Times New Roman" w:hAnsi="Times New Roman" w:cs="Times New Roman"/>
          <w:sz w:val="24"/>
          <w:szCs w:val="24"/>
        </w:rPr>
        <w:t>The</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comovement</w:t>
      </w:r>
      <w:proofErr w:type="spellEnd"/>
      <w:r w:rsidRPr="00D14ED4">
        <w:rPr>
          <w:rFonts w:ascii="Times New Roman" w:hAnsi="Times New Roman" w:cs="Times New Roman"/>
          <w:sz w:val="24"/>
          <w:szCs w:val="24"/>
        </w:rPr>
        <w:t xml:space="preserve"> of </w:t>
      </w:r>
      <w:proofErr w:type="spellStart"/>
      <w:r w:rsidRPr="00D14ED4">
        <w:rPr>
          <w:rFonts w:ascii="Times New Roman" w:hAnsi="Times New Roman" w:cs="Times New Roman"/>
          <w:sz w:val="24"/>
          <w:szCs w:val="24"/>
        </w:rPr>
        <w:t>credit</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default</w:t>
      </w:r>
      <w:proofErr w:type="spellEnd"/>
      <w:r w:rsidRPr="00D14ED4">
        <w:rPr>
          <w:rFonts w:ascii="Times New Roman" w:hAnsi="Times New Roman" w:cs="Times New Roman"/>
          <w:sz w:val="24"/>
          <w:szCs w:val="24"/>
        </w:rPr>
        <w:t xml:space="preserve"> swap, </w:t>
      </w:r>
      <w:proofErr w:type="spellStart"/>
      <w:r w:rsidRPr="00D14ED4">
        <w:rPr>
          <w:rFonts w:ascii="Times New Roman" w:hAnsi="Times New Roman" w:cs="Times New Roman"/>
          <w:sz w:val="24"/>
          <w:szCs w:val="24"/>
        </w:rPr>
        <w:t>bond</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and</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stock</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markets</w:t>
      </w:r>
      <w:proofErr w:type="spellEnd"/>
      <w:r w:rsidRPr="00D14ED4">
        <w:rPr>
          <w:rFonts w:ascii="Times New Roman" w:hAnsi="Times New Roman" w:cs="Times New Roman"/>
          <w:sz w:val="24"/>
          <w:szCs w:val="24"/>
        </w:rPr>
        <w:t xml:space="preserve">: An </w:t>
      </w:r>
      <w:proofErr w:type="spellStart"/>
      <w:r w:rsidRPr="00D14ED4">
        <w:rPr>
          <w:rFonts w:ascii="Times New Roman" w:hAnsi="Times New Roman" w:cs="Times New Roman"/>
          <w:sz w:val="24"/>
          <w:szCs w:val="24"/>
        </w:rPr>
        <w:t>empirical</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analysis</w:t>
      </w:r>
      <w:proofErr w:type="spellEnd"/>
      <w:r w:rsidRPr="00D14ED4">
        <w:rPr>
          <w:rFonts w:ascii="Times New Roman" w:hAnsi="Times New Roman" w:cs="Times New Roman"/>
          <w:sz w:val="24"/>
          <w:szCs w:val="24"/>
        </w:rPr>
        <w:t xml:space="preserve">. </w:t>
      </w:r>
      <w:r w:rsidRPr="001276E1">
        <w:rPr>
          <w:rFonts w:ascii="Times New Roman" w:hAnsi="Times New Roman" w:cs="Times New Roman"/>
          <w:i/>
          <w:iCs/>
          <w:sz w:val="24"/>
          <w:szCs w:val="24"/>
        </w:rPr>
        <w:t xml:space="preserve">Center </w:t>
      </w:r>
      <w:proofErr w:type="spellStart"/>
      <w:r w:rsidRPr="001276E1">
        <w:rPr>
          <w:rFonts w:ascii="Times New Roman" w:hAnsi="Times New Roman" w:cs="Times New Roman"/>
          <w:i/>
          <w:iCs/>
          <w:sz w:val="24"/>
          <w:szCs w:val="24"/>
        </w:rPr>
        <w:t>for</w:t>
      </w:r>
      <w:proofErr w:type="spellEnd"/>
      <w:r w:rsidRPr="001276E1">
        <w:rPr>
          <w:rFonts w:ascii="Times New Roman" w:hAnsi="Times New Roman" w:cs="Times New Roman"/>
          <w:i/>
          <w:iCs/>
          <w:sz w:val="24"/>
          <w:szCs w:val="24"/>
        </w:rPr>
        <w:t xml:space="preserve"> Financial </w:t>
      </w:r>
      <w:proofErr w:type="spellStart"/>
      <w:r w:rsidRPr="001276E1">
        <w:rPr>
          <w:rFonts w:ascii="Times New Roman" w:hAnsi="Times New Roman" w:cs="Times New Roman"/>
          <w:i/>
          <w:iCs/>
          <w:sz w:val="24"/>
          <w:szCs w:val="24"/>
        </w:rPr>
        <w:t>Studies</w:t>
      </w:r>
      <w:proofErr w:type="spellEnd"/>
      <w:r w:rsidRPr="001276E1">
        <w:rPr>
          <w:rFonts w:ascii="Times New Roman" w:hAnsi="Times New Roman" w:cs="Times New Roman"/>
          <w:i/>
          <w:iCs/>
          <w:sz w:val="24"/>
          <w:szCs w:val="24"/>
        </w:rPr>
        <w:t xml:space="preserve"> (CFS)</w:t>
      </w:r>
      <w:r w:rsidRPr="00D14ED4">
        <w:rPr>
          <w:rFonts w:ascii="Times New Roman" w:hAnsi="Times New Roman" w:cs="Times New Roman"/>
          <w:sz w:val="24"/>
          <w:szCs w:val="24"/>
        </w:rPr>
        <w:t xml:space="preserve">, Goethe </w:t>
      </w:r>
      <w:proofErr w:type="spellStart"/>
      <w:r w:rsidRPr="00D14ED4">
        <w:rPr>
          <w:rFonts w:ascii="Times New Roman" w:hAnsi="Times New Roman" w:cs="Times New Roman"/>
          <w:sz w:val="24"/>
          <w:szCs w:val="24"/>
        </w:rPr>
        <w:t>University</w:t>
      </w:r>
      <w:proofErr w:type="spellEnd"/>
      <w:r w:rsidRPr="00D14ED4">
        <w:rPr>
          <w:rFonts w:ascii="Times New Roman" w:hAnsi="Times New Roman" w:cs="Times New Roman"/>
          <w:sz w:val="24"/>
          <w:szCs w:val="24"/>
        </w:rPr>
        <w:t xml:space="preserve"> Frankfurt, CFS </w:t>
      </w:r>
      <w:proofErr w:type="spellStart"/>
      <w:r w:rsidRPr="00D14ED4">
        <w:rPr>
          <w:rFonts w:ascii="Times New Roman" w:hAnsi="Times New Roman" w:cs="Times New Roman"/>
          <w:sz w:val="24"/>
          <w:szCs w:val="24"/>
        </w:rPr>
        <w:t>Working</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Paper</w:t>
      </w:r>
      <w:proofErr w:type="spellEnd"/>
      <w:r w:rsidRPr="00D14ED4">
        <w:rPr>
          <w:rFonts w:ascii="Times New Roman" w:hAnsi="Times New Roman" w:cs="Times New Roman"/>
          <w:sz w:val="24"/>
          <w:szCs w:val="24"/>
        </w:rPr>
        <w:t>, No. 2004/20.</w:t>
      </w:r>
    </w:p>
    <w:p w14:paraId="5AA904E2" w14:textId="77777777" w:rsidR="001276E1" w:rsidRPr="00D14ED4" w:rsidRDefault="001276E1" w:rsidP="00B20327">
      <w:pPr>
        <w:spacing w:line="276" w:lineRule="auto"/>
        <w:rPr>
          <w:rStyle w:val="Kpr"/>
          <w:rFonts w:ascii="Times New Roman" w:hAnsi="Times New Roman" w:cs="Times New Roman"/>
          <w:color w:val="auto"/>
          <w:sz w:val="24"/>
          <w:szCs w:val="24"/>
        </w:rPr>
      </w:pPr>
      <w:proofErr w:type="spellStart"/>
      <w:r w:rsidRPr="00D14ED4">
        <w:rPr>
          <w:rFonts w:ascii="Times New Roman" w:hAnsi="Times New Roman" w:cs="Times New Roman"/>
          <w:sz w:val="24"/>
          <w:szCs w:val="24"/>
        </w:rPr>
        <w:t>Mateev</w:t>
      </w:r>
      <w:proofErr w:type="spellEnd"/>
      <w:r w:rsidRPr="00D14ED4">
        <w:rPr>
          <w:rFonts w:ascii="Times New Roman" w:hAnsi="Times New Roman" w:cs="Times New Roman"/>
          <w:sz w:val="24"/>
          <w:szCs w:val="24"/>
        </w:rPr>
        <w:t xml:space="preserve">, </w:t>
      </w:r>
      <w:proofErr w:type="gramStart"/>
      <w:r w:rsidRPr="00D14ED4">
        <w:rPr>
          <w:rFonts w:ascii="Times New Roman" w:hAnsi="Times New Roman" w:cs="Times New Roman"/>
          <w:sz w:val="24"/>
          <w:szCs w:val="24"/>
        </w:rPr>
        <w:t>M.(</w:t>
      </w:r>
      <w:proofErr w:type="gramEnd"/>
      <w:r w:rsidRPr="00D14ED4">
        <w:rPr>
          <w:rFonts w:ascii="Times New Roman" w:hAnsi="Times New Roman" w:cs="Times New Roman"/>
          <w:sz w:val="24"/>
          <w:szCs w:val="24"/>
        </w:rPr>
        <w:t xml:space="preserve">2019). </w:t>
      </w:r>
      <w:proofErr w:type="spellStart"/>
      <w:r w:rsidRPr="00D14ED4">
        <w:rPr>
          <w:rFonts w:ascii="Times New Roman" w:hAnsi="Times New Roman" w:cs="Times New Roman"/>
          <w:sz w:val="24"/>
          <w:szCs w:val="24"/>
        </w:rPr>
        <w:t>Volatility</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relation</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between</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credit</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default</w:t>
      </w:r>
      <w:proofErr w:type="spellEnd"/>
      <w:r w:rsidRPr="00D14ED4">
        <w:rPr>
          <w:rFonts w:ascii="Times New Roman" w:hAnsi="Times New Roman" w:cs="Times New Roman"/>
          <w:sz w:val="24"/>
          <w:szCs w:val="24"/>
        </w:rPr>
        <w:t xml:space="preserve"> swap </w:t>
      </w:r>
      <w:proofErr w:type="spellStart"/>
      <w:r w:rsidRPr="00D14ED4">
        <w:rPr>
          <w:rFonts w:ascii="Times New Roman" w:hAnsi="Times New Roman" w:cs="Times New Roman"/>
          <w:sz w:val="24"/>
          <w:szCs w:val="24"/>
        </w:rPr>
        <w:t>and</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stock</w:t>
      </w:r>
      <w:proofErr w:type="spellEnd"/>
      <w:r w:rsidRPr="00D14ED4">
        <w:rPr>
          <w:rFonts w:ascii="Times New Roman" w:hAnsi="Times New Roman" w:cs="Times New Roman"/>
          <w:sz w:val="24"/>
          <w:szCs w:val="24"/>
        </w:rPr>
        <w:t xml:space="preserve"> market: </w:t>
      </w:r>
      <w:proofErr w:type="spellStart"/>
      <w:r w:rsidRPr="00D14ED4">
        <w:rPr>
          <w:rFonts w:ascii="Times New Roman" w:hAnsi="Times New Roman" w:cs="Times New Roman"/>
          <w:sz w:val="24"/>
          <w:szCs w:val="24"/>
        </w:rPr>
        <w:t>new</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empirical</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tests</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i/>
          <w:iCs/>
          <w:sz w:val="24"/>
          <w:szCs w:val="24"/>
        </w:rPr>
        <w:t>Journal</w:t>
      </w:r>
      <w:proofErr w:type="spellEnd"/>
      <w:r w:rsidRPr="00D14ED4">
        <w:rPr>
          <w:rFonts w:ascii="Times New Roman" w:hAnsi="Times New Roman" w:cs="Times New Roman"/>
          <w:i/>
          <w:iCs/>
          <w:sz w:val="24"/>
          <w:szCs w:val="24"/>
        </w:rPr>
        <w:t xml:space="preserve"> of </w:t>
      </w:r>
      <w:proofErr w:type="spellStart"/>
      <w:r w:rsidRPr="00D14ED4">
        <w:rPr>
          <w:rFonts w:ascii="Times New Roman" w:hAnsi="Times New Roman" w:cs="Times New Roman"/>
          <w:i/>
          <w:iCs/>
          <w:sz w:val="24"/>
          <w:szCs w:val="24"/>
        </w:rPr>
        <w:t>Economics</w:t>
      </w:r>
      <w:proofErr w:type="spellEnd"/>
      <w:r w:rsidRPr="00D14ED4">
        <w:rPr>
          <w:rFonts w:ascii="Times New Roman" w:hAnsi="Times New Roman" w:cs="Times New Roman"/>
          <w:i/>
          <w:iCs/>
          <w:sz w:val="24"/>
          <w:szCs w:val="24"/>
        </w:rPr>
        <w:t xml:space="preserve"> </w:t>
      </w:r>
      <w:proofErr w:type="spellStart"/>
      <w:r w:rsidRPr="00D14ED4">
        <w:rPr>
          <w:rFonts w:ascii="Times New Roman" w:hAnsi="Times New Roman" w:cs="Times New Roman"/>
          <w:i/>
          <w:iCs/>
          <w:sz w:val="24"/>
          <w:szCs w:val="24"/>
        </w:rPr>
        <w:t>and</w:t>
      </w:r>
      <w:proofErr w:type="spellEnd"/>
      <w:r w:rsidRPr="00D14ED4">
        <w:rPr>
          <w:rFonts w:ascii="Times New Roman" w:hAnsi="Times New Roman" w:cs="Times New Roman"/>
          <w:i/>
          <w:iCs/>
          <w:sz w:val="24"/>
          <w:szCs w:val="24"/>
        </w:rPr>
        <w:t xml:space="preserve"> Finance,</w:t>
      </w:r>
      <w:r w:rsidRPr="00D14ED4">
        <w:rPr>
          <w:rFonts w:ascii="Times New Roman" w:hAnsi="Times New Roman" w:cs="Times New Roman"/>
          <w:sz w:val="24"/>
          <w:szCs w:val="24"/>
        </w:rPr>
        <w:t xml:space="preserve"> 43, 681–712. </w:t>
      </w:r>
    </w:p>
    <w:p w14:paraId="39537E4F" w14:textId="77777777" w:rsidR="00CE17CE" w:rsidRPr="006A69FA" w:rsidRDefault="00CE17CE" w:rsidP="00B20327">
      <w:pPr>
        <w:spacing w:line="276" w:lineRule="auto"/>
        <w:rPr>
          <w:rFonts w:ascii="Times New Roman" w:hAnsi="Times New Roman" w:cs="Times New Roman"/>
          <w:sz w:val="24"/>
          <w:szCs w:val="24"/>
        </w:rPr>
      </w:pPr>
      <w:r w:rsidRPr="006A69FA">
        <w:rPr>
          <w:rFonts w:ascii="Times New Roman" w:hAnsi="Times New Roman" w:cs="Times New Roman"/>
          <w:sz w:val="24"/>
          <w:szCs w:val="24"/>
        </w:rPr>
        <w:t xml:space="preserve">Nelson, C. </w:t>
      </w:r>
      <w:proofErr w:type="spellStart"/>
      <w:r w:rsidRPr="006A69FA">
        <w:rPr>
          <w:rFonts w:ascii="Times New Roman" w:hAnsi="Times New Roman" w:cs="Times New Roman"/>
          <w:sz w:val="24"/>
          <w:szCs w:val="24"/>
        </w:rPr>
        <w:t>and</w:t>
      </w:r>
      <w:proofErr w:type="spellEnd"/>
      <w:r w:rsidRPr="006A69FA">
        <w:rPr>
          <w:rFonts w:ascii="Times New Roman" w:hAnsi="Times New Roman" w:cs="Times New Roman"/>
          <w:sz w:val="24"/>
          <w:szCs w:val="24"/>
        </w:rPr>
        <w:t xml:space="preserve"> </w:t>
      </w:r>
      <w:proofErr w:type="spellStart"/>
      <w:r w:rsidRPr="006A69FA">
        <w:rPr>
          <w:rFonts w:ascii="Times New Roman" w:hAnsi="Times New Roman" w:cs="Times New Roman"/>
          <w:sz w:val="24"/>
          <w:szCs w:val="24"/>
        </w:rPr>
        <w:t>Plosser</w:t>
      </w:r>
      <w:proofErr w:type="spellEnd"/>
      <w:r w:rsidRPr="006A69FA">
        <w:rPr>
          <w:rFonts w:ascii="Times New Roman" w:hAnsi="Times New Roman" w:cs="Times New Roman"/>
          <w:sz w:val="24"/>
          <w:szCs w:val="24"/>
        </w:rPr>
        <w:t xml:space="preserve">, C., 1982. </w:t>
      </w:r>
      <w:proofErr w:type="spellStart"/>
      <w:r w:rsidRPr="006A69FA">
        <w:rPr>
          <w:rFonts w:ascii="Times New Roman" w:hAnsi="Times New Roman" w:cs="Times New Roman"/>
          <w:sz w:val="24"/>
          <w:szCs w:val="24"/>
        </w:rPr>
        <w:t>Trends</w:t>
      </w:r>
      <w:proofErr w:type="spellEnd"/>
      <w:r w:rsidRPr="006A69FA">
        <w:rPr>
          <w:rFonts w:ascii="Times New Roman" w:hAnsi="Times New Roman" w:cs="Times New Roman"/>
          <w:sz w:val="24"/>
          <w:szCs w:val="24"/>
        </w:rPr>
        <w:t xml:space="preserve"> </w:t>
      </w:r>
      <w:proofErr w:type="spellStart"/>
      <w:r w:rsidRPr="006A69FA">
        <w:rPr>
          <w:rFonts w:ascii="Times New Roman" w:hAnsi="Times New Roman" w:cs="Times New Roman"/>
          <w:sz w:val="24"/>
          <w:szCs w:val="24"/>
        </w:rPr>
        <w:t>and</w:t>
      </w:r>
      <w:proofErr w:type="spellEnd"/>
      <w:r w:rsidRPr="006A69FA">
        <w:rPr>
          <w:rFonts w:ascii="Times New Roman" w:hAnsi="Times New Roman" w:cs="Times New Roman"/>
          <w:sz w:val="24"/>
          <w:szCs w:val="24"/>
        </w:rPr>
        <w:t xml:space="preserve"> </w:t>
      </w:r>
      <w:proofErr w:type="spellStart"/>
      <w:r w:rsidRPr="006A69FA">
        <w:rPr>
          <w:rFonts w:ascii="Times New Roman" w:hAnsi="Times New Roman" w:cs="Times New Roman"/>
          <w:sz w:val="24"/>
          <w:szCs w:val="24"/>
        </w:rPr>
        <w:t>Random</w:t>
      </w:r>
      <w:proofErr w:type="spellEnd"/>
      <w:r w:rsidRPr="006A69FA">
        <w:rPr>
          <w:rFonts w:ascii="Times New Roman" w:hAnsi="Times New Roman" w:cs="Times New Roman"/>
          <w:sz w:val="24"/>
          <w:szCs w:val="24"/>
        </w:rPr>
        <w:t xml:space="preserve"> </w:t>
      </w:r>
      <w:proofErr w:type="spellStart"/>
      <w:r w:rsidRPr="006A69FA">
        <w:rPr>
          <w:rFonts w:ascii="Times New Roman" w:hAnsi="Times New Roman" w:cs="Times New Roman"/>
          <w:sz w:val="24"/>
          <w:szCs w:val="24"/>
        </w:rPr>
        <w:t>Walks</w:t>
      </w:r>
      <w:proofErr w:type="spellEnd"/>
      <w:r w:rsidRPr="006A69FA">
        <w:rPr>
          <w:rFonts w:ascii="Times New Roman" w:hAnsi="Times New Roman" w:cs="Times New Roman"/>
          <w:sz w:val="24"/>
          <w:szCs w:val="24"/>
        </w:rPr>
        <w:t xml:space="preserve"> in </w:t>
      </w:r>
      <w:proofErr w:type="spellStart"/>
      <w:r w:rsidRPr="006A69FA">
        <w:rPr>
          <w:rFonts w:ascii="Times New Roman" w:hAnsi="Times New Roman" w:cs="Times New Roman"/>
          <w:sz w:val="24"/>
          <w:szCs w:val="24"/>
        </w:rPr>
        <w:t>Macroeconomic</w:t>
      </w:r>
      <w:proofErr w:type="spellEnd"/>
      <w:r w:rsidRPr="006A69FA">
        <w:rPr>
          <w:rFonts w:ascii="Times New Roman" w:hAnsi="Times New Roman" w:cs="Times New Roman"/>
          <w:sz w:val="24"/>
          <w:szCs w:val="24"/>
        </w:rPr>
        <w:t xml:space="preserve"> Time Series. </w:t>
      </w:r>
      <w:proofErr w:type="spellStart"/>
      <w:r w:rsidRPr="006A69FA">
        <w:rPr>
          <w:rFonts w:ascii="Times New Roman" w:hAnsi="Times New Roman" w:cs="Times New Roman"/>
          <w:sz w:val="24"/>
          <w:szCs w:val="24"/>
        </w:rPr>
        <w:t>Journal</w:t>
      </w:r>
      <w:proofErr w:type="spellEnd"/>
      <w:r w:rsidRPr="006A69FA">
        <w:rPr>
          <w:rFonts w:ascii="Times New Roman" w:hAnsi="Times New Roman" w:cs="Times New Roman"/>
          <w:sz w:val="24"/>
          <w:szCs w:val="24"/>
        </w:rPr>
        <w:t xml:space="preserve"> of </w:t>
      </w:r>
      <w:proofErr w:type="spellStart"/>
      <w:r w:rsidRPr="006A69FA">
        <w:rPr>
          <w:rFonts w:ascii="Times New Roman" w:hAnsi="Times New Roman" w:cs="Times New Roman"/>
          <w:sz w:val="24"/>
          <w:szCs w:val="24"/>
        </w:rPr>
        <w:t>Monetary</w:t>
      </w:r>
      <w:proofErr w:type="spellEnd"/>
      <w:r w:rsidRPr="006A69FA">
        <w:rPr>
          <w:rFonts w:ascii="Times New Roman" w:hAnsi="Times New Roman" w:cs="Times New Roman"/>
          <w:sz w:val="24"/>
          <w:szCs w:val="24"/>
        </w:rPr>
        <w:t xml:space="preserve"> </w:t>
      </w:r>
      <w:proofErr w:type="spellStart"/>
      <w:r w:rsidRPr="006A69FA">
        <w:rPr>
          <w:rFonts w:ascii="Times New Roman" w:hAnsi="Times New Roman" w:cs="Times New Roman"/>
          <w:sz w:val="24"/>
          <w:szCs w:val="24"/>
        </w:rPr>
        <w:t>Economics</w:t>
      </w:r>
      <w:proofErr w:type="spellEnd"/>
      <w:r w:rsidRPr="006A69FA">
        <w:rPr>
          <w:rFonts w:ascii="Times New Roman" w:hAnsi="Times New Roman" w:cs="Times New Roman"/>
          <w:sz w:val="24"/>
          <w:szCs w:val="24"/>
        </w:rPr>
        <w:t>, 10, 139-162.</w:t>
      </w:r>
    </w:p>
    <w:p w14:paraId="212D3EC0" w14:textId="18916B13" w:rsidR="001276E1" w:rsidRPr="00D14ED4" w:rsidRDefault="001276E1" w:rsidP="00B20327">
      <w:pPr>
        <w:spacing w:line="276" w:lineRule="auto"/>
        <w:rPr>
          <w:rFonts w:ascii="Times New Roman" w:hAnsi="Times New Roman" w:cs="Times New Roman"/>
          <w:sz w:val="24"/>
          <w:szCs w:val="24"/>
        </w:rPr>
      </w:pPr>
      <w:proofErr w:type="spellStart"/>
      <w:r w:rsidRPr="00D14ED4">
        <w:rPr>
          <w:rFonts w:ascii="Times New Roman" w:hAnsi="Times New Roman" w:cs="Times New Roman"/>
          <w:sz w:val="24"/>
          <w:szCs w:val="24"/>
        </w:rPr>
        <w:t>Özpınar</w:t>
      </w:r>
      <w:proofErr w:type="spellEnd"/>
      <w:r w:rsidRPr="00D14ED4">
        <w:rPr>
          <w:rFonts w:ascii="Times New Roman" w:hAnsi="Times New Roman" w:cs="Times New Roman"/>
          <w:sz w:val="24"/>
          <w:szCs w:val="24"/>
        </w:rPr>
        <w:t>, Ö. Özman, H. ve Doru, O. (2018). Kredi Temerrüt Takası (</w:t>
      </w:r>
      <w:proofErr w:type="gramStart"/>
      <w:r w:rsidRPr="00D14ED4">
        <w:rPr>
          <w:rFonts w:ascii="Times New Roman" w:hAnsi="Times New Roman" w:cs="Times New Roman"/>
          <w:sz w:val="24"/>
          <w:szCs w:val="24"/>
        </w:rPr>
        <w:t>CDS )</w:t>
      </w:r>
      <w:proofErr w:type="gramEnd"/>
      <w:r w:rsidRPr="00D14ED4">
        <w:rPr>
          <w:rFonts w:ascii="Times New Roman" w:hAnsi="Times New Roman" w:cs="Times New Roman"/>
          <w:sz w:val="24"/>
          <w:szCs w:val="24"/>
        </w:rPr>
        <w:t xml:space="preserve"> ve Kur-Faiz İlişkisi : Türkiye Örneği</w:t>
      </w:r>
      <w:r w:rsidRPr="00D14ED4">
        <w:rPr>
          <w:rFonts w:ascii="Times New Roman" w:hAnsi="Times New Roman" w:cs="Times New Roman"/>
          <w:i/>
          <w:iCs/>
          <w:sz w:val="24"/>
          <w:szCs w:val="24"/>
        </w:rPr>
        <w:t>. Bankacılık ve Sermaye Piyasası Araştırmaları Dergisi</w:t>
      </w:r>
      <w:r w:rsidRPr="00D14ED4">
        <w:rPr>
          <w:rFonts w:ascii="Times New Roman" w:hAnsi="Times New Roman" w:cs="Times New Roman"/>
          <w:sz w:val="24"/>
          <w:szCs w:val="24"/>
        </w:rPr>
        <w:t>, 2(4), 31-45.</w:t>
      </w:r>
    </w:p>
    <w:p w14:paraId="5FCD0DC3" w14:textId="77777777" w:rsidR="001276E1" w:rsidRPr="00D14ED4" w:rsidRDefault="001276E1" w:rsidP="00B20327">
      <w:pPr>
        <w:spacing w:line="276" w:lineRule="auto"/>
        <w:rPr>
          <w:rFonts w:ascii="Times New Roman" w:hAnsi="Times New Roman" w:cs="Times New Roman"/>
          <w:sz w:val="24"/>
          <w:szCs w:val="24"/>
        </w:rPr>
      </w:pPr>
      <w:proofErr w:type="spellStart"/>
      <w:r w:rsidRPr="00D14ED4">
        <w:rPr>
          <w:rFonts w:ascii="Times New Roman" w:hAnsi="Times New Roman" w:cs="Times New Roman"/>
          <w:sz w:val="24"/>
          <w:szCs w:val="24"/>
        </w:rPr>
        <w:t>Pu</w:t>
      </w:r>
      <w:proofErr w:type="spellEnd"/>
      <w:r w:rsidRPr="00D14ED4">
        <w:rPr>
          <w:rFonts w:ascii="Times New Roman" w:hAnsi="Times New Roman" w:cs="Times New Roman"/>
          <w:sz w:val="24"/>
          <w:szCs w:val="24"/>
        </w:rPr>
        <w:t xml:space="preserve">, X. </w:t>
      </w:r>
      <w:proofErr w:type="spellStart"/>
      <w:r w:rsidRPr="00D14ED4">
        <w:rPr>
          <w:rFonts w:ascii="Times New Roman" w:hAnsi="Times New Roman" w:cs="Times New Roman"/>
          <w:sz w:val="24"/>
          <w:szCs w:val="24"/>
        </w:rPr>
        <w:t>and</w:t>
      </w:r>
      <w:proofErr w:type="spellEnd"/>
      <w:r w:rsidRPr="00D14ED4">
        <w:rPr>
          <w:rFonts w:ascii="Times New Roman" w:hAnsi="Times New Roman" w:cs="Times New Roman"/>
          <w:sz w:val="24"/>
          <w:szCs w:val="24"/>
        </w:rPr>
        <w:t xml:space="preserve"> J. </w:t>
      </w:r>
      <w:proofErr w:type="spellStart"/>
      <w:r w:rsidRPr="00D14ED4">
        <w:rPr>
          <w:rFonts w:ascii="Times New Roman" w:hAnsi="Times New Roman" w:cs="Times New Roman"/>
          <w:sz w:val="24"/>
          <w:szCs w:val="24"/>
        </w:rPr>
        <w:t>Zhang</w:t>
      </w:r>
      <w:proofErr w:type="spellEnd"/>
      <w:r w:rsidRPr="00D14ED4">
        <w:rPr>
          <w:rFonts w:ascii="Times New Roman" w:hAnsi="Times New Roman" w:cs="Times New Roman"/>
          <w:sz w:val="24"/>
          <w:szCs w:val="24"/>
        </w:rPr>
        <w:t xml:space="preserve">, 2012. </w:t>
      </w:r>
      <w:proofErr w:type="spellStart"/>
      <w:r w:rsidRPr="00D14ED4">
        <w:rPr>
          <w:rFonts w:ascii="Times New Roman" w:hAnsi="Times New Roman" w:cs="Times New Roman"/>
          <w:sz w:val="24"/>
          <w:szCs w:val="24"/>
        </w:rPr>
        <w:t>Sovereign</w:t>
      </w:r>
      <w:proofErr w:type="spellEnd"/>
      <w:r w:rsidRPr="00D14ED4">
        <w:rPr>
          <w:rFonts w:ascii="Times New Roman" w:hAnsi="Times New Roman" w:cs="Times New Roman"/>
          <w:sz w:val="24"/>
          <w:szCs w:val="24"/>
        </w:rPr>
        <w:t xml:space="preserve"> CDS </w:t>
      </w:r>
      <w:proofErr w:type="spellStart"/>
      <w:r w:rsidRPr="00D14ED4">
        <w:rPr>
          <w:rFonts w:ascii="Times New Roman" w:hAnsi="Times New Roman" w:cs="Times New Roman"/>
          <w:sz w:val="24"/>
          <w:szCs w:val="24"/>
        </w:rPr>
        <w:t>Spreads</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Volatility</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and</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Liquidity</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Evidence</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from</w:t>
      </w:r>
      <w:proofErr w:type="spellEnd"/>
      <w:r w:rsidRPr="00D14ED4">
        <w:rPr>
          <w:rFonts w:ascii="Times New Roman" w:hAnsi="Times New Roman" w:cs="Times New Roman"/>
          <w:sz w:val="24"/>
          <w:szCs w:val="24"/>
        </w:rPr>
        <w:t xml:space="preserve"> 2010 </w:t>
      </w:r>
      <w:proofErr w:type="spellStart"/>
      <w:r w:rsidRPr="00D14ED4">
        <w:rPr>
          <w:rFonts w:ascii="Times New Roman" w:hAnsi="Times New Roman" w:cs="Times New Roman"/>
          <w:sz w:val="24"/>
          <w:szCs w:val="24"/>
        </w:rPr>
        <w:t>German</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Short</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Sale</w:t>
      </w:r>
      <w:proofErr w:type="spellEnd"/>
      <w:r w:rsidRPr="00D14ED4">
        <w:rPr>
          <w:rFonts w:ascii="Times New Roman" w:hAnsi="Times New Roman" w:cs="Times New Roman"/>
          <w:sz w:val="24"/>
          <w:szCs w:val="24"/>
        </w:rPr>
        <w:t xml:space="preserve"> Ban.  </w:t>
      </w:r>
      <w:r w:rsidRPr="00D14ED4">
        <w:rPr>
          <w:rFonts w:ascii="Times New Roman" w:hAnsi="Times New Roman" w:cs="Times New Roman"/>
          <w:i/>
          <w:iCs/>
          <w:sz w:val="24"/>
          <w:szCs w:val="24"/>
        </w:rPr>
        <w:t xml:space="preserve">Financial </w:t>
      </w:r>
      <w:proofErr w:type="spellStart"/>
      <w:r w:rsidRPr="00D14ED4">
        <w:rPr>
          <w:rFonts w:ascii="Times New Roman" w:hAnsi="Times New Roman" w:cs="Times New Roman"/>
          <w:i/>
          <w:iCs/>
          <w:sz w:val="24"/>
          <w:szCs w:val="24"/>
        </w:rPr>
        <w:t>Review</w:t>
      </w:r>
      <w:proofErr w:type="spellEnd"/>
      <w:r w:rsidRPr="00D14ED4">
        <w:rPr>
          <w:rFonts w:ascii="Times New Roman" w:hAnsi="Times New Roman" w:cs="Times New Roman"/>
          <w:i/>
          <w:iCs/>
          <w:sz w:val="24"/>
          <w:szCs w:val="24"/>
        </w:rPr>
        <w:t>,</w:t>
      </w:r>
      <w:r w:rsidRPr="00D14ED4">
        <w:rPr>
          <w:rFonts w:ascii="Times New Roman" w:hAnsi="Times New Roman" w:cs="Times New Roman"/>
          <w:sz w:val="24"/>
          <w:szCs w:val="24"/>
        </w:rPr>
        <w:t xml:space="preserve"> 47(1), 171-197.</w:t>
      </w:r>
    </w:p>
    <w:p w14:paraId="762D0EEC" w14:textId="7D83971D" w:rsidR="00621405" w:rsidRDefault="00621405" w:rsidP="00B20327">
      <w:pPr>
        <w:spacing w:line="276" w:lineRule="auto"/>
        <w:rPr>
          <w:rFonts w:ascii="Times New Roman" w:hAnsi="Times New Roman" w:cs="Times New Roman"/>
          <w:sz w:val="24"/>
          <w:szCs w:val="24"/>
        </w:rPr>
      </w:pPr>
      <w:proofErr w:type="spellStart"/>
      <w:r w:rsidRPr="006A69FA">
        <w:rPr>
          <w:rFonts w:ascii="Times New Roman" w:hAnsi="Times New Roman" w:cs="Times New Roman"/>
          <w:sz w:val="24"/>
          <w:szCs w:val="24"/>
        </w:rPr>
        <w:t>Saatcioğlu</w:t>
      </w:r>
      <w:proofErr w:type="spellEnd"/>
      <w:r w:rsidRPr="006A69FA">
        <w:rPr>
          <w:rFonts w:ascii="Times New Roman" w:hAnsi="Times New Roman" w:cs="Times New Roman"/>
          <w:sz w:val="24"/>
          <w:szCs w:val="24"/>
        </w:rPr>
        <w:t>, C. ve Karaca, O. 2004., Döviz Kuru Belirsizliğinin İhracata Etkisi: Türkiye Örneği, Doğuş Üniversitesi Dergisi, Sayı: 5(2), 183-195.</w:t>
      </w:r>
    </w:p>
    <w:p w14:paraId="3C4924C1" w14:textId="446DA7EF" w:rsidR="00012C0A" w:rsidRPr="00B71478" w:rsidRDefault="00012C0A" w:rsidP="00B20327">
      <w:pPr>
        <w:spacing w:line="276" w:lineRule="auto"/>
        <w:jc w:val="both"/>
        <w:rPr>
          <w:rFonts w:ascii="Times New Roman" w:hAnsi="Times New Roman" w:cs="Times New Roman"/>
          <w:color w:val="FF0000"/>
          <w:sz w:val="24"/>
          <w:szCs w:val="24"/>
        </w:rPr>
      </w:pPr>
      <w:r>
        <w:rPr>
          <w:rFonts w:ascii="Times New Roman" w:hAnsi="Times New Roman" w:cs="Times New Roman"/>
          <w:sz w:val="24"/>
          <w:szCs w:val="24"/>
        </w:rPr>
        <w:t>S</w:t>
      </w:r>
      <w:r w:rsidRPr="00012C0A">
        <w:rPr>
          <w:rFonts w:ascii="Times New Roman" w:hAnsi="Times New Roman" w:cs="Times New Roman"/>
          <w:sz w:val="24"/>
          <w:szCs w:val="24"/>
        </w:rPr>
        <w:t>ayılgan, G. (2017). Soru ve Yanıtlarıyla İşletme Finansmanı.</w:t>
      </w:r>
      <w:r w:rsidR="001B47B8">
        <w:rPr>
          <w:rFonts w:ascii="Times New Roman" w:hAnsi="Times New Roman" w:cs="Times New Roman"/>
          <w:sz w:val="24"/>
          <w:szCs w:val="24"/>
        </w:rPr>
        <w:t xml:space="preserve"> </w:t>
      </w:r>
      <w:r w:rsidRPr="00012C0A">
        <w:rPr>
          <w:rFonts w:ascii="Times New Roman" w:hAnsi="Times New Roman" w:cs="Times New Roman"/>
          <w:sz w:val="24"/>
          <w:szCs w:val="24"/>
        </w:rPr>
        <w:t>7.Baskı.</w:t>
      </w:r>
      <w:r w:rsidR="001B47B8">
        <w:rPr>
          <w:rFonts w:ascii="Times New Roman" w:hAnsi="Times New Roman" w:cs="Times New Roman"/>
          <w:sz w:val="24"/>
          <w:szCs w:val="24"/>
        </w:rPr>
        <w:t xml:space="preserve"> </w:t>
      </w:r>
      <w:r w:rsidRPr="00012C0A">
        <w:rPr>
          <w:rFonts w:ascii="Times New Roman" w:hAnsi="Times New Roman" w:cs="Times New Roman"/>
          <w:sz w:val="24"/>
          <w:szCs w:val="24"/>
        </w:rPr>
        <w:t>Ankara</w:t>
      </w:r>
    </w:p>
    <w:p w14:paraId="39A26C38" w14:textId="77777777" w:rsidR="00621405" w:rsidRPr="006A69FA" w:rsidRDefault="00621405" w:rsidP="00B20327">
      <w:pPr>
        <w:spacing w:line="276" w:lineRule="auto"/>
        <w:rPr>
          <w:rFonts w:ascii="Times New Roman" w:hAnsi="Times New Roman" w:cs="Times New Roman"/>
          <w:sz w:val="24"/>
          <w:szCs w:val="24"/>
        </w:rPr>
      </w:pPr>
      <w:proofErr w:type="spellStart"/>
      <w:r w:rsidRPr="006A69FA">
        <w:rPr>
          <w:rFonts w:ascii="Times New Roman" w:hAnsi="Times New Roman" w:cs="Times New Roman"/>
          <w:sz w:val="24"/>
          <w:szCs w:val="24"/>
        </w:rPr>
        <w:t>Sevüktekin</w:t>
      </w:r>
      <w:proofErr w:type="spellEnd"/>
      <w:r w:rsidRPr="006A69FA">
        <w:rPr>
          <w:rFonts w:ascii="Times New Roman" w:hAnsi="Times New Roman" w:cs="Times New Roman"/>
          <w:sz w:val="24"/>
          <w:szCs w:val="24"/>
        </w:rPr>
        <w:t xml:space="preserve">, M. ve Çınar, M., 2017. </w:t>
      </w:r>
      <w:proofErr w:type="spellStart"/>
      <w:r w:rsidRPr="006A69FA">
        <w:rPr>
          <w:rFonts w:ascii="Times New Roman" w:hAnsi="Times New Roman" w:cs="Times New Roman"/>
          <w:sz w:val="24"/>
          <w:szCs w:val="24"/>
        </w:rPr>
        <w:t>Ekonometrik</w:t>
      </w:r>
      <w:proofErr w:type="spellEnd"/>
      <w:r w:rsidRPr="006A69FA">
        <w:rPr>
          <w:rFonts w:ascii="Times New Roman" w:hAnsi="Times New Roman" w:cs="Times New Roman"/>
          <w:sz w:val="24"/>
          <w:szCs w:val="24"/>
        </w:rPr>
        <w:t xml:space="preserve"> Zaman Serileri Analizi, Dora Yayıncılık, Bursa.</w:t>
      </w:r>
    </w:p>
    <w:p w14:paraId="5895CCA7" w14:textId="2644302A" w:rsidR="001276E1" w:rsidRPr="00D14ED4" w:rsidRDefault="001276E1" w:rsidP="00B20327">
      <w:pPr>
        <w:spacing w:line="276" w:lineRule="auto"/>
        <w:rPr>
          <w:rFonts w:ascii="Times New Roman" w:hAnsi="Times New Roman" w:cs="Times New Roman"/>
          <w:sz w:val="24"/>
          <w:szCs w:val="24"/>
        </w:rPr>
      </w:pPr>
      <w:r w:rsidRPr="00D14ED4">
        <w:rPr>
          <w:rFonts w:ascii="Times New Roman" w:hAnsi="Times New Roman" w:cs="Times New Roman"/>
          <w:sz w:val="24"/>
          <w:szCs w:val="24"/>
        </w:rPr>
        <w:t xml:space="preserve">Şahin, E., E.ve Özkan, O. (2018). Kredi temerrüt takası, döviz kuru ve BİST100 endeksi ilişkisi, </w:t>
      </w:r>
      <w:r w:rsidRPr="00D14ED4">
        <w:rPr>
          <w:rFonts w:ascii="Times New Roman" w:hAnsi="Times New Roman" w:cs="Times New Roman"/>
          <w:i/>
          <w:iCs/>
          <w:sz w:val="24"/>
          <w:szCs w:val="24"/>
        </w:rPr>
        <w:t>Hitit Üniversitesi Sosyal Bilimler Enstitüsü Dergis</w:t>
      </w:r>
      <w:r w:rsidRPr="00D14ED4">
        <w:rPr>
          <w:rFonts w:ascii="Times New Roman" w:hAnsi="Times New Roman" w:cs="Times New Roman"/>
          <w:sz w:val="24"/>
          <w:szCs w:val="24"/>
        </w:rPr>
        <w:t>i, 11(3), 1939-1945.</w:t>
      </w:r>
    </w:p>
    <w:p w14:paraId="05D90235" w14:textId="77777777" w:rsidR="001276E1" w:rsidRPr="00D14ED4" w:rsidRDefault="001276E1" w:rsidP="00B20327">
      <w:pPr>
        <w:spacing w:line="276" w:lineRule="auto"/>
        <w:rPr>
          <w:rFonts w:ascii="Times New Roman" w:hAnsi="Times New Roman" w:cs="Times New Roman"/>
          <w:sz w:val="24"/>
          <w:szCs w:val="24"/>
        </w:rPr>
      </w:pPr>
      <w:proofErr w:type="spellStart"/>
      <w:r w:rsidRPr="00D14ED4">
        <w:rPr>
          <w:rFonts w:ascii="Times New Roman" w:hAnsi="Times New Roman" w:cs="Times New Roman"/>
          <w:sz w:val="24"/>
          <w:szCs w:val="24"/>
        </w:rPr>
        <w:t>Tolikas</w:t>
      </w:r>
      <w:proofErr w:type="spellEnd"/>
      <w:r w:rsidRPr="00D14ED4">
        <w:rPr>
          <w:rFonts w:ascii="Times New Roman" w:hAnsi="Times New Roman" w:cs="Times New Roman"/>
          <w:sz w:val="24"/>
          <w:szCs w:val="24"/>
        </w:rPr>
        <w:t xml:space="preserve">, K., &amp; </w:t>
      </w:r>
      <w:proofErr w:type="spellStart"/>
      <w:r w:rsidRPr="00D14ED4">
        <w:rPr>
          <w:rFonts w:ascii="Times New Roman" w:hAnsi="Times New Roman" w:cs="Times New Roman"/>
          <w:sz w:val="24"/>
          <w:szCs w:val="24"/>
        </w:rPr>
        <w:t>Topaloglou</w:t>
      </w:r>
      <w:proofErr w:type="spellEnd"/>
      <w:r w:rsidRPr="00D14ED4">
        <w:rPr>
          <w:rFonts w:ascii="Times New Roman" w:hAnsi="Times New Roman" w:cs="Times New Roman"/>
          <w:sz w:val="24"/>
          <w:szCs w:val="24"/>
        </w:rPr>
        <w:t xml:space="preserve">, N. (2017). Is </w:t>
      </w:r>
      <w:proofErr w:type="spellStart"/>
      <w:r w:rsidRPr="00D14ED4">
        <w:rPr>
          <w:rFonts w:ascii="Times New Roman" w:hAnsi="Times New Roman" w:cs="Times New Roman"/>
          <w:sz w:val="24"/>
          <w:szCs w:val="24"/>
        </w:rPr>
        <w:t>default</w:t>
      </w:r>
      <w:proofErr w:type="spellEnd"/>
      <w:r w:rsidRPr="00D14ED4">
        <w:rPr>
          <w:rFonts w:ascii="Times New Roman" w:hAnsi="Times New Roman" w:cs="Times New Roman"/>
          <w:sz w:val="24"/>
          <w:szCs w:val="24"/>
        </w:rPr>
        <w:t xml:space="preserve"> risk </w:t>
      </w:r>
      <w:proofErr w:type="spellStart"/>
      <w:r w:rsidRPr="00D14ED4">
        <w:rPr>
          <w:rFonts w:ascii="Times New Roman" w:hAnsi="Times New Roman" w:cs="Times New Roman"/>
          <w:sz w:val="24"/>
          <w:szCs w:val="24"/>
        </w:rPr>
        <w:t>priced</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equally</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fast</w:t>
      </w:r>
      <w:proofErr w:type="spellEnd"/>
      <w:r w:rsidRPr="00D14ED4">
        <w:rPr>
          <w:rFonts w:ascii="Times New Roman" w:hAnsi="Times New Roman" w:cs="Times New Roman"/>
          <w:sz w:val="24"/>
          <w:szCs w:val="24"/>
        </w:rPr>
        <w:t xml:space="preserve"> in </w:t>
      </w:r>
      <w:proofErr w:type="spellStart"/>
      <w:r w:rsidRPr="00D14ED4">
        <w:rPr>
          <w:rFonts w:ascii="Times New Roman" w:hAnsi="Times New Roman" w:cs="Times New Roman"/>
          <w:sz w:val="24"/>
          <w:szCs w:val="24"/>
        </w:rPr>
        <w:t>the</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credit</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default</w:t>
      </w:r>
      <w:proofErr w:type="spellEnd"/>
      <w:r w:rsidRPr="00D14ED4">
        <w:rPr>
          <w:rFonts w:ascii="Times New Roman" w:hAnsi="Times New Roman" w:cs="Times New Roman"/>
          <w:sz w:val="24"/>
          <w:szCs w:val="24"/>
        </w:rPr>
        <w:t xml:space="preserve"> swap </w:t>
      </w:r>
      <w:proofErr w:type="spellStart"/>
      <w:r w:rsidRPr="00D14ED4">
        <w:rPr>
          <w:rFonts w:ascii="Times New Roman" w:hAnsi="Times New Roman" w:cs="Times New Roman"/>
          <w:sz w:val="24"/>
          <w:szCs w:val="24"/>
        </w:rPr>
        <w:t>and</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the</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stock</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markets</w:t>
      </w:r>
      <w:proofErr w:type="spellEnd"/>
      <w:r w:rsidRPr="00D14ED4">
        <w:rPr>
          <w:rFonts w:ascii="Times New Roman" w:hAnsi="Times New Roman" w:cs="Times New Roman"/>
          <w:sz w:val="24"/>
          <w:szCs w:val="24"/>
        </w:rPr>
        <w:t xml:space="preserve">? AN </w:t>
      </w:r>
      <w:proofErr w:type="spellStart"/>
      <w:r w:rsidRPr="00D14ED4">
        <w:rPr>
          <w:rFonts w:ascii="Times New Roman" w:hAnsi="Times New Roman" w:cs="Times New Roman"/>
          <w:sz w:val="24"/>
          <w:szCs w:val="24"/>
        </w:rPr>
        <w:t>empirical</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investigation</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i/>
          <w:iCs/>
          <w:sz w:val="24"/>
          <w:szCs w:val="24"/>
        </w:rPr>
        <w:t>Journal</w:t>
      </w:r>
      <w:proofErr w:type="spellEnd"/>
      <w:r w:rsidRPr="00D14ED4">
        <w:rPr>
          <w:rFonts w:ascii="Times New Roman" w:hAnsi="Times New Roman" w:cs="Times New Roman"/>
          <w:i/>
          <w:iCs/>
          <w:sz w:val="24"/>
          <w:szCs w:val="24"/>
        </w:rPr>
        <w:t xml:space="preserve"> of International Financial </w:t>
      </w:r>
      <w:proofErr w:type="spellStart"/>
      <w:r w:rsidRPr="00D14ED4">
        <w:rPr>
          <w:rFonts w:ascii="Times New Roman" w:hAnsi="Times New Roman" w:cs="Times New Roman"/>
          <w:i/>
          <w:iCs/>
          <w:sz w:val="24"/>
          <w:szCs w:val="24"/>
        </w:rPr>
        <w:t>Markets</w:t>
      </w:r>
      <w:proofErr w:type="spellEnd"/>
      <w:r w:rsidRPr="00D14ED4">
        <w:rPr>
          <w:rFonts w:ascii="Times New Roman" w:hAnsi="Times New Roman" w:cs="Times New Roman"/>
          <w:i/>
          <w:iCs/>
          <w:sz w:val="24"/>
          <w:szCs w:val="24"/>
        </w:rPr>
        <w:t xml:space="preserve">, </w:t>
      </w:r>
      <w:proofErr w:type="spellStart"/>
      <w:r w:rsidRPr="00D14ED4">
        <w:rPr>
          <w:rFonts w:ascii="Times New Roman" w:hAnsi="Times New Roman" w:cs="Times New Roman"/>
          <w:i/>
          <w:iCs/>
          <w:sz w:val="24"/>
          <w:szCs w:val="24"/>
        </w:rPr>
        <w:t>Institutions</w:t>
      </w:r>
      <w:proofErr w:type="spellEnd"/>
      <w:r w:rsidRPr="00D14ED4">
        <w:rPr>
          <w:rFonts w:ascii="Times New Roman" w:hAnsi="Times New Roman" w:cs="Times New Roman"/>
          <w:i/>
          <w:iCs/>
          <w:sz w:val="24"/>
          <w:szCs w:val="24"/>
        </w:rPr>
        <w:t xml:space="preserve"> </w:t>
      </w:r>
      <w:proofErr w:type="spellStart"/>
      <w:r w:rsidRPr="00D14ED4">
        <w:rPr>
          <w:rFonts w:ascii="Times New Roman" w:hAnsi="Times New Roman" w:cs="Times New Roman"/>
          <w:i/>
          <w:iCs/>
          <w:sz w:val="24"/>
          <w:szCs w:val="24"/>
        </w:rPr>
        <w:t>and</w:t>
      </w:r>
      <w:proofErr w:type="spellEnd"/>
      <w:r w:rsidRPr="00D14ED4">
        <w:rPr>
          <w:rFonts w:ascii="Times New Roman" w:hAnsi="Times New Roman" w:cs="Times New Roman"/>
          <w:i/>
          <w:iCs/>
          <w:sz w:val="24"/>
          <w:szCs w:val="24"/>
        </w:rPr>
        <w:t xml:space="preserve"> Money</w:t>
      </w:r>
      <w:r w:rsidRPr="00D14ED4">
        <w:rPr>
          <w:rFonts w:ascii="Times New Roman" w:hAnsi="Times New Roman" w:cs="Times New Roman"/>
          <w:sz w:val="24"/>
          <w:szCs w:val="24"/>
        </w:rPr>
        <w:t>, 51, 39–57.</w:t>
      </w:r>
    </w:p>
    <w:p w14:paraId="71364F11" w14:textId="77777777" w:rsidR="001276E1" w:rsidRPr="00D14ED4" w:rsidRDefault="001276E1" w:rsidP="00B20327">
      <w:pPr>
        <w:spacing w:line="276" w:lineRule="auto"/>
        <w:rPr>
          <w:rFonts w:ascii="Times New Roman" w:hAnsi="Times New Roman" w:cs="Times New Roman"/>
          <w:sz w:val="24"/>
          <w:szCs w:val="24"/>
        </w:rPr>
      </w:pPr>
      <w:proofErr w:type="spellStart"/>
      <w:r w:rsidRPr="00D14ED4">
        <w:rPr>
          <w:rFonts w:ascii="Times New Roman" w:hAnsi="Times New Roman" w:cs="Times New Roman"/>
          <w:sz w:val="24"/>
          <w:szCs w:val="24"/>
        </w:rPr>
        <w:t>Zghal</w:t>
      </w:r>
      <w:proofErr w:type="spellEnd"/>
      <w:r w:rsidRPr="00D14ED4">
        <w:rPr>
          <w:rFonts w:ascii="Times New Roman" w:hAnsi="Times New Roman" w:cs="Times New Roman"/>
          <w:sz w:val="24"/>
          <w:szCs w:val="24"/>
        </w:rPr>
        <w:t xml:space="preserve">, R., </w:t>
      </w:r>
      <w:proofErr w:type="spellStart"/>
      <w:r w:rsidRPr="00D14ED4">
        <w:rPr>
          <w:rFonts w:ascii="Times New Roman" w:hAnsi="Times New Roman" w:cs="Times New Roman"/>
          <w:sz w:val="24"/>
          <w:szCs w:val="24"/>
        </w:rPr>
        <w:t>Ghorbel</w:t>
      </w:r>
      <w:proofErr w:type="spellEnd"/>
      <w:r w:rsidRPr="00D14ED4">
        <w:rPr>
          <w:rFonts w:ascii="Times New Roman" w:hAnsi="Times New Roman" w:cs="Times New Roman"/>
          <w:sz w:val="24"/>
          <w:szCs w:val="24"/>
        </w:rPr>
        <w:t xml:space="preserve">, A., &amp; </w:t>
      </w:r>
      <w:proofErr w:type="spellStart"/>
      <w:r w:rsidRPr="00D14ED4">
        <w:rPr>
          <w:rFonts w:ascii="Times New Roman" w:hAnsi="Times New Roman" w:cs="Times New Roman"/>
          <w:sz w:val="24"/>
          <w:szCs w:val="24"/>
        </w:rPr>
        <w:t>Triki</w:t>
      </w:r>
      <w:proofErr w:type="spellEnd"/>
      <w:r w:rsidRPr="00D14ED4">
        <w:rPr>
          <w:rFonts w:ascii="Times New Roman" w:hAnsi="Times New Roman" w:cs="Times New Roman"/>
          <w:sz w:val="24"/>
          <w:szCs w:val="24"/>
        </w:rPr>
        <w:t xml:space="preserve">, M. (2018). </w:t>
      </w:r>
      <w:proofErr w:type="spellStart"/>
      <w:r w:rsidRPr="00D14ED4">
        <w:rPr>
          <w:rFonts w:ascii="Times New Roman" w:hAnsi="Times New Roman" w:cs="Times New Roman"/>
          <w:sz w:val="24"/>
          <w:szCs w:val="24"/>
        </w:rPr>
        <w:t>Dynamic</w:t>
      </w:r>
      <w:proofErr w:type="spellEnd"/>
      <w:r w:rsidRPr="00D14ED4">
        <w:rPr>
          <w:rFonts w:ascii="Times New Roman" w:hAnsi="Times New Roman" w:cs="Times New Roman"/>
          <w:sz w:val="24"/>
          <w:szCs w:val="24"/>
        </w:rPr>
        <w:t xml:space="preserve"> model </w:t>
      </w:r>
      <w:proofErr w:type="spellStart"/>
      <w:r w:rsidRPr="00D14ED4">
        <w:rPr>
          <w:rFonts w:ascii="Times New Roman" w:hAnsi="Times New Roman" w:cs="Times New Roman"/>
          <w:sz w:val="24"/>
          <w:szCs w:val="24"/>
        </w:rPr>
        <w:t>for</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hedging</w:t>
      </w:r>
      <w:proofErr w:type="spellEnd"/>
      <w:r w:rsidRPr="00D14ED4">
        <w:rPr>
          <w:rFonts w:ascii="Times New Roman" w:hAnsi="Times New Roman" w:cs="Times New Roman"/>
          <w:sz w:val="24"/>
          <w:szCs w:val="24"/>
        </w:rPr>
        <w:t xml:space="preserve"> of </w:t>
      </w:r>
      <w:proofErr w:type="spellStart"/>
      <w:r w:rsidRPr="00D14ED4">
        <w:rPr>
          <w:rFonts w:ascii="Times New Roman" w:hAnsi="Times New Roman" w:cs="Times New Roman"/>
          <w:sz w:val="24"/>
          <w:szCs w:val="24"/>
        </w:rPr>
        <w:t>the</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European</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stock</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sector</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with</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credit</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default</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swaps</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and</w:t>
      </w:r>
      <w:proofErr w:type="spellEnd"/>
      <w:r w:rsidRPr="00D14ED4">
        <w:rPr>
          <w:rFonts w:ascii="Times New Roman" w:hAnsi="Times New Roman" w:cs="Times New Roman"/>
          <w:sz w:val="24"/>
          <w:szCs w:val="24"/>
        </w:rPr>
        <w:t xml:space="preserve"> EURO STOXX 50 </w:t>
      </w:r>
      <w:proofErr w:type="spellStart"/>
      <w:r w:rsidRPr="00D14ED4">
        <w:rPr>
          <w:rFonts w:ascii="Times New Roman" w:hAnsi="Times New Roman" w:cs="Times New Roman"/>
          <w:sz w:val="24"/>
          <w:szCs w:val="24"/>
        </w:rPr>
        <w:t>volatility</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index</w:t>
      </w:r>
      <w:proofErr w:type="spellEnd"/>
      <w:r w:rsidRPr="00D14ED4">
        <w:rPr>
          <w:rFonts w:ascii="Times New Roman" w:hAnsi="Times New Roman" w:cs="Times New Roman"/>
          <w:sz w:val="24"/>
          <w:szCs w:val="24"/>
        </w:rPr>
        <w:t xml:space="preserve"> </w:t>
      </w:r>
      <w:proofErr w:type="spellStart"/>
      <w:r w:rsidRPr="00D14ED4">
        <w:rPr>
          <w:rFonts w:ascii="Times New Roman" w:hAnsi="Times New Roman" w:cs="Times New Roman"/>
          <w:sz w:val="24"/>
          <w:szCs w:val="24"/>
        </w:rPr>
        <w:t>futures</w:t>
      </w:r>
      <w:proofErr w:type="spellEnd"/>
      <w:r w:rsidRPr="00D14ED4">
        <w:rPr>
          <w:rFonts w:ascii="Times New Roman" w:hAnsi="Times New Roman" w:cs="Times New Roman"/>
          <w:sz w:val="24"/>
          <w:szCs w:val="24"/>
        </w:rPr>
        <w:t xml:space="preserve">. </w:t>
      </w:r>
      <w:r w:rsidRPr="00D14ED4">
        <w:rPr>
          <w:rFonts w:ascii="Times New Roman" w:hAnsi="Times New Roman" w:cs="Times New Roman"/>
          <w:i/>
          <w:iCs/>
          <w:sz w:val="24"/>
          <w:szCs w:val="24"/>
        </w:rPr>
        <w:t xml:space="preserve">Borsa </w:t>
      </w:r>
      <w:proofErr w:type="spellStart"/>
      <w:r w:rsidRPr="00D14ED4">
        <w:rPr>
          <w:rFonts w:ascii="Times New Roman" w:hAnsi="Times New Roman" w:cs="Times New Roman"/>
          <w:i/>
          <w:iCs/>
          <w:sz w:val="24"/>
          <w:szCs w:val="24"/>
        </w:rPr>
        <w:t>Istanbul</w:t>
      </w:r>
      <w:proofErr w:type="spellEnd"/>
      <w:r w:rsidRPr="00D14ED4">
        <w:rPr>
          <w:rFonts w:ascii="Times New Roman" w:hAnsi="Times New Roman" w:cs="Times New Roman"/>
          <w:i/>
          <w:iCs/>
          <w:sz w:val="24"/>
          <w:szCs w:val="24"/>
        </w:rPr>
        <w:t xml:space="preserve"> </w:t>
      </w:r>
      <w:proofErr w:type="spellStart"/>
      <w:r w:rsidRPr="00D14ED4">
        <w:rPr>
          <w:rFonts w:ascii="Times New Roman" w:hAnsi="Times New Roman" w:cs="Times New Roman"/>
          <w:i/>
          <w:iCs/>
          <w:sz w:val="24"/>
          <w:szCs w:val="24"/>
        </w:rPr>
        <w:t>Review</w:t>
      </w:r>
      <w:proofErr w:type="spellEnd"/>
      <w:r w:rsidRPr="00D14ED4">
        <w:rPr>
          <w:rFonts w:ascii="Times New Roman" w:hAnsi="Times New Roman" w:cs="Times New Roman"/>
          <w:sz w:val="24"/>
          <w:szCs w:val="24"/>
        </w:rPr>
        <w:t>, 18(4), 312– 328.</w:t>
      </w:r>
    </w:p>
    <w:p w14:paraId="602CACE1" w14:textId="77777777" w:rsidR="00283EAC" w:rsidRPr="009100E3" w:rsidRDefault="00283EAC" w:rsidP="00B20327">
      <w:pPr>
        <w:spacing w:line="276" w:lineRule="auto"/>
        <w:jc w:val="both"/>
        <w:rPr>
          <w:rFonts w:ascii="Times New Roman" w:hAnsi="Times New Roman" w:cs="Times New Roman"/>
          <w:sz w:val="24"/>
          <w:szCs w:val="24"/>
        </w:rPr>
      </w:pPr>
    </w:p>
    <w:p w14:paraId="355D193D" w14:textId="7BB6966A" w:rsidR="00544DF4" w:rsidRPr="00544DF4" w:rsidRDefault="00544DF4" w:rsidP="00544DF4">
      <w:pPr>
        <w:tabs>
          <w:tab w:val="left" w:pos="1053"/>
        </w:tabs>
        <w:rPr>
          <w:rFonts w:ascii="Times New Roman" w:hAnsi="Times New Roman" w:cs="Times New Roman"/>
          <w:sz w:val="24"/>
          <w:szCs w:val="24"/>
        </w:rPr>
      </w:pPr>
    </w:p>
    <w:sectPr w:rsidR="00544DF4" w:rsidRPr="00544DF4" w:rsidSect="002D3E95">
      <w:footerReference w:type="default" r:id="rId1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6088D" w14:textId="77777777" w:rsidR="00863205" w:rsidRDefault="00863205" w:rsidP="00A8259C">
      <w:pPr>
        <w:spacing w:after="0" w:line="240" w:lineRule="auto"/>
      </w:pPr>
      <w:r>
        <w:separator/>
      </w:r>
    </w:p>
  </w:endnote>
  <w:endnote w:type="continuationSeparator" w:id="0">
    <w:p w14:paraId="1E1CD6D6" w14:textId="77777777" w:rsidR="00863205" w:rsidRDefault="00863205" w:rsidP="00A82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1508636"/>
      <w:docPartObj>
        <w:docPartGallery w:val="Page Numbers (Bottom of Page)"/>
        <w:docPartUnique/>
      </w:docPartObj>
    </w:sdtPr>
    <w:sdtEndPr/>
    <w:sdtContent>
      <w:p w14:paraId="4F628090" w14:textId="77777777" w:rsidR="00A8259C" w:rsidRDefault="00A8259C">
        <w:pPr>
          <w:pStyle w:val="AltBilgi"/>
          <w:jc w:val="right"/>
        </w:pPr>
        <w:r>
          <w:fldChar w:fldCharType="begin"/>
        </w:r>
        <w:r>
          <w:instrText>PAGE   \* MERGEFORMAT</w:instrText>
        </w:r>
        <w:r>
          <w:fldChar w:fldCharType="separate"/>
        </w:r>
        <w:r>
          <w:t>2</w:t>
        </w:r>
        <w:r>
          <w:fldChar w:fldCharType="end"/>
        </w:r>
      </w:p>
    </w:sdtContent>
  </w:sdt>
  <w:p w14:paraId="10EAEE9B" w14:textId="77777777" w:rsidR="00A8259C" w:rsidRDefault="00A8259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FB86E" w14:textId="77777777" w:rsidR="00863205" w:rsidRDefault="00863205" w:rsidP="00A8259C">
      <w:pPr>
        <w:spacing w:after="0" w:line="240" w:lineRule="auto"/>
      </w:pPr>
      <w:r>
        <w:separator/>
      </w:r>
    </w:p>
  </w:footnote>
  <w:footnote w:type="continuationSeparator" w:id="0">
    <w:p w14:paraId="6AD7A1CB" w14:textId="77777777" w:rsidR="00863205" w:rsidRDefault="00863205" w:rsidP="00A825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A3479"/>
    <w:multiLevelType w:val="hybridMultilevel"/>
    <w:tmpl w:val="7FF20B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6CC3204"/>
    <w:multiLevelType w:val="hybridMultilevel"/>
    <w:tmpl w:val="4DFC0FF6"/>
    <w:lvl w:ilvl="0" w:tplc="396EB384">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FC16B15"/>
    <w:multiLevelType w:val="hybridMultilevel"/>
    <w:tmpl w:val="16D2CF22"/>
    <w:lvl w:ilvl="0" w:tplc="5138369A">
      <w:start w:val="1"/>
      <w:numFmt w:val="lowerRoman"/>
      <w:lvlText w:val="%1."/>
      <w:lvlJc w:val="left"/>
      <w:pPr>
        <w:ind w:left="1335" w:hanging="720"/>
      </w:pPr>
      <w:rPr>
        <w:rFonts w:hint="default"/>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5A"/>
    <w:rsid w:val="00012C0A"/>
    <w:rsid w:val="000225E1"/>
    <w:rsid w:val="00027C7E"/>
    <w:rsid w:val="000777C6"/>
    <w:rsid w:val="000C170F"/>
    <w:rsid w:val="001121F5"/>
    <w:rsid w:val="00116650"/>
    <w:rsid w:val="00117B94"/>
    <w:rsid w:val="001276E1"/>
    <w:rsid w:val="00157CE5"/>
    <w:rsid w:val="0017452E"/>
    <w:rsid w:val="00190D39"/>
    <w:rsid w:val="001A7007"/>
    <w:rsid w:val="001B47B8"/>
    <w:rsid w:val="001E5FDD"/>
    <w:rsid w:val="00204AB5"/>
    <w:rsid w:val="00206A18"/>
    <w:rsid w:val="0022223C"/>
    <w:rsid w:val="00222D53"/>
    <w:rsid w:val="002377C1"/>
    <w:rsid w:val="00283EAC"/>
    <w:rsid w:val="00291549"/>
    <w:rsid w:val="002D3E95"/>
    <w:rsid w:val="00321E80"/>
    <w:rsid w:val="00344224"/>
    <w:rsid w:val="003B52E4"/>
    <w:rsid w:val="003C3835"/>
    <w:rsid w:val="003E7F91"/>
    <w:rsid w:val="003F2BBF"/>
    <w:rsid w:val="00455363"/>
    <w:rsid w:val="004C6C79"/>
    <w:rsid w:val="004C7549"/>
    <w:rsid w:val="0051460E"/>
    <w:rsid w:val="00544DF4"/>
    <w:rsid w:val="00581F20"/>
    <w:rsid w:val="005B72B8"/>
    <w:rsid w:val="005F5D3F"/>
    <w:rsid w:val="00615084"/>
    <w:rsid w:val="00621405"/>
    <w:rsid w:val="006635F0"/>
    <w:rsid w:val="00686003"/>
    <w:rsid w:val="00690462"/>
    <w:rsid w:val="00710537"/>
    <w:rsid w:val="0071548F"/>
    <w:rsid w:val="007718CD"/>
    <w:rsid w:val="007745D4"/>
    <w:rsid w:val="00775014"/>
    <w:rsid w:val="00782EFE"/>
    <w:rsid w:val="0079175A"/>
    <w:rsid w:val="007A523A"/>
    <w:rsid w:val="007D3D97"/>
    <w:rsid w:val="00835ACC"/>
    <w:rsid w:val="008434EE"/>
    <w:rsid w:val="00850EE4"/>
    <w:rsid w:val="00863205"/>
    <w:rsid w:val="00866606"/>
    <w:rsid w:val="008838D0"/>
    <w:rsid w:val="008D3455"/>
    <w:rsid w:val="009049CF"/>
    <w:rsid w:val="009100E3"/>
    <w:rsid w:val="00944A2C"/>
    <w:rsid w:val="009B6983"/>
    <w:rsid w:val="00A8259C"/>
    <w:rsid w:val="00A91E76"/>
    <w:rsid w:val="00AB124C"/>
    <w:rsid w:val="00AC06E0"/>
    <w:rsid w:val="00B20327"/>
    <w:rsid w:val="00B34EB2"/>
    <w:rsid w:val="00B71478"/>
    <w:rsid w:val="00BD3877"/>
    <w:rsid w:val="00C31A5A"/>
    <w:rsid w:val="00C9263F"/>
    <w:rsid w:val="00CB24AD"/>
    <w:rsid w:val="00CD536F"/>
    <w:rsid w:val="00CD56C2"/>
    <w:rsid w:val="00CE17CE"/>
    <w:rsid w:val="00D0620B"/>
    <w:rsid w:val="00D14B72"/>
    <w:rsid w:val="00D50EB8"/>
    <w:rsid w:val="00E30DDB"/>
    <w:rsid w:val="00E33DDB"/>
    <w:rsid w:val="00E56ECF"/>
    <w:rsid w:val="00EA73D6"/>
    <w:rsid w:val="00EF0A7C"/>
    <w:rsid w:val="00F557BB"/>
    <w:rsid w:val="00F66527"/>
    <w:rsid w:val="00F948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5F52A"/>
  <w15:chartTrackingRefBased/>
  <w15:docId w15:val="{264C6485-B011-4546-BAC1-0A369085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F557BB"/>
    <w:pPr>
      <w:keepNext/>
      <w:keepLines/>
      <w:spacing w:before="40" w:after="0"/>
      <w:outlineLvl w:val="1"/>
    </w:pPr>
    <w:rPr>
      <w:rFonts w:ascii="Arial" w:eastAsiaTheme="majorEastAsia" w:hAnsi="Arial" w:cstheme="majorBidi"/>
      <w:color w:val="2F5496" w:themeColor="accent1" w:themeShade="BF"/>
      <w:sz w:val="28"/>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557BB"/>
    <w:rPr>
      <w:rFonts w:ascii="Arial" w:eastAsiaTheme="majorEastAsia" w:hAnsi="Arial" w:cstheme="majorBidi"/>
      <w:color w:val="2F5496" w:themeColor="accent1" w:themeShade="BF"/>
      <w:sz w:val="28"/>
      <w:szCs w:val="26"/>
    </w:rPr>
  </w:style>
  <w:style w:type="paragraph" w:styleId="NormalWeb">
    <w:name w:val="Normal (Web)"/>
    <w:basedOn w:val="Normal"/>
    <w:uiPriority w:val="99"/>
    <w:semiHidden/>
    <w:unhideWhenUsed/>
    <w:rsid w:val="001A7007"/>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34"/>
    <w:qFormat/>
    <w:rsid w:val="00EF0A7C"/>
    <w:pPr>
      <w:spacing w:after="200" w:line="276" w:lineRule="auto"/>
      <w:ind w:left="720"/>
      <w:contextualSpacing/>
    </w:pPr>
  </w:style>
  <w:style w:type="character" w:styleId="Kpr">
    <w:name w:val="Hyperlink"/>
    <w:basedOn w:val="VarsaylanParagrafYazTipi"/>
    <w:uiPriority w:val="99"/>
    <w:unhideWhenUsed/>
    <w:rsid w:val="001276E1"/>
    <w:rPr>
      <w:color w:val="0563C1" w:themeColor="hyperlink"/>
      <w:u w:val="single"/>
    </w:rPr>
  </w:style>
  <w:style w:type="paragraph" w:styleId="AralkYok">
    <w:name w:val="No Spacing"/>
    <w:link w:val="AralkYokChar"/>
    <w:uiPriority w:val="1"/>
    <w:qFormat/>
    <w:rsid w:val="002D3E95"/>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2D3E95"/>
    <w:rPr>
      <w:rFonts w:eastAsiaTheme="minorEastAsia"/>
      <w:lang w:eastAsia="tr-TR"/>
    </w:rPr>
  </w:style>
  <w:style w:type="paragraph" w:styleId="stBilgi">
    <w:name w:val="header"/>
    <w:basedOn w:val="Normal"/>
    <w:link w:val="stBilgiChar"/>
    <w:uiPriority w:val="99"/>
    <w:unhideWhenUsed/>
    <w:rsid w:val="00A8259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8259C"/>
  </w:style>
  <w:style w:type="paragraph" w:styleId="AltBilgi">
    <w:name w:val="footer"/>
    <w:basedOn w:val="Normal"/>
    <w:link w:val="AltBilgiChar"/>
    <w:uiPriority w:val="99"/>
    <w:unhideWhenUsed/>
    <w:rsid w:val="00A8259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8259C"/>
  </w:style>
  <w:style w:type="paragraph" w:styleId="HTMLncedenBiimlendirilmi">
    <w:name w:val="HTML Preformatted"/>
    <w:basedOn w:val="Normal"/>
    <w:link w:val="HTMLncedenBiimlendirilmiChar"/>
    <w:uiPriority w:val="99"/>
    <w:semiHidden/>
    <w:unhideWhenUsed/>
    <w:rsid w:val="0071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710537"/>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290795">
      <w:bodyDiv w:val="1"/>
      <w:marLeft w:val="0"/>
      <w:marRight w:val="0"/>
      <w:marTop w:val="0"/>
      <w:marBottom w:val="0"/>
      <w:divBdr>
        <w:top w:val="none" w:sz="0" w:space="0" w:color="auto"/>
        <w:left w:val="none" w:sz="0" w:space="0" w:color="auto"/>
        <w:bottom w:val="none" w:sz="0" w:space="0" w:color="auto"/>
        <w:right w:val="none" w:sz="0" w:space="0" w:color="auto"/>
      </w:divBdr>
    </w:div>
    <w:div w:id="1871071233">
      <w:bodyDiv w:val="1"/>
      <w:marLeft w:val="0"/>
      <w:marRight w:val="0"/>
      <w:marTop w:val="0"/>
      <w:marBottom w:val="0"/>
      <w:divBdr>
        <w:top w:val="none" w:sz="0" w:space="0" w:color="auto"/>
        <w:left w:val="none" w:sz="0" w:space="0" w:color="auto"/>
        <w:bottom w:val="none" w:sz="0" w:space="0" w:color="auto"/>
        <w:right w:val="none" w:sz="0" w:space="0" w:color="auto"/>
      </w:divBdr>
    </w:div>
    <w:div w:id="200030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67D98B3EB8248349B3CAC81C4CFB952"/>
        <w:category>
          <w:name w:val="Genel"/>
          <w:gallery w:val="placeholder"/>
        </w:category>
        <w:types>
          <w:type w:val="bbPlcHdr"/>
        </w:types>
        <w:behaviors>
          <w:behavior w:val="content"/>
        </w:behaviors>
        <w:guid w:val="{7B4F7814-0425-4B91-814D-37C8D44C7E08}"/>
      </w:docPartPr>
      <w:docPartBody>
        <w:p w:rsidR="00D8474A" w:rsidRDefault="008A1D5C" w:rsidP="008A1D5C">
          <w:pPr>
            <w:pStyle w:val="D67D98B3EB8248349B3CAC81C4CFB952"/>
          </w:pPr>
          <w:r>
            <w:rPr>
              <w:rFonts w:asciiTheme="majorHAnsi" w:eastAsiaTheme="majorEastAsia" w:hAnsiTheme="majorHAnsi" w:cstheme="majorBidi"/>
              <w:color w:val="4472C4" w:themeColor="accent1"/>
              <w:sz w:val="88"/>
              <w:szCs w:val="88"/>
            </w:rPr>
            <w:t>[Belge başlığı]</w:t>
          </w:r>
        </w:p>
      </w:docPartBody>
    </w:docPart>
    <w:docPart>
      <w:docPartPr>
        <w:name w:val="D2794082F6544B8EA1ACD9FC030EF1D1"/>
        <w:category>
          <w:name w:val="Genel"/>
          <w:gallery w:val="placeholder"/>
        </w:category>
        <w:types>
          <w:type w:val="bbPlcHdr"/>
        </w:types>
        <w:behaviors>
          <w:behavior w:val="content"/>
        </w:behaviors>
        <w:guid w:val="{97A7A9CF-1E5D-4146-B630-89C416F8C799}"/>
      </w:docPartPr>
      <w:docPartBody>
        <w:p w:rsidR="00D8474A" w:rsidRDefault="008A1D5C" w:rsidP="008A1D5C">
          <w:pPr>
            <w:pStyle w:val="D2794082F6544B8EA1ACD9FC030EF1D1"/>
          </w:pPr>
          <w:r>
            <w:rPr>
              <w:color w:val="2F5496" w:themeColor="accent1" w:themeShade="BF"/>
              <w:sz w:val="24"/>
              <w:szCs w:val="24"/>
            </w:rPr>
            <w:t>[Belge alt konu başlığı]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5C"/>
    <w:rsid w:val="00457DD3"/>
    <w:rsid w:val="004F0FE7"/>
    <w:rsid w:val="00693B1D"/>
    <w:rsid w:val="00890516"/>
    <w:rsid w:val="008A1D5C"/>
    <w:rsid w:val="00A91576"/>
    <w:rsid w:val="00A97497"/>
    <w:rsid w:val="00BB4888"/>
    <w:rsid w:val="00D8474A"/>
    <w:rsid w:val="00F579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67D98B3EB8248349B3CAC81C4CFB952">
    <w:name w:val="D67D98B3EB8248349B3CAC81C4CFB952"/>
    <w:rsid w:val="008A1D5C"/>
  </w:style>
  <w:style w:type="paragraph" w:customStyle="1" w:styleId="D2794082F6544B8EA1ACD9FC030EF1D1">
    <w:name w:val="D2794082F6544B8EA1ACD9FC030EF1D1"/>
    <w:rsid w:val="008A1D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8E898-45A7-4DD1-959C-5204FAB8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4377</Words>
  <Characters>24952</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Kredi Temerrüt Swapları (CDS) ve BIST 30 Endeksi  Arasındaki İlişki</vt:lpstr>
    </vt:vector>
  </TitlesOfParts>
  <Company/>
  <LinksUpToDate>false</LinksUpToDate>
  <CharactersWithSpaces>29271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Kredi Temerrüt Swapları (CDS) ve BIST 30 Endeksi  Arasındaki İlişki</dc:title>
  <dc:subject>Mehmet AYDINLI</dc:subject>
  <dc:creator>Mehmet AYDINLI</dc:creator>
  <cp:keywords/>
  <dc:description/>
  <cp:lastModifiedBy>Mehmet AYDINLI</cp:lastModifiedBy>
  <cp:revision>7</cp:revision>
  <cp:lastPrinted>2021-01-08T15:48:00Z</cp:lastPrinted>
  <dcterms:created xsi:type="dcterms:W3CDTF">2021-04-04T11:41:00Z</dcterms:created>
  <dcterms:modified xsi:type="dcterms:W3CDTF">2021-04-19T19:19:00Z</dcterms:modified>
</cp:coreProperties>
</file>