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08C" w:rsidRPr="0074108C" w:rsidRDefault="0074108C" w:rsidP="0074108C">
      <w:pPr>
        <w:spacing w:after="160" w:line="259" w:lineRule="auto"/>
        <w:jc w:val="center"/>
        <w:rPr>
          <w:rFonts w:ascii="Times New Roman" w:eastAsia="Times New Roman" w:hAnsi="Times New Roman" w:cs="Times New Roman"/>
          <w:b/>
          <w:sz w:val="26"/>
          <w:szCs w:val="26"/>
          <w:lang w:val="en-IN"/>
        </w:rPr>
      </w:pPr>
      <w:r w:rsidRPr="0074108C">
        <w:rPr>
          <w:rFonts w:ascii="Times New Roman" w:eastAsia="Times New Roman" w:hAnsi="Times New Roman" w:cs="Times New Roman"/>
          <w:b/>
          <w:sz w:val="26"/>
          <w:szCs w:val="26"/>
          <w:lang w:val="en-IN"/>
        </w:rPr>
        <w:t>Study of the association of genes and proteins of resistance to multiple drugs with molecular markers in patients with acute leukaemia</w:t>
      </w:r>
    </w:p>
    <w:p w:rsidR="00C402B8" w:rsidRDefault="00C402B8" w:rsidP="00C402B8">
      <w:pPr>
        <w:bidi/>
        <w:spacing w:line="360" w:lineRule="auto"/>
        <w:jc w:val="center"/>
        <w:rPr>
          <w:rFonts w:asciiTheme="majorBidi" w:eastAsia="Calibri" w:hAnsiTheme="majorBidi" w:cstheme="majorBidi"/>
          <w:b/>
          <w:bCs/>
          <w:noProof/>
          <w:sz w:val="24"/>
          <w:szCs w:val="24"/>
        </w:rPr>
      </w:pPr>
      <w:r w:rsidRPr="00C402B8">
        <w:rPr>
          <w:rFonts w:asciiTheme="majorBidi" w:eastAsia="Calibri" w:hAnsiTheme="majorBidi" w:cstheme="majorBidi"/>
          <w:b/>
          <w:bCs/>
          <w:noProof/>
          <w:sz w:val="24"/>
          <w:szCs w:val="24"/>
        </w:rPr>
        <w:t>Hayder Hatem Abdulwahhab</w:t>
      </w:r>
    </w:p>
    <w:p w:rsidR="00C402B8" w:rsidRPr="00C402B8" w:rsidRDefault="00C36104" w:rsidP="00C402B8">
      <w:pPr>
        <w:bidi/>
        <w:spacing w:line="360" w:lineRule="auto"/>
        <w:jc w:val="center"/>
        <w:rPr>
          <w:rFonts w:asciiTheme="majorBidi" w:eastAsia="Calibri" w:hAnsiTheme="majorBidi" w:cstheme="majorBidi"/>
          <w:b/>
          <w:bCs/>
          <w:noProof/>
          <w:sz w:val="24"/>
          <w:szCs w:val="24"/>
          <w:rtl/>
          <w:lang w:val="tr-TR" w:bidi="ar-IQ"/>
        </w:rPr>
      </w:pPr>
      <w:r w:rsidRPr="00C36104">
        <w:rPr>
          <w:rFonts w:asciiTheme="majorBidi" w:eastAsia="Times New Roman" w:hAnsiTheme="majorBidi" w:cstheme="majorBidi"/>
          <w:b/>
          <w:bCs/>
          <w:sz w:val="24"/>
          <w:szCs w:val="24"/>
          <w:lang w:val="tr-TR" w:bidi="ar-IQ"/>
        </w:rPr>
        <w:t>Doctorate PhD</w:t>
      </w:r>
      <w:r>
        <w:rPr>
          <w:rFonts w:asciiTheme="majorBidi" w:eastAsia="Times New Roman" w:hAnsiTheme="majorBidi" w:cstheme="majorBidi"/>
          <w:b/>
          <w:bCs/>
          <w:sz w:val="24"/>
          <w:szCs w:val="24"/>
          <w:lang w:val="tr-TR" w:bidi="ar-IQ"/>
        </w:rPr>
        <w:t xml:space="preserve"> , </w:t>
      </w:r>
      <w:r w:rsidR="00C402B8" w:rsidRPr="00C402B8">
        <w:rPr>
          <w:rFonts w:asciiTheme="majorBidi" w:eastAsia="Times New Roman" w:hAnsiTheme="majorBidi" w:cstheme="majorBidi"/>
          <w:b/>
          <w:bCs/>
          <w:sz w:val="24"/>
          <w:szCs w:val="24"/>
          <w:lang w:val="tr-TR" w:bidi="ar-IQ"/>
        </w:rPr>
        <w:t>University of Çankırı Karatekin Department of</w:t>
      </w:r>
      <w:r w:rsidR="00C402B8" w:rsidRPr="00C402B8">
        <w:rPr>
          <w:rFonts w:asciiTheme="majorBidi" w:eastAsia="Calibri" w:hAnsiTheme="majorBidi" w:cstheme="majorBidi"/>
          <w:b/>
          <w:bCs/>
          <w:sz w:val="24"/>
          <w:szCs w:val="24"/>
          <w:lang w:val="tr-TR"/>
        </w:rPr>
        <w:t xml:space="preserve"> Biology , Molecular biology,  </w:t>
      </w:r>
      <w:r w:rsidR="00873ACD">
        <w:fldChar w:fldCharType="begin"/>
      </w:r>
      <w:r w:rsidR="00873ACD">
        <w:instrText xml:space="preserve"> HYPERLINK "mailto:hayderhatam82@gmail.com" </w:instrText>
      </w:r>
      <w:r w:rsidR="00873ACD">
        <w:fldChar w:fldCharType="separate"/>
      </w:r>
      <w:r w:rsidR="00C402B8" w:rsidRPr="00C402B8">
        <w:rPr>
          <w:rFonts w:asciiTheme="majorBidi" w:eastAsia="Calibri" w:hAnsiTheme="majorBidi" w:cstheme="majorBidi"/>
          <w:b/>
          <w:bCs/>
          <w:color w:val="0000FF" w:themeColor="hyperlink"/>
          <w:sz w:val="24"/>
          <w:szCs w:val="24"/>
          <w:u w:val="single"/>
          <w:lang w:val="tr-TR"/>
        </w:rPr>
        <w:t>hayderhatam82@gmail.com</w:t>
      </w:r>
      <w:r w:rsidR="00873ACD">
        <w:rPr>
          <w:rFonts w:asciiTheme="majorBidi" w:eastAsia="Calibri" w:hAnsiTheme="majorBidi" w:cstheme="majorBidi"/>
          <w:b/>
          <w:bCs/>
          <w:color w:val="0000FF" w:themeColor="hyperlink"/>
          <w:sz w:val="24"/>
          <w:szCs w:val="24"/>
          <w:u w:val="single"/>
          <w:lang w:val="tr-TR"/>
        </w:rPr>
        <w:fldChar w:fldCharType="end"/>
      </w:r>
    </w:p>
    <w:p w:rsidR="0074108C" w:rsidRPr="0074108C" w:rsidRDefault="0074108C" w:rsidP="0074108C">
      <w:pPr>
        <w:spacing w:after="160" w:line="259" w:lineRule="auto"/>
        <w:rPr>
          <w:rFonts w:ascii="Times New Roman" w:eastAsia="Calibri" w:hAnsi="Times New Roman" w:cs="Times New Roman"/>
          <w:b/>
          <w:bCs/>
          <w:sz w:val="24"/>
          <w:szCs w:val="24"/>
          <w:lang w:val="en-IN"/>
        </w:rPr>
      </w:pPr>
      <w:r w:rsidRPr="0074108C">
        <w:rPr>
          <w:rFonts w:ascii="Times New Roman" w:eastAsia="Calibri" w:hAnsi="Times New Roman" w:cs="Times New Roman"/>
          <w:b/>
          <w:bCs/>
          <w:sz w:val="24"/>
          <w:szCs w:val="24"/>
          <w:lang w:val="en-IN"/>
        </w:rPr>
        <w:t>Abstract</w:t>
      </w:r>
    </w:p>
    <w:p w:rsidR="0074108C" w:rsidRPr="0074108C" w:rsidRDefault="0074108C" w:rsidP="0074108C">
      <w:pPr>
        <w:spacing w:after="160" w:line="360" w:lineRule="auto"/>
        <w:jc w:val="both"/>
        <w:rPr>
          <w:rFonts w:ascii="Times New Roman" w:eastAsia="Calibri" w:hAnsi="Times New Roman" w:cs="Times New Roman"/>
          <w:sz w:val="24"/>
          <w:szCs w:val="24"/>
          <w:lang w:val="en-IN"/>
        </w:rPr>
      </w:pPr>
      <w:r w:rsidRPr="0074108C">
        <w:rPr>
          <w:rFonts w:ascii="Times New Roman" w:eastAsia="Calibri" w:hAnsi="Times New Roman" w:cs="Times New Roman"/>
          <w:sz w:val="24"/>
          <w:szCs w:val="24"/>
          <w:lang w:val="en-IN"/>
        </w:rPr>
        <w:t xml:space="preserve">The study of thesis the association of genes and proteins of resistance compilations of evidence obtained in this study are patients with AL (n=75) who did not go into remission (n=56/75) after induction chemotherapy had a higher median age than patients who went into remission (n=19/75); the median survival of patients with AML, B-ALL and T-ALL were three months, 25 months and five months, respectively; the median survival of APL patients (n=19) was greater than 60 months; FMS3-DIT (5.8%) and LACTATE DEHYDROGENASE3-D835 (8.4%) mutations were rare; the JAK2V617F mutation was not detected in any patient; only six subjects expressed </w:t>
      </w:r>
      <w:proofErr w:type="spellStart"/>
      <w:r w:rsidRPr="0074108C">
        <w:rPr>
          <w:rFonts w:ascii="Times New Roman" w:eastAsia="Calibri" w:hAnsi="Times New Roman" w:cs="Times New Roman"/>
          <w:sz w:val="24"/>
          <w:szCs w:val="24"/>
          <w:lang w:val="en-IN"/>
        </w:rPr>
        <w:t>survivin</w:t>
      </w:r>
      <w:proofErr w:type="spellEnd"/>
      <w:r w:rsidRPr="0074108C">
        <w:rPr>
          <w:rFonts w:ascii="Times New Roman" w:eastAsia="Calibri" w:hAnsi="Times New Roman" w:cs="Times New Roman"/>
          <w:sz w:val="24"/>
          <w:szCs w:val="24"/>
          <w:lang w:val="en-IN"/>
        </w:rPr>
        <w:t xml:space="preserve"> (9.4%); the expression profile of MDR genes and proteins in AL patients was heterogeneous. In cases of AL, ABCB1 expression and LDH activity were positively correlated, the presence of the CD34 marker was associated with the highest transcription of abcc1, and the highest transcription of </w:t>
      </w:r>
      <w:proofErr w:type="spellStart"/>
      <w:r w:rsidRPr="0074108C">
        <w:rPr>
          <w:rFonts w:ascii="Times New Roman" w:eastAsia="Calibri" w:hAnsi="Times New Roman" w:cs="Times New Roman"/>
          <w:i/>
          <w:iCs/>
          <w:sz w:val="24"/>
          <w:szCs w:val="24"/>
          <w:lang w:val="en-IN"/>
        </w:rPr>
        <w:t>lrp</w:t>
      </w:r>
      <w:proofErr w:type="spellEnd"/>
      <w:r w:rsidRPr="0074108C">
        <w:rPr>
          <w:rFonts w:ascii="Times New Roman" w:eastAsia="Calibri" w:hAnsi="Times New Roman" w:cs="Times New Roman"/>
          <w:sz w:val="24"/>
          <w:szCs w:val="24"/>
          <w:lang w:val="en-IN"/>
        </w:rPr>
        <w:t xml:space="preserve"> was associated with the absence of the marker CD56 and with the absence of </w:t>
      </w:r>
      <w:proofErr w:type="spellStart"/>
      <w:r w:rsidRPr="0074108C">
        <w:rPr>
          <w:rFonts w:ascii="Times New Roman" w:eastAsia="Calibri" w:hAnsi="Times New Roman" w:cs="Times New Roman"/>
          <w:sz w:val="24"/>
          <w:szCs w:val="24"/>
          <w:lang w:val="en-IN"/>
        </w:rPr>
        <w:t>survivin</w:t>
      </w:r>
      <w:proofErr w:type="spellEnd"/>
      <w:r w:rsidRPr="0074108C">
        <w:rPr>
          <w:rFonts w:ascii="Times New Roman" w:eastAsia="Calibri" w:hAnsi="Times New Roman" w:cs="Times New Roman"/>
          <w:sz w:val="24"/>
          <w:szCs w:val="24"/>
          <w:lang w:val="en-IN"/>
        </w:rPr>
        <w:t xml:space="preserve"> transcription , In AML carriers (n=28/75), abcc1 transcription and patient age were positively correlated, and the absence of </w:t>
      </w:r>
      <w:proofErr w:type="spellStart"/>
      <w:r w:rsidRPr="0074108C">
        <w:rPr>
          <w:rFonts w:ascii="Times New Roman" w:eastAsia="Calibri" w:hAnsi="Times New Roman" w:cs="Times New Roman"/>
          <w:sz w:val="24"/>
          <w:szCs w:val="24"/>
          <w:lang w:val="en-IN"/>
        </w:rPr>
        <w:t>survivin</w:t>
      </w:r>
      <w:proofErr w:type="spellEnd"/>
      <w:r w:rsidRPr="0074108C">
        <w:rPr>
          <w:rFonts w:ascii="Times New Roman" w:eastAsia="Calibri" w:hAnsi="Times New Roman" w:cs="Times New Roman"/>
          <w:sz w:val="24"/>
          <w:szCs w:val="24"/>
          <w:lang w:val="en-IN"/>
        </w:rPr>
        <w:t xml:space="preserve"> transcription was associated with higher </w:t>
      </w:r>
      <w:proofErr w:type="spellStart"/>
      <w:r w:rsidRPr="0074108C">
        <w:rPr>
          <w:rFonts w:ascii="Times New Roman" w:eastAsia="Calibri" w:hAnsi="Times New Roman" w:cs="Times New Roman"/>
          <w:i/>
          <w:iCs/>
          <w:sz w:val="24"/>
          <w:szCs w:val="24"/>
          <w:lang w:val="en-IN"/>
        </w:rPr>
        <w:t>lrp</w:t>
      </w:r>
      <w:proofErr w:type="spellEnd"/>
      <w:r w:rsidRPr="0074108C">
        <w:rPr>
          <w:rFonts w:ascii="Times New Roman" w:eastAsia="Calibri" w:hAnsi="Times New Roman" w:cs="Times New Roman"/>
          <w:sz w:val="24"/>
          <w:szCs w:val="24"/>
          <w:lang w:val="en-IN"/>
        </w:rPr>
        <w:t xml:space="preserve"> transcription and in patients diagnosed with APL (n=19/75), abcc1 and LRP expressions were positively correlated with the percentage of leukemic </w:t>
      </w:r>
      <w:proofErr w:type="spellStart"/>
      <w:r w:rsidRPr="0074108C">
        <w:rPr>
          <w:rFonts w:ascii="Times New Roman" w:eastAsia="Calibri" w:hAnsi="Times New Roman" w:cs="Times New Roman"/>
          <w:sz w:val="24"/>
          <w:szCs w:val="24"/>
          <w:lang w:val="en-IN"/>
        </w:rPr>
        <w:t>promyelocytes</w:t>
      </w:r>
      <w:proofErr w:type="spellEnd"/>
      <w:r w:rsidRPr="0074108C">
        <w:rPr>
          <w:rFonts w:ascii="Times New Roman" w:eastAsia="Calibri" w:hAnsi="Times New Roman" w:cs="Times New Roman"/>
          <w:sz w:val="24"/>
          <w:szCs w:val="24"/>
          <w:lang w:val="en-IN"/>
        </w:rPr>
        <w:t xml:space="preserve"> at diagnosis, and ABCC1 expression was positively correlated with LDH activity and in ALL-B cases (n=19/75), ABCB1 and abcc1 expressions correlated positively with LDH activity, ABCC1 expression was negatively correlated with leukocyte count at diagnosis, and LRP expression was positively correlated with the number of leukocytes at diagnosis and was associated with the presence of TL-2.2.</w:t>
      </w:r>
    </w:p>
    <w:p w:rsidR="0074108C" w:rsidRPr="0074108C" w:rsidRDefault="0074108C" w:rsidP="0074108C">
      <w:pPr>
        <w:spacing w:after="160" w:line="360" w:lineRule="auto"/>
        <w:jc w:val="both"/>
        <w:rPr>
          <w:rFonts w:ascii="Times New Roman" w:eastAsia="Calibri" w:hAnsi="Times New Roman" w:cs="Times New Roman"/>
          <w:sz w:val="24"/>
          <w:szCs w:val="24"/>
          <w:lang w:val="en-IN"/>
        </w:rPr>
      </w:pPr>
      <w:r w:rsidRPr="0074108C">
        <w:rPr>
          <w:rFonts w:ascii="Times New Roman" w:eastAsia="Calibri" w:hAnsi="Times New Roman" w:cs="Times New Roman"/>
          <w:sz w:val="24"/>
          <w:szCs w:val="24"/>
          <w:lang w:val="en-IN"/>
        </w:rPr>
        <w:t xml:space="preserve">In T-ALL cases (n=7/75), </w:t>
      </w:r>
      <w:r w:rsidRPr="0074108C">
        <w:rPr>
          <w:rFonts w:ascii="Times New Roman" w:eastAsia="Calibri" w:hAnsi="Times New Roman" w:cs="Times New Roman"/>
          <w:i/>
          <w:iCs/>
          <w:sz w:val="24"/>
          <w:szCs w:val="24"/>
          <w:lang w:val="en-IN"/>
        </w:rPr>
        <w:t>abcb1</w:t>
      </w:r>
      <w:r w:rsidRPr="0074108C">
        <w:rPr>
          <w:rFonts w:ascii="Times New Roman" w:eastAsia="Calibri" w:hAnsi="Times New Roman" w:cs="Times New Roman"/>
          <w:sz w:val="24"/>
          <w:szCs w:val="24"/>
          <w:lang w:val="en-IN"/>
        </w:rPr>
        <w:t xml:space="preserve"> transcription and leukocyte count were positively correlated; higher LRP expression was associated with the diagnosis of AML , Patients diagnosed with AL and AML who did not go into remission after induction therapy </w:t>
      </w:r>
      <w:r w:rsidRPr="0074108C">
        <w:rPr>
          <w:rFonts w:ascii="Times New Roman" w:eastAsia="Calibri" w:hAnsi="Times New Roman" w:cs="Times New Roman"/>
          <w:sz w:val="24"/>
          <w:szCs w:val="24"/>
          <w:lang w:val="en-IN"/>
        </w:rPr>
        <w:lastRenderedPageBreak/>
        <w:t xml:space="preserve">expressed more </w:t>
      </w:r>
      <w:r w:rsidRPr="0074108C">
        <w:rPr>
          <w:rFonts w:ascii="Times New Roman" w:eastAsia="Calibri" w:hAnsi="Times New Roman" w:cs="Times New Roman"/>
          <w:i/>
          <w:iCs/>
          <w:sz w:val="24"/>
          <w:szCs w:val="24"/>
          <w:lang w:val="en-IN"/>
        </w:rPr>
        <w:t>abcb1</w:t>
      </w:r>
      <w:r w:rsidRPr="0074108C">
        <w:rPr>
          <w:rFonts w:ascii="Times New Roman" w:eastAsia="Calibri" w:hAnsi="Times New Roman" w:cs="Times New Roman"/>
          <w:sz w:val="24"/>
          <w:szCs w:val="24"/>
          <w:lang w:val="en-IN"/>
        </w:rPr>
        <w:t xml:space="preserve"> than those who showed complete remission after induction chemotherapy.</w:t>
      </w:r>
    </w:p>
    <w:p w:rsidR="0074108C" w:rsidRDefault="0074108C" w:rsidP="0074108C">
      <w:pPr>
        <w:spacing w:after="160" w:line="360" w:lineRule="auto"/>
        <w:jc w:val="both"/>
        <w:rPr>
          <w:rFonts w:ascii="Times New Roman" w:eastAsia="Calibri" w:hAnsi="Times New Roman" w:cs="Times New Roman"/>
          <w:sz w:val="24"/>
          <w:szCs w:val="24"/>
          <w:lang w:val="en-IN"/>
        </w:rPr>
      </w:pPr>
      <w:r w:rsidRPr="0074108C">
        <w:rPr>
          <w:rFonts w:ascii="Times New Roman" w:eastAsia="Calibri" w:hAnsi="Times New Roman" w:cs="Times New Roman"/>
          <w:sz w:val="24"/>
          <w:szCs w:val="24"/>
          <w:lang w:val="en-IN"/>
        </w:rPr>
        <w:t xml:space="preserve">These results suggest that the expression of </w:t>
      </w:r>
      <w:r w:rsidRPr="0074108C">
        <w:rPr>
          <w:rFonts w:ascii="Times New Roman" w:eastAsia="Calibri" w:hAnsi="Times New Roman" w:cs="Times New Roman"/>
          <w:i/>
          <w:iCs/>
          <w:sz w:val="24"/>
          <w:szCs w:val="24"/>
          <w:lang w:val="en-IN"/>
        </w:rPr>
        <w:t>abcb1</w:t>
      </w:r>
      <w:r w:rsidRPr="0074108C">
        <w:rPr>
          <w:rFonts w:ascii="Times New Roman" w:eastAsia="Calibri" w:hAnsi="Times New Roman" w:cs="Times New Roman"/>
          <w:sz w:val="24"/>
          <w:szCs w:val="24"/>
          <w:lang w:val="en-IN"/>
        </w:rPr>
        <w:t xml:space="preserve">/ABCB1, abcc1/ABCC1 and </w:t>
      </w:r>
      <w:proofErr w:type="spellStart"/>
      <w:r w:rsidRPr="0074108C">
        <w:rPr>
          <w:rFonts w:ascii="Times New Roman" w:eastAsia="Calibri" w:hAnsi="Times New Roman" w:cs="Times New Roman"/>
          <w:i/>
          <w:iCs/>
          <w:sz w:val="24"/>
          <w:szCs w:val="24"/>
          <w:lang w:val="en-IN"/>
        </w:rPr>
        <w:t>lrp</w:t>
      </w:r>
      <w:proofErr w:type="spellEnd"/>
      <w:r w:rsidRPr="0074108C">
        <w:rPr>
          <w:rFonts w:ascii="Times New Roman" w:eastAsia="Calibri" w:hAnsi="Times New Roman" w:cs="Times New Roman"/>
          <w:sz w:val="24"/>
          <w:szCs w:val="24"/>
          <w:lang w:val="en-IN"/>
        </w:rPr>
        <w:t xml:space="preserve">/LRP is related to prognostic factors, such as age, </w:t>
      </w:r>
      <w:proofErr w:type="spellStart"/>
      <w:r w:rsidRPr="0074108C">
        <w:rPr>
          <w:rFonts w:ascii="Times New Roman" w:eastAsia="Calibri" w:hAnsi="Times New Roman" w:cs="Times New Roman"/>
          <w:sz w:val="24"/>
          <w:szCs w:val="24"/>
          <w:lang w:val="en-IN"/>
        </w:rPr>
        <w:t>leukometry</w:t>
      </w:r>
      <w:proofErr w:type="spellEnd"/>
      <w:r w:rsidRPr="0074108C">
        <w:rPr>
          <w:rFonts w:ascii="Times New Roman" w:eastAsia="Calibri" w:hAnsi="Times New Roman" w:cs="Times New Roman"/>
          <w:sz w:val="24"/>
          <w:szCs w:val="24"/>
          <w:lang w:val="en-IN"/>
        </w:rPr>
        <w:t xml:space="preserve"> at diagnosis, percentage of neoplastic blasts, LDH, presence of CD34 marker and TL-2.2, in cases of AL and that the high expression of </w:t>
      </w:r>
      <w:r w:rsidRPr="0074108C">
        <w:rPr>
          <w:rFonts w:ascii="Times New Roman" w:eastAsia="Calibri" w:hAnsi="Times New Roman" w:cs="Times New Roman"/>
          <w:i/>
          <w:iCs/>
          <w:sz w:val="24"/>
          <w:szCs w:val="24"/>
          <w:lang w:val="en-IN"/>
        </w:rPr>
        <w:t>abcb1</w:t>
      </w:r>
      <w:r w:rsidRPr="0074108C">
        <w:rPr>
          <w:rFonts w:ascii="Times New Roman" w:eastAsia="Calibri" w:hAnsi="Times New Roman" w:cs="Times New Roman"/>
          <w:sz w:val="24"/>
          <w:szCs w:val="24"/>
          <w:lang w:val="en-IN"/>
        </w:rPr>
        <w:t xml:space="preserve"> and ABCC1 influences the response to induction therapy in patients diagnosed with AML. Furthermore, it could be seen that the analysis of the transcription of chemotherapy resistance genes provides different prognostic information than the analysis of chemotherapy resistance proteins. Therefore, the present study recommends that, at the time of diagnosis of patients with AL, a simultaneous assessment of the transcription of genes (</w:t>
      </w:r>
      <w:r w:rsidRPr="0074108C">
        <w:rPr>
          <w:rFonts w:ascii="Times New Roman" w:eastAsia="Calibri" w:hAnsi="Times New Roman" w:cs="Times New Roman"/>
          <w:i/>
          <w:iCs/>
          <w:sz w:val="24"/>
          <w:szCs w:val="24"/>
          <w:lang w:val="en-IN"/>
        </w:rPr>
        <w:t>abcb1</w:t>
      </w:r>
      <w:r w:rsidRPr="0074108C">
        <w:rPr>
          <w:rFonts w:ascii="Times New Roman" w:eastAsia="Calibri" w:hAnsi="Times New Roman" w:cs="Times New Roman"/>
          <w:sz w:val="24"/>
          <w:szCs w:val="24"/>
          <w:lang w:val="en-IN"/>
        </w:rPr>
        <w:t xml:space="preserve">, abcc1 and </w:t>
      </w:r>
      <w:proofErr w:type="spellStart"/>
      <w:r w:rsidRPr="0074108C">
        <w:rPr>
          <w:rFonts w:ascii="Times New Roman" w:eastAsia="Calibri" w:hAnsi="Times New Roman" w:cs="Times New Roman"/>
          <w:i/>
          <w:iCs/>
          <w:sz w:val="24"/>
          <w:szCs w:val="24"/>
          <w:lang w:val="en-IN"/>
        </w:rPr>
        <w:t>lrp</w:t>
      </w:r>
      <w:proofErr w:type="spellEnd"/>
      <w:r w:rsidRPr="0074108C">
        <w:rPr>
          <w:rFonts w:ascii="Times New Roman" w:eastAsia="Calibri" w:hAnsi="Times New Roman" w:cs="Times New Roman"/>
          <w:sz w:val="24"/>
          <w:szCs w:val="24"/>
          <w:lang w:val="en-IN"/>
        </w:rPr>
        <w:t>) and proteins (ABCB1, ABCC1 and LRP) of resistance to chemotherapy be performed.</w:t>
      </w:r>
    </w:p>
    <w:p w:rsidR="00670DD5" w:rsidRPr="00670DD5" w:rsidRDefault="00670DD5" w:rsidP="00670DD5">
      <w:pPr>
        <w:spacing w:after="160" w:line="360" w:lineRule="auto"/>
        <w:jc w:val="both"/>
        <w:rPr>
          <w:rFonts w:ascii="Times New Roman" w:eastAsia="Calibri" w:hAnsi="Times New Roman" w:cs="Times New Roman"/>
          <w:b/>
          <w:bCs/>
          <w:sz w:val="24"/>
          <w:szCs w:val="24"/>
          <w:lang w:val="en-IN"/>
        </w:rPr>
      </w:pPr>
      <w:r w:rsidRPr="00670DD5">
        <w:rPr>
          <w:rFonts w:ascii="Times New Roman" w:eastAsia="Calibri" w:hAnsi="Times New Roman" w:cs="Times New Roman"/>
          <w:b/>
          <w:bCs/>
          <w:sz w:val="24"/>
          <w:szCs w:val="24"/>
          <w:lang w:val="en-IN"/>
        </w:rPr>
        <w:t>Kew words :</w:t>
      </w:r>
      <w:r w:rsidRPr="00670DD5">
        <w:rPr>
          <w:rFonts w:ascii="Times New Roman" w:eastAsia="Times New Roman" w:hAnsi="Times New Roman" w:cs="Times New Roman"/>
          <w:b/>
          <w:sz w:val="26"/>
          <w:szCs w:val="26"/>
          <w:lang w:val="en-IN"/>
        </w:rPr>
        <w:t xml:space="preserve"> </w:t>
      </w:r>
      <w:r w:rsidRPr="00161E7F">
        <w:rPr>
          <w:rFonts w:ascii="Times New Roman" w:eastAsia="Calibri" w:hAnsi="Times New Roman" w:cs="Times New Roman"/>
          <w:sz w:val="24"/>
          <w:szCs w:val="24"/>
          <w:lang w:val="en-IN"/>
        </w:rPr>
        <w:t>genes and proteins of resistance, multiple drugs, molecular markers, acute leukaemia.</w:t>
      </w:r>
    </w:p>
    <w:p w:rsidR="0029238E" w:rsidRPr="0029238E" w:rsidRDefault="0029238E" w:rsidP="0029238E">
      <w:pPr>
        <w:spacing w:after="160" w:line="360" w:lineRule="auto"/>
        <w:jc w:val="both"/>
        <w:rPr>
          <w:rFonts w:ascii="Times New Roman" w:eastAsia="Calibri" w:hAnsi="Times New Roman" w:cs="Times New Roman"/>
          <w:b/>
          <w:bCs/>
          <w:sz w:val="24"/>
          <w:szCs w:val="24"/>
          <w:lang w:val="en-IN"/>
        </w:rPr>
      </w:pPr>
      <w:r w:rsidRPr="0029238E">
        <w:rPr>
          <w:rFonts w:ascii="Times New Roman" w:eastAsia="Calibri" w:hAnsi="Times New Roman" w:cs="Times New Roman"/>
          <w:b/>
          <w:bCs/>
          <w:sz w:val="24"/>
          <w:szCs w:val="24"/>
          <w:lang w:val="en-IN"/>
        </w:rPr>
        <w:t xml:space="preserve">Introduction </w:t>
      </w:r>
    </w:p>
    <w:p w:rsidR="00873ACD" w:rsidRPr="00873ACD" w:rsidRDefault="00873ACD" w:rsidP="00873ACD">
      <w:pPr>
        <w:spacing w:after="160" w:line="360" w:lineRule="auto"/>
        <w:jc w:val="both"/>
        <w:rPr>
          <w:rFonts w:ascii="Times New Roman" w:eastAsia="Calibri" w:hAnsi="Times New Roman" w:cs="Times New Roman"/>
          <w:sz w:val="24"/>
          <w:szCs w:val="24"/>
          <w:lang w:val="en-IN"/>
        </w:rPr>
      </w:pPr>
      <w:r w:rsidRPr="00873ACD">
        <w:rPr>
          <w:rFonts w:ascii="Times New Roman" w:eastAsia="Calibri" w:hAnsi="Times New Roman" w:cs="Times New Roman"/>
          <w:sz w:val="24"/>
          <w:szCs w:val="24"/>
          <w:lang w:val="en-IN"/>
        </w:rPr>
        <w:t>All malignant leukaemia’s are defined by the uncontrolled proliferation, survival and aberrant differentiation of hematopoietic cells in the bone marrow (BM) that eventually spread to other organ systems.</w:t>
      </w:r>
    </w:p>
    <w:p w:rsidR="00873ACD" w:rsidRPr="00873ACD" w:rsidRDefault="00873ACD" w:rsidP="00873ACD">
      <w:pPr>
        <w:spacing w:after="160" w:line="360" w:lineRule="auto"/>
        <w:jc w:val="both"/>
        <w:rPr>
          <w:rFonts w:ascii="Times New Roman" w:eastAsia="Calibri" w:hAnsi="Times New Roman" w:cs="Times New Roman"/>
          <w:sz w:val="24"/>
          <w:szCs w:val="24"/>
          <w:lang w:val="en-IN"/>
        </w:rPr>
      </w:pPr>
      <w:r w:rsidRPr="00873ACD">
        <w:rPr>
          <w:rFonts w:ascii="Times New Roman" w:eastAsia="Calibri" w:hAnsi="Times New Roman" w:cs="Times New Roman"/>
          <w:sz w:val="24"/>
          <w:szCs w:val="24"/>
          <w:lang w:val="en-IN"/>
        </w:rPr>
        <w:t xml:space="preserve">There are many stages of </w:t>
      </w:r>
      <w:proofErr w:type="spellStart"/>
      <w:r w:rsidRPr="00873ACD">
        <w:rPr>
          <w:rFonts w:ascii="Times New Roman" w:eastAsia="Calibri" w:hAnsi="Times New Roman" w:cs="Times New Roman"/>
          <w:sz w:val="24"/>
          <w:szCs w:val="24"/>
          <w:lang w:val="en-IN"/>
        </w:rPr>
        <w:t>tumorigenesis</w:t>
      </w:r>
      <w:proofErr w:type="spellEnd"/>
      <w:r w:rsidRPr="00873ACD">
        <w:rPr>
          <w:rFonts w:ascii="Times New Roman" w:eastAsia="Calibri" w:hAnsi="Times New Roman" w:cs="Times New Roman"/>
          <w:sz w:val="24"/>
          <w:szCs w:val="24"/>
          <w:lang w:val="en-IN"/>
        </w:rPr>
        <w:t>, each of which represents a genetic mutation that impacts a cell. In order for a cell to bypass normal cell growth and homeostasis, each successive genetic mutation provides the cell with a new advantage over regular cells. As a result, a normal cell gradually transforms into a cancerous cell. Scientists believe there are four fundamental changes in cell physiology that reveal themselves in different ways in leukaemia genotypes and together define the disease's uncontrollable growth and spread. Self-sufficiency, insensitivity, apoptosis avoidance and unrestricted replication are all aspects that contribute to a cell's ability to thrive. Reprogramming of energy metabolism and evasion of immune system destruction by T and B lymphocytes, macrophages, and natural killer cells have recently been linked to cancer aetiology (</w:t>
      </w:r>
      <w:proofErr w:type="spellStart"/>
      <w:r w:rsidRPr="00873ACD">
        <w:rPr>
          <w:rFonts w:ascii="Times New Roman" w:eastAsia="Calibri" w:hAnsi="Times New Roman" w:cs="Times New Roman"/>
          <w:sz w:val="24"/>
          <w:szCs w:val="24"/>
          <w:lang w:val="en-IN"/>
        </w:rPr>
        <w:t>Mjali</w:t>
      </w:r>
      <w:proofErr w:type="spellEnd"/>
      <w:r w:rsidRPr="00873ACD">
        <w:rPr>
          <w:rFonts w:ascii="Times New Roman" w:eastAsia="Calibri" w:hAnsi="Times New Roman" w:cs="Times New Roman"/>
          <w:sz w:val="24"/>
          <w:szCs w:val="24"/>
          <w:lang w:val="en-IN"/>
        </w:rPr>
        <w:t>, 2019).</w:t>
      </w:r>
    </w:p>
    <w:p w:rsidR="00873ACD" w:rsidRPr="00873ACD" w:rsidRDefault="00873ACD" w:rsidP="00873ACD">
      <w:pPr>
        <w:spacing w:after="160" w:line="360" w:lineRule="auto"/>
        <w:jc w:val="both"/>
        <w:rPr>
          <w:rFonts w:ascii="Times New Roman" w:eastAsia="Calibri" w:hAnsi="Times New Roman" w:cs="Times New Roman"/>
          <w:sz w:val="24"/>
          <w:szCs w:val="24"/>
          <w:lang w:val="en-IN"/>
        </w:rPr>
      </w:pPr>
      <w:r w:rsidRPr="00873ACD">
        <w:rPr>
          <w:rFonts w:ascii="Times New Roman" w:eastAsia="Calibri" w:hAnsi="Times New Roman" w:cs="Times New Roman"/>
          <w:sz w:val="24"/>
          <w:szCs w:val="24"/>
          <w:lang w:val="en-IN"/>
        </w:rPr>
        <w:lastRenderedPageBreak/>
        <w:t xml:space="preserve">A somatic mutation in a primordial cell (the stem cell) is the cause of leukemic transformation, which can occur at various stages of lymphoid or myeloid precursor development, making it a diverse disease from a biological and morphological perspective. Acute and chronic lymphoid and myeloid </w:t>
      </w:r>
      <w:proofErr w:type="spellStart"/>
      <w:r w:rsidRPr="00873ACD">
        <w:rPr>
          <w:rFonts w:ascii="Times New Roman" w:eastAsia="Calibri" w:hAnsi="Times New Roman" w:cs="Times New Roman"/>
          <w:sz w:val="24"/>
          <w:szCs w:val="24"/>
          <w:lang w:val="en-IN"/>
        </w:rPr>
        <w:t>leukemias</w:t>
      </w:r>
      <w:proofErr w:type="spellEnd"/>
      <w:r w:rsidRPr="00873ACD">
        <w:rPr>
          <w:rFonts w:ascii="Times New Roman" w:eastAsia="Calibri" w:hAnsi="Times New Roman" w:cs="Times New Roman"/>
          <w:sz w:val="24"/>
          <w:szCs w:val="24"/>
          <w:lang w:val="en-IN"/>
        </w:rPr>
        <w:t xml:space="preserve"> can be distinguished in this way. ALs are characterized by the accumulation of immature cells (blasts) unable to differentiate due to a maturation block. When this maturational block occurs in the myeloid lineage, it gives rise to acute myeloid </w:t>
      </w:r>
      <w:proofErr w:type="spellStart"/>
      <w:r w:rsidRPr="00873ACD">
        <w:rPr>
          <w:rFonts w:ascii="Times New Roman" w:eastAsia="Calibri" w:hAnsi="Times New Roman" w:cs="Times New Roman"/>
          <w:sz w:val="24"/>
          <w:szCs w:val="24"/>
          <w:lang w:val="en-IN"/>
        </w:rPr>
        <w:t>leukemias</w:t>
      </w:r>
      <w:proofErr w:type="spellEnd"/>
      <w:r w:rsidRPr="00873ACD">
        <w:rPr>
          <w:rFonts w:ascii="Times New Roman" w:eastAsia="Calibri" w:hAnsi="Times New Roman" w:cs="Times New Roman"/>
          <w:sz w:val="24"/>
          <w:szCs w:val="24"/>
          <w:lang w:val="en-IN"/>
        </w:rPr>
        <w:t xml:space="preserve"> (AMLs) and, when it affects the lymphoid lineage, it causes acute lymphoid </w:t>
      </w:r>
      <w:proofErr w:type="spellStart"/>
      <w:r w:rsidRPr="00873ACD">
        <w:rPr>
          <w:rFonts w:ascii="Times New Roman" w:eastAsia="Calibri" w:hAnsi="Times New Roman" w:cs="Times New Roman"/>
          <w:sz w:val="24"/>
          <w:szCs w:val="24"/>
          <w:lang w:val="en-IN"/>
        </w:rPr>
        <w:t>leukemias</w:t>
      </w:r>
      <w:proofErr w:type="spellEnd"/>
      <w:r w:rsidRPr="00873ACD">
        <w:rPr>
          <w:rFonts w:ascii="Times New Roman" w:eastAsia="Calibri" w:hAnsi="Times New Roman" w:cs="Times New Roman"/>
          <w:sz w:val="24"/>
          <w:szCs w:val="24"/>
          <w:lang w:val="en-IN"/>
        </w:rPr>
        <w:t xml:space="preserve"> (ALLs). In some rare cases, two populations of blasts from different lineages may coexist, or existing blasts may have specific markers from more than one lineage. Historically, there is a difficulty in how to define this type of acute </w:t>
      </w:r>
      <w:proofErr w:type="spellStart"/>
      <w:r w:rsidRPr="00873ACD">
        <w:rPr>
          <w:rFonts w:ascii="Times New Roman" w:eastAsia="Calibri" w:hAnsi="Times New Roman" w:cs="Times New Roman"/>
          <w:sz w:val="24"/>
          <w:szCs w:val="24"/>
          <w:lang w:val="en-IN"/>
        </w:rPr>
        <w:t>leukemia</w:t>
      </w:r>
      <w:proofErr w:type="spellEnd"/>
      <w:r w:rsidRPr="00873ACD">
        <w:rPr>
          <w:rFonts w:ascii="Times New Roman" w:eastAsia="Calibri" w:hAnsi="Times New Roman" w:cs="Times New Roman"/>
          <w:sz w:val="24"/>
          <w:szCs w:val="24"/>
          <w:lang w:val="en-IN"/>
        </w:rPr>
        <w:t xml:space="preserve"> of mixed phenotype (ALMP), but, currently, it is accepted the denomination of </w:t>
      </w:r>
      <w:proofErr w:type="spellStart"/>
      <w:r w:rsidRPr="00873ACD">
        <w:rPr>
          <w:rFonts w:ascii="Times New Roman" w:eastAsia="Calibri" w:hAnsi="Times New Roman" w:cs="Times New Roman"/>
          <w:sz w:val="24"/>
          <w:szCs w:val="24"/>
          <w:lang w:val="en-IN"/>
        </w:rPr>
        <w:t>Bilineal</w:t>
      </w:r>
      <w:proofErr w:type="spellEnd"/>
      <w:r w:rsidRPr="00873ACD">
        <w:rPr>
          <w:rFonts w:ascii="Times New Roman" w:eastAsia="Calibri" w:hAnsi="Times New Roman" w:cs="Times New Roman"/>
          <w:sz w:val="24"/>
          <w:szCs w:val="24"/>
          <w:lang w:val="en-IN"/>
        </w:rPr>
        <w:t xml:space="preserve"> Acute </w:t>
      </w:r>
      <w:proofErr w:type="spellStart"/>
      <w:r w:rsidRPr="00873ACD">
        <w:rPr>
          <w:rFonts w:ascii="Times New Roman" w:eastAsia="Calibri" w:hAnsi="Times New Roman" w:cs="Times New Roman"/>
          <w:sz w:val="24"/>
          <w:szCs w:val="24"/>
          <w:lang w:val="en-IN"/>
        </w:rPr>
        <w:t>Leukemia</w:t>
      </w:r>
      <w:proofErr w:type="spellEnd"/>
      <w:r w:rsidRPr="00873ACD">
        <w:rPr>
          <w:rFonts w:ascii="Times New Roman" w:eastAsia="Calibri" w:hAnsi="Times New Roman" w:cs="Times New Roman"/>
          <w:sz w:val="24"/>
          <w:szCs w:val="24"/>
          <w:lang w:val="en-IN"/>
        </w:rPr>
        <w:t xml:space="preserve"> for the first case and Acute </w:t>
      </w:r>
      <w:proofErr w:type="spellStart"/>
      <w:r w:rsidRPr="00873ACD">
        <w:rPr>
          <w:rFonts w:ascii="Times New Roman" w:eastAsia="Calibri" w:hAnsi="Times New Roman" w:cs="Times New Roman"/>
          <w:sz w:val="24"/>
          <w:szCs w:val="24"/>
          <w:lang w:val="en-IN"/>
        </w:rPr>
        <w:t>Biphenotypic</w:t>
      </w:r>
      <w:proofErr w:type="spellEnd"/>
      <w:r w:rsidRPr="00873ACD">
        <w:rPr>
          <w:rFonts w:ascii="Times New Roman" w:eastAsia="Calibri" w:hAnsi="Times New Roman" w:cs="Times New Roman"/>
          <w:sz w:val="24"/>
          <w:szCs w:val="24"/>
          <w:lang w:val="en-IN"/>
        </w:rPr>
        <w:t xml:space="preserve"> </w:t>
      </w:r>
      <w:proofErr w:type="spellStart"/>
      <w:r w:rsidRPr="00873ACD">
        <w:rPr>
          <w:rFonts w:ascii="Times New Roman" w:eastAsia="Calibri" w:hAnsi="Times New Roman" w:cs="Times New Roman"/>
          <w:sz w:val="24"/>
          <w:szCs w:val="24"/>
          <w:lang w:val="en-IN"/>
        </w:rPr>
        <w:t>Leukemia</w:t>
      </w:r>
      <w:proofErr w:type="spellEnd"/>
      <w:r w:rsidRPr="00873ACD">
        <w:rPr>
          <w:rFonts w:ascii="Times New Roman" w:eastAsia="Calibri" w:hAnsi="Times New Roman" w:cs="Times New Roman"/>
          <w:sz w:val="24"/>
          <w:szCs w:val="24"/>
          <w:lang w:val="en-IN"/>
        </w:rPr>
        <w:t xml:space="preserve"> (ABL) for the second situation.</w:t>
      </w:r>
    </w:p>
    <w:p w:rsidR="00873ACD" w:rsidRPr="00873ACD" w:rsidRDefault="00873ACD" w:rsidP="00873ACD">
      <w:pPr>
        <w:spacing w:after="160" w:line="360" w:lineRule="auto"/>
        <w:jc w:val="both"/>
        <w:rPr>
          <w:rFonts w:ascii="Times New Roman" w:eastAsia="Calibri" w:hAnsi="Times New Roman" w:cs="Times New Roman"/>
          <w:sz w:val="24"/>
          <w:szCs w:val="24"/>
          <w:lang w:val="en-IN"/>
        </w:rPr>
      </w:pPr>
      <w:r w:rsidRPr="00873ACD">
        <w:rPr>
          <w:rFonts w:ascii="Times New Roman" w:eastAsia="Calibri" w:hAnsi="Times New Roman" w:cs="Times New Roman"/>
          <w:sz w:val="24"/>
          <w:szCs w:val="24"/>
          <w:lang w:val="en-IN"/>
        </w:rPr>
        <w:t xml:space="preserve">During the last 20 years, the diagnosis of ALs is no longer based solely on the use of </w:t>
      </w:r>
      <w:proofErr w:type="spellStart"/>
      <w:r w:rsidRPr="00873ACD">
        <w:rPr>
          <w:rFonts w:ascii="Times New Roman" w:eastAsia="Calibri" w:hAnsi="Times New Roman" w:cs="Times New Roman"/>
          <w:sz w:val="24"/>
          <w:szCs w:val="24"/>
          <w:lang w:val="en-IN"/>
        </w:rPr>
        <w:t>cytomorphological</w:t>
      </w:r>
      <w:proofErr w:type="spellEnd"/>
      <w:r w:rsidRPr="00873ACD">
        <w:rPr>
          <w:rFonts w:ascii="Times New Roman" w:eastAsia="Calibri" w:hAnsi="Times New Roman" w:cs="Times New Roman"/>
          <w:sz w:val="24"/>
          <w:szCs w:val="24"/>
          <w:lang w:val="en-IN"/>
        </w:rPr>
        <w:t xml:space="preserve"> analyses of neoplastic cells to encompass different diagnostic methods and criteria. The diagnosis of ALs is given by the joint assessment of clinical and laboratory characteristics presented by the individual at the time of diagnosis.</w:t>
      </w:r>
    </w:p>
    <w:p w:rsidR="00873ACD" w:rsidRPr="00873ACD" w:rsidRDefault="00873ACD" w:rsidP="00167246">
      <w:pPr>
        <w:spacing w:after="160" w:line="360" w:lineRule="auto"/>
        <w:jc w:val="both"/>
        <w:rPr>
          <w:rFonts w:ascii="Times New Roman" w:eastAsia="Calibri" w:hAnsi="Times New Roman" w:cs="Times New Roman"/>
          <w:sz w:val="24"/>
          <w:szCs w:val="24"/>
          <w:lang w:val="en-IN"/>
        </w:rPr>
      </w:pPr>
      <w:r w:rsidRPr="00873ACD">
        <w:rPr>
          <w:rFonts w:ascii="Times New Roman" w:eastAsia="Calibri" w:hAnsi="Times New Roman" w:cs="Times New Roman"/>
          <w:sz w:val="24"/>
          <w:szCs w:val="24"/>
          <w:lang w:val="en-IN"/>
        </w:rPr>
        <w:t xml:space="preserve">The clinical manifestations of ALs are variable and the symptomatology is usually associated with the organs involved and the non-functionality of the leukemic cells. The uncontrolled proliferation of leukemic cells and the infiltration of OM result in the inhibition of the production of normal hematopoietic cells, such as leukocytes, erythrocytes and platelets. As a consequence, individuals with AL often present symptoms such as: fatigue, asthenia and pallor, due to </w:t>
      </w:r>
      <w:proofErr w:type="spellStart"/>
      <w:r w:rsidRPr="00873ACD">
        <w:rPr>
          <w:rFonts w:ascii="Times New Roman" w:eastAsia="Calibri" w:hAnsi="Times New Roman" w:cs="Times New Roman"/>
          <w:sz w:val="24"/>
          <w:szCs w:val="24"/>
          <w:lang w:val="en-IN"/>
        </w:rPr>
        <w:t>anemia</w:t>
      </w:r>
      <w:proofErr w:type="spellEnd"/>
      <w:r w:rsidRPr="00873ACD">
        <w:rPr>
          <w:rFonts w:ascii="Times New Roman" w:eastAsia="Calibri" w:hAnsi="Times New Roman" w:cs="Times New Roman"/>
          <w:sz w:val="24"/>
          <w:szCs w:val="24"/>
          <w:lang w:val="en-IN"/>
        </w:rPr>
        <w:t xml:space="preserve">; gingival bleeding and other </w:t>
      </w:r>
      <w:proofErr w:type="spellStart"/>
      <w:r w:rsidRPr="00873ACD">
        <w:rPr>
          <w:rFonts w:ascii="Times New Roman" w:eastAsia="Calibri" w:hAnsi="Times New Roman" w:cs="Times New Roman"/>
          <w:sz w:val="24"/>
          <w:szCs w:val="24"/>
          <w:lang w:val="en-IN"/>
        </w:rPr>
        <w:t>hemorrhagic</w:t>
      </w:r>
      <w:proofErr w:type="spellEnd"/>
      <w:r w:rsidRPr="00873ACD">
        <w:rPr>
          <w:rFonts w:ascii="Times New Roman" w:eastAsia="Calibri" w:hAnsi="Times New Roman" w:cs="Times New Roman"/>
          <w:sz w:val="24"/>
          <w:szCs w:val="24"/>
          <w:lang w:val="en-IN"/>
        </w:rPr>
        <w:t xml:space="preserve"> manifestations resulting from thrombocytopenia; dyspnoea and muscle pain due to </w:t>
      </w:r>
      <w:proofErr w:type="spellStart"/>
      <w:r w:rsidRPr="00873ACD">
        <w:rPr>
          <w:rFonts w:ascii="Times New Roman" w:eastAsia="Calibri" w:hAnsi="Times New Roman" w:cs="Times New Roman"/>
          <w:sz w:val="24"/>
          <w:szCs w:val="24"/>
          <w:lang w:val="en-IN"/>
        </w:rPr>
        <w:t>leukocytosis</w:t>
      </w:r>
      <w:proofErr w:type="spellEnd"/>
      <w:r w:rsidRPr="00873ACD">
        <w:rPr>
          <w:rFonts w:ascii="Times New Roman" w:eastAsia="Calibri" w:hAnsi="Times New Roman" w:cs="Times New Roman"/>
          <w:sz w:val="24"/>
          <w:szCs w:val="24"/>
          <w:lang w:val="en-IN"/>
        </w:rPr>
        <w:t xml:space="preserve">; and fever, due to infectious complications associated with neutropenia or the release of cytokines secreted by leukemic cells. In some cases, generalized lymphadenopathy, splenomegaly and hepatomegaly can also be observed, due to the infiltration of leukemic cells in different tissues of the body </w:t>
      </w:r>
      <w:r w:rsidR="00167246">
        <w:rPr>
          <w:rFonts w:ascii="Times New Roman" w:eastAsia="Calibri" w:hAnsi="Times New Roman" w:cs="Times New Roman"/>
          <w:sz w:val="24"/>
          <w:szCs w:val="24"/>
          <w:lang w:val="en-IN"/>
        </w:rPr>
        <w:t>(</w:t>
      </w:r>
      <w:proofErr w:type="spellStart"/>
      <w:r w:rsidRPr="00873ACD">
        <w:rPr>
          <w:rFonts w:ascii="Times New Roman" w:eastAsia="Calibri" w:hAnsi="Times New Roman" w:cs="Times New Roman"/>
          <w:sz w:val="24"/>
          <w:szCs w:val="24"/>
          <w:lang w:val="en-IN"/>
        </w:rPr>
        <w:t>Alyaqubi</w:t>
      </w:r>
      <w:proofErr w:type="spellEnd"/>
      <w:r w:rsidRPr="00873ACD">
        <w:rPr>
          <w:rFonts w:ascii="Times New Roman" w:eastAsia="Calibri" w:hAnsi="Times New Roman" w:cs="Times New Roman"/>
          <w:sz w:val="24"/>
          <w:szCs w:val="24"/>
          <w:lang w:val="en-IN"/>
        </w:rPr>
        <w:t>, et al. 2014).</w:t>
      </w:r>
    </w:p>
    <w:p w:rsidR="00873ACD" w:rsidRPr="00873ACD" w:rsidRDefault="00873ACD" w:rsidP="00873ACD">
      <w:pPr>
        <w:spacing w:after="160" w:line="360" w:lineRule="auto"/>
        <w:jc w:val="both"/>
        <w:rPr>
          <w:rFonts w:ascii="Times New Roman" w:eastAsia="Calibri" w:hAnsi="Times New Roman" w:cs="Times New Roman"/>
          <w:sz w:val="24"/>
          <w:szCs w:val="24"/>
          <w:lang w:val="en-IN"/>
        </w:rPr>
      </w:pPr>
      <w:r w:rsidRPr="00873ACD">
        <w:rPr>
          <w:rFonts w:ascii="Times New Roman" w:eastAsia="Calibri" w:hAnsi="Times New Roman" w:cs="Times New Roman"/>
          <w:sz w:val="24"/>
          <w:szCs w:val="24"/>
          <w:lang w:val="en-IN"/>
        </w:rPr>
        <w:lastRenderedPageBreak/>
        <w:t xml:space="preserve">For the laboratory diagnosis of ALs, an algorithm was established that combines </w:t>
      </w:r>
      <w:proofErr w:type="spellStart"/>
      <w:r w:rsidRPr="00873ACD">
        <w:rPr>
          <w:rFonts w:ascii="Times New Roman" w:eastAsia="Calibri" w:hAnsi="Times New Roman" w:cs="Times New Roman"/>
          <w:sz w:val="24"/>
          <w:szCs w:val="24"/>
          <w:lang w:val="en-IN"/>
        </w:rPr>
        <w:t>cytomorphological</w:t>
      </w:r>
      <w:proofErr w:type="spellEnd"/>
      <w:r w:rsidRPr="00873ACD">
        <w:rPr>
          <w:rFonts w:ascii="Times New Roman" w:eastAsia="Calibri" w:hAnsi="Times New Roman" w:cs="Times New Roman"/>
          <w:sz w:val="24"/>
          <w:szCs w:val="24"/>
          <w:lang w:val="en-IN"/>
        </w:rPr>
        <w:t xml:space="preserve"> and </w:t>
      </w:r>
      <w:proofErr w:type="spellStart"/>
      <w:r w:rsidRPr="00873ACD">
        <w:rPr>
          <w:rFonts w:ascii="Times New Roman" w:eastAsia="Calibri" w:hAnsi="Times New Roman" w:cs="Times New Roman"/>
          <w:sz w:val="24"/>
          <w:szCs w:val="24"/>
          <w:lang w:val="en-IN"/>
        </w:rPr>
        <w:t>immunophenotypic</w:t>
      </w:r>
      <w:proofErr w:type="spellEnd"/>
      <w:r w:rsidRPr="00873ACD">
        <w:rPr>
          <w:rFonts w:ascii="Times New Roman" w:eastAsia="Calibri" w:hAnsi="Times New Roman" w:cs="Times New Roman"/>
          <w:sz w:val="24"/>
          <w:szCs w:val="24"/>
          <w:lang w:val="en-IN"/>
        </w:rPr>
        <w:t xml:space="preserve"> analyses with cytogenetic and molecular methods. The laboratory diagnosis of ALs begins with the observation of 20% or more of neoplastic blasts in the morphological examination of peripheral blood and/or. However, differentiation between </w:t>
      </w:r>
      <w:proofErr w:type="spellStart"/>
      <w:r w:rsidRPr="00873ACD">
        <w:rPr>
          <w:rFonts w:ascii="Times New Roman" w:eastAsia="Calibri" w:hAnsi="Times New Roman" w:cs="Times New Roman"/>
          <w:sz w:val="24"/>
          <w:szCs w:val="24"/>
          <w:lang w:val="en-IN"/>
        </w:rPr>
        <w:t>lymphoblasts</w:t>
      </w:r>
      <w:proofErr w:type="spellEnd"/>
      <w:r w:rsidRPr="00873ACD">
        <w:rPr>
          <w:rFonts w:ascii="Times New Roman" w:eastAsia="Calibri" w:hAnsi="Times New Roman" w:cs="Times New Roman"/>
          <w:sz w:val="24"/>
          <w:szCs w:val="24"/>
          <w:lang w:val="en-IN"/>
        </w:rPr>
        <w:t xml:space="preserve"> and </w:t>
      </w:r>
      <w:proofErr w:type="spellStart"/>
      <w:r w:rsidRPr="00873ACD">
        <w:rPr>
          <w:rFonts w:ascii="Times New Roman" w:eastAsia="Calibri" w:hAnsi="Times New Roman" w:cs="Times New Roman"/>
          <w:sz w:val="24"/>
          <w:szCs w:val="24"/>
          <w:lang w:val="en-IN"/>
        </w:rPr>
        <w:t>myeloblasts</w:t>
      </w:r>
      <w:proofErr w:type="spellEnd"/>
      <w:r w:rsidRPr="00873ACD">
        <w:rPr>
          <w:rFonts w:ascii="Times New Roman" w:eastAsia="Calibri" w:hAnsi="Times New Roman" w:cs="Times New Roman"/>
          <w:sz w:val="24"/>
          <w:szCs w:val="24"/>
          <w:lang w:val="en-IN"/>
        </w:rPr>
        <w:t xml:space="preserve"> by light microscopy is difficult and inaccurate. Thus, after the </w:t>
      </w:r>
      <w:proofErr w:type="spellStart"/>
      <w:r w:rsidRPr="00873ACD">
        <w:rPr>
          <w:rFonts w:ascii="Times New Roman" w:eastAsia="Calibri" w:hAnsi="Times New Roman" w:cs="Times New Roman"/>
          <w:sz w:val="24"/>
          <w:szCs w:val="24"/>
          <w:lang w:val="en-IN"/>
        </w:rPr>
        <w:t>cytomorphological</w:t>
      </w:r>
      <w:proofErr w:type="spellEnd"/>
      <w:r w:rsidRPr="00873ACD">
        <w:rPr>
          <w:rFonts w:ascii="Times New Roman" w:eastAsia="Calibri" w:hAnsi="Times New Roman" w:cs="Times New Roman"/>
          <w:sz w:val="24"/>
          <w:szCs w:val="24"/>
          <w:lang w:val="en-IN"/>
        </w:rPr>
        <w:t xml:space="preserve"> evaluation, </w:t>
      </w:r>
      <w:proofErr w:type="spellStart"/>
      <w:r w:rsidRPr="00873ACD">
        <w:rPr>
          <w:rFonts w:ascii="Times New Roman" w:eastAsia="Calibri" w:hAnsi="Times New Roman" w:cs="Times New Roman"/>
          <w:sz w:val="24"/>
          <w:szCs w:val="24"/>
          <w:lang w:val="en-IN"/>
        </w:rPr>
        <w:t>immunophenotyping</w:t>
      </w:r>
      <w:proofErr w:type="spellEnd"/>
      <w:r w:rsidRPr="00873ACD">
        <w:rPr>
          <w:rFonts w:ascii="Times New Roman" w:eastAsia="Calibri" w:hAnsi="Times New Roman" w:cs="Times New Roman"/>
          <w:sz w:val="24"/>
          <w:szCs w:val="24"/>
          <w:lang w:val="en-IN"/>
        </w:rPr>
        <w:t xml:space="preserve"> and cytogenetic analysis of the leukemic cells are mandatory. In addition, analyses can also be performed using fluorescence in situ hybridization (FISH), PCR or any other method of screening for specific molecular markers of the leukemic clone. All these laboratory analyses are necessary to differentiate and characterize the neoplastic cell found, which allows the correct classification of ALs and allows a better determination of the patient's prognosis and therapeutic approach to be followed.</w:t>
      </w:r>
    </w:p>
    <w:p w:rsidR="0029238E" w:rsidRPr="0029238E" w:rsidRDefault="0029238E" w:rsidP="0029238E">
      <w:pPr>
        <w:spacing w:after="160" w:line="360" w:lineRule="auto"/>
        <w:jc w:val="both"/>
        <w:rPr>
          <w:rFonts w:ascii="Times New Roman" w:eastAsia="Calibri" w:hAnsi="Times New Roman" w:cs="Times New Roman"/>
          <w:sz w:val="24"/>
          <w:szCs w:val="24"/>
          <w:lang w:val="en-IN"/>
        </w:rPr>
      </w:pPr>
      <w:proofErr w:type="spellStart"/>
      <w:r w:rsidRPr="0029238E">
        <w:rPr>
          <w:rFonts w:ascii="Times New Roman" w:eastAsia="Calibri" w:hAnsi="Times New Roman" w:cs="Times New Roman"/>
          <w:sz w:val="24"/>
          <w:szCs w:val="24"/>
          <w:lang w:val="en-IN"/>
        </w:rPr>
        <w:t>Leukemia</w:t>
      </w:r>
      <w:proofErr w:type="spellEnd"/>
      <w:r w:rsidRPr="0029238E">
        <w:rPr>
          <w:rFonts w:ascii="Times New Roman" w:eastAsia="Calibri" w:hAnsi="Times New Roman" w:cs="Times New Roman"/>
          <w:sz w:val="24"/>
          <w:szCs w:val="24"/>
          <w:lang w:val="en-IN"/>
        </w:rPr>
        <w:t xml:space="preserve"> is a blood cancer characterized by a permanent, abnormal and disorderly increase in the number of leukocytes, which leads to an invasion of the bone marrow and in turn prevents the normal development of blood progenitor cells, and consequently lack of red blood cells and platelets. This situation causes the body of the affected person to be exposed to a large number of diseases without the possibility that the body can fight against them due to the lack of defences (Kumar, 2011).</w:t>
      </w:r>
    </w:p>
    <w:p w:rsidR="0029238E" w:rsidRPr="0029238E" w:rsidRDefault="0029238E" w:rsidP="0029238E">
      <w:pPr>
        <w:spacing w:after="160" w:line="360" w:lineRule="auto"/>
        <w:jc w:val="both"/>
        <w:rPr>
          <w:rFonts w:ascii="Times New Roman" w:eastAsia="Calibri" w:hAnsi="Times New Roman" w:cs="Times New Roman"/>
          <w:sz w:val="24"/>
          <w:szCs w:val="24"/>
          <w:lang w:val="en-IN"/>
        </w:rPr>
      </w:pPr>
      <w:r w:rsidRPr="0029238E">
        <w:rPr>
          <w:rFonts w:ascii="Times New Roman" w:eastAsia="Calibri" w:hAnsi="Times New Roman" w:cs="Times New Roman"/>
          <w:sz w:val="24"/>
          <w:szCs w:val="24"/>
          <w:lang w:val="en-IN"/>
        </w:rPr>
        <w:t xml:space="preserve">Various types of </w:t>
      </w:r>
      <w:proofErr w:type="spellStart"/>
      <w:r w:rsidRPr="0029238E">
        <w:rPr>
          <w:rFonts w:ascii="Times New Roman" w:eastAsia="Calibri" w:hAnsi="Times New Roman" w:cs="Times New Roman"/>
          <w:sz w:val="24"/>
          <w:szCs w:val="24"/>
          <w:lang w:val="en-IN"/>
        </w:rPr>
        <w:t>leukemia</w:t>
      </w:r>
      <w:proofErr w:type="spellEnd"/>
      <w:r w:rsidRPr="0029238E">
        <w:rPr>
          <w:rFonts w:ascii="Times New Roman" w:eastAsia="Calibri" w:hAnsi="Times New Roman" w:cs="Times New Roman"/>
          <w:sz w:val="24"/>
          <w:szCs w:val="24"/>
          <w:lang w:val="en-IN"/>
        </w:rPr>
        <w:t xml:space="preserve"> can be distinguished, depending on the type of abnormally cloned cells (</w:t>
      </w:r>
      <w:proofErr w:type="spellStart"/>
      <w:r w:rsidRPr="0029238E">
        <w:rPr>
          <w:rFonts w:ascii="Times New Roman" w:eastAsia="Calibri" w:hAnsi="Times New Roman" w:cs="Times New Roman"/>
          <w:sz w:val="24"/>
          <w:szCs w:val="24"/>
          <w:lang w:val="en-IN"/>
        </w:rPr>
        <w:t>Rafiq</w:t>
      </w:r>
      <w:proofErr w:type="spellEnd"/>
      <w:r w:rsidRPr="0029238E">
        <w:rPr>
          <w:rFonts w:ascii="Times New Roman" w:eastAsia="Calibri" w:hAnsi="Times New Roman" w:cs="Times New Roman"/>
          <w:sz w:val="24"/>
          <w:szCs w:val="24"/>
          <w:lang w:val="en-IN"/>
        </w:rPr>
        <w:t>, 2</w:t>
      </w:r>
      <w:r w:rsidR="00873ACD">
        <w:rPr>
          <w:rFonts w:ascii="Times New Roman" w:eastAsia="Calibri" w:hAnsi="Times New Roman" w:cs="Times New Roman"/>
          <w:sz w:val="24"/>
          <w:szCs w:val="24"/>
          <w:lang w:val="en-IN"/>
        </w:rPr>
        <w:t>0</w:t>
      </w:r>
      <w:r w:rsidRPr="0029238E">
        <w:rPr>
          <w:rFonts w:ascii="Times New Roman" w:eastAsia="Calibri" w:hAnsi="Times New Roman" w:cs="Times New Roman"/>
          <w:sz w:val="24"/>
          <w:szCs w:val="24"/>
          <w:lang w:val="en-IN"/>
        </w:rPr>
        <w:t>18), such as:</w:t>
      </w:r>
    </w:p>
    <w:p w:rsidR="0029238E" w:rsidRPr="0029238E" w:rsidRDefault="0029238E" w:rsidP="0029238E">
      <w:pPr>
        <w:numPr>
          <w:ilvl w:val="0"/>
          <w:numId w:val="1"/>
        </w:numPr>
        <w:spacing w:after="160" w:line="360" w:lineRule="auto"/>
        <w:contextualSpacing/>
        <w:jc w:val="both"/>
        <w:rPr>
          <w:rFonts w:ascii="Times New Roman" w:eastAsia="Calibri" w:hAnsi="Times New Roman" w:cs="Times New Roman"/>
          <w:sz w:val="24"/>
          <w:szCs w:val="24"/>
          <w:lang w:val="en-IN"/>
        </w:rPr>
      </w:pPr>
      <w:r w:rsidRPr="0029238E">
        <w:rPr>
          <w:rFonts w:ascii="Times New Roman" w:eastAsia="Calibri" w:hAnsi="Times New Roman" w:cs="Times New Roman"/>
          <w:sz w:val="24"/>
          <w:szCs w:val="24"/>
          <w:lang w:val="en-IN"/>
        </w:rPr>
        <w:t xml:space="preserve">Acute lymphoblastic </w:t>
      </w:r>
      <w:proofErr w:type="spellStart"/>
      <w:r w:rsidRPr="0029238E">
        <w:rPr>
          <w:rFonts w:ascii="Times New Roman" w:eastAsia="Calibri" w:hAnsi="Times New Roman" w:cs="Times New Roman"/>
          <w:sz w:val="24"/>
          <w:szCs w:val="24"/>
          <w:lang w:val="en-IN"/>
        </w:rPr>
        <w:t>leukemia</w:t>
      </w:r>
      <w:proofErr w:type="spellEnd"/>
      <w:r w:rsidRPr="0029238E">
        <w:rPr>
          <w:rFonts w:ascii="Times New Roman" w:eastAsia="Calibri" w:hAnsi="Times New Roman" w:cs="Times New Roman"/>
          <w:sz w:val="24"/>
          <w:szCs w:val="24"/>
          <w:lang w:val="en-IN"/>
        </w:rPr>
        <w:t>.</w:t>
      </w:r>
    </w:p>
    <w:p w:rsidR="0029238E" w:rsidRPr="0029238E" w:rsidRDefault="0029238E" w:rsidP="0029238E">
      <w:pPr>
        <w:numPr>
          <w:ilvl w:val="0"/>
          <w:numId w:val="1"/>
        </w:numPr>
        <w:spacing w:after="160" w:line="360" w:lineRule="auto"/>
        <w:contextualSpacing/>
        <w:jc w:val="both"/>
        <w:rPr>
          <w:rFonts w:ascii="Times New Roman" w:eastAsia="Calibri" w:hAnsi="Times New Roman" w:cs="Times New Roman"/>
          <w:sz w:val="24"/>
          <w:szCs w:val="24"/>
          <w:lang w:val="en-IN"/>
        </w:rPr>
      </w:pPr>
      <w:r w:rsidRPr="0029238E">
        <w:rPr>
          <w:rFonts w:ascii="Times New Roman" w:eastAsia="Calibri" w:hAnsi="Times New Roman" w:cs="Times New Roman"/>
          <w:sz w:val="24"/>
          <w:szCs w:val="24"/>
          <w:lang w:val="en-IN"/>
        </w:rPr>
        <w:t xml:space="preserve">Acute </w:t>
      </w:r>
      <w:proofErr w:type="spellStart"/>
      <w:r w:rsidRPr="0029238E">
        <w:rPr>
          <w:rFonts w:ascii="Times New Roman" w:eastAsia="Calibri" w:hAnsi="Times New Roman" w:cs="Times New Roman"/>
          <w:sz w:val="24"/>
          <w:szCs w:val="24"/>
          <w:lang w:val="en-IN"/>
        </w:rPr>
        <w:t>myeloblastic</w:t>
      </w:r>
      <w:proofErr w:type="spellEnd"/>
      <w:r w:rsidRPr="0029238E">
        <w:rPr>
          <w:rFonts w:ascii="Times New Roman" w:eastAsia="Calibri" w:hAnsi="Times New Roman" w:cs="Times New Roman"/>
          <w:sz w:val="24"/>
          <w:szCs w:val="24"/>
          <w:lang w:val="en-IN"/>
        </w:rPr>
        <w:t xml:space="preserve"> </w:t>
      </w:r>
      <w:proofErr w:type="spellStart"/>
      <w:r w:rsidRPr="0029238E">
        <w:rPr>
          <w:rFonts w:ascii="Times New Roman" w:eastAsia="Calibri" w:hAnsi="Times New Roman" w:cs="Times New Roman"/>
          <w:sz w:val="24"/>
          <w:szCs w:val="24"/>
          <w:lang w:val="en-IN"/>
        </w:rPr>
        <w:t>leukemia</w:t>
      </w:r>
      <w:proofErr w:type="spellEnd"/>
      <w:r w:rsidRPr="0029238E">
        <w:rPr>
          <w:rFonts w:ascii="Times New Roman" w:eastAsia="Calibri" w:hAnsi="Times New Roman" w:cs="Times New Roman"/>
          <w:sz w:val="24"/>
          <w:szCs w:val="24"/>
          <w:lang w:val="en-IN"/>
        </w:rPr>
        <w:t>.</w:t>
      </w:r>
    </w:p>
    <w:p w:rsidR="0029238E" w:rsidRPr="0029238E" w:rsidRDefault="0029238E" w:rsidP="0029238E">
      <w:pPr>
        <w:numPr>
          <w:ilvl w:val="0"/>
          <w:numId w:val="1"/>
        </w:numPr>
        <w:spacing w:after="160" w:line="360" w:lineRule="auto"/>
        <w:contextualSpacing/>
        <w:jc w:val="both"/>
        <w:rPr>
          <w:rFonts w:ascii="Times New Roman" w:eastAsia="Calibri" w:hAnsi="Times New Roman" w:cs="Times New Roman"/>
          <w:sz w:val="24"/>
          <w:szCs w:val="24"/>
          <w:lang w:val="en-IN"/>
        </w:rPr>
      </w:pPr>
      <w:r w:rsidRPr="0029238E">
        <w:rPr>
          <w:rFonts w:ascii="Times New Roman" w:eastAsia="Calibri" w:hAnsi="Times New Roman" w:cs="Times New Roman"/>
          <w:sz w:val="24"/>
          <w:szCs w:val="24"/>
          <w:lang w:val="en-IN"/>
        </w:rPr>
        <w:t xml:space="preserve">Chronic myeloid </w:t>
      </w:r>
      <w:proofErr w:type="spellStart"/>
      <w:r w:rsidRPr="0029238E">
        <w:rPr>
          <w:rFonts w:ascii="Times New Roman" w:eastAsia="Calibri" w:hAnsi="Times New Roman" w:cs="Times New Roman"/>
          <w:sz w:val="24"/>
          <w:szCs w:val="24"/>
          <w:lang w:val="en-IN"/>
        </w:rPr>
        <w:t>leukemia</w:t>
      </w:r>
      <w:proofErr w:type="spellEnd"/>
      <w:r w:rsidRPr="0029238E">
        <w:rPr>
          <w:rFonts w:ascii="Times New Roman" w:eastAsia="Calibri" w:hAnsi="Times New Roman" w:cs="Times New Roman"/>
          <w:sz w:val="24"/>
          <w:szCs w:val="24"/>
          <w:lang w:val="en-IN"/>
        </w:rPr>
        <w:t>.</w:t>
      </w:r>
    </w:p>
    <w:p w:rsidR="0029238E" w:rsidRPr="0029238E" w:rsidRDefault="0029238E" w:rsidP="0029238E">
      <w:pPr>
        <w:numPr>
          <w:ilvl w:val="0"/>
          <w:numId w:val="1"/>
        </w:numPr>
        <w:spacing w:after="160" w:line="360" w:lineRule="auto"/>
        <w:contextualSpacing/>
        <w:jc w:val="both"/>
        <w:rPr>
          <w:rFonts w:ascii="Times New Roman" w:eastAsia="Calibri" w:hAnsi="Times New Roman" w:cs="Times New Roman"/>
          <w:sz w:val="24"/>
          <w:szCs w:val="24"/>
          <w:lang w:val="en-IN"/>
        </w:rPr>
      </w:pPr>
      <w:r w:rsidRPr="0029238E">
        <w:rPr>
          <w:rFonts w:ascii="Times New Roman" w:eastAsia="Calibri" w:hAnsi="Times New Roman" w:cs="Times New Roman"/>
          <w:sz w:val="24"/>
          <w:szCs w:val="24"/>
          <w:lang w:val="en-IN"/>
        </w:rPr>
        <w:t xml:space="preserve">Chronic lymphatic </w:t>
      </w:r>
      <w:proofErr w:type="spellStart"/>
      <w:r w:rsidRPr="0029238E">
        <w:rPr>
          <w:rFonts w:ascii="Times New Roman" w:eastAsia="Calibri" w:hAnsi="Times New Roman" w:cs="Times New Roman"/>
          <w:sz w:val="24"/>
          <w:szCs w:val="24"/>
          <w:lang w:val="en-IN"/>
        </w:rPr>
        <w:t>leukemia</w:t>
      </w:r>
      <w:proofErr w:type="spellEnd"/>
      <w:r w:rsidRPr="0029238E">
        <w:rPr>
          <w:rFonts w:ascii="Times New Roman" w:eastAsia="Calibri" w:hAnsi="Times New Roman" w:cs="Times New Roman"/>
          <w:sz w:val="24"/>
          <w:szCs w:val="24"/>
          <w:lang w:val="en-IN"/>
        </w:rPr>
        <w:t>.</w:t>
      </w:r>
    </w:p>
    <w:p w:rsidR="0029238E" w:rsidRPr="0029238E" w:rsidRDefault="0029238E" w:rsidP="0029238E">
      <w:pPr>
        <w:spacing w:after="160" w:line="360" w:lineRule="auto"/>
        <w:jc w:val="both"/>
        <w:rPr>
          <w:rFonts w:ascii="Times New Roman" w:eastAsia="Calibri" w:hAnsi="Times New Roman" w:cs="Times New Roman"/>
          <w:sz w:val="24"/>
          <w:szCs w:val="24"/>
          <w:lang w:val="en-IN"/>
        </w:rPr>
      </w:pPr>
      <w:r w:rsidRPr="0029238E">
        <w:rPr>
          <w:rFonts w:ascii="Times New Roman" w:eastAsia="Calibri" w:hAnsi="Times New Roman" w:cs="Times New Roman"/>
          <w:sz w:val="24"/>
          <w:szCs w:val="24"/>
          <w:lang w:val="en-IN"/>
        </w:rPr>
        <w:t xml:space="preserve">The development of acute </w:t>
      </w:r>
      <w:proofErr w:type="spellStart"/>
      <w:r w:rsidRPr="0029238E">
        <w:rPr>
          <w:rFonts w:ascii="Times New Roman" w:eastAsia="Calibri" w:hAnsi="Times New Roman" w:cs="Times New Roman"/>
          <w:sz w:val="24"/>
          <w:szCs w:val="24"/>
          <w:lang w:val="en-IN"/>
        </w:rPr>
        <w:t>leukemias</w:t>
      </w:r>
      <w:proofErr w:type="spellEnd"/>
      <w:r w:rsidRPr="0029238E">
        <w:rPr>
          <w:rFonts w:ascii="Times New Roman" w:eastAsia="Calibri" w:hAnsi="Times New Roman" w:cs="Times New Roman"/>
          <w:sz w:val="24"/>
          <w:szCs w:val="24"/>
          <w:lang w:val="en-IN"/>
        </w:rPr>
        <w:t xml:space="preserve"> is expected. In some cases, the bone marrow is replaced by blast cells from a clone that originated from a hematopoietic stem cell that has undergone a malignant transformation. Cell type classification is critical (acute lymphoblastic </w:t>
      </w:r>
      <w:proofErr w:type="spellStart"/>
      <w:r w:rsidRPr="0029238E">
        <w:rPr>
          <w:rFonts w:ascii="Times New Roman" w:eastAsia="Calibri" w:hAnsi="Times New Roman" w:cs="Times New Roman"/>
          <w:sz w:val="24"/>
          <w:szCs w:val="24"/>
          <w:lang w:val="en-IN"/>
        </w:rPr>
        <w:t>leukemia</w:t>
      </w:r>
      <w:proofErr w:type="spellEnd"/>
      <w:r w:rsidRPr="0029238E">
        <w:rPr>
          <w:rFonts w:ascii="Times New Roman" w:eastAsia="Calibri" w:hAnsi="Times New Roman" w:cs="Times New Roman"/>
          <w:sz w:val="24"/>
          <w:szCs w:val="24"/>
          <w:lang w:val="en-IN"/>
        </w:rPr>
        <w:t xml:space="preserve"> "ALL" as opposed to acute non-lymphoblastic </w:t>
      </w:r>
      <w:proofErr w:type="spellStart"/>
      <w:r w:rsidRPr="0029238E">
        <w:rPr>
          <w:rFonts w:ascii="Times New Roman" w:eastAsia="Calibri" w:hAnsi="Times New Roman" w:cs="Times New Roman"/>
          <w:sz w:val="24"/>
          <w:szCs w:val="24"/>
          <w:lang w:val="en-IN"/>
        </w:rPr>
        <w:t>leukemia</w:t>
      </w:r>
      <w:proofErr w:type="spellEnd"/>
      <w:r w:rsidRPr="0029238E">
        <w:rPr>
          <w:rFonts w:ascii="Times New Roman" w:eastAsia="Calibri" w:hAnsi="Times New Roman" w:cs="Times New Roman"/>
          <w:sz w:val="24"/>
          <w:szCs w:val="24"/>
          <w:lang w:val="en-IN"/>
        </w:rPr>
        <w:t xml:space="preserve"> "ANNL") in terms of treatment and prognosis. Other terms are sometimes used for ALL </w:t>
      </w:r>
      <w:r w:rsidRPr="0029238E">
        <w:rPr>
          <w:rFonts w:ascii="Times New Roman" w:eastAsia="Calibri" w:hAnsi="Times New Roman" w:cs="Times New Roman"/>
          <w:sz w:val="24"/>
          <w:szCs w:val="24"/>
          <w:lang w:val="en-IN"/>
        </w:rPr>
        <w:lastRenderedPageBreak/>
        <w:t xml:space="preserve">(acute lymphocytic </w:t>
      </w:r>
      <w:proofErr w:type="spellStart"/>
      <w:r w:rsidRPr="0029238E">
        <w:rPr>
          <w:rFonts w:ascii="Times New Roman" w:eastAsia="Calibri" w:hAnsi="Times New Roman" w:cs="Times New Roman"/>
          <w:sz w:val="24"/>
          <w:szCs w:val="24"/>
          <w:lang w:val="en-IN"/>
        </w:rPr>
        <w:t>leukemia</w:t>
      </w:r>
      <w:proofErr w:type="spellEnd"/>
      <w:r w:rsidRPr="0029238E">
        <w:rPr>
          <w:rFonts w:ascii="Times New Roman" w:eastAsia="Calibri" w:hAnsi="Times New Roman" w:cs="Times New Roman"/>
          <w:sz w:val="24"/>
          <w:szCs w:val="24"/>
          <w:lang w:val="en-IN"/>
        </w:rPr>
        <w:t xml:space="preserve">) and ANL (acute </w:t>
      </w:r>
      <w:proofErr w:type="spellStart"/>
      <w:r w:rsidRPr="0029238E">
        <w:rPr>
          <w:rFonts w:ascii="Times New Roman" w:eastAsia="Calibri" w:hAnsi="Times New Roman" w:cs="Times New Roman"/>
          <w:sz w:val="24"/>
          <w:szCs w:val="24"/>
          <w:lang w:val="en-IN"/>
        </w:rPr>
        <w:t>myelocytic</w:t>
      </w:r>
      <w:proofErr w:type="spellEnd"/>
      <w:r w:rsidRPr="0029238E">
        <w:rPr>
          <w:rFonts w:ascii="Times New Roman" w:eastAsia="Calibri" w:hAnsi="Times New Roman" w:cs="Times New Roman"/>
          <w:sz w:val="24"/>
          <w:szCs w:val="24"/>
          <w:lang w:val="en-IN"/>
        </w:rPr>
        <w:t xml:space="preserve">, </w:t>
      </w:r>
      <w:proofErr w:type="spellStart"/>
      <w:r w:rsidRPr="0029238E">
        <w:rPr>
          <w:rFonts w:ascii="Times New Roman" w:eastAsia="Calibri" w:hAnsi="Times New Roman" w:cs="Times New Roman"/>
          <w:sz w:val="24"/>
          <w:szCs w:val="24"/>
          <w:lang w:val="en-IN"/>
        </w:rPr>
        <w:t>myelogenous</w:t>
      </w:r>
      <w:proofErr w:type="spellEnd"/>
      <w:r w:rsidRPr="0029238E">
        <w:rPr>
          <w:rFonts w:ascii="Times New Roman" w:eastAsia="Calibri" w:hAnsi="Times New Roman" w:cs="Times New Roman"/>
          <w:sz w:val="24"/>
          <w:szCs w:val="24"/>
          <w:lang w:val="en-IN"/>
        </w:rPr>
        <w:t xml:space="preserve">, </w:t>
      </w:r>
      <w:proofErr w:type="spellStart"/>
      <w:r w:rsidRPr="0029238E">
        <w:rPr>
          <w:rFonts w:ascii="Times New Roman" w:eastAsia="Calibri" w:hAnsi="Times New Roman" w:cs="Times New Roman"/>
          <w:sz w:val="24"/>
          <w:szCs w:val="24"/>
          <w:lang w:val="en-IN"/>
        </w:rPr>
        <w:t>myeloblastic</w:t>
      </w:r>
      <w:proofErr w:type="spellEnd"/>
      <w:r w:rsidRPr="0029238E">
        <w:rPr>
          <w:rFonts w:ascii="Times New Roman" w:eastAsia="Calibri" w:hAnsi="Times New Roman" w:cs="Times New Roman"/>
          <w:sz w:val="24"/>
          <w:szCs w:val="24"/>
          <w:lang w:val="en-IN"/>
        </w:rPr>
        <w:t xml:space="preserve">, </w:t>
      </w:r>
      <w:proofErr w:type="spellStart"/>
      <w:r w:rsidRPr="0029238E">
        <w:rPr>
          <w:rFonts w:ascii="Times New Roman" w:eastAsia="Calibri" w:hAnsi="Times New Roman" w:cs="Times New Roman"/>
          <w:sz w:val="24"/>
          <w:szCs w:val="24"/>
          <w:lang w:val="en-IN"/>
        </w:rPr>
        <w:t>myelomonoblastic</w:t>
      </w:r>
      <w:proofErr w:type="spellEnd"/>
      <w:r w:rsidRPr="0029238E">
        <w:rPr>
          <w:rFonts w:ascii="Times New Roman" w:eastAsia="Calibri" w:hAnsi="Times New Roman" w:cs="Times New Roman"/>
          <w:sz w:val="24"/>
          <w:szCs w:val="24"/>
          <w:lang w:val="en-IN"/>
        </w:rPr>
        <w:t>).</w:t>
      </w:r>
    </w:p>
    <w:p w:rsidR="0029238E" w:rsidRPr="0029238E" w:rsidRDefault="0029238E" w:rsidP="0029238E">
      <w:pPr>
        <w:spacing w:after="160" w:line="360" w:lineRule="auto"/>
        <w:jc w:val="both"/>
        <w:rPr>
          <w:rFonts w:ascii="Times New Roman" w:eastAsia="Calibri" w:hAnsi="Times New Roman" w:cs="Times New Roman"/>
          <w:sz w:val="24"/>
          <w:szCs w:val="24"/>
          <w:lang w:val="en-IN"/>
        </w:rPr>
      </w:pPr>
      <w:r w:rsidRPr="0029238E">
        <w:rPr>
          <w:rFonts w:ascii="Times New Roman" w:eastAsia="Calibri" w:hAnsi="Times New Roman" w:cs="Times New Roman"/>
          <w:sz w:val="24"/>
          <w:szCs w:val="24"/>
          <w:lang w:val="en-IN"/>
        </w:rPr>
        <w:t>ALL is primarily a paediatric disease, with peak incidence between 3-5 years of age. It is the most common malignant disease of childhood, also presenting during adolescence and, less frequently, in adults.</w:t>
      </w:r>
    </w:p>
    <w:p w:rsidR="0029238E" w:rsidRPr="0029238E" w:rsidRDefault="0029238E" w:rsidP="0029238E">
      <w:pPr>
        <w:spacing w:after="160" w:line="360" w:lineRule="auto"/>
        <w:jc w:val="both"/>
        <w:rPr>
          <w:rFonts w:ascii="Times New Roman" w:eastAsia="Calibri" w:hAnsi="Times New Roman" w:cs="Times New Roman"/>
          <w:sz w:val="24"/>
          <w:szCs w:val="24"/>
          <w:lang w:val="en-IN"/>
        </w:rPr>
      </w:pPr>
      <w:r w:rsidRPr="0029238E">
        <w:rPr>
          <w:rFonts w:ascii="Times New Roman" w:eastAsia="Calibri" w:hAnsi="Times New Roman" w:cs="Times New Roman"/>
          <w:sz w:val="24"/>
          <w:szCs w:val="24"/>
          <w:lang w:val="en-IN"/>
        </w:rPr>
        <w:t>In adults, LNLA is the most prevalent form of acute leukaemia and the kind most commonly linked to irradiation as the causative agent. It is also known as the second malignancy after anticancer chemotherapy (</w:t>
      </w:r>
      <w:proofErr w:type="spellStart"/>
      <w:r w:rsidRPr="0029238E">
        <w:rPr>
          <w:rFonts w:ascii="Times New Roman" w:eastAsia="Calibri" w:hAnsi="Times New Roman" w:cs="Times New Roman"/>
          <w:sz w:val="24"/>
          <w:szCs w:val="24"/>
          <w:lang w:val="en-IN"/>
        </w:rPr>
        <w:t>Rafiq</w:t>
      </w:r>
      <w:proofErr w:type="spellEnd"/>
      <w:r w:rsidRPr="0029238E">
        <w:rPr>
          <w:rFonts w:ascii="Times New Roman" w:eastAsia="Calibri" w:hAnsi="Times New Roman" w:cs="Times New Roman"/>
          <w:sz w:val="24"/>
          <w:szCs w:val="24"/>
          <w:lang w:val="en-IN"/>
        </w:rPr>
        <w:t>, 2</w:t>
      </w:r>
      <w:r w:rsidR="00873ACD">
        <w:rPr>
          <w:rFonts w:ascii="Times New Roman" w:eastAsia="Calibri" w:hAnsi="Times New Roman" w:cs="Times New Roman"/>
          <w:sz w:val="24"/>
          <w:szCs w:val="24"/>
          <w:lang w:val="en-IN"/>
        </w:rPr>
        <w:t>0</w:t>
      </w:r>
      <w:r w:rsidRPr="0029238E">
        <w:rPr>
          <w:rFonts w:ascii="Times New Roman" w:eastAsia="Calibri" w:hAnsi="Times New Roman" w:cs="Times New Roman"/>
          <w:sz w:val="24"/>
          <w:szCs w:val="24"/>
          <w:lang w:val="en-IN"/>
        </w:rPr>
        <w:t>18).</w:t>
      </w:r>
    </w:p>
    <w:p w:rsidR="00F87309" w:rsidRPr="00F87309" w:rsidRDefault="00F87309" w:rsidP="00F87309">
      <w:pPr>
        <w:spacing w:after="160" w:line="360" w:lineRule="auto"/>
        <w:jc w:val="both"/>
        <w:rPr>
          <w:rFonts w:ascii="Times New Roman" w:eastAsia="Calibri" w:hAnsi="Times New Roman" w:cs="Times New Roman"/>
          <w:b/>
          <w:bCs/>
          <w:sz w:val="24"/>
          <w:szCs w:val="24"/>
          <w:lang w:val="en-IN"/>
        </w:rPr>
      </w:pPr>
      <w:r w:rsidRPr="00F87309">
        <w:rPr>
          <w:rFonts w:ascii="Times New Roman" w:eastAsia="Calibri" w:hAnsi="Times New Roman" w:cs="Times New Roman"/>
          <w:b/>
          <w:bCs/>
          <w:sz w:val="24"/>
          <w:szCs w:val="24"/>
          <w:lang w:val="en-IN"/>
        </w:rPr>
        <w:t xml:space="preserve">Objective </w:t>
      </w:r>
    </w:p>
    <w:p w:rsidR="00F87309" w:rsidRPr="00F87309" w:rsidRDefault="00F87309" w:rsidP="00F87309">
      <w:pPr>
        <w:spacing w:after="160" w:line="360" w:lineRule="auto"/>
        <w:jc w:val="both"/>
        <w:rPr>
          <w:rFonts w:ascii="Times New Roman" w:eastAsia="Calibri" w:hAnsi="Times New Roman" w:cs="Times New Roman"/>
          <w:sz w:val="24"/>
          <w:szCs w:val="24"/>
          <w:lang w:val="en-IN"/>
        </w:rPr>
      </w:pPr>
      <w:r w:rsidRPr="00F87309">
        <w:rPr>
          <w:rFonts w:ascii="Times New Roman" w:eastAsia="Calibri" w:hAnsi="Times New Roman" w:cs="Times New Roman"/>
          <w:sz w:val="24"/>
          <w:szCs w:val="24"/>
          <w:lang w:val="en-IN"/>
        </w:rPr>
        <w:t>Investigate the expression of multiple drug resistance genes and proteins (</w:t>
      </w:r>
      <w:r w:rsidRPr="00F87309">
        <w:rPr>
          <w:rFonts w:ascii="Times New Roman" w:eastAsia="Calibri" w:hAnsi="Times New Roman" w:cs="Times New Roman"/>
          <w:i/>
          <w:iCs/>
          <w:sz w:val="24"/>
          <w:szCs w:val="24"/>
          <w:lang w:val="en-IN"/>
        </w:rPr>
        <w:t>abcb1</w:t>
      </w:r>
      <w:r w:rsidRPr="00F87309">
        <w:rPr>
          <w:rFonts w:ascii="Times New Roman" w:eastAsia="Calibri" w:hAnsi="Times New Roman" w:cs="Times New Roman"/>
          <w:sz w:val="24"/>
          <w:szCs w:val="24"/>
          <w:lang w:val="en-IN"/>
        </w:rPr>
        <w:t xml:space="preserve"> / ABCB1, abcc1 / ABCC1 and </w:t>
      </w:r>
      <w:proofErr w:type="spellStart"/>
      <w:r w:rsidRPr="00F87309">
        <w:rPr>
          <w:rFonts w:ascii="Times New Roman" w:eastAsia="Calibri" w:hAnsi="Times New Roman" w:cs="Times New Roman"/>
          <w:i/>
          <w:iCs/>
          <w:sz w:val="24"/>
          <w:szCs w:val="24"/>
          <w:lang w:val="en-IN"/>
        </w:rPr>
        <w:t>lrp</w:t>
      </w:r>
      <w:proofErr w:type="spellEnd"/>
      <w:r w:rsidRPr="00F87309">
        <w:rPr>
          <w:rFonts w:ascii="Times New Roman" w:eastAsia="Calibri" w:hAnsi="Times New Roman" w:cs="Times New Roman"/>
          <w:i/>
          <w:iCs/>
          <w:sz w:val="24"/>
          <w:szCs w:val="24"/>
          <w:vertAlign w:val="superscript"/>
          <w:lang w:val="en-IN"/>
        </w:rPr>
        <w:footnoteReference w:id="1"/>
      </w:r>
      <w:r w:rsidRPr="00F87309">
        <w:rPr>
          <w:rFonts w:ascii="Times New Roman" w:eastAsia="Calibri" w:hAnsi="Times New Roman" w:cs="Times New Roman"/>
          <w:sz w:val="24"/>
          <w:szCs w:val="24"/>
          <w:lang w:val="en-IN"/>
        </w:rPr>
        <w:t xml:space="preserve"> / LRP) as molecular markers of differential diagnosis, stratification of prognosis and detection of minimal residual disease in patients with acute </w:t>
      </w:r>
      <w:proofErr w:type="spellStart"/>
      <w:r w:rsidRPr="00F87309">
        <w:rPr>
          <w:rFonts w:ascii="Times New Roman" w:eastAsia="Calibri" w:hAnsi="Times New Roman" w:cs="Times New Roman"/>
          <w:sz w:val="24"/>
          <w:szCs w:val="24"/>
          <w:lang w:val="en-IN"/>
        </w:rPr>
        <w:t>leukemia</w:t>
      </w:r>
      <w:proofErr w:type="spellEnd"/>
      <w:r w:rsidRPr="00F87309">
        <w:rPr>
          <w:rFonts w:ascii="Times New Roman" w:eastAsia="Calibri" w:hAnsi="Times New Roman" w:cs="Times New Roman"/>
          <w:sz w:val="24"/>
          <w:szCs w:val="24"/>
          <w:lang w:val="en-IN"/>
        </w:rPr>
        <w:t xml:space="preserve"> (ALs) assisted by the </w:t>
      </w:r>
      <w:proofErr w:type="spellStart"/>
      <w:r w:rsidRPr="00F87309">
        <w:rPr>
          <w:rFonts w:ascii="Times New Roman" w:eastAsia="Calibri" w:hAnsi="Times New Roman" w:cs="Times New Roman"/>
          <w:sz w:val="24"/>
          <w:szCs w:val="24"/>
          <w:lang w:val="en-IN"/>
        </w:rPr>
        <w:t>Oncohematology</w:t>
      </w:r>
      <w:proofErr w:type="spellEnd"/>
      <w:r w:rsidRPr="00F87309">
        <w:rPr>
          <w:rFonts w:ascii="Times New Roman" w:eastAsia="Calibri" w:hAnsi="Times New Roman" w:cs="Times New Roman"/>
          <w:sz w:val="24"/>
          <w:szCs w:val="24"/>
          <w:lang w:val="en-IN"/>
        </w:rPr>
        <w:t xml:space="preserve"> Service of the Baghdad University, Baghdad, Iraq.</w:t>
      </w:r>
    </w:p>
    <w:p w:rsidR="00F87309" w:rsidRPr="00F87309" w:rsidRDefault="00F87309" w:rsidP="00F87309">
      <w:pPr>
        <w:numPr>
          <w:ilvl w:val="0"/>
          <w:numId w:val="2"/>
        </w:numPr>
        <w:spacing w:after="160" w:line="360" w:lineRule="auto"/>
        <w:jc w:val="both"/>
        <w:rPr>
          <w:rFonts w:ascii="Times New Roman" w:eastAsia="Calibri" w:hAnsi="Times New Roman" w:cs="Times New Roman"/>
          <w:sz w:val="24"/>
          <w:szCs w:val="24"/>
          <w:lang w:val="en-IN"/>
        </w:rPr>
      </w:pPr>
      <w:r w:rsidRPr="00F87309">
        <w:rPr>
          <w:rFonts w:ascii="Times New Roman" w:eastAsia="Calibri" w:hAnsi="Times New Roman" w:cs="Times New Roman"/>
          <w:sz w:val="24"/>
          <w:szCs w:val="24"/>
          <w:lang w:val="en-IN"/>
        </w:rPr>
        <w:t xml:space="preserve">Establish the laboratory profile of patients with AL treated by the </w:t>
      </w:r>
      <w:proofErr w:type="spellStart"/>
      <w:r w:rsidRPr="00F87309">
        <w:rPr>
          <w:rFonts w:ascii="Times New Roman" w:eastAsia="Calibri" w:hAnsi="Times New Roman" w:cs="Times New Roman"/>
          <w:sz w:val="24"/>
          <w:szCs w:val="24"/>
          <w:lang w:val="en-IN"/>
        </w:rPr>
        <w:t>Oncohematology</w:t>
      </w:r>
      <w:proofErr w:type="spellEnd"/>
      <w:r w:rsidRPr="00F87309">
        <w:rPr>
          <w:rFonts w:ascii="Times New Roman" w:eastAsia="Calibri" w:hAnsi="Times New Roman" w:cs="Times New Roman"/>
          <w:sz w:val="24"/>
          <w:szCs w:val="24"/>
          <w:lang w:val="en-IN"/>
        </w:rPr>
        <w:t xml:space="preserve"> Service at the time of diagnosis, using as parameters </w:t>
      </w:r>
      <w:proofErr w:type="spellStart"/>
      <w:r w:rsidRPr="00F87309">
        <w:rPr>
          <w:rFonts w:ascii="Times New Roman" w:eastAsia="Calibri" w:hAnsi="Times New Roman" w:cs="Times New Roman"/>
          <w:sz w:val="24"/>
          <w:szCs w:val="24"/>
          <w:lang w:val="en-IN"/>
        </w:rPr>
        <w:t>leukometry</w:t>
      </w:r>
      <w:proofErr w:type="spellEnd"/>
      <w:r w:rsidRPr="00F87309">
        <w:rPr>
          <w:rFonts w:ascii="Times New Roman" w:eastAsia="Calibri" w:hAnsi="Times New Roman" w:cs="Times New Roman"/>
          <w:sz w:val="24"/>
          <w:szCs w:val="24"/>
          <w:lang w:val="en-IN"/>
        </w:rPr>
        <w:t xml:space="preserve">, the percentage of blasts, the presence of CD34 and CD56 markers, the activity of lactate dehydrogenase (LDH) and </w:t>
      </w:r>
      <w:proofErr w:type="spellStart"/>
      <w:r w:rsidRPr="00F87309">
        <w:rPr>
          <w:rFonts w:ascii="Times New Roman" w:eastAsia="Calibri" w:hAnsi="Times New Roman" w:cs="Times New Roman"/>
          <w:sz w:val="24"/>
          <w:szCs w:val="24"/>
          <w:lang w:val="en-IN"/>
        </w:rPr>
        <w:t>submicroscopic</w:t>
      </w:r>
      <w:proofErr w:type="spellEnd"/>
      <w:r w:rsidRPr="00F87309">
        <w:rPr>
          <w:rFonts w:ascii="Times New Roman" w:eastAsia="Calibri" w:hAnsi="Times New Roman" w:cs="Times New Roman"/>
          <w:sz w:val="24"/>
          <w:szCs w:val="24"/>
          <w:lang w:val="en-IN"/>
        </w:rPr>
        <w:t xml:space="preserve"> cytogenetic and genetic abnormalities);</w:t>
      </w:r>
    </w:p>
    <w:p w:rsidR="00F87309" w:rsidRPr="00F87309" w:rsidRDefault="00F87309" w:rsidP="00F87309">
      <w:pPr>
        <w:numPr>
          <w:ilvl w:val="0"/>
          <w:numId w:val="2"/>
        </w:numPr>
        <w:spacing w:after="160" w:line="360" w:lineRule="auto"/>
        <w:jc w:val="both"/>
        <w:rPr>
          <w:rFonts w:ascii="Times New Roman" w:eastAsia="Calibri" w:hAnsi="Times New Roman" w:cs="Times New Roman"/>
          <w:sz w:val="24"/>
          <w:szCs w:val="24"/>
          <w:lang w:val="en-IN"/>
        </w:rPr>
      </w:pPr>
      <w:r w:rsidRPr="00F87309">
        <w:rPr>
          <w:rFonts w:ascii="Times New Roman" w:eastAsia="Calibri" w:hAnsi="Times New Roman" w:cs="Times New Roman"/>
          <w:sz w:val="24"/>
          <w:szCs w:val="24"/>
          <w:lang w:val="en-IN"/>
        </w:rPr>
        <w:t>Investigate, by reverse transcription - semi-quantitative polymerase chain reaction (RT-PCR), the transcription profile of multiple drug resistance genes (</w:t>
      </w:r>
      <w:r w:rsidRPr="00F87309">
        <w:rPr>
          <w:rFonts w:ascii="Times New Roman" w:eastAsia="Calibri" w:hAnsi="Times New Roman" w:cs="Times New Roman"/>
          <w:i/>
          <w:iCs/>
          <w:sz w:val="24"/>
          <w:szCs w:val="24"/>
          <w:lang w:val="en-IN"/>
        </w:rPr>
        <w:t>abcb1</w:t>
      </w:r>
      <w:r w:rsidRPr="00F87309">
        <w:rPr>
          <w:rFonts w:ascii="Times New Roman" w:eastAsia="Calibri" w:hAnsi="Times New Roman" w:cs="Times New Roman"/>
          <w:sz w:val="24"/>
          <w:szCs w:val="24"/>
          <w:lang w:val="en-IN"/>
        </w:rPr>
        <w:t xml:space="preserve">, abcc1 and </w:t>
      </w:r>
      <w:proofErr w:type="spellStart"/>
      <w:r w:rsidRPr="00F87309">
        <w:rPr>
          <w:rFonts w:ascii="Times New Roman" w:eastAsia="Calibri" w:hAnsi="Times New Roman" w:cs="Times New Roman"/>
          <w:i/>
          <w:iCs/>
          <w:sz w:val="24"/>
          <w:szCs w:val="24"/>
          <w:lang w:val="en-IN"/>
        </w:rPr>
        <w:t>lrp</w:t>
      </w:r>
      <w:proofErr w:type="spellEnd"/>
      <w:r w:rsidRPr="00F87309">
        <w:rPr>
          <w:rFonts w:ascii="Times New Roman" w:eastAsia="Calibri" w:hAnsi="Times New Roman" w:cs="Times New Roman"/>
          <w:sz w:val="24"/>
          <w:szCs w:val="24"/>
          <w:lang w:val="en-IN"/>
        </w:rPr>
        <w:t>) in mononuclear cells of patients diagnosed with AL before the first therapy and during chemotherapy treatment;</w:t>
      </w:r>
    </w:p>
    <w:p w:rsidR="00F87309" w:rsidRPr="00F87309" w:rsidRDefault="00F87309" w:rsidP="00F87309">
      <w:pPr>
        <w:numPr>
          <w:ilvl w:val="0"/>
          <w:numId w:val="2"/>
        </w:numPr>
        <w:spacing w:after="160" w:line="360" w:lineRule="auto"/>
        <w:jc w:val="both"/>
        <w:rPr>
          <w:rFonts w:ascii="Times New Roman" w:eastAsia="Calibri" w:hAnsi="Times New Roman" w:cs="Times New Roman"/>
          <w:sz w:val="24"/>
          <w:szCs w:val="24"/>
          <w:lang w:val="en-IN"/>
        </w:rPr>
      </w:pPr>
      <w:r w:rsidRPr="00F87309">
        <w:rPr>
          <w:rFonts w:ascii="Times New Roman" w:eastAsia="Calibri" w:hAnsi="Times New Roman" w:cs="Times New Roman"/>
          <w:sz w:val="24"/>
          <w:szCs w:val="24"/>
          <w:lang w:val="en-IN"/>
        </w:rPr>
        <w:t xml:space="preserve">Investigate, by flow </w:t>
      </w:r>
      <w:proofErr w:type="spellStart"/>
      <w:r w:rsidRPr="00F87309">
        <w:rPr>
          <w:rFonts w:ascii="Times New Roman" w:eastAsia="Calibri" w:hAnsi="Times New Roman" w:cs="Times New Roman"/>
          <w:sz w:val="24"/>
          <w:szCs w:val="24"/>
          <w:lang w:val="en-IN"/>
        </w:rPr>
        <w:t>cytometry</w:t>
      </w:r>
      <w:proofErr w:type="spellEnd"/>
      <w:r w:rsidRPr="00F87309">
        <w:rPr>
          <w:rFonts w:ascii="Times New Roman" w:eastAsia="Calibri" w:hAnsi="Times New Roman" w:cs="Times New Roman"/>
          <w:sz w:val="24"/>
          <w:szCs w:val="24"/>
          <w:lang w:val="en-IN"/>
        </w:rPr>
        <w:t>, the expression profile of multiple drug resistance proteins (ABCB1, ABCC1 and LRP) in the leukemic blasts of patients diagnosed with AL before the first therapy and during the chemotherapy treatment;</w:t>
      </w:r>
    </w:p>
    <w:p w:rsidR="00F87309" w:rsidRPr="00F87309" w:rsidRDefault="00F87309" w:rsidP="00F87309">
      <w:pPr>
        <w:numPr>
          <w:ilvl w:val="0"/>
          <w:numId w:val="2"/>
        </w:numPr>
        <w:spacing w:after="160" w:line="360" w:lineRule="auto"/>
        <w:jc w:val="both"/>
        <w:rPr>
          <w:rFonts w:ascii="Times New Roman" w:eastAsia="Calibri" w:hAnsi="Times New Roman" w:cs="Times New Roman"/>
          <w:sz w:val="24"/>
          <w:szCs w:val="24"/>
          <w:lang w:val="en-IN"/>
        </w:rPr>
      </w:pPr>
      <w:r w:rsidRPr="00F87309">
        <w:rPr>
          <w:rFonts w:ascii="Times New Roman" w:eastAsia="Calibri" w:hAnsi="Times New Roman" w:cs="Times New Roman"/>
          <w:sz w:val="24"/>
          <w:szCs w:val="24"/>
          <w:lang w:val="en-IN"/>
        </w:rPr>
        <w:lastRenderedPageBreak/>
        <w:t xml:space="preserve">Investigate, by polymerase chain reaction (PCR), the frequency of FMS3-DIT, FMS3-D835 and JAK2V617F mutations at the time of diagnosis in patients with AL; </w:t>
      </w:r>
    </w:p>
    <w:p w:rsidR="00F87309" w:rsidRPr="00F87309" w:rsidRDefault="00F87309" w:rsidP="00F87309">
      <w:pPr>
        <w:numPr>
          <w:ilvl w:val="0"/>
          <w:numId w:val="2"/>
        </w:numPr>
        <w:spacing w:after="160" w:line="360" w:lineRule="auto"/>
        <w:jc w:val="both"/>
        <w:rPr>
          <w:rFonts w:ascii="Times New Roman" w:eastAsia="Calibri" w:hAnsi="Times New Roman" w:cs="Times New Roman"/>
          <w:sz w:val="24"/>
          <w:szCs w:val="24"/>
          <w:lang w:val="en-IN"/>
        </w:rPr>
      </w:pPr>
      <w:r w:rsidRPr="00F87309">
        <w:rPr>
          <w:rFonts w:ascii="Times New Roman" w:eastAsia="Calibri" w:hAnsi="Times New Roman" w:cs="Times New Roman"/>
          <w:sz w:val="24"/>
          <w:szCs w:val="24"/>
          <w:lang w:val="en-IN"/>
        </w:rPr>
        <w:t>Investigate the transcription profile of the surviving gene in patients with AL;</w:t>
      </w:r>
    </w:p>
    <w:p w:rsidR="00F87309" w:rsidRPr="00F87309" w:rsidRDefault="00F87309" w:rsidP="00F87309">
      <w:pPr>
        <w:numPr>
          <w:ilvl w:val="0"/>
          <w:numId w:val="2"/>
        </w:numPr>
        <w:spacing w:after="160" w:line="360" w:lineRule="auto"/>
        <w:jc w:val="both"/>
        <w:rPr>
          <w:rFonts w:ascii="Times New Roman" w:eastAsia="Calibri" w:hAnsi="Times New Roman" w:cs="Times New Roman"/>
          <w:sz w:val="24"/>
          <w:szCs w:val="24"/>
          <w:lang w:val="en-IN"/>
        </w:rPr>
      </w:pPr>
      <w:r w:rsidRPr="00F87309">
        <w:rPr>
          <w:rFonts w:ascii="Times New Roman" w:eastAsia="Calibri" w:hAnsi="Times New Roman" w:cs="Times New Roman"/>
          <w:sz w:val="24"/>
          <w:szCs w:val="24"/>
          <w:lang w:val="en-IN"/>
        </w:rPr>
        <w:t>Verify the association between the expression of genes and proteins that are resistant to multiple drugs and the clinical response of patients diagnosed with AL;</w:t>
      </w:r>
    </w:p>
    <w:p w:rsidR="00F87309" w:rsidRPr="00F87309" w:rsidRDefault="00F87309" w:rsidP="00F87309">
      <w:pPr>
        <w:numPr>
          <w:ilvl w:val="0"/>
          <w:numId w:val="2"/>
        </w:numPr>
        <w:spacing w:after="160" w:line="360" w:lineRule="auto"/>
        <w:jc w:val="both"/>
        <w:rPr>
          <w:rFonts w:ascii="Times New Roman" w:eastAsia="Calibri" w:hAnsi="Times New Roman" w:cs="Times New Roman"/>
          <w:sz w:val="24"/>
          <w:szCs w:val="24"/>
          <w:lang w:val="en-IN"/>
        </w:rPr>
      </w:pPr>
      <w:r w:rsidRPr="00F87309">
        <w:rPr>
          <w:rFonts w:ascii="Times New Roman" w:eastAsia="Calibri" w:hAnsi="Times New Roman" w:cs="Times New Roman"/>
          <w:sz w:val="24"/>
          <w:szCs w:val="24"/>
          <w:lang w:val="en-IN"/>
        </w:rPr>
        <w:t>Analyse the expression of multiple drug resistance genes and proteins as an instrument for detecting minimal residual disease in patients diagnosed with AL.</w:t>
      </w:r>
    </w:p>
    <w:p w:rsidR="00473810" w:rsidRPr="00473810" w:rsidRDefault="00473810" w:rsidP="00473810">
      <w:pPr>
        <w:spacing w:after="160" w:line="360" w:lineRule="auto"/>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Materials and Methods</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Casuistry</w:t>
      </w:r>
    </w:p>
    <w:p w:rsidR="00473810" w:rsidRPr="00473810" w:rsidRDefault="00473810" w:rsidP="00BF3ED5">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For the study, consecutive samples of peripheral blood or bone marrow with EDTA were collected from patients of both genders, aged over 15 years, with suspected AL and who had been treated at Baghdad Teaching Hospital (BTH), Iraq, in the period from September 2021 to </w:t>
      </w:r>
      <w:r w:rsidR="00410497">
        <w:rPr>
          <w:rFonts w:ascii="Times New Roman" w:eastAsia="Calibri" w:hAnsi="Times New Roman" w:cs="Times New Roman"/>
          <w:sz w:val="24"/>
          <w:szCs w:val="24"/>
          <w:lang w:val="en-IN"/>
        </w:rPr>
        <w:t xml:space="preserve">July </w:t>
      </w:r>
      <w:r w:rsidRPr="00473810">
        <w:rPr>
          <w:rFonts w:ascii="Times New Roman" w:eastAsia="Calibri" w:hAnsi="Times New Roman" w:cs="Times New Roman"/>
          <w:sz w:val="24"/>
          <w:szCs w:val="24"/>
          <w:lang w:val="en-IN"/>
        </w:rPr>
        <w:t>2022. Before collecting the samples, the Free and Informed Consent Term (ICF) was signed, according to the Ethics Committee for Research in Human Beings at BTH.</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total, consecutive samples were collected from 92 patients with suspected AL. However, only patients with a final diagnosis of AL were included in the study, without a history of previous treatment of AL and who had their medical records available for consultation. Thus, nine patients who were not diagnosed with AL, three patients with recurrence of AL and five patients who did not have their medical records searched were excluded from the study, as they were not available. Therefore, 75 samples of patients diagnosed with AL were included in the study, of which 37 were from peripheral blood and 38 from bone marrow. The diagnosis of AL was based on the morphological, </w:t>
      </w:r>
      <w:proofErr w:type="spellStart"/>
      <w:r w:rsidRPr="00473810">
        <w:rPr>
          <w:rFonts w:ascii="Times New Roman" w:eastAsia="Calibri" w:hAnsi="Times New Roman" w:cs="Times New Roman"/>
          <w:sz w:val="24"/>
          <w:szCs w:val="24"/>
          <w:lang w:val="en-IN"/>
        </w:rPr>
        <w:t>immunophenotypic</w:t>
      </w:r>
      <w:proofErr w:type="spellEnd"/>
      <w:r w:rsidRPr="00473810">
        <w:rPr>
          <w:rFonts w:ascii="Times New Roman" w:eastAsia="Calibri" w:hAnsi="Times New Roman" w:cs="Times New Roman"/>
          <w:sz w:val="24"/>
          <w:szCs w:val="24"/>
          <w:lang w:val="en-IN"/>
        </w:rPr>
        <w:t xml:space="preserve">, cytogenetic and molecular evaluation of the leukemic cells. </w:t>
      </w:r>
      <w:proofErr w:type="spellStart"/>
      <w:r w:rsidRPr="00473810">
        <w:rPr>
          <w:rFonts w:ascii="Times New Roman" w:eastAsia="Calibri" w:hAnsi="Times New Roman" w:cs="Times New Roman"/>
          <w:sz w:val="24"/>
          <w:szCs w:val="24"/>
          <w:lang w:val="en-IN"/>
        </w:rPr>
        <w:t>Subclassification</w:t>
      </w:r>
      <w:proofErr w:type="spellEnd"/>
      <w:r w:rsidRPr="00473810">
        <w:rPr>
          <w:rFonts w:ascii="Times New Roman" w:eastAsia="Calibri" w:hAnsi="Times New Roman" w:cs="Times New Roman"/>
          <w:sz w:val="24"/>
          <w:szCs w:val="24"/>
          <w:lang w:val="en-IN"/>
        </w:rPr>
        <w:t xml:space="preserve"> was performed according to the World Health Organization Classification criteria for Hematopoietic and Lymphoid Tissue </w:t>
      </w:r>
      <w:proofErr w:type="spellStart"/>
      <w:r w:rsidRPr="00473810">
        <w:rPr>
          <w:rFonts w:ascii="Times New Roman" w:eastAsia="Calibri" w:hAnsi="Times New Roman" w:cs="Times New Roman"/>
          <w:sz w:val="24"/>
          <w:szCs w:val="24"/>
          <w:lang w:val="en-IN"/>
        </w:rPr>
        <w:t>Tumors</w:t>
      </w:r>
      <w:proofErr w:type="spellEnd"/>
      <w:r w:rsidRPr="00473810">
        <w:rPr>
          <w:rFonts w:ascii="Times New Roman" w:eastAsia="Calibri" w:hAnsi="Times New Roman" w:cs="Times New Roman"/>
          <w:sz w:val="24"/>
          <w:szCs w:val="24"/>
          <w:lang w:val="en-IN"/>
        </w:rPr>
        <w:t>.</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lastRenderedPageBreak/>
        <w:t xml:space="preserve">To verify the role of the </w:t>
      </w:r>
      <w:proofErr w:type="spellStart"/>
      <w:r w:rsidRPr="00473810">
        <w:rPr>
          <w:rFonts w:ascii="Times New Roman" w:eastAsia="Calibri" w:hAnsi="Times New Roman" w:cs="Times New Roman"/>
          <w:i/>
          <w:iCs/>
          <w:sz w:val="24"/>
          <w:szCs w:val="24"/>
          <w:lang w:val="en-IN"/>
        </w:rPr>
        <w:t>mdr</w:t>
      </w:r>
      <w:proofErr w:type="spellEnd"/>
      <w:r w:rsidRPr="00473810">
        <w:rPr>
          <w:rFonts w:ascii="Times New Roman" w:eastAsia="Calibri" w:hAnsi="Times New Roman" w:cs="Times New Roman"/>
          <w:sz w:val="24"/>
          <w:szCs w:val="24"/>
          <w:lang w:val="en-IN"/>
        </w:rPr>
        <w:t>/MDR profile as a tool for detecting minimal residual disease, OM samples were collected from the patients included in the present study after the end of the first cycle of induction chemotherapy. Altogether, it was possible to evaluate the expression levels of MDR genes and proteins in 32 samples of bone marrow.</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After collection, the samples were divided into three parts (Figure 1). One part was used for RNA extraction, for the synthesis of complementary DNA (</w:t>
      </w:r>
      <w:proofErr w:type="spellStart"/>
      <w:r w:rsidRPr="00473810">
        <w:rPr>
          <w:rFonts w:ascii="Times New Roman" w:eastAsia="Calibri" w:hAnsi="Times New Roman" w:cs="Times New Roman"/>
          <w:sz w:val="24"/>
          <w:szCs w:val="24"/>
          <w:lang w:val="en-IN"/>
        </w:rPr>
        <w:t>cDNA</w:t>
      </w:r>
      <w:proofErr w:type="spellEnd"/>
      <w:r w:rsidRPr="00473810">
        <w:rPr>
          <w:rFonts w:ascii="Times New Roman" w:eastAsia="Calibri" w:hAnsi="Times New Roman" w:cs="Times New Roman"/>
          <w:sz w:val="24"/>
          <w:szCs w:val="24"/>
          <w:lang w:val="en-IN"/>
        </w:rPr>
        <w:t xml:space="preserve">) and for </w:t>
      </w:r>
      <w:proofErr w:type="spellStart"/>
      <w:r w:rsidRPr="00473810">
        <w:rPr>
          <w:rFonts w:ascii="Times New Roman" w:eastAsia="Calibri" w:hAnsi="Times New Roman" w:cs="Times New Roman"/>
          <w:sz w:val="24"/>
          <w:szCs w:val="24"/>
          <w:lang w:val="en-IN"/>
        </w:rPr>
        <w:t>semiquantitative</w:t>
      </w:r>
      <w:proofErr w:type="spellEnd"/>
      <w:r w:rsidRPr="00473810">
        <w:rPr>
          <w:rFonts w:ascii="Times New Roman" w:eastAsia="Calibri" w:hAnsi="Times New Roman" w:cs="Times New Roman"/>
          <w:sz w:val="24"/>
          <w:szCs w:val="24"/>
          <w:lang w:val="en-IN"/>
        </w:rPr>
        <w:t xml:space="preserve"> RT-PCR assays. In cases where there was an indication at the time of diagnosis of a specific subtype of AL with cytogenetic alterations, the </w:t>
      </w:r>
      <w:proofErr w:type="spellStart"/>
      <w:r w:rsidRPr="00473810">
        <w:rPr>
          <w:rFonts w:ascii="Times New Roman" w:eastAsia="Calibri" w:hAnsi="Times New Roman" w:cs="Times New Roman"/>
          <w:sz w:val="24"/>
          <w:szCs w:val="24"/>
          <w:lang w:val="en-IN"/>
        </w:rPr>
        <w:t>cDNA</w:t>
      </w:r>
      <w:proofErr w:type="spellEnd"/>
      <w:r w:rsidRPr="00473810">
        <w:rPr>
          <w:rFonts w:ascii="Times New Roman" w:eastAsia="Calibri" w:hAnsi="Times New Roman" w:cs="Times New Roman"/>
          <w:sz w:val="24"/>
          <w:szCs w:val="24"/>
          <w:lang w:val="en-IN"/>
        </w:rPr>
        <w:t xml:space="preserve"> synthesized at this stage was also used to perform the search for the following translocations: TL-1, TL-2, TL-3 [t(15;17)(q22;q21)] and TL-4. The second part of the sample was used to perform the protein expression assays by flow </w:t>
      </w:r>
      <w:proofErr w:type="spellStart"/>
      <w:r w:rsidRPr="00473810">
        <w:rPr>
          <w:rFonts w:ascii="Times New Roman" w:eastAsia="Calibri" w:hAnsi="Times New Roman" w:cs="Times New Roman"/>
          <w:sz w:val="24"/>
          <w:szCs w:val="24"/>
          <w:lang w:val="en-IN"/>
        </w:rPr>
        <w:t>cytometry</w:t>
      </w:r>
      <w:proofErr w:type="spellEnd"/>
      <w:r w:rsidRPr="00473810">
        <w:rPr>
          <w:rFonts w:ascii="Times New Roman" w:eastAsia="Calibri" w:hAnsi="Times New Roman" w:cs="Times New Roman"/>
          <w:sz w:val="24"/>
          <w:szCs w:val="24"/>
          <w:lang w:val="en-IN"/>
        </w:rPr>
        <w:t xml:space="preserve"> and the third part for DNA extraction and the performance of assays to identify the presence of mutations in the FMS3 gene and in the JAK2 gene.</w:t>
      </w:r>
    </w:p>
    <w:p w:rsidR="00473810" w:rsidRPr="00473810" w:rsidRDefault="00473810" w:rsidP="00473810">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drawing>
          <wp:inline distT="0" distB="0" distL="0" distR="0" wp14:anchorId="29E5DC82" wp14:editId="72493A3F">
            <wp:extent cx="5731510" cy="36868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731510" cy="3686810"/>
                    </a:xfrm>
                    <a:prstGeom prst="rect">
                      <a:avLst/>
                    </a:prstGeom>
                  </pic:spPr>
                </pic:pic>
              </a:graphicData>
            </a:graphic>
          </wp:inline>
        </w:drawing>
      </w:r>
    </w:p>
    <w:p w:rsidR="00473810" w:rsidRPr="00473810" w:rsidRDefault="00473810" w:rsidP="00473810">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Figure 1 – Processing flowchart of peripheral blood or bone marrow samples.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lastRenderedPageBreak/>
        <w:t>After collection, part of the sample was used for RNA extraction, complementary DNA (</w:t>
      </w:r>
      <w:proofErr w:type="spellStart"/>
      <w:r w:rsidRPr="00473810">
        <w:rPr>
          <w:rFonts w:ascii="Times New Roman" w:eastAsia="Calibri" w:hAnsi="Times New Roman" w:cs="Times New Roman"/>
          <w:sz w:val="24"/>
          <w:szCs w:val="24"/>
          <w:lang w:val="en-IN"/>
        </w:rPr>
        <w:t>cDNA</w:t>
      </w:r>
      <w:proofErr w:type="spellEnd"/>
      <w:r w:rsidRPr="00473810">
        <w:rPr>
          <w:rFonts w:ascii="Times New Roman" w:eastAsia="Calibri" w:hAnsi="Times New Roman" w:cs="Times New Roman"/>
          <w:sz w:val="24"/>
          <w:szCs w:val="24"/>
          <w:lang w:val="en-IN"/>
        </w:rPr>
        <w:t xml:space="preserve">) synthesis, </w:t>
      </w:r>
      <w:proofErr w:type="spellStart"/>
      <w:r w:rsidRPr="00473810">
        <w:rPr>
          <w:rFonts w:ascii="Times New Roman" w:eastAsia="Calibri" w:hAnsi="Times New Roman" w:cs="Times New Roman"/>
          <w:sz w:val="24"/>
          <w:szCs w:val="24"/>
          <w:lang w:val="en-IN"/>
        </w:rPr>
        <w:t>semiquantitative</w:t>
      </w:r>
      <w:proofErr w:type="spellEnd"/>
      <w:r w:rsidRPr="00473810">
        <w:rPr>
          <w:rFonts w:ascii="Times New Roman" w:eastAsia="Calibri" w:hAnsi="Times New Roman" w:cs="Times New Roman"/>
          <w:sz w:val="24"/>
          <w:szCs w:val="24"/>
          <w:lang w:val="en-IN"/>
        </w:rPr>
        <w:t xml:space="preserve"> RT-PCR assays and, when indicated, the investigation of t(8;21)(q22) translocations, TL-2, TL-3 and TL-4. A second part of the sample was used for flow </w:t>
      </w:r>
      <w:proofErr w:type="spellStart"/>
      <w:r w:rsidRPr="00473810">
        <w:rPr>
          <w:rFonts w:ascii="Times New Roman" w:eastAsia="Calibri" w:hAnsi="Times New Roman" w:cs="Times New Roman"/>
          <w:sz w:val="24"/>
          <w:szCs w:val="24"/>
          <w:lang w:val="en-IN"/>
        </w:rPr>
        <w:t>cytometry</w:t>
      </w:r>
      <w:proofErr w:type="spellEnd"/>
      <w:r w:rsidRPr="00473810">
        <w:rPr>
          <w:rFonts w:ascii="Times New Roman" w:eastAsia="Calibri" w:hAnsi="Times New Roman" w:cs="Times New Roman"/>
          <w:sz w:val="24"/>
          <w:szCs w:val="24"/>
          <w:lang w:val="en-IN"/>
        </w:rPr>
        <w:t xml:space="preserve"> assays and another part for DNA extraction and the research for the presence of mutations in the FMS3 gene and in the JAK2 gene. TCLE – Free and Informed Consent Term.</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addition to molecular biology and flow </w:t>
      </w:r>
      <w:proofErr w:type="spellStart"/>
      <w:r w:rsidRPr="00473810">
        <w:rPr>
          <w:rFonts w:ascii="Times New Roman" w:eastAsia="Calibri" w:hAnsi="Times New Roman" w:cs="Times New Roman"/>
          <w:sz w:val="24"/>
          <w:szCs w:val="24"/>
          <w:lang w:val="en-IN"/>
        </w:rPr>
        <w:t>cytometry</w:t>
      </w:r>
      <w:proofErr w:type="spellEnd"/>
      <w:r w:rsidRPr="00473810">
        <w:rPr>
          <w:rFonts w:ascii="Times New Roman" w:eastAsia="Calibri" w:hAnsi="Times New Roman" w:cs="Times New Roman"/>
          <w:sz w:val="24"/>
          <w:szCs w:val="24"/>
          <w:lang w:val="en-IN"/>
        </w:rPr>
        <w:t xml:space="preserve"> assays, a search was performed on medical records to obtain clinical data and other laboratory data from patients. The following data were collected from the medical records: age, WBC and LDH levels at diagnosis, gender, </w:t>
      </w:r>
      <w:proofErr w:type="spellStart"/>
      <w:r w:rsidRPr="00473810">
        <w:rPr>
          <w:rFonts w:ascii="Times New Roman" w:eastAsia="Calibri" w:hAnsi="Times New Roman" w:cs="Times New Roman"/>
          <w:sz w:val="24"/>
          <w:szCs w:val="24"/>
          <w:lang w:val="en-IN"/>
        </w:rPr>
        <w:t>immunophenotype</w:t>
      </w:r>
      <w:proofErr w:type="spellEnd"/>
      <w:r w:rsidRPr="00473810">
        <w:rPr>
          <w:rFonts w:ascii="Times New Roman" w:eastAsia="Calibri" w:hAnsi="Times New Roman" w:cs="Times New Roman"/>
          <w:sz w:val="24"/>
          <w:szCs w:val="24"/>
          <w:lang w:val="en-IN"/>
        </w:rPr>
        <w:t xml:space="preserve">, karyotype, final diagnosis, occurrence of deaths and presence or absence of MRD after induction therapy. The absence of MRD was considered to be the occurrence of complete </w:t>
      </w:r>
      <w:proofErr w:type="spellStart"/>
      <w:r w:rsidRPr="00473810">
        <w:rPr>
          <w:rFonts w:ascii="Times New Roman" w:eastAsia="Calibri" w:hAnsi="Times New Roman" w:cs="Times New Roman"/>
          <w:sz w:val="24"/>
          <w:szCs w:val="24"/>
          <w:lang w:val="en-IN"/>
        </w:rPr>
        <w:t>hematological</w:t>
      </w:r>
      <w:proofErr w:type="spellEnd"/>
      <w:r w:rsidRPr="00473810">
        <w:rPr>
          <w:rFonts w:ascii="Times New Roman" w:eastAsia="Calibri" w:hAnsi="Times New Roman" w:cs="Times New Roman"/>
          <w:sz w:val="24"/>
          <w:szCs w:val="24"/>
          <w:lang w:val="en-IN"/>
        </w:rPr>
        <w:t xml:space="preserve"> remission, that is, the presence of 5% or less of blasts in the OM, reestablishment of normal </w:t>
      </w:r>
      <w:proofErr w:type="spellStart"/>
      <w:r w:rsidRPr="00473810">
        <w:rPr>
          <w:rFonts w:ascii="Times New Roman" w:eastAsia="Calibri" w:hAnsi="Times New Roman" w:cs="Times New Roman"/>
          <w:sz w:val="24"/>
          <w:szCs w:val="24"/>
          <w:lang w:val="en-IN"/>
        </w:rPr>
        <w:t>hematopoiesis</w:t>
      </w:r>
      <w:proofErr w:type="spellEnd"/>
      <w:r w:rsidRPr="00473810">
        <w:rPr>
          <w:rFonts w:ascii="Times New Roman" w:eastAsia="Calibri" w:hAnsi="Times New Roman" w:cs="Times New Roman"/>
          <w:sz w:val="24"/>
          <w:szCs w:val="24"/>
          <w:lang w:val="en-IN"/>
        </w:rPr>
        <w:t xml:space="preserve"> (return to normal values ​​of </w:t>
      </w:r>
      <w:proofErr w:type="spellStart"/>
      <w:r w:rsidRPr="00473810">
        <w:rPr>
          <w:rFonts w:ascii="Times New Roman" w:eastAsia="Calibri" w:hAnsi="Times New Roman" w:cs="Times New Roman"/>
          <w:sz w:val="24"/>
          <w:szCs w:val="24"/>
          <w:lang w:val="en-IN"/>
        </w:rPr>
        <w:t>hemoglobin</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leukometry</w:t>
      </w:r>
      <w:proofErr w:type="spellEnd"/>
      <w:r w:rsidRPr="00473810">
        <w:rPr>
          <w:rFonts w:ascii="Times New Roman" w:eastAsia="Calibri" w:hAnsi="Times New Roman" w:cs="Times New Roman"/>
          <w:sz w:val="24"/>
          <w:szCs w:val="24"/>
          <w:lang w:val="en-IN"/>
        </w:rPr>
        <w:t xml:space="preserve">, differential leukocyte count and platelet count). and absence of </w:t>
      </w:r>
      <w:proofErr w:type="spellStart"/>
      <w:r w:rsidRPr="00473810">
        <w:rPr>
          <w:rFonts w:ascii="Times New Roman" w:eastAsia="Calibri" w:hAnsi="Times New Roman" w:cs="Times New Roman"/>
          <w:sz w:val="24"/>
          <w:szCs w:val="24"/>
          <w:lang w:val="en-IN"/>
        </w:rPr>
        <w:t>extramedullary</w:t>
      </w:r>
      <w:proofErr w:type="spellEnd"/>
      <w:r w:rsidRPr="00473810">
        <w:rPr>
          <w:rFonts w:ascii="Times New Roman" w:eastAsia="Calibri" w:hAnsi="Times New Roman" w:cs="Times New Roman"/>
          <w:sz w:val="24"/>
          <w:szCs w:val="24"/>
          <w:lang w:val="en-IN"/>
        </w:rPr>
        <w:t xml:space="preserve"> disease after induction therapy.</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Reagents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All reagents for cell culture, molecular biology assays and DNA extraction were purchased from Sigma Aldrich. The RNA extraction kit was purchased from Thermo Fisher and the </w:t>
      </w:r>
      <w:proofErr w:type="spellStart"/>
      <w:r w:rsidRPr="00473810">
        <w:rPr>
          <w:rFonts w:ascii="Times New Roman" w:eastAsia="Calibri" w:hAnsi="Times New Roman" w:cs="Times New Roman"/>
          <w:sz w:val="24"/>
          <w:szCs w:val="24"/>
          <w:lang w:val="en-IN"/>
        </w:rPr>
        <w:t>Ficoll-Hypaque</w:t>
      </w:r>
      <w:proofErr w:type="spellEnd"/>
      <w:r w:rsidRPr="00473810">
        <w:rPr>
          <w:rFonts w:ascii="Times New Roman" w:eastAsia="Calibri" w:hAnsi="Times New Roman" w:cs="Times New Roman"/>
          <w:sz w:val="24"/>
          <w:szCs w:val="24"/>
          <w:lang w:val="en-IN"/>
        </w:rPr>
        <w:t xml:space="preserve"> (density 1077 g/m</w:t>
      </w:r>
      <w:r w:rsidRPr="00473810">
        <w:rPr>
          <w:rFonts w:ascii="Times New Roman" w:eastAsia="Calibri" w:hAnsi="Times New Roman" w:cs="Times New Roman"/>
          <w:sz w:val="24"/>
          <w:szCs w:val="24"/>
          <w:vertAlign w:val="superscript"/>
          <w:lang w:val="en-IN"/>
        </w:rPr>
        <w:t>3</w:t>
      </w:r>
      <w:r w:rsidRPr="00473810">
        <w:rPr>
          <w:rFonts w:ascii="Times New Roman" w:eastAsia="Calibri" w:hAnsi="Times New Roman" w:cs="Times New Roman"/>
          <w:sz w:val="24"/>
          <w:szCs w:val="24"/>
          <w:lang w:val="en-IN"/>
        </w:rPr>
        <w:t xml:space="preserve">) from Thermo Fisher. Anti-CD34 and anti-CD45 monoclonal antibodies were purchased from Thermo Fisher Scientific; anti-ABCB1 and anti-ABCC1, from Thermo Fisher Scientific; anti-LRP, from Millipore; and the </w:t>
      </w:r>
      <w:proofErr w:type="spellStart"/>
      <w:r w:rsidRPr="00473810">
        <w:rPr>
          <w:rFonts w:ascii="Times New Roman" w:eastAsia="Calibri" w:hAnsi="Times New Roman" w:cs="Times New Roman"/>
          <w:sz w:val="24"/>
          <w:szCs w:val="24"/>
          <w:lang w:val="en-IN"/>
        </w:rPr>
        <w:t>Alexa</w:t>
      </w:r>
      <w:proofErr w:type="spellEnd"/>
      <w:r w:rsidRPr="00473810">
        <w:rPr>
          <w:rFonts w:ascii="Times New Roman" w:eastAsia="Calibri" w:hAnsi="Times New Roman" w:cs="Times New Roman"/>
          <w:sz w:val="24"/>
          <w:szCs w:val="24"/>
          <w:lang w:val="en-IN"/>
        </w:rPr>
        <w:t xml:space="preserve"> Fluor 488, from Thermo Fisher Scientific. The fixation and </w:t>
      </w:r>
      <w:proofErr w:type="spellStart"/>
      <w:r w:rsidRPr="00473810">
        <w:rPr>
          <w:rFonts w:ascii="Times New Roman" w:eastAsia="Calibri" w:hAnsi="Times New Roman" w:cs="Times New Roman"/>
          <w:sz w:val="24"/>
          <w:szCs w:val="24"/>
          <w:lang w:val="en-IN"/>
        </w:rPr>
        <w:t>permeabilization</w:t>
      </w:r>
      <w:proofErr w:type="spellEnd"/>
      <w:r w:rsidRPr="00473810">
        <w:rPr>
          <w:rFonts w:ascii="Times New Roman" w:eastAsia="Calibri" w:hAnsi="Times New Roman" w:cs="Times New Roman"/>
          <w:sz w:val="24"/>
          <w:szCs w:val="24"/>
          <w:lang w:val="en-IN"/>
        </w:rPr>
        <w:t xml:space="preserve"> kit were purchased from Thermo Fisher Scientific (USA).</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Controls of Molecular Biology Assays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Human AL cell lines were cultured and used as positive controls for RT-PCR assays. As a positive control for the expression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/ABCB1, the AML strain of human origin K562-Lucena was used. The </w:t>
      </w:r>
      <w:proofErr w:type="spellStart"/>
      <w:r w:rsidRPr="00473810">
        <w:rPr>
          <w:rFonts w:ascii="Times New Roman" w:eastAsia="Calibri" w:hAnsi="Times New Roman" w:cs="Times New Roman"/>
          <w:sz w:val="24"/>
          <w:szCs w:val="24"/>
          <w:lang w:val="en-IN"/>
        </w:rPr>
        <w:t>Jurkat</w:t>
      </w:r>
      <w:proofErr w:type="spellEnd"/>
      <w:r w:rsidRPr="00473810">
        <w:rPr>
          <w:rFonts w:ascii="Times New Roman" w:eastAsia="Calibri" w:hAnsi="Times New Roman" w:cs="Times New Roman"/>
          <w:sz w:val="24"/>
          <w:szCs w:val="24"/>
          <w:lang w:val="en-IN"/>
        </w:rPr>
        <w:t xml:space="preserve"> human ALL lineage was used as a positive control for the expression of abcc1/ABCC1 and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/LRP. As a control of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transcription and the presence of TL-2 the AML strain of human origin K562 was used. For </w:t>
      </w:r>
      <w:r w:rsidRPr="00473810">
        <w:rPr>
          <w:rFonts w:ascii="Times New Roman" w:eastAsia="Calibri" w:hAnsi="Times New Roman" w:cs="Times New Roman"/>
          <w:sz w:val="24"/>
          <w:szCs w:val="24"/>
          <w:lang w:val="en-IN"/>
        </w:rPr>
        <w:lastRenderedPageBreak/>
        <w:t>translocations TL-1, TL-3 (TL-3) and TL-4 (TL-4), the AML strain of human origin was used as a positive control. Kasumi1, NB4 and ME-1, respectively.</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Cells were maintained in appropriate cell culture bottles containing DMEM (Dulbecco's Modified Eagle's Medium) or RPMI1640 (Roswell Park Memorial Institute 1640 Culture Medium) medium supplemented with 10% </w:t>
      </w:r>
      <w:proofErr w:type="spellStart"/>
      <w:r w:rsidRPr="00473810">
        <w:rPr>
          <w:rFonts w:ascii="Times New Roman" w:eastAsia="Calibri" w:hAnsi="Times New Roman" w:cs="Times New Roman"/>
          <w:sz w:val="24"/>
          <w:szCs w:val="24"/>
          <w:lang w:val="en-IN"/>
        </w:rPr>
        <w:t>fetal</w:t>
      </w:r>
      <w:proofErr w:type="spellEnd"/>
      <w:r w:rsidRPr="00473810">
        <w:rPr>
          <w:rFonts w:ascii="Times New Roman" w:eastAsia="Calibri" w:hAnsi="Times New Roman" w:cs="Times New Roman"/>
          <w:sz w:val="24"/>
          <w:szCs w:val="24"/>
          <w:lang w:val="en-IN"/>
        </w:rPr>
        <w:t xml:space="preserve"> bovine serum, 100 U/mL penicillin, 100 </w:t>
      </w:r>
      <w:proofErr w:type="spellStart"/>
      <w:r w:rsidRPr="00473810">
        <w:rPr>
          <w:rFonts w:ascii="Times New Roman" w:eastAsia="Calibri" w:hAnsi="Times New Roman" w:cs="Times New Roman"/>
          <w:sz w:val="24"/>
          <w:szCs w:val="24"/>
          <w:lang w:val="en-IN"/>
        </w:rPr>
        <w:t>μg</w:t>
      </w:r>
      <w:proofErr w:type="spellEnd"/>
      <w:r w:rsidRPr="00473810">
        <w:rPr>
          <w:rFonts w:ascii="Times New Roman" w:eastAsia="Calibri" w:hAnsi="Times New Roman" w:cs="Times New Roman"/>
          <w:sz w:val="24"/>
          <w:szCs w:val="24"/>
          <w:lang w:val="en-IN"/>
        </w:rPr>
        <w:t xml:space="preserve">/mL streptomycin </w:t>
      </w:r>
      <w:proofErr w:type="spellStart"/>
      <w:r w:rsidRPr="00473810">
        <w:rPr>
          <w:rFonts w:ascii="Times New Roman" w:eastAsia="Calibri" w:hAnsi="Times New Roman" w:cs="Times New Roman"/>
          <w:sz w:val="24"/>
          <w:szCs w:val="24"/>
          <w:lang w:val="en-IN"/>
        </w:rPr>
        <w:t>sulfate</w:t>
      </w:r>
      <w:proofErr w:type="spellEnd"/>
      <w:r w:rsidRPr="00473810">
        <w:rPr>
          <w:rFonts w:ascii="Times New Roman" w:eastAsia="Calibri" w:hAnsi="Times New Roman" w:cs="Times New Roman"/>
          <w:sz w:val="24"/>
          <w:szCs w:val="24"/>
          <w:lang w:val="en-IN"/>
        </w:rPr>
        <w:t xml:space="preserve"> and 10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xml:space="preserve"> HEPES buffer (4-(2-hydroxyethyl)1-piperazinyl-ethanesulfonic acid) at pH 7.4. The cells were kept in an oven with a humid atmosphere at 37 ºC containing 5% CO</w:t>
      </w:r>
      <w:r w:rsidRPr="00473810">
        <w:rPr>
          <w:rFonts w:ascii="Times New Roman" w:eastAsia="Calibri" w:hAnsi="Times New Roman" w:cs="Times New Roman"/>
          <w:sz w:val="24"/>
          <w:szCs w:val="24"/>
          <w:vertAlign w:val="subscript"/>
          <w:lang w:val="en-IN"/>
        </w:rPr>
        <w:t>2</w:t>
      </w:r>
      <w:r w:rsidRPr="00473810">
        <w:rPr>
          <w:rFonts w:ascii="Times New Roman" w:eastAsia="Calibri" w:hAnsi="Times New Roman" w:cs="Times New Roman"/>
          <w:sz w:val="24"/>
          <w:szCs w:val="24"/>
          <w:lang w:val="en-IN"/>
        </w:rPr>
        <w:t xml:space="preserve">. To carry out the experiments, the number of viable cells was evaluated by the </w:t>
      </w:r>
      <w:proofErr w:type="spellStart"/>
      <w:r w:rsidRPr="00473810">
        <w:rPr>
          <w:rFonts w:ascii="Times New Roman" w:eastAsia="Calibri" w:hAnsi="Times New Roman" w:cs="Times New Roman"/>
          <w:sz w:val="24"/>
          <w:szCs w:val="24"/>
          <w:lang w:val="en-IN"/>
        </w:rPr>
        <w:t>Trypan</w:t>
      </w:r>
      <w:proofErr w:type="spellEnd"/>
      <w:r w:rsidRPr="00473810">
        <w:rPr>
          <w:rFonts w:ascii="Times New Roman" w:eastAsia="Calibri" w:hAnsi="Times New Roman" w:cs="Times New Roman"/>
          <w:sz w:val="24"/>
          <w:szCs w:val="24"/>
          <w:lang w:val="en-IN"/>
        </w:rPr>
        <w:t xml:space="preserve"> Blue dye exclusion method (0.5%) and only samples with viability greater than 80% were used.</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In the PCR reactions for the detection of mutations in the FMS3 and JAK2 gene, samples from patients previously identified as carriers of these mutations were used as positive controls.</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RNA Extraction</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Total RNA was extracted from mononuclear cells from patients diagnosed with AL using the </w:t>
      </w:r>
      <w:proofErr w:type="spellStart"/>
      <w:r w:rsidRPr="00473810">
        <w:rPr>
          <w:rFonts w:ascii="Times New Roman" w:eastAsia="Calibri" w:hAnsi="Times New Roman" w:cs="Times New Roman"/>
          <w:sz w:val="24"/>
          <w:szCs w:val="24"/>
          <w:lang w:val="en-IN"/>
        </w:rPr>
        <w:t>QIAamp</w:t>
      </w:r>
      <w:proofErr w:type="spellEnd"/>
      <w:r w:rsidRPr="00473810">
        <w:rPr>
          <w:rFonts w:ascii="Times New Roman" w:eastAsia="Calibri" w:hAnsi="Times New Roman" w:cs="Times New Roman"/>
          <w:sz w:val="24"/>
          <w:szCs w:val="24"/>
          <w:lang w:val="en-IN"/>
        </w:rPr>
        <w:t xml:space="preserve"> RNA Blood Mini Kit according to the manufacturer's instructions.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Briefly, mononuclear cells were obtained by density gradient difference from peripheral blood or bone marrow. For this, the samples were diluted in phosphate buffer (PBS) in a proportion of 2:1 (1 mL of sample for 0.5 mL of PBS). After dilution, the sample was placed on 4 mL of </w:t>
      </w:r>
      <w:proofErr w:type="spellStart"/>
      <w:r w:rsidRPr="00473810">
        <w:rPr>
          <w:rFonts w:ascii="Times New Roman" w:eastAsia="Calibri" w:hAnsi="Times New Roman" w:cs="Times New Roman"/>
          <w:sz w:val="24"/>
          <w:szCs w:val="24"/>
          <w:lang w:val="en-IN"/>
        </w:rPr>
        <w:t>Ficoll-Hypaque</w:t>
      </w:r>
      <w:proofErr w:type="spellEnd"/>
      <w:r w:rsidRPr="00473810">
        <w:rPr>
          <w:rFonts w:ascii="Times New Roman" w:eastAsia="Calibri" w:hAnsi="Times New Roman" w:cs="Times New Roman"/>
          <w:sz w:val="24"/>
          <w:szCs w:val="24"/>
          <w:lang w:val="en-IN"/>
        </w:rPr>
        <w:t xml:space="preserve"> (density 1077 g/m3) and centrifuged at 300 g for 30 minutes. The interphase with the mononuclear cells was transferred to a conical tube, suspended in 10 ml of PBS buffer and centrifuged at 200 g for 10 minutes. After centrifugation, the supernatant was discarded and the cells were washed again with PBS. At the end of the washes, the cells were suspended in 3 ml of erythrocyte </w:t>
      </w:r>
      <w:proofErr w:type="spellStart"/>
      <w:r w:rsidRPr="00473810">
        <w:rPr>
          <w:rFonts w:ascii="Times New Roman" w:eastAsia="Calibri" w:hAnsi="Times New Roman" w:cs="Times New Roman"/>
          <w:sz w:val="24"/>
          <w:szCs w:val="24"/>
          <w:lang w:val="en-IN"/>
        </w:rPr>
        <w:t>lysis</w:t>
      </w:r>
      <w:proofErr w:type="spellEnd"/>
      <w:r w:rsidRPr="00473810">
        <w:rPr>
          <w:rFonts w:ascii="Times New Roman" w:eastAsia="Calibri" w:hAnsi="Times New Roman" w:cs="Times New Roman"/>
          <w:sz w:val="24"/>
          <w:szCs w:val="24"/>
          <w:lang w:val="en-IN"/>
        </w:rPr>
        <w:t xml:space="preserve"> buffer, provided by the kit, and incubated on ice for 15 minutes. After incubation, the cells were subjected to centrifugation at 400 g for 10 minutes at 4 °C. Mononuclear leukocytes were lysed using 600 µL of </w:t>
      </w:r>
      <w:proofErr w:type="spellStart"/>
      <w:r w:rsidRPr="00473810">
        <w:rPr>
          <w:rFonts w:ascii="Times New Roman" w:eastAsia="Calibri" w:hAnsi="Times New Roman" w:cs="Times New Roman"/>
          <w:sz w:val="24"/>
          <w:szCs w:val="24"/>
          <w:lang w:val="en-IN"/>
        </w:rPr>
        <w:t>lysis</w:t>
      </w:r>
      <w:proofErr w:type="spellEnd"/>
      <w:r w:rsidRPr="00473810">
        <w:rPr>
          <w:rFonts w:ascii="Times New Roman" w:eastAsia="Calibri" w:hAnsi="Times New Roman" w:cs="Times New Roman"/>
          <w:sz w:val="24"/>
          <w:szCs w:val="24"/>
          <w:lang w:val="en-IN"/>
        </w:rPr>
        <w:t xml:space="preserve"> buffer, provided by the kit, and 0.1% β-</w:t>
      </w:r>
      <w:proofErr w:type="spellStart"/>
      <w:r w:rsidRPr="00473810">
        <w:rPr>
          <w:rFonts w:ascii="Times New Roman" w:eastAsia="Calibri" w:hAnsi="Times New Roman" w:cs="Times New Roman"/>
          <w:sz w:val="24"/>
          <w:szCs w:val="24"/>
          <w:lang w:val="en-IN"/>
        </w:rPr>
        <w:t>mercaptoethanol</w:t>
      </w:r>
      <w:proofErr w:type="spellEnd"/>
      <w:r w:rsidRPr="00473810">
        <w:rPr>
          <w:rFonts w:ascii="Times New Roman" w:eastAsia="Calibri" w:hAnsi="Times New Roman" w:cs="Times New Roman"/>
          <w:sz w:val="24"/>
          <w:szCs w:val="24"/>
          <w:lang w:val="en-IN"/>
        </w:rPr>
        <w:t xml:space="preserve">. The leukocyte lysate was transferred to the </w:t>
      </w:r>
      <w:proofErr w:type="spellStart"/>
      <w:r w:rsidRPr="00473810">
        <w:rPr>
          <w:rFonts w:ascii="Times New Roman" w:eastAsia="Calibri" w:hAnsi="Times New Roman" w:cs="Times New Roman"/>
          <w:sz w:val="24"/>
          <w:szCs w:val="24"/>
          <w:lang w:val="en-IN"/>
        </w:rPr>
        <w:t>QIAshredder</w:t>
      </w:r>
      <w:proofErr w:type="spellEnd"/>
      <w:r w:rsidRPr="00473810">
        <w:rPr>
          <w:rFonts w:ascii="Times New Roman" w:eastAsia="Calibri" w:hAnsi="Times New Roman" w:cs="Times New Roman"/>
          <w:sz w:val="24"/>
          <w:szCs w:val="24"/>
          <w:lang w:val="en-IN"/>
        </w:rPr>
        <w:t xml:space="preserve"> column and centrifuged at 10,000 g for 2 minutes. The column was discarded and 600 µL of 70% ethanol was added to the </w:t>
      </w:r>
      <w:r w:rsidRPr="00473810">
        <w:rPr>
          <w:rFonts w:ascii="Times New Roman" w:eastAsia="Calibri" w:hAnsi="Times New Roman" w:cs="Times New Roman"/>
          <w:sz w:val="24"/>
          <w:szCs w:val="24"/>
          <w:lang w:val="en-IN"/>
        </w:rPr>
        <w:lastRenderedPageBreak/>
        <w:t xml:space="preserve">filtrate. The entire lysate was transferred to a </w:t>
      </w:r>
      <w:proofErr w:type="spellStart"/>
      <w:r w:rsidRPr="00473810">
        <w:rPr>
          <w:rFonts w:ascii="Times New Roman" w:eastAsia="Calibri" w:hAnsi="Times New Roman" w:cs="Times New Roman"/>
          <w:sz w:val="24"/>
          <w:szCs w:val="24"/>
          <w:lang w:val="en-IN"/>
        </w:rPr>
        <w:t>QIAamp</w:t>
      </w:r>
      <w:proofErr w:type="spellEnd"/>
      <w:r w:rsidRPr="00473810">
        <w:rPr>
          <w:rFonts w:ascii="Times New Roman" w:eastAsia="Calibri" w:hAnsi="Times New Roman" w:cs="Times New Roman"/>
          <w:sz w:val="24"/>
          <w:szCs w:val="24"/>
          <w:lang w:val="en-IN"/>
        </w:rPr>
        <w:t xml:space="preserve"> column and subjected to a new centrifuge at 10,000 g for 15 seconds. The </w:t>
      </w:r>
      <w:proofErr w:type="spellStart"/>
      <w:r w:rsidRPr="00473810">
        <w:rPr>
          <w:rFonts w:ascii="Times New Roman" w:eastAsia="Calibri" w:hAnsi="Times New Roman" w:cs="Times New Roman"/>
          <w:sz w:val="24"/>
          <w:szCs w:val="24"/>
          <w:lang w:val="en-IN"/>
        </w:rPr>
        <w:t>QIAamp</w:t>
      </w:r>
      <w:proofErr w:type="spellEnd"/>
      <w:r w:rsidRPr="00473810">
        <w:rPr>
          <w:rFonts w:ascii="Times New Roman" w:eastAsia="Calibri" w:hAnsi="Times New Roman" w:cs="Times New Roman"/>
          <w:sz w:val="24"/>
          <w:szCs w:val="24"/>
          <w:lang w:val="en-IN"/>
        </w:rPr>
        <w:t xml:space="preserve"> column was washed twice with wash buffer provided by the kit. After washing, 50 µL of </w:t>
      </w:r>
      <w:proofErr w:type="spellStart"/>
      <w:r w:rsidRPr="00473810">
        <w:rPr>
          <w:rFonts w:ascii="Times New Roman" w:eastAsia="Calibri" w:hAnsi="Times New Roman" w:cs="Times New Roman"/>
          <w:sz w:val="24"/>
          <w:szCs w:val="24"/>
          <w:lang w:val="en-IN"/>
        </w:rPr>
        <w:t>RNase</w:t>
      </w:r>
      <w:proofErr w:type="spellEnd"/>
      <w:r w:rsidRPr="00473810">
        <w:rPr>
          <w:rFonts w:ascii="Times New Roman" w:eastAsia="Calibri" w:hAnsi="Times New Roman" w:cs="Times New Roman"/>
          <w:sz w:val="24"/>
          <w:szCs w:val="24"/>
          <w:lang w:val="en-IN"/>
        </w:rPr>
        <w:t xml:space="preserve">-free water (provided by the kit) was added to the column and it was subjected to a final centrifugation at 10,000 g for 1 minute. The filtrate containing the total RNA was stored at -80°C to be later used for </w:t>
      </w:r>
      <w:proofErr w:type="spellStart"/>
      <w:r w:rsidRPr="00473810">
        <w:rPr>
          <w:rFonts w:ascii="Times New Roman" w:eastAsia="Calibri" w:hAnsi="Times New Roman" w:cs="Times New Roman"/>
          <w:sz w:val="24"/>
          <w:szCs w:val="24"/>
          <w:lang w:val="en-IN"/>
        </w:rPr>
        <w:t>cDNA</w:t>
      </w:r>
      <w:proofErr w:type="spellEnd"/>
      <w:r w:rsidRPr="00473810">
        <w:rPr>
          <w:rFonts w:ascii="Times New Roman" w:eastAsia="Calibri" w:hAnsi="Times New Roman" w:cs="Times New Roman"/>
          <w:sz w:val="24"/>
          <w:szCs w:val="24"/>
          <w:lang w:val="en-IN"/>
        </w:rPr>
        <w:t xml:space="preserve"> synthesis.</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Complementary DNA Synthesis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RNA quantification was performed by </w:t>
      </w:r>
      <w:proofErr w:type="spellStart"/>
      <w:r w:rsidRPr="00473810">
        <w:rPr>
          <w:rFonts w:ascii="Times New Roman" w:eastAsia="Calibri" w:hAnsi="Times New Roman" w:cs="Times New Roman"/>
          <w:sz w:val="24"/>
          <w:szCs w:val="24"/>
          <w:lang w:val="en-IN"/>
        </w:rPr>
        <w:t>fluorimetry</w:t>
      </w:r>
      <w:proofErr w:type="spellEnd"/>
      <w:r w:rsidRPr="00473810">
        <w:rPr>
          <w:rFonts w:ascii="Times New Roman" w:eastAsia="Calibri" w:hAnsi="Times New Roman" w:cs="Times New Roman"/>
          <w:sz w:val="24"/>
          <w:szCs w:val="24"/>
          <w:lang w:val="en-IN"/>
        </w:rPr>
        <w:t xml:space="preserve"> using the </w:t>
      </w:r>
      <w:proofErr w:type="spellStart"/>
      <w:r w:rsidRPr="00473810">
        <w:rPr>
          <w:rFonts w:ascii="Times New Roman" w:eastAsia="Calibri" w:hAnsi="Times New Roman" w:cs="Times New Roman"/>
          <w:sz w:val="24"/>
          <w:szCs w:val="24"/>
          <w:lang w:val="en-IN"/>
        </w:rPr>
        <w:t>Qubit</w:t>
      </w:r>
      <w:proofErr w:type="spellEnd"/>
      <w:r w:rsidRPr="00473810">
        <w:rPr>
          <w:rFonts w:ascii="Times New Roman" w:eastAsia="Calibri" w:hAnsi="Times New Roman" w:cs="Times New Roman"/>
          <w:sz w:val="24"/>
          <w:szCs w:val="24"/>
          <w:lang w:val="en-IN"/>
        </w:rPr>
        <w:t>™ Quantitation Platform (Invitrogen) and its quality was assessed by visualizing ribosomal RNA (</w:t>
      </w:r>
      <w:proofErr w:type="spellStart"/>
      <w:r w:rsidRPr="00473810">
        <w:rPr>
          <w:rFonts w:ascii="Times New Roman" w:eastAsia="Calibri" w:hAnsi="Times New Roman" w:cs="Times New Roman"/>
          <w:sz w:val="24"/>
          <w:szCs w:val="24"/>
          <w:lang w:val="en-IN"/>
        </w:rPr>
        <w:t>rRNA</w:t>
      </w:r>
      <w:proofErr w:type="spellEnd"/>
      <w:r w:rsidRPr="00473810">
        <w:rPr>
          <w:rFonts w:ascii="Times New Roman" w:eastAsia="Calibri" w:hAnsi="Times New Roman" w:cs="Times New Roman"/>
          <w:sz w:val="24"/>
          <w:szCs w:val="24"/>
          <w:lang w:val="en-IN"/>
        </w:rPr>
        <w:t xml:space="preserve">) bands in 2% </w:t>
      </w:r>
      <w:proofErr w:type="spellStart"/>
      <w:r w:rsidRPr="00473810">
        <w:rPr>
          <w:rFonts w:ascii="Times New Roman" w:eastAsia="Calibri" w:hAnsi="Times New Roman" w:cs="Times New Roman"/>
          <w:sz w:val="24"/>
          <w:szCs w:val="24"/>
          <w:lang w:val="en-IN"/>
        </w:rPr>
        <w:t>agarose</w:t>
      </w:r>
      <w:proofErr w:type="spellEnd"/>
      <w:r w:rsidRPr="00473810">
        <w:rPr>
          <w:rFonts w:ascii="Times New Roman" w:eastAsia="Calibri" w:hAnsi="Times New Roman" w:cs="Times New Roman"/>
          <w:sz w:val="24"/>
          <w:szCs w:val="24"/>
          <w:lang w:val="en-IN"/>
        </w:rPr>
        <w:t xml:space="preserve"> gel electrophoresis. Good quality samples were considered to be those that did not show a trace below the </w:t>
      </w:r>
      <w:proofErr w:type="spellStart"/>
      <w:r w:rsidRPr="00473810">
        <w:rPr>
          <w:rFonts w:ascii="Times New Roman" w:eastAsia="Calibri" w:hAnsi="Times New Roman" w:cs="Times New Roman"/>
          <w:sz w:val="24"/>
          <w:szCs w:val="24"/>
          <w:lang w:val="en-IN"/>
        </w:rPr>
        <w:t>rRNA</w:t>
      </w:r>
      <w:proofErr w:type="spellEnd"/>
      <w:r w:rsidRPr="00473810">
        <w:rPr>
          <w:rFonts w:ascii="Times New Roman" w:eastAsia="Calibri" w:hAnsi="Times New Roman" w:cs="Times New Roman"/>
          <w:sz w:val="24"/>
          <w:szCs w:val="24"/>
          <w:lang w:val="en-IN"/>
        </w:rPr>
        <w:t xml:space="preserve"> bands and whose 28S </w:t>
      </w:r>
      <w:proofErr w:type="spellStart"/>
      <w:r w:rsidRPr="00473810">
        <w:rPr>
          <w:rFonts w:ascii="Times New Roman" w:eastAsia="Calibri" w:hAnsi="Times New Roman" w:cs="Times New Roman"/>
          <w:sz w:val="24"/>
          <w:szCs w:val="24"/>
          <w:lang w:val="en-IN"/>
        </w:rPr>
        <w:t>rRNA</w:t>
      </w:r>
      <w:proofErr w:type="spellEnd"/>
      <w:r w:rsidRPr="00473810">
        <w:rPr>
          <w:rFonts w:ascii="Times New Roman" w:eastAsia="Calibri" w:hAnsi="Times New Roman" w:cs="Times New Roman"/>
          <w:sz w:val="24"/>
          <w:szCs w:val="24"/>
          <w:lang w:val="en-IN"/>
        </w:rPr>
        <w:t xml:space="preserve"> band had twice the intensity of the 18S </w:t>
      </w:r>
      <w:proofErr w:type="spellStart"/>
      <w:r w:rsidRPr="00473810">
        <w:rPr>
          <w:rFonts w:ascii="Times New Roman" w:eastAsia="Calibri" w:hAnsi="Times New Roman" w:cs="Times New Roman"/>
          <w:sz w:val="24"/>
          <w:szCs w:val="24"/>
          <w:lang w:val="en-IN"/>
        </w:rPr>
        <w:t>rRNA</w:t>
      </w:r>
      <w:proofErr w:type="spellEnd"/>
      <w:r w:rsidRPr="00473810">
        <w:rPr>
          <w:rFonts w:ascii="Times New Roman" w:eastAsia="Calibri" w:hAnsi="Times New Roman" w:cs="Times New Roman"/>
          <w:sz w:val="24"/>
          <w:szCs w:val="24"/>
          <w:lang w:val="en-IN"/>
        </w:rPr>
        <w:t xml:space="preserve"> band.</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For </w:t>
      </w:r>
      <w:proofErr w:type="spellStart"/>
      <w:r w:rsidRPr="00473810">
        <w:rPr>
          <w:rFonts w:ascii="Times New Roman" w:eastAsia="Calibri" w:hAnsi="Times New Roman" w:cs="Times New Roman"/>
          <w:sz w:val="24"/>
          <w:szCs w:val="24"/>
          <w:lang w:val="en-IN"/>
        </w:rPr>
        <w:t>cDNA</w:t>
      </w:r>
      <w:proofErr w:type="spellEnd"/>
      <w:r w:rsidRPr="00473810">
        <w:rPr>
          <w:rFonts w:ascii="Times New Roman" w:eastAsia="Calibri" w:hAnsi="Times New Roman" w:cs="Times New Roman"/>
          <w:sz w:val="24"/>
          <w:szCs w:val="24"/>
          <w:lang w:val="en-IN"/>
        </w:rPr>
        <w:t xml:space="preserve"> synthesis, from 1 </w:t>
      </w:r>
      <w:proofErr w:type="spellStart"/>
      <w:r w:rsidRPr="00473810">
        <w:rPr>
          <w:rFonts w:ascii="Times New Roman" w:eastAsia="Calibri" w:hAnsi="Times New Roman" w:cs="Times New Roman"/>
          <w:sz w:val="24"/>
          <w:szCs w:val="24"/>
          <w:lang w:val="en-IN"/>
        </w:rPr>
        <w:t>μg</w:t>
      </w:r>
      <w:proofErr w:type="spellEnd"/>
      <w:r w:rsidRPr="00473810">
        <w:rPr>
          <w:rFonts w:ascii="Times New Roman" w:eastAsia="Calibri" w:hAnsi="Times New Roman" w:cs="Times New Roman"/>
          <w:sz w:val="24"/>
          <w:szCs w:val="24"/>
          <w:lang w:val="en-IN"/>
        </w:rPr>
        <w:t xml:space="preserve"> to 5 </w:t>
      </w:r>
      <w:proofErr w:type="spellStart"/>
      <w:r w:rsidRPr="00473810">
        <w:rPr>
          <w:rFonts w:ascii="Times New Roman" w:eastAsia="Calibri" w:hAnsi="Times New Roman" w:cs="Times New Roman"/>
          <w:sz w:val="24"/>
          <w:szCs w:val="24"/>
          <w:lang w:val="en-IN"/>
        </w:rPr>
        <w:t>μg</w:t>
      </w:r>
      <w:proofErr w:type="spellEnd"/>
      <w:r w:rsidRPr="00473810">
        <w:rPr>
          <w:rFonts w:ascii="Times New Roman" w:eastAsia="Calibri" w:hAnsi="Times New Roman" w:cs="Times New Roman"/>
          <w:sz w:val="24"/>
          <w:szCs w:val="24"/>
          <w:lang w:val="en-IN"/>
        </w:rPr>
        <w:t xml:space="preserve"> of total RNA were added in 0.2 mL </w:t>
      </w:r>
      <w:proofErr w:type="spellStart"/>
      <w:r w:rsidRPr="00473810">
        <w:rPr>
          <w:rFonts w:ascii="Times New Roman" w:eastAsia="Calibri" w:hAnsi="Times New Roman" w:cs="Times New Roman"/>
          <w:sz w:val="24"/>
          <w:szCs w:val="24"/>
          <w:lang w:val="en-IN"/>
        </w:rPr>
        <w:t>microtubes</w:t>
      </w:r>
      <w:proofErr w:type="spellEnd"/>
      <w:r w:rsidRPr="00473810">
        <w:rPr>
          <w:rFonts w:ascii="Times New Roman" w:eastAsia="Calibri" w:hAnsi="Times New Roman" w:cs="Times New Roman"/>
          <w:sz w:val="24"/>
          <w:szCs w:val="24"/>
          <w:lang w:val="en-IN"/>
        </w:rPr>
        <w:t xml:space="preserve">. Possible contaminating DNA in the samples was eliminated by </w:t>
      </w:r>
      <w:proofErr w:type="spellStart"/>
      <w:r w:rsidRPr="00473810">
        <w:rPr>
          <w:rFonts w:ascii="Times New Roman" w:eastAsia="Calibri" w:hAnsi="Times New Roman" w:cs="Times New Roman"/>
          <w:sz w:val="24"/>
          <w:szCs w:val="24"/>
          <w:lang w:val="en-IN"/>
        </w:rPr>
        <w:t>DNase</w:t>
      </w:r>
      <w:proofErr w:type="spellEnd"/>
      <w:r w:rsidRPr="00473810">
        <w:rPr>
          <w:rFonts w:ascii="Times New Roman" w:eastAsia="Calibri" w:hAnsi="Times New Roman" w:cs="Times New Roman"/>
          <w:sz w:val="24"/>
          <w:szCs w:val="24"/>
          <w:lang w:val="en-IN"/>
        </w:rPr>
        <w:t xml:space="preserve"> digestion. To this end, 1 µL of </w:t>
      </w:r>
      <w:proofErr w:type="spellStart"/>
      <w:r w:rsidRPr="00473810">
        <w:rPr>
          <w:rFonts w:ascii="Times New Roman" w:eastAsia="Calibri" w:hAnsi="Times New Roman" w:cs="Times New Roman"/>
          <w:sz w:val="24"/>
          <w:szCs w:val="24"/>
          <w:lang w:val="en-IN"/>
        </w:rPr>
        <w:t>DNase</w:t>
      </w:r>
      <w:proofErr w:type="spellEnd"/>
      <w:r w:rsidRPr="00473810">
        <w:rPr>
          <w:rFonts w:ascii="Times New Roman" w:eastAsia="Calibri" w:hAnsi="Times New Roman" w:cs="Times New Roman"/>
          <w:sz w:val="24"/>
          <w:szCs w:val="24"/>
          <w:lang w:val="en-IN"/>
        </w:rPr>
        <w:t xml:space="preserve"> (1 U/µL), 1 µL of reaction buffer and water treated with diethyl </w:t>
      </w:r>
      <w:proofErr w:type="spellStart"/>
      <w:r w:rsidRPr="00473810">
        <w:rPr>
          <w:rFonts w:ascii="Times New Roman" w:eastAsia="Calibri" w:hAnsi="Times New Roman" w:cs="Times New Roman"/>
          <w:sz w:val="24"/>
          <w:szCs w:val="24"/>
          <w:lang w:val="en-IN"/>
        </w:rPr>
        <w:t>pyrocarbonate</w:t>
      </w:r>
      <w:proofErr w:type="spellEnd"/>
      <w:r w:rsidRPr="00473810">
        <w:rPr>
          <w:rFonts w:ascii="Times New Roman" w:eastAsia="Calibri" w:hAnsi="Times New Roman" w:cs="Times New Roman"/>
          <w:sz w:val="24"/>
          <w:szCs w:val="24"/>
          <w:lang w:val="en-IN"/>
        </w:rPr>
        <w:t xml:space="preserve"> (DEPC-water) were added to the total RNA until the volume was 10 µL. After 15 minutes digestion at room temperature, </w:t>
      </w:r>
      <w:proofErr w:type="spellStart"/>
      <w:r w:rsidRPr="00473810">
        <w:rPr>
          <w:rFonts w:ascii="Times New Roman" w:eastAsia="Calibri" w:hAnsi="Times New Roman" w:cs="Times New Roman"/>
          <w:sz w:val="24"/>
          <w:szCs w:val="24"/>
          <w:lang w:val="en-IN"/>
        </w:rPr>
        <w:t>DNase</w:t>
      </w:r>
      <w:proofErr w:type="spellEnd"/>
      <w:r w:rsidRPr="00473810">
        <w:rPr>
          <w:rFonts w:ascii="Times New Roman" w:eastAsia="Calibri" w:hAnsi="Times New Roman" w:cs="Times New Roman"/>
          <w:sz w:val="24"/>
          <w:szCs w:val="24"/>
          <w:lang w:val="en-IN"/>
        </w:rPr>
        <w:t xml:space="preserve"> was inactivated by 1 µL of EDTA (25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and incubated for 10 minutes at 65 °C.</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After </w:t>
      </w:r>
      <w:proofErr w:type="spellStart"/>
      <w:r w:rsidRPr="00473810">
        <w:rPr>
          <w:rFonts w:ascii="Times New Roman" w:eastAsia="Calibri" w:hAnsi="Times New Roman" w:cs="Times New Roman"/>
          <w:sz w:val="24"/>
          <w:szCs w:val="24"/>
          <w:lang w:val="en-IN"/>
        </w:rPr>
        <w:t>DNase</w:t>
      </w:r>
      <w:proofErr w:type="spellEnd"/>
      <w:r w:rsidRPr="00473810">
        <w:rPr>
          <w:rFonts w:ascii="Times New Roman" w:eastAsia="Calibri" w:hAnsi="Times New Roman" w:cs="Times New Roman"/>
          <w:sz w:val="24"/>
          <w:szCs w:val="24"/>
          <w:lang w:val="en-IN"/>
        </w:rPr>
        <w:t xml:space="preserve"> inactivation, the samples were subjected to a 5-minute incubation at 70 ºC, followed by an incubation on ice for 5 minutes. After incubation on ice, 15 µL of mix solution was added to each sample tube containing: 5 µL of 5x first strand buffer (250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Tris-HCl</w:t>
      </w:r>
      <w:proofErr w:type="spellEnd"/>
      <w:r w:rsidRPr="00473810">
        <w:rPr>
          <w:rFonts w:ascii="Times New Roman" w:eastAsia="Calibri" w:hAnsi="Times New Roman" w:cs="Times New Roman"/>
          <w:sz w:val="24"/>
          <w:szCs w:val="24"/>
          <w:lang w:val="en-IN"/>
        </w:rPr>
        <w:t xml:space="preserve">, pH 8.3; 375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KCl</w:t>
      </w:r>
      <w:proofErr w:type="spellEnd"/>
      <w:r w:rsidRPr="00473810">
        <w:rPr>
          <w:rFonts w:ascii="Times New Roman" w:eastAsia="Calibri" w:hAnsi="Times New Roman" w:cs="Times New Roman"/>
          <w:sz w:val="24"/>
          <w:szCs w:val="24"/>
          <w:lang w:val="en-IN"/>
        </w:rPr>
        <w:t xml:space="preserve">; 15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xml:space="preserve"> MgCl2), 2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of DTT (0.1M), 2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of random </w:t>
      </w:r>
      <w:proofErr w:type="spellStart"/>
      <w:r w:rsidRPr="00473810">
        <w:rPr>
          <w:rFonts w:ascii="Times New Roman" w:eastAsia="Calibri" w:hAnsi="Times New Roman" w:cs="Times New Roman"/>
          <w:sz w:val="24"/>
          <w:szCs w:val="24"/>
          <w:lang w:val="en-IN"/>
        </w:rPr>
        <w:t>hexamers</w:t>
      </w:r>
      <w:proofErr w:type="spellEnd"/>
      <w:r w:rsidRPr="00473810">
        <w:rPr>
          <w:rFonts w:ascii="Times New Roman" w:eastAsia="Calibri" w:hAnsi="Times New Roman" w:cs="Times New Roman"/>
          <w:sz w:val="24"/>
          <w:szCs w:val="24"/>
          <w:lang w:val="en-IN"/>
        </w:rPr>
        <w:t xml:space="preserve"> (100 </w:t>
      </w:r>
      <w:proofErr w:type="spellStart"/>
      <w:r w:rsidRPr="00473810">
        <w:rPr>
          <w:rFonts w:ascii="Times New Roman" w:eastAsia="Calibri" w:hAnsi="Times New Roman" w:cs="Times New Roman"/>
          <w:sz w:val="24"/>
          <w:szCs w:val="24"/>
          <w:lang w:val="en-IN"/>
        </w:rPr>
        <w:t>ng</w:t>
      </w:r>
      <w:proofErr w:type="spellEnd"/>
      <w:r w:rsidRPr="00473810">
        <w:rPr>
          <w:rFonts w:ascii="Times New Roman" w:eastAsia="Calibri" w:hAnsi="Times New Roman" w:cs="Times New Roman"/>
          <w:sz w:val="24"/>
          <w:szCs w:val="24"/>
          <w:lang w:val="en-IN"/>
        </w:rPr>
        <w:t>/</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0.4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of </w:t>
      </w:r>
      <w:proofErr w:type="spellStart"/>
      <w:r w:rsidRPr="00473810">
        <w:rPr>
          <w:rFonts w:ascii="Times New Roman" w:eastAsia="Calibri" w:hAnsi="Times New Roman" w:cs="Times New Roman"/>
          <w:sz w:val="24"/>
          <w:szCs w:val="24"/>
          <w:lang w:val="en-IN"/>
        </w:rPr>
        <w:t>dNTP</w:t>
      </w:r>
      <w:proofErr w:type="spellEnd"/>
      <w:r w:rsidRPr="00473810">
        <w:rPr>
          <w:rFonts w:ascii="Times New Roman" w:eastAsia="Calibri" w:hAnsi="Times New Roman" w:cs="Times New Roman"/>
          <w:sz w:val="24"/>
          <w:szCs w:val="24"/>
          <w:lang w:val="en-IN"/>
        </w:rPr>
        <w:t xml:space="preserve"> mix (100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xml:space="preserve"> each), 0.5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of </w:t>
      </w:r>
      <w:proofErr w:type="spellStart"/>
      <w:r w:rsidRPr="00473810">
        <w:rPr>
          <w:rFonts w:ascii="Times New Roman" w:eastAsia="Calibri" w:hAnsi="Times New Roman" w:cs="Times New Roman"/>
          <w:sz w:val="24"/>
          <w:szCs w:val="24"/>
          <w:lang w:val="en-IN"/>
        </w:rPr>
        <w:t>RNAse</w:t>
      </w:r>
      <w:proofErr w:type="spellEnd"/>
      <w:r w:rsidRPr="00473810">
        <w:rPr>
          <w:rFonts w:ascii="Times New Roman" w:eastAsia="Calibri" w:hAnsi="Times New Roman" w:cs="Times New Roman"/>
          <w:sz w:val="24"/>
          <w:szCs w:val="24"/>
          <w:lang w:val="en-IN"/>
        </w:rPr>
        <w:t xml:space="preserve"> (40 U/</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0.5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of reverse transcriptase (200 U/</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and water-DPEC </w:t>
      </w:r>
      <w:proofErr w:type="spellStart"/>
      <w:r w:rsidRPr="00473810">
        <w:rPr>
          <w:rFonts w:ascii="Times New Roman" w:eastAsia="Calibri" w:hAnsi="Times New Roman" w:cs="Times New Roman"/>
          <w:sz w:val="24"/>
          <w:szCs w:val="24"/>
          <w:lang w:val="en-IN"/>
        </w:rPr>
        <w:t>q.s.p</w:t>
      </w:r>
      <w:proofErr w:type="spellEnd"/>
      <w:r w:rsidRPr="00473810">
        <w:rPr>
          <w:rFonts w:ascii="Times New Roman" w:eastAsia="Calibri" w:hAnsi="Times New Roman" w:cs="Times New Roman"/>
          <w:sz w:val="24"/>
          <w:szCs w:val="24"/>
          <w:lang w:val="en-IN"/>
        </w:rPr>
        <w:t xml:space="preserve">. to 15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The samples were then taken to the </w:t>
      </w:r>
      <w:proofErr w:type="spellStart"/>
      <w:r w:rsidRPr="00473810">
        <w:rPr>
          <w:rFonts w:ascii="Times New Roman" w:eastAsia="Calibri" w:hAnsi="Times New Roman" w:cs="Times New Roman"/>
          <w:sz w:val="24"/>
          <w:szCs w:val="24"/>
          <w:lang w:val="en-IN"/>
        </w:rPr>
        <w:t>thermocycler</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Mastercycler</w:t>
      </w:r>
      <w:proofErr w:type="spellEnd"/>
      <w:r w:rsidRPr="00473810">
        <w:rPr>
          <w:rFonts w:ascii="Times New Roman" w:eastAsia="Calibri" w:hAnsi="Times New Roman" w:cs="Times New Roman"/>
          <w:sz w:val="24"/>
          <w:szCs w:val="24"/>
          <w:lang w:val="en-IN"/>
        </w:rPr>
        <w:t xml:space="preserve"> Personal, </w:t>
      </w:r>
      <w:proofErr w:type="spellStart"/>
      <w:r w:rsidRPr="00473810">
        <w:rPr>
          <w:rFonts w:ascii="Times New Roman" w:eastAsia="Calibri" w:hAnsi="Times New Roman" w:cs="Times New Roman"/>
          <w:sz w:val="24"/>
          <w:szCs w:val="24"/>
          <w:lang w:val="en-IN"/>
        </w:rPr>
        <w:t>Eppendorf</w:t>
      </w:r>
      <w:proofErr w:type="spellEnd"/>
      <w:r w:rsidRPr="00473810">
        <w:rPr>
          <w:rFonts w:ascii="Times New Roman" w:eastAsia="Calibri" w:hAnsi="Times New Roman" w:cs="Times New Roman"/>
          <w:sz w:val="24"/>
          <w:szCs w:val="24"/>
          <w:lang w:val="en-IN"/>
        </w:rPr>
        <w:t xml:space="preserve">) and subjected to the following schedule: 25 °C for 5 minutes, 37 °C for 60 minutes and 90 °C for 5 minutes. At the end of programming, the samples were incubated on ice for 5 minutes. The </w:t>
      </w:r>
      <w:proofErr w:type="spellStart"/>
      <w:r w:rsidRPr="00473810">
        <w:rPr>
          <w:rFonts w:ascii="Times New Roman" w:eastAsia="Calibri" w:hAnsi="Times New Roman" w:cs="Times New Roman"/>
          <w:sz w:val="24"/>
          <w:szCs w:val="24"/>
          <w:lang w:val="en-IN"/>
        </w:rPr>
        <w:t>cDNA</w:t>
      </w:r>
      <w:proofErr w:type="spellEnd"/>
      <w:r w:rsidRPr="00473810">
        <w:rPr>
          <w:rFonts w:ascii="Times New Roman" w:eastAsia="Calibri" w:hAnsi="Times New Roman" w:cs="Times New Roman"/>
          <w:sz w:val="24"/>
          <w:szCs w:val="24"/>
          <w:lang w:val="en-IN"/>
        </w:rPr>
        <w:t xml:space="preserve"> samples were measured by </w:t>
      </w:r>
      <w:proofErr w:type="spellStart"/>
      <w:r w:rsidRPr="00473810">
        <w:rPr>
          <w:rFonts w:ascii="Times New Roman" w:eastAsia="Calibri" w:hAnsi="Times New Roman" w:cs="Times New Roman"/>
          <w:sz w:val="24"/>
          <w:szCs w:val="24"/>
          <w:lang w:val="en-IN"/>
        </w:rPr>
        <w:t>fluorimetry</w:t>
      </w:r>
      <w:proofErr w:type="spellEnd"/>
      <w:r w:rsidRPr="00473810">
        <w:rPr>
          <w:rFonts w:ascii="Times New Roman" w:eastAsia="Calibri" w:hAnsi="Times New Roman" w:cs="Times New Roman"/>
          <w:sz w:val="24"/>
          <w:szCs w:val="24"/>
          <w:lang w:val="en-IN"/>
        </w:rPr>
        <w:t xml:space="preserve"> using the </w:t>
      </w:r>
      <w:proofErr w:type="spellStart"/>
      <w:r w:rsidRPr="00473810">
        <w:rPr>
          <w:rFonts w:ascii="Times New Roman" w:eastAsia="Calibri" w:hAnsi="Times New Roman" w:cs="Times New Roman"/>
          <w:sz w:val="24"/>
          <w:szCs w:val="24"/>
          <w:lang w:val="en-IN"/>
        </w:rPr>
        <w:t>Qubit</w:t>
      </w:r>
      <w:proofErr w:type="spellEnd"/>
      <w:r w:rsidRPr="00473810">
        <w:rPr>
          <w:rFonts w:ascii="Times New Roman" w:eastAsia="Calibri" w:hAnsi="Times New Roman" w:cs="Times New Roman"/>
          <w:sz w:val="24"/>
          <w:szCs w:val="24"/>
          <w:lang w:val="en-IN"/>
        </w:rPr>
        <w:t xml:space="preserve">™ Quantitation Platform (Invitrogen) and stored in a freezer at minus 20 ºC to be later used </w:t>
      </w:r>
      <w:r w:rsidRPr="00473810">
        <w:rPr>
          <w:rFonts w:ascii="Times New Roman" w:eastAsia="Calibri" w:hAnsi="Times New Roman" w:cs="Times New Roman"/>
          <w:sz w:val="24"/>
          <w:szCs w:val="24"/>
          <w:lang w:val="en-IN"/>
        </w:rPr>
        <w:lastRenderedPageBreak/>
        <w:t>in assays to detect the transcription of resistance genes and to investigate the presence of chromosomal translocations.</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 xml:space="preserve">Detection of Gene Transcription of </w:t>
      </w:r>
      <w:r w:rsidRPr="00473810">
        <w:rPr>
          <w:rFonts w:ascii="Times New Roman" w:eastAsia="Calibri" w:hAnsi="Times New Roman" w:cs="Times New Roman"/>
          <w:b/>
          <w:bCs/>
          <w:i/>
          <w:iCs/>
          <w:sz w:val="24"/>
          <w:szCs w:val="24"/>
          <w:lang w:val="en-IN"/>
        </w:rPr>
        <w:t>abcb1</w:t>
      </w:r>
      <w:r w:rsidRPr="00473810">
        <w:rPr>
          <w:rFonts w:ascii="Times New Roman" w:eastAsia="Calibri" w:hAnsi="Times New Roman" w:cs="Times New Roman"/>
          <w:b/>
          <w:bCs/>
          <w:sz w:val="24"/>
          <w:szCs w:val="24"/>
          <w:lang w:val="en-IN"/>
        </w:rPr>
        <w:t xml:space="preserve">, abcc1, </w:t>
      </w:r>
      <w:proofErr w:type="spellStart"/>
      <w:r w:rsidRPr="00473810">
        <w:rPr>
          <w:rFonts w:ascii="Times New Roman" w:eastAsia="Calibri" w:hAnsi="Times New Roman" w:cs="Times New Roman"/>
          <w:b/>
          <w:bCs/>
          <w:i/>
          <w:iCs/>
          <w:sz w:val="24"/>
          <w:szCs w:val="24"/>
          <w:lang w:val="en-IN"/>
        </w:rPr>
        <w:t>lrp</w:t>
      </w:r>
      <w:proofErr w:type="spellEnd"/>
      <w:r w:rsidRPr="00473810">
        <w:rPr>
          <w:rFonts w:ascii="Times New Roman" w:eastAsia="Calibri" w:hAnsi="Times New Roman" w:cs="Times New Roman"/>
          <w:b/>
          <w:bCs/>
          <w:sz w:val="24"/>
          <w:szCs w:val="24"/>
          <w:lang w:val="en-IN"/>
        </w:rPr>
        <w:t xml:space="preserve"> AND </w:t>
      </w:r>
      <w:proofErr w:type="spellStart"/>
      <w:r w:rsidRPr="00473810">
        <w:rPr>
          <w:rFonts w:ascii="Times New Roman" w:eastAsia="Calibri" w:hAnsi="Times New Roman" w:cs="Times New Roman"/>
          <w:b/>
          <w:bCs/>
          <w:sz w:val="24"/>
          <w:szCs w:val="24"/>
          <w:lang w:val="en-IN"/>
        </w:rPr>
        <w:t>survivin</w:t>
      </w:r>
      <w:proofErr w:type="spellEnd"/>
      <w:r w:rsidRPr="00473810">
        <w:rPr>
          <w:rFonts w:ascii="Times New Roman" w:eastAsia="Calibri" w:hAnsi="Times New Roman" w:cs="Times New Roman"/>
          <w:b/>
          <w:bCs/>
          <w:sz w:val="24"/>
          <w:szCs w:val="24"/>
          <w:lang w:val="en-IN"/>
        </w:rPr>
        <w:t xml:space="preserve"> BY Semi quantitative RT-PCR</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The evaluation of gene transcription of resistance proteins was performed using the </w:t>
      </w:r>
      <w:proofErr w:type="spellStart"/>
      <w:r w:rsidRPr="00473810">
        <w:rPr>
          <w:rFonts w:ascii="Times New Roman" w:eastAsia="Calibri" w:hAnsi="Times New Roman" w:cs="Times New Roman"/>
          <w:sz w:val="24"/>
          <w:szCs w:val="24"/>
          <w:lang w:val="en-IN"/>
        </w:rPr>
        <w:t>semiquantitative</w:t>
      </w:r>
      <w:proofErr w:type="spellEnd"/>
      <w:r w:rsidRPr="00473810">
        <w:rPr>
          <w:rFonts w:ascii="Times New Roman" w:eastAsia="Calibri" w:hAnsi="Times New Roman" w:cs="Times New Roman"/>
          <w:sz w:val="24"/>
          <w:szCs w:val="24"/>
          <w:lang w:val="en-IN"/>
        </w:rPr>
        <w:t xml:space="preserve"> RT-PCR technique. The oligonucleotide primers or primers pairs (Table 1) used to assess the transcription of </w:t>
      </w:r>
      <w:r w:rsidRPr="00473810">
        <w:rPr>
          <w:rFonts w:ascii="Times New Roman" w:eastAsia="Calibri" w:hAnsi="Times New Roman" w:cs="Times New Roman"/>
          <w:i/>
          <w:iCs/>
          <w:sz w:val="24"/>
          <w:szCs w:val="24"/>
          <w:lang w:val="en-IN"/>
        </w:rPr>
        <w:t xml:space="preserve">abcb1, abcc1,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i/>
          <w:iCs/>
          <w:sz w:val="24"/>
          <w:szCs w:val="24"/>
          <w:lang w:val="en-IN"/>
        </w:rPr>
        <w:t xml:space="preserve"> and </w:t>
      </w:r>
      <w:proofErr w:type="spellStart"/>
      <w:r w:rsidRPr="00473810">
        <w:rPr>
          <w:rFonts w:ascii="Times New Roman" w:eastAsia="Calibri" w:hAnsi="Times New Roman" w:cs="Times New Roman"/>
          <w:i/>
          <w:iCs/>
          <w:sz w:val="24"/>
          <w:szCs w:val="24"/>
          <w:lang w:val="en-IN"/>
        </w:rPr>
        <w:t>survivin</w:t>
      </w:r>
      <w:proofErr w:type="spellEnd"/>
      <w:r w:rsidRPr="00473810">
        <w:rPr>
          <w:rFonts w:ascii="Times New Roman" w:eastAsia="Calibri" w:hAnsi="Times New Roman" w:cs="Times New Roman"/>
          <w:sz w:val="24"/>
          <w:szCs w:val="24"/>
          <w:lang w:val="en-IN"/>
        </w:rPr>
        <w:t xml:space="preserve"> were previously described by </w:t>
      </w:r>
      <w:proofErr w:type="spellStart"/>
      <w:r w:rsidRPr="00473810">
        <w:rPr>
          <w:rFonts w:ascii="Times New Roman" w:eastAsia="Calibri" w:hAnsi="Times New Roman" w:cs="Times New Roman"/>
          <w:sz w:val="24"/>
          <w:szCs w:val="24"/>
          <w:lang w:val="en-IN"/>
        </w:rPr>
        <w:t>Tomiyasu</w:t>
      </w:r>
      <w:proofErr w:type="spellEnd"/>
      <w:r w:rsidRPr="00473810">
        <w:rPr>
          <w:rFonts w:ascii="Times New Roman" w:eastAsia="Calibri" w:hAnsi="Times New Roman" w:cs="Times New Roman"/>
          <w:sz w:val="24"/>
          <w:szCs w:val="24"/>
          <w:lang w:val="en-IN"/>
        </w:rPr>
        <w:t>, et al. (2012) and glyceraldehyde-3-phosphate dehydrogenase (GAPDH) transcription was used for band normalization.</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Table 1 – Sequence of primers for the detection of </w:t>
      </w:r>
      <w:r w:rsidRPr="00473810">
        <w:rPr>
          <w:rFonts w:ascii="Times New Roman" w:eastAsia="Calibri" w:hAnsi="Times New Roman" w:cs="Times New Roman"/>
          <w:i/>
          <w:iCs/>
          <w:sz w:val="24"/>
          <w:szCs w:val="24"/>
          <w:lang w:val="en-IN"/>
        </w:rPr>
        <w:t xml:space="preserve">abcb1, abcc1,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and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w:t>
      </w:r>
    </w:p>
    <w:tbl>
      <w:tblPr>
        <w:tblW w:w="8903" w:type="dxa"/>
        <w:tblLook w:val="04A0" w:firstRow="1" w:lastRow="0" w:firstColumn="1" w:lastColumn="0" w:noHBand="0" w:noVBand="1"/>
      </w:tblPr>
      <w:tblGrid>
        <w:gridCol w:w="1262"/>
        <w:gridCol w:w="5105"/>
        <w:gridCol w:w="2536"/>
      </w:tblGrid>
      <w:tr w:rsidR="00473810" w:rsidRPr="00473810" w:rsidTr="00477CE4">
        <w:trPr>
          <w:trHeight w:val="23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Gene</w:t>
            </w:r>
          </w:p>
        </w:tc>
        <w:tc>
          <w:tcPr>
            <w:tcW w:w="5105" w:type="dxa"/>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Sequência</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en-IN" w:eastAsia="en-IN"/>
              </w:rPr>
              <w:t>product size</w:t>
            </w:r>
          </w:p>
        </w:tc>
      </w:tr>
      <w:tr w:rsidR="00473810" w:rsidRPr="00473810" w:rsidTr="00477CE4">
        <w:trPr>
          <w:trHeight w:val="233"/>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i/>
                <w:iCs/>
                <w:color w:val="000000"/>
                <w:lang w:val="en-IN" w:eastAsia="en-IN"/>
              </w:rPr>
            </w:pPr>
            <w:r w:rsidRPr="00473810">
              <w:rPr>
                <w:rFonts w:ascii="Times New Roman" w:eastAsia="Times New Roman" w:hAnsi="Times New Roman" w:cs="Times New Roman"/>
                <w:i/>
                <w:iCs/>
                <w:lang w:val="pt-PT" w:eastAsia="en-IN"/>
              </w:rPr>
              <w:t>abcb1</w:t>
            </w:r>
          </w:p>
        </w:tc>
        <w:tc>
          <w:tcPr>
            <w:tcW w:w="5105"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5’–CCGCAAGTTTACCTGCAGG–3’</w:t>
            </w:r>
          </w:p>
        </w:tc>
        <w:tc>
          <w:tcPr>
            <w:tcW w:w="2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lang w:val="pt-PT" w:eastAsia="en-IN"/>
              </w:rPr>
              <w:t>157bp</w:t>
            </w:r>
          </w:p>
        </w:tc>
      </w:tr>
      <w:tr w:rsidR="00473810" w:rsidRPr="00473810" w:rsidTr="00477CE4">
        <w:trPr>
          <w:trHeight w:val="233"/>
        </w:trPr>
        <w:tc>
          <w:tcPr>
            <w:tcW w:w="1262" w:type="dxa"/>
            <w:vMerge/>
            <w:tcBorders>
              <w:top w:val="nil"/>
              <w:left w:val="single" w:sz="4" w:space="0" w:color="auto"/>
              <w:bottom w:val="single" w:sz="4" w:space="0" w:color="auto"/>
              <w:right w:val="single" w:sz="4" w:space="0" w:color="auto"/>
            </w:tcBorders>
            <w:vAlign w:val="center"/>
            <w:hideMark/>
          </w:tcPr>
          <w:p w:rsidR="00473810" w:rsidRPr="00473810" w:rsidRDefault="00473810" w:rsidP="00473810">
            <w:pPr>
              <w:spacing w:after="0" w:line="240" w:lineRule="auto"/>
              <w:rPr>
                <w:rFonts w:ascii="Times New Roman" w:eastAsia="Times New Roman" w:hAnsi="Times New Roman" w:cs="Times New Roman"/>
                <w:i/>
                <w:iCs/>
                <w:color w:val="000000"/>
                <w:lang w:val="en-IN" w:eastAsia="en-IN"/>
              </w:rPr>
            </w:pPr>
          </w:p>
        </w:tc>
        <w:tc>
          <w:tcPr>
            <w:tcW w:w="5105"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5’–GCTCCTAACTTCTGAGGTTCA–3’</w:t>
            </w:r>
          </w:p>
        </w:tc>
        <w:tc>
          <w:tcPr>
            <w:tcW w:w="2536" w:type="dxa"/>
            <w:vMerge/>
            <w:tcBorders>
              <w:top w:val="nil"/>
              <w:left w:val="single" w:sz="4" w:space="0" w:color="auto"/>
              <w:bottom w:val="single" w:sz="4" w:space="0" w:color="auto"/>
              <w:right w:val="single" w:sz="4" w:space="0" w:color="auto"/>
            </w:tcBorders>
            <w:vAlign w:val="center"/>
            <w:hideMark/>
          </w:tcPr>
          <w:p w:rsidR="00473810" w:rsidRPr="00473810" w:rsidRDefault="00473810" w:rsidP="00473810">
            <w:pPr>
              <w:spacing w:after="0" w:line="240" w:lineRule="auto"/>
              <w:rPr>
                <w:rFonts w:ascii="Times New Roman" w:eastAsia="Times New Roman" w:hAnsi="Times New Roman" w:cs="Times New Roman"/>
                <w:color w:val="000000"/>
                <w:lang w:val="en-IN" w:eastAsia="en-IN"/>
              </w:rPr>
            </w:pPr>
          </w:p>
        </w:tc>
      </w:tr>
      <w:tr w:rsidR="00473810" w:rsidRPr="00473810" w:rsidTr="00477CE4">
        <w:trPr>
          <w:trHeight w:val="233"/>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i/>
                <w:iCs/>
                <w:color w:val="000000"/>
                <w:lang w:val="en-IN" w:eastAsia="en-IN"/>
              </w:rPr>
            </w:pPr>
            <w:r w:rsidRPr="00473810">
              <w:rPr>
                <w:rFonts w:ascii="Times New Roman" w:eastAsia="Times New Roman" w:hAnsi="Times New Roman" w:cs="Times New Roman"/>
                <w:i/>
                <w:iCs/>
                <w:color w:val="000000"/>
                <w:lang w:val="pt-PT" w:eastAsia="en-IN"/>
              </w:rPr>
              <w:t>abcc1</w:t>
            </w:r>
          </w:p>
        </w:tc>
        <w:tc>
          <w:tcPr>
            <w:tcW w:w="5105"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5’–TGGGGGACTGTCACGAAT–3’</w:t>
            </w:r>
          </w:p>
        </w:tc>
        <w:tc>
          <w:tcPr>
            <w:tcW w:w="2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260bp</w:t>
            </w:r>
          </w:p>
        </w:tc>
      </w:tr>
      <w:tr w:rsidR="00473810" w:rsidRPr="00473810" w:rsidTr="00477CE4">
        <w:trPr>
          <w:trHeight w:val="233"/>
        </w:trPr>
        <w:tc>
          <w:tcPr>
            <w:tcW w:w="1262" w:type="dxa"/>
            <w:vMerge/>
            <w:tcBorders>
              <w:top w:val="nil"/>
              <w:left w:val="single" w:sz="4" w:space="0" w:color="auto"/>
              <w:bottom w:val="single" w:sz="4" w:space="0" w:color="auto"/>
              <w:right w:val="single" w:sz="4" w:space="0" w:color="auto"/>
            </w:tcBorders>
            <w:vAlign w:val="center"/>
            <w:hideMark/>
          </w:tcPr>
          <w:p w:rsidR="00473810" w:rsidRPr="00473810" w:rsidRDefault="00473810" w:rsidP="00473810">
            <w:pPr>
              <w:spacing w:after="0" w:line="240" w:lineRule="auto"/>
              <w:rPr>
                <w:rFonts w:ascii="Times New Roman" w:eastAsia="Times New Roman" w:hAnsi="Times New Roman" w:cs="Times New Roman"/>
                <w:i/>
                <w:iCs/>
                <w:color w:val="000000"/>
                <w:lang w:val="en-IN" w:eastAsia="en-IN"/>
              </w:rPr>
            </w:pPr>
          </w:p>
        </w:tc>
        <w:tc>
          <w:tcPr>
            <w:tcW w:w="5105"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5’–AGGCCGAATATGACTTCCC–3’</w:t>
            </w:r>
          </w:p>
        </w:tc>
        <w:tc>
          <w:tcPr>
            <w:tcW w:w="2536" w:type="dxa"/>
            <w:vMerge/>
            <w:tcBorders>
              <w:top w:val="nil"/>
              <w:left w:val="single" w:sz="4" w:space="0" w:color="auto"/>
              <w:bottom w:val="single" w:sz="4" w:space="0" w:color="auto"/>
              <w:right w:val="single" w:sz="4" w:space="0" w:color="auto"/>
            </w:tcBorders>
            <w:vAlign w:val="center"/>
            <w:hideMark/>
          </w:tcPr>
          <w:p w:rsidR="00473810" w:rsidRPr="00473810" w:rsidRDefault="00473810" w:rsidP="00473810">
            <w:pPr>
              <w:spacing w:after="0" w:line="240" w:lineRule="auto"/>
              <w:rPr>
                <w:rFonts w:ascii="Times New Roman" w:eastAsia="Times New Roman" w:hAnsi="Times New Roman" w:cs="Times New Roman"/>
                <w:color w:val="000000"/>
                <w:lang w:val="en-IN" w:eastAsia="en-IN"/>
              </w:rPr>
            </w:pPr>
          </w:p>
        </w:tc>
      </w:tr>
      <w:tr w:rsidR="00473810" w:rsidRPr="00473810" w:rsidTr="00477CE4">
        <w:trPr>
          <w:trHeight w:val="233"/>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i/>
                <w:iCs/>
                <w:color w:val="000000"/>
                <w:lang w:val="en-IN" w:eastAsia="en-IN"/>
              </w:rPr>
            </w:pPr>
            <w:r w:rsidRPr="00473810">
              <w:rPr>
                <w:rFonts w:ascii="Times New Roman" w:eastAsia="Times New Roman" w:hAnsi="Times New Roman" w:cs="Times New Roman"/>
                <w:i/>
                <w:iCs/>
                <w:lang w:val="pt-PT" w:eastAsia="en-IN"/>
              </w:rPr>
              <w:t>lrp</w:t>
            </w:r>
          </w:p>
        </w:tc>
        <w:tc>
          <w:tcPr>
            <w:tcW w:w="5105"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5’–GTCGGGCAGCTCGTCGGTGTTCTG–3’</w:t>
            </w:r>
          </w:p>
        </w:tc>
        <w:tc>
          <w:tcPr>
            <w:tcW w:w="2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lang w:val="pt-PT" w:eastAsia="en-IN"/>
              </w:rPr>
              <w:t>240bp</w:t>
            </w:r>
          </w:p>
        </w:tc>
      </w:tr>
      <w:tr w:rsidR="00473810" w:rsidRPr="00473810" w:rsidTr="00477CE4">
        <w:trPr>
          <w:trHeight w:val="233"/>
        </w:trPr>
        <w:tc>
          <w:tcPr>
            <w:tcW w:w="1262" w:type="dxa"/>
            <w:vMerge/>
            <w:tcBorders>
              <w:top w:val="nil"/>
              <w:left w:val="single" w:sz="4" w:space="0" w:color="auto"/>
              <w:bottom w:val="single" w:sz="4" w:space="0" w:color="auto"/>
              <w:right w:val="single" w:sz="4" w:space="0" w:color="auto"/>
            </w:tcBorders>
            <w:vAlign w:val="center"/>
            <w:hideMark/>
          </w:tcPr>
          <w:p w:rsidR="00473810" w:rsidRPr="00473810" w:rsidRDefault="00473810" w:rsidP="00473810">
            <w:pPr>
              <w:spacing w:after="0" w:line="240" w:lineRule="auto"/>
              <w:rPr>
                <w:rFonts w:ascii="Times New Roman" w:eastAsia="Times New Roman" w:hAnsi="Times New Roman" w:cs="Times New Roman"/>
                <w:i/>
                <w:iCs/>
                <w:color w:val="000000"/>
                <w:lang w:val="en-IN" w:eastAsia="en-IN"/>
              </w:rPr>
            </w:pPr>
          </w:p>
        </w:tc>
        <w:tc>
          <w:tcPr>
            <w:tcW w:w="5105"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5’–GCCTGGGTCTGTCTCTTGCCTTGG–3’</w:t>
            </w:r>
          </w:p>
        </w:tc>
        <w:tc>
          <w:tcPr>
            <w:tcW w:w="2536" w:type="dxa"/>
            <w:vMerge/>
            <w:tcBorders>
              <w:top w:val="nil"/>
              <w:left w:val="single" w:sz="4" w:space="0" w:color="auto"/>
              <w:bottom w:val="single" w:sz="4" w:space="0" w:color="auto"/>
              <w:right w:val="single" w:sz="4" w:space="0" w:color="auto"/>
            </w:tcBorders>
            <w:vAlign w:val="center"/>
            <w:hideMark/>
          </w:tcPr>
          <w:p w:rsidR="00473810" w:rsidRPr="00473810" w:rsidRDefault="00473810" w:rsidP="00473810">
            <w:pPr>
              <w:spacing w:after="0" w:line="240" w:lineRule="auto"/>
              <w:rPr>
                <w:rFonts w:ascii="Times New Roman" w:eastAsia="Times New Roman" w:hAnsi="Times New Roman" w:cs="Times New Roman"/>
                <w:color w:val="000000"/>
                <w:lang w:val="en-IN" w:eastAsia="en-IN"/>
              </w:rPr>
            </w:pPr>
          </w:p>
        </w:tc>
      </w:tr>
      <w:tr w:rsidR="00473810" w:rsidRPr="00473810" w:rsidTr="00477CE4">
        <w:trPr>
          <w:trHeight w:val="233"/>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i/>
                <w:iCs/>
                <w:color w:val="000000"/>
                <w:lang w:val="en-IN" w:eastAsia="en-IN"/>
              </w:rPr>
            </w:pPr>
            <w:r w:rsidRPr="00473810">
              <w:rPr>
                <w:rFonts w:ascii="Times New Roman" w:eastAsia="Times New Roman" w:hAnsi="Times New Roman" w:cs="Times New Roman"/>
                <w:i/>
                <w:iCs/>
                <w:color w:val="000000"/>
                <w:lang w:val="pt-PT" w:eastAsia="en-IN"/>
              </w:rPr>
              <w:t>survivin</w:t>
            </w:r>
          </w:p>
        </w:tc>
        <w:tc>
          <w:tcPr>
            <w:tcW w:w="5105"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5’–GCATCCTGGACTTCTCAACACC–3’</w:t>
            </w:r>
          </w:p>
        </w:tc>
        <w:tc>
          <w:tcPr>
            <w:tcW w:w="2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393bp</w:t>
            </w:r>
          </w:p>
        </w:tc>
      </w:tr>
      <w:tr w:rsidR="00473810" w:rsidRPr="00473810" w:rsidTr="00477CE4">
        <w:trPr>
          <w:trHeight w:val="233"/>
        </w:trPr>
        <w:tc>
          <w:tcPr>
            <w:tcW w:w="1262" w:type="dxa"/>
            <w:vMerge/>
            <w:tcBorders>
              <w:top w:val="nil"/>
              <w:left w:val="single" w:sz="4" w:space="0" w:color="auto"/>
              <w:bottom w:val="single" w:sz="4" w:space="0" w:color="auto"/>
              <w:right w:val="single" w:sz="4" w:space="0" w:color="auto"/>
            </w:tcBorders>
            <w:vAlign w:val="center"/>
            <w:hideMark/>
          </w:tcPr>
          <w:p w:rsidR="00473810" w:rsidRPr="00473810" w:rsidRDefault="00473810" w:rsidP="00473810">
            <w:pPr>
              <w:spacing w:after="0" w:line="240" w:lineRule="auto"/>
              <w:rPr>
                <w:rFonts w:ascii="Times New Roman" w:eastAsia="Times New Roman" w:hAnsi="Times New Roman" w:cs="Times New Roman"/>
                <w:i/>
                <w:iCs/>
                <w:color w:val="000000"/>
                <w:lang w:val="en-IN" w:eastAsia="en-IN"/>
              </w:rPr>
            </w:pPr>
          </w:p>
        </w:tc>
        <w:tc>
          <w:tcPr>
            <w:tcW w:w="5105"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5’–CCCATGGAGCTGCATCAGCCA–3’</w:t>
            </w:r>
          </w:p>
        </w:tc>
        <w:tc>
          <w:tcPr>
            <w:tcW w:w="2536" w:type="dxa"/>
            <w:vMerge/>
            <w:tcBorders>
              <w:top w:val="nil"/>
              <w:left w:val="single" w:sz="4" w:space="0" w:color="auto"/>
              <w:bottom w:val="single" w:sz="4" w:space="0" w:color="auto"/>
              <w:right w:val="single" w:sz="4" w:space="0" w:color="auto"/>
            </w:tcBorders>
            <w:vAlign w:val="center"/>
            <w:hideMark/>
          </w:tcPr>
          <w:p w:rsidR="00473810" w:rsidRPr="00473810" w:rsidRDefault="00473810" w:rsidP="00473810">
            <w:pPr>
              <w:spacing w:after="0" w:line="240" w:lineRule="auto"/>
              <w:rPr>
                <w:rFonts w:ascii="Times New Roman" w:eastAsia="Times New Roman" w:hAnsi="Times New Roman" w:cs="Times New Roman"/>
                <w:color w:val="000000"/>
                <w:lang w:val="en-IN" w:eastAsia="en-IN"/>
              </w:rPr>
            </w:pPr>
          </w:p>
        </w:tc>
      </w:tr>
      <w:tr w:rsidR="00473810" w:rsidRPr="00473810" w:rsidTr="00477CE4">
        <w:trPr>
          <w:trHeight w:val="233"/>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i/>
                <w:iCs/>
                <w:color w:val="000000"/>
                <w:lang w:val="en-IN" w:eastAsia="en-IN"/>
              </w:rPr>
            </w:pPr>
            <w:r w:rsidRPr="00473810">
              <w:rPr>
                <w:rFonts w:ascii="Times New Roman" w:eastAsia="Times New Roman" w:hAnsi="Times New Roman" w:cs="Times New Roman"/>
                <w:i/>
                <w:iCs/>
                <w:lang w:val="pt-PT" w:eastAsia="en-IN"/>
              </w:rPr>
              <w:t>GAPDH</w:t>
            </w:r>
          </w:p>
        </w:tc>
        <w:tc>
          <w:tcPr>
            <w:tcW w:w="5105"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5’–CCCGTCTTCGAGAAACCATGA–3’</w:t>
            </w:r>
          </w:p>
        </w:tc>
        <w:tc>
          <w:tcPr>
            <w:tcW w:w="2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lang w:val="pt-PT" w:eastAsia="en-IN"/>
              </w:rPr>
              <w:t>330bp</w:t>
            </w:r>
          </w:p>
        </w:tc>
      </w:tr>
      <w:tr w:rsidR="00473810" w:rsidRPr="00473810" w:rsidTr="00477CE4">
        <w:trPr>
          <w:trHeight w:val="233"/>
        </w:trPr>
        <w:tc>
          <w:tcPr>
            <w:tcW w:w="1262" w:type="dxa"/>
            <w:vMerge/>
            <w:tcBorders>
              <w:top w:val="nil"/>
              <w:left w:val="single" w:sz="4" w:space="0" w:color="auto"/>
              <w:bottom w:val="single" w:sz="4" w:space="0" w:color="auto"/>
              <w:right w:val="single" w:sz="4" w:space="0" w:color="auto"/>
            </w:tcBorders>
            <w:vAlign w:val="center"/>
            <w:hideMark/>
          </w:tcPr>
          <w:p w:rsidR="00473810" w:rsidRPr="00473810" w:rsidRDefault="00473810" w:rsidP="00473810">
            <w:pPr>
              <w:spacing w:after="0" w:line="240" w:lineRule="auto"/>
              <w:rPr>
                <w:rFonts w:ascii="Times New Roman" w:eastAsia="Times New Roman" w:hAnsi="Times New Roman" w:cs="Times New Roman"/>
                <w:color w:val="000000"/>
                <w:lang w:val="en-IN" w:eastAsia="en-IN"/>
              </w:rPr>
            </w:pPr>
          </w:p>
        </w:tc>
        <w:tc>
          <w:tcPr>
            <w:tcW w:w="5105"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5’–TCTGGGATGTATGAGGCAGG–3’</w:t>
            </w:r>
          </w:p>
        </w:tc>
        <w:tc>
          <w:tcPr>
            <w:tcW w:w="2536" w:type="dxa"/>
            <w:vMerge/>
            <w:tcBorders>
              <w:top w:val="nil"/>
              <w:left w:val="single" w:sz="4" w:space="0" w:color="auto"/>
              <w:bottom w:val="single" w:sz="4" w:space="0" w:color="auto"/>
              <w:right w:val="single" w:sz="4" w:space="0" w:color="auto"/>
            </w:tcBorders>
            <w:vAlign w:val="center"/>
            <w:hideMark/>
          </w:tcPr>
          <w:p w:rsidR="00473810" w:rsidRPr="00473810" w:rsidRDefault="00473810" w:rsidP="00473810">
            <w:pPr>
              <w:spacing w:after="0" w:line="240" w:lineRule="auto"/>
              <w:rPr>
                <w:rFonts w:ascii="Times New Roman" w:eastAsia="Times New Roman" w:hAnsi="Times New Roman" w:cs="Times New Roman"/>
                <w:color w:val="000000"/>
                <w:lang w:val="en-IN" w:eastAsia="en-IN"/>
              </w:rPr>
            </w:pPr>
          </w:p>
        </w:tc>
      </w:tr>
    </w:tbl>
    <w:p w:rsidR="00473810" w:rsidRPr="00473810" w:rsidRDefault="00473810" w:rsidP="00473810">
      <w:pPr>
        <w:spacing w:after="160" w:line="360" w:lineRule="auto"/>
        <w:jc w:val="both"/>
        <w:rPr>
          <w:rFonts w:ascii="Times New Roman" w:eastAsia="Calibri" w:hAnsi="Times New Roman" w:cs="Times New Roman"/>
          <w:sz w:val="24"/>
          <w:szCs w:val="24"/>
          <w:lang w:val="en-IN"/>
        </w:rPr>
      </w:pP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All reactions were prepared with a final volume of 50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PCR reactions with primers for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and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were performed. The samples were initially denatured at 94 °C for 5 minutes and then subjected to the ideal reaction conditions for each pair of primers. At the end of the PCR cycles, a final extension was performed at 72°C for 10 minutes. The ideal reaction conditions and the number of cycles used were established in previous tests carried out at the Laboratory of Experimental Oncology and </w:t>
      </w:r>
      <w:proofErr w:type="spellStart"/>
      <w:r w:rsidRPr="00473810">
        <w:rPr>
          <w:rFonts w:ascii="Times New Roman" w:eastAsia="Calibri" w:hAnsi="Times New Roman" w:cs="Times New Roman"/>
          <w:sz w:val="24"/>
          <w:szCs w:val="24"/>
          <w:lang w:val="en-IN"/>
        </w:rPr>
        <w:t>Hemopathies</w:t>
      </w:r>
      <w:proofErr w:type="spellEnd"/>
      <w:r w:rsidRPr="00473810">
        <w:rPr>
          <w:rFonts w:ascii="Times New Roman" w:eastAsia="Calibri" w:hAnsi="Times New Roman" w:cs="Times New Roman"/>
          <w:sz w:val="24"/>
          <w:szCs w:val="24"/>
          <w:lang w:val="en-IN"/>
        </w:rPr>
        <w:t xml:space="preserve"> (LOEH) so that the PCR ended in the exponential phase of the amplification. The PCR products were electrophoresed in 2% </w:t>
      </w:r>
      <w:proofErr w:type="spellStart"/>
      <w:r w:rsidRPr="00473810">
        <w:rPr>
          <w:rFonts w:ascii="Times New Roman" w:eastAsia="Calibri" w:hAnsi="Times New Roman" w:cs="Times New Roman"/>
          <w:sz w:val="24"/>
          <w:szCs w:val="24"/>
          <w:lang w:val="en-IN"/>
        </w:rPr>
        <w:t>agarose</w:t>
      </w:r>
      <w:proofErr w:type="spellEnd"/>
      <w:r w:rsidRPr="00473810">
        <w:rPr>
          <w:rFonts w:ascii="Times New Roman" w:eastAsia="Calibri" w:hAnsi="Times New Roman" w:cs="Times New Roman"/>
          <w:sz w:val="24"/>
          <w:szCs w:val="24"/>
          <w:lang w:val="en-IN"/>
        </w:rPr>
        <w:t xml:space="preserve"> gel at 100 volts for 30 minutes and stained with </w:t>
      </w:r>
      <w:proofErr w:type="spellStart"/>
      <w:r w:rsidRPr="00473810">
        <w:rPr>
          <w:rFonts w:ascii="Times New Roman" w:eastAsia="Calibri" w:hAnsi="Times New Roman" w:cs="Times New Roman"/>
          <w:sz w:val="24"/>
          <w:szCs w:val="24"/>
          <w:lang w:val="en-IN"/>
        </w:rPr>
        <w:t>ethidium</w:t>
      </w:r>
      <w:proofErr w:type="spellEnd"/>
      <w:r w:rsidRPr="00473810">
        <w:rPr>
          <w:rFonts w:ascii="Times New Roman" w:eastAsia="Calibri" w:hAnsi="Times New Roman" w:cs="Times New Roman"/>
          <w:sz w:val="24"/>
          <w:szCs w:val="24"/>
          <w:lang w:val="en-IN"/>
        </w:rPr>
        <w:t xml:space="preserve"> bromide. The bands were visualized in a </w:t>
      </w:r>
      <w:proofErr w:type="spellStart"/>
      <w:r w:rsidRPr="00473810">
        <w:rPr>
          <w:rFonts w:ascii="Times New Roman" w:eastAsia="Calibri" w:hAnsi="Times New Roman" w:cs="Times New Roman"/>
          <w:sz w:val="24"/>
          <w:szCs w:val="24"/>
          <w:lang w:val="en-IN"/>
        </w:rPr>
        <w:t>transilluminator</w:t>
      </w:r>
      <w:proofErr w:type="spellEnd"/>
      <w:r w:rsidRPr="00473810">
        <w:rPr>
          <w:rFonts w:ascii="Times New Roman" w:eastAsia="Calibri" w:hAnsi="Times New Roman" w:cs="Times New Roman"/>
          <w:sz w:val="24"/>
          <w:szCs w:val="24"/>
          <w:lang w:val="en-IN"/>
        </w:rPr>
        <w:t xml:space="preserve"> (HOEFER-</w:t>
      </w:r>
      <w:proofErr w:type="spellStart"/>
      <w:r w:rsidRPr="00473810">
        <w:rPr>
          <w:rFonts w:ascii="Times New Roman" w:eastAsia="Calibri" w:hAnsi="Times New Roman" w:cs="Times New Roman"/>
          <w:sz w:val="24"/>
          <w:szCs w:val="24"/>
          <w:lang w:val="en-IN"/>
        </w:rPr>
        <w:t>MacroVue</w:t>
      </w:r>
      <w:proofErr w:type="spellEnd"/>
      <w:r w:rsidRPr="00473810">
        <w:rPr>
          <w:rFonts w:ascii="Times New Roman" w:eastAsia="Calibri" w:hAnsi="Times New Roman" w:cs="Times New Roman"/>
          <w:sz w:val="24"/>
          <w:szCs w:val="24"/>
          <w:lang w:val="en-IN"/>
        </w:rPr>
        <w:t xml:space="preserve"> UV-20) under UV light of 320 nm (Figure 2) and photographed with the gel photo-documentation </w:t>
      </w:r>
      <w:r w:rsidRPr="00473810">
        <w:rPr>
          <w:rFonts w:ascii="Times New Roman" w:eastAsia="Calibri" w:hAnsi="Times New Roman" w:cs="Times New Roman"/>
          <w:sz w:val="24"/>
          <w:szCs w:val="24"/>
          <w:lang w:val="en-IN"/>
        </w:rPr>
        <w:lastRenderedPageBreak/>
        <w:t xml:space="preserve">system (DOC-PRINT®, </w:t>
      </w:r>
      <w:proofErr w:type="spellStart"/>
      <w:r w:rsidRPr="00473810">
        <w:rPr>
          <w:rFonts w:ascii="Times New Roman" w:eastAsia="Calibri" w:hAnsi="Times New Roman" w:cs="Times New Roman"/>
          <w:sz w:val="24"/>
          <w:szCs w:val="24"/>
          <w:lang w:val="en-IN"/>
        </w:rPr>
        <w:t>Biosystems</w:t>
      </w:r>
      <w:proofErr w:type="spellEnd"/>
      <w:r w:rsidRPr="00473810">
        <w:rPr>
          <w:rFonts w:ascii="Times New Roman" w:eastAsia="Calibri" w:hAnsi="Times New Roman" w:cs="Times New Roman"/>
          <w:sz w:val="24"/>
          <w:szCs w:val="24"/>
          <w:lang w:val="en-IN"/>
        </w:rPr>
        <w:t xml:space="preserve">). The size of the fragments was estimated by comparison with the 50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molecular size marker.</w:t>
      </w:r>
    </w:p>
    <w:p w:rsidR="00473810" w:rsidRPr="00473810" w:rsidRDefault="00473810" w:rsidP="00473810">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drawing>
          <wp:inline distT="0" distB="0" distL="0" distR="0" wp14:anchorId="37925032" wp14:editId="031B5400">
            <wp:extent cx="3562350" cy="254465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9399" cy="2549694"/>
                    </a:xfrm>
                    <a:prstGeom prst="rect">
                      <a:avLst/>
                    </a:prstGeom>
                    <a:noFill/>
                    <a:ln>
                      <a:noFill/>
                    </a:ln>
                  </pic:spPr>
                </pic:pic>
              </a:graphicData>
            </a:graphic>
          </wp:inline>
        </w:drawing>
      </w:r>
    </w:p>
    <w:p w:rsidR="00473810" w:rsidRPr="00473810" w:rsidRDefault="00473810" w:rsidP="00473810">
      <w:pPr>
        <w:spacing w:after="160" w:line="24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 Figure 2 – Representative 2% </w:t>
      </w:r>
      <w:proofErr w:type="spellStart"/>
      <w:r w:rsidRPr="00473810">
        <w:rPr>
          <w:rFonts w:ascii="Times New Roman" w:eastAsia="Calibri" w:hAnsi="Times New Roman" w:cs="Times New Roman"/>
          <w:sz w:val="24"/>
          <w:szCs w:val="24"/>
          <w:lang w:val="en-IN"/>
        </w:rPr>
        <w:t>agarose</w:t>
      </w:r>
      <w:proofErr w:type="spellEnd"/>
      <w:r w:rsidRPr="00473810">
        <w:rPr>
          <w:rFonts w:ascii="Times New Roman" w:eastAsia="Calibri" w:hAnsi="Times New Roman" w:cs="Times New Roman"/>
          <w:sz w:val="24"/>
          <w:szCs w:val="24"/>
          <w:lang w:val="en-IN"/>
        </w:rPr>
        <w:t xml:space="preserve"> gel of polymerase chain reaction (PCR) positive controls for detection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(K562-LUCENA), abcc1 (</w:t>
      </w:r>
      <w:proofErr w:type="spellStart"/>
      <w:r w:rsidRPr="00473810">
        <w:rPr>
          <w:rFonts w:ascii="Times New Roman" w:eastAsia="Calibri" w:hAnsi="Times New Roman" w:cs="Times New Roman"/>
          <w:sz w:val="24"/>
          <w:szCs w:val="24"/>
          <w:lang w:val="en-IN"/>
        </w:rPr>
        <w:t>Jurkat</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Jurkat</w:t>
      </w:r>
      <w:proofErr w:type="spellEnd"/>
      <w:r w:rsidRPr="00473810">
        <w:rPr>
          <w:rFonts w:ascii="Times New Roman" w:eastAsia="Calibri" w:hAnsi="Times New Roman" w:cs="Times New Roman"/>
          <w:sz w:val="24"/>
          <w:szCs w:val="24"/>
          <w:lang w:val="en-IN"/>
        </w:rPr>
        <w:t xml:space="preserve">) and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(K562). [Line 1 – Molecular size marker 50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Line 2 – PCR product with primers for </w:t>
      </w:r>
      <w:proofErr w:type="spellStart"/>
      <w:r w:rsidRPr="00473810">
        <w:rPr>
          <w:rFonts w:ascii="Times New Roman" w:eastAsia="Calibri" w:hAnsi="Times New Roman" w:cs="Times New Roman"/>
          <w:sz w:val="24"/>
          <w:szCs w:val="24"/>
          <w:lang w:val="en-IN"/>
        </w:rPr>
        <w:t>gapdh</w:t>
      </w:r>
      <w:proofErr w:type="spellEnd"/>
      <w:r w:rsidRPr="00473810">
        <w:rPr>
          <w:rFonts w:ascii="Times New Roman" w:eastAsia="Calibri" w:hAnsi="Times New Roman" w:cs="Times New Roman"/>
          <w:sz w:val="24"/>
          <w:szCs w:val="24"/>
          <w:lang w:val="en-IN"/>
        </w:rPr>
        <w:t xml:space="preserve"> (330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Line 3 – PCR product with primers for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(157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Line 4 – PCR product with primers for abcc1 (260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Line 5 – PCR product with primers for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(240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Line 6 – PCR product with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primers (393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Line 7 – Negative control with water.]</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The mean intensity of each band was assessed by the digital analysis program. The intensity of the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abcc1,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and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gene bands was divided by the intensity of the </w:t>
      </w:r>
      <w:proofErr w:type="spellStart"/>
      <w:r w:rsidRPr="00473810">
        <w:rPr>
          <w:rFonts w:ascii="Times New Roman" w:eastAsia="Calibri" w:hAnsi="Times New Roman" w:cs="Times New Roman"/>
          <w:sz w:val="24"/>
          <w:szCs w:val="24"/>
          <w:lang w:val="en-IN"/>
        </w:rPr>
        <w:t>gapdh</w:t>
      </w:r>
      <w:proofErr w:type="spellEnd"/>
      <w:r w:rsidRPr="00473810">
        <w:rPr>
          <w:rFonts w:ascii="Times New Roman" w:eastAsia="Calibri" w:hAnsi="Times New Roman" w:cs="Times New Roman"/>
          <w:sz w:val="24"/>
          <w:szCs w:val="24"/>
          <w:lang w:val="en-IN"/>
        </w:rPr>
        <w:t xml:space="preserve"> normalizing gene. Results were reported in the form of relative transcription.</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Research of Translocations TL-1, TL-2, TL-3 &amp; TL-4</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The search for chromosomal translocations was performed using the RT-PCR technique followed by nested PCR. The primers (Table 2) and the PCR conditions used for the investigation of chromosomal translocations were those described by the BIOMED-1 program.</w:t>
      </w:r>
    </w:p>
    <w:p w:rsidR="00473810" w:rsidRPr="00473810" w:rsidRDefault="00473810" w:rsidP="00473810">
      <w:pPr>
        <w:spacing w:after="160" w:line="360" w:lineRule="auto"/>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Table 2: Sequence of primers for the investigation of chromosomal translocations.</w:t>
      </w:r>
    </w:p>
    <w:p w:rsidR="00473810" w:rsidRPr="00473810" w:rsidRDefault="00473810" w:rsidP="00473810">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lastRenderedPageBreak/>
        <w:drawing>
          <wp:inline distT="0" distB="0" distL="0" distR="0" wp14:anchorId="6350F04D" wp14:editId="331F9550">
            <wp:extent cx="5249111" cy="4438273"/>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249111" cy="4438273"/>
                    </a:xfrm>
                    <a:prstGeom prst="rect">
                      <a:avLst/>
                    </a:prstGeom>
                  </pic:spPr>
                </pic:pic>
              </a:graphicData>
            </a:graphic>
          </wp:inline>
        </w:drawing>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For the first PCRs of all chromosomal translocations, primers coded as A (sense) and B (antisense) were used. To avoid releasing false positive results, in parallel with the first PCR, a confirmatory PCR was performed with primers C (sense) and E3' (antisense), with the exception of TL-1 and </w:t>
      </w:r>
      <w:proofErr w:type="spellStart"/>
      <w:r w:rsidRPr="00473810">
        <w:rPr>
          <w:rFonts w:ascii="Times New Roman" w:eastAsia="Calibri" w:hAnsi="Times New Roman" w:cs="Times New Roman"/>
          <w:sz w:val="24"/>
          <w:szCs w:val="24"/>
          <w:lang w:val="en-IN"/>
        </w:rPr>
        <w:t>inv</w:t>
      </w:r>
      <w:proofErr w:type="spellEnd"/>
      <w:r w:rsidRPr="00473810">
        <w:rPr>
          <w:rFonts w:ascii="Times New Roman" w:eastAsia="Calibri" w:hAnsi="Times New Roman" w:cs="Times New Roman"/>
          <w:sz w:val="24"/>
          <w:szCs w:val="24"/>
          <w:lang w:val="en-IN"/>
        </w:rPr>
        <w:t xml:space="preserve"> (16)(p13;q22) in which the confirmatory primers used were those coded as E5' (sense) and D (antisense). Nested PCRs were performed using primers encoded with C (sense) and D (antisense).</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Reactions were prepared with a final volume of 50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The PCR stock solution was prepared. The nested PCR reactions were performed under the same conditions, except that, instead of genomic DNA, 1 µL of the amplification product of primers A and B from the first PCR was used as a template. The reaction conditions were: initial denaturation at 95 °C for 30 seconds, followed by 35 cycles of denaturation at 95 °C for 30 seconds, annealing at 65 °C for 1 minute and extension at 72 °C for 1 minute. The PCR product was electrophoresed in 2% </w:t>
      </w:r>
      <w:proofErr w:type="spellStart"/>
      <w:r w:rsidRPr="00473810">
        <w:rPr>
          <w:rFonts w:ascii="Times New Roman" w:eastAsia="Calibri" w:hAnsi="Times New Roman" w:cs="Times New Roman"/>
          <w:sz w:val="24"/>
          <w:szCs w:val="24"/>
          <w:lang w:val="en-IN"/>
        </w:rPr>
        <w:t>agarose</w:t>
      </w:r>
      <w:proofErr w:type="spellEnd"/>
      <w:r w:rsidRPr="00473810">
        <w:rPr>
          <w:rFonts w:ascii="Times New Roman" w:eastAsia="Calibri" w:hAnsi="Times New Roman" w:cs="Times New Roman"/>
          <w:sz w:val="24"/>
          <w:szCs w:val="24"/>
          <w:lang w:val="en-IN"/>
        </w:rPr>
        <w:t xml:space="preserve"> gel at 100 volts for 30 minutes and </w:t>
      </w:r>
      <w:r w:rsidRPr="00473810">
        <w:rPr>
          <w:rFonts w:ascii="Times New Roman" w:eastAsia="Calibri" w:hAnsi="Times New Roman" w:cs="Times New Roman"/>
          <w:sz w:val="24"/>
          <w:szCs w:val="24"/>
          <w:lang w:val="en-IN"/>
        </w:rPr>
        <w:lastRenderedPageBreak/>
        <w:t xml:space="preserve">stained with </w:t>
      </w:r>
      <w:proofErr w:type="spellStart"/>
      <w:r w:rsidRPr="00473810">
        <w:rPr>
          <w:rFonts w:ascii="Times New Roman" w:eastAsia="Calibri" w:hAnsi="Times New Roman" w:cs="Times New Roman"/>
          <w:sz w:val="24"/>
          <w:szCs w:val="24"/>
          <w:lang w:val="en-IN"/>
        </w:rPr>
        <w:t>ethidium</w:t>
      </w:r>
      <w:proofErr w:type="spellEnd"/>
      <w:r w:rsidRPr="00473810">
        <w:rPr>
          <w:rFonts w:ascii="Times New Roman" w:eastAsia="Calibri" w:hAnsi="Times New Roman" w:cs="Times New Roman"/>
          <w:sz w:val="24"/>
          <w:szCs w:val="24"/>
          <w:lang w:val="en-IN"/>
        </w:rPr>
        <w:t xml:space="preserve"> bromide. The bands were visualized in a </w:t>
      </w:r>
      <w:proofErr w:type="spellStart"/>
      <w:r w:rsidRPr="00473810">
        <w:rPr>
          <w:rFonts w:ascii="Times New Roman" w:eastAsia="Calibri" w:hAnsi="Times New Roman" w:cs="Times New Roman"/>
          <w:sz w:val="24"/>
          <w:szCs w:val="24"/>
          <w:lang w:val="en-IN"/>
        </w:rPr>
        <w:t>transilluminator</w:t>
      </w:r>
      <w:proofErr w:type="spellEnd"/>
      <w:r w:rsidRPr="00473810">
        <w:rPr>
          <w:rFonts w:ascii="Times New Roman" w:eastAsia="Calibri" w:hAnsi="Times New Roman" w:cs="Times New Roman"/>
          <w:sz w:val="24"/>
          <w:szCs w:val="24"/>
          <w:lang w:val="en-IN"/>
        </w:rPr>
        <w:t xml:space="preserve"> under UV light of 320 nm. The size of the fragments was estimated by comparison with the 50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molecular size marker (Table 3).</w:t>
      </w:r>
    </w:p>
    <w:p w:rsidR="00473810" w:rsidRPr="00473810" w:rsidRDefault="00473810" w:rsidP="00473810">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Table 3: Expected size of PCR products for the investigation of chromosomal translocations, according to the pair of primers used.</w:t>
      </w:r>
    </w:p>
    <w:p w:rsidR="00473810" w:rsidRPr="00473810" w:rsidRDefault="00473810" w:rsidP="00473810">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drawing>
          <wp:inline distT="0" distB="0" distL="0" distR="0" wp14:anchorId="5181C6B2" wp14:editId="7AB07ACB">
            <wp:extent cx="5731510" cy="55213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731510" cy="5521325"/>
                    </a:xfrm>
                    <a:prstGeom prst="rect">
                      <a:avLst/>
                    </a:prstGeom>
                  </pic:spPr>
                </pic:pic>
              </a:graphicData>
            </a:graphic>
          </wp:inline>
        </w:drawing>
      </w:r>
    </w:p>
    <w:p w:rsidR="00473810" w:rsidRPr="00473810" w:rsidRDefault="00473810" w:rsidP="00473810">
      <w:pPr>
        <w:spacing w:after="160" w:line="360" w:lineRule="auto"/>
        <w:jc w:val="center"/>
        <w:rPr>
          <w:rFonts w:ascii="Times New Roman" w:eastAsia="Calibri" w:hAnsi="Times New Roman" w:cs="Times New Roman"/>
          <w:sz w:val="24"/>
          <w:szCs w:val="24"/>
          <w:lang w:val="en-IN"/>
        </w:rPr>
      </w:pP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 Base pairs;(–): not applicable. *The size of the product is variable due to the variability of exon 6 breakpoints in the PML gene.</w:t>
      </w:r>
    </w:p>
    <w:p w:rsidR="00C41A08" w:rsidRDefault="00C41A08" w:rsidP="00473810">
      <w:pPr>
        <w:spacing w:after="160" w:line="360" w:lineRule="auto"/>
        <w:jc w:val="both"/>
        <w:rPr>
          <w:rFonts w:ascii="Times New Roman" w:eastAsia="Calibri" w:hAnsi="Times New Roman" w:cs="Times New Roman"/>
          <w:b/>
          <w:bCs/>
          <w:sz w:val="24"/>
          <w:szCs w:val="24"/>
          <w:lang w:val="en-IN"/>
        </w:rPr>
      </w:pP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lastRenderedPageBreak/>
        <w:t>DNA Extraction</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DNA extraction was performed using a 5 M guanidine </w:t>
      </w:r>
      <w:proofErr w:type="spellStart"/>
      <w:r w:rsidRPr="00473810">
        <w:rPr>
          <w:rFonts w:ascii="Times New Roman" w:eastAsia="Calibri" w:hAnsi="Times New Roman" w:cs="Times New Roman"/>
          <w:sz w:val="24"/>
          <w:szCs w:val="24"/>
          <w:lang w:val="en-IN"/>
        </w:rPr>
        <w:t>isothiocyanate</w:t>
      </w:r>
      <w:proofErr w:type="spellEnd"/>
      <w:r w:rsidRPr="00473810">
        <w:rPr>
          <w:rFonts w:ascii="Times New Roman" w:eastAsia="Calibri" w:hAnsi="Times New Roman" w:cs="Times New Roman"/>
          <w:sz w:val="24"/>
          <w:szCs w:val="24"/>
          <w:lang w:val="en-IN"/>
        </w:rPr>
        <w:t xml:space="preserve"> solution. For that, 200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of peripheral blood or bone marrow were transferred to a </w:t>
      </w:r>
      <w:proofErr w:type="spellStart"/>
      <w:r w:rsidRPr="00473810">
        <w:rPr>
          <w:rFonts w:ascii="Times New Roman" w:eastAsia="Calibri" w:hAnsi="Times New Roman" w:cs="Times New Roman"/>
          <w:sz w:val="24"/>
          <w:szCs w:val="24"/>
          <w:lang w:val="en-IN"/>
        </w:rPr>
        <w:t>microtube</w:t>
      </w:r>
      <w:proofErr w:type="spellEnd"/>
      <w:r w:rsidRPr="00473810">
        <w:rPr>
          <w:rFonts w:ascii="Times New Roman" w:eastAsia="Calibri" w:hAnsi="Times New Roman" w:cs="Times New Roman"/>
          <w:sz w:val="24"/>
          <w:szCs w:val="24"/>
          <w:lang w:val="en-IN"/>
        </w:rPr>
        <w:t xml:space="preserve"> containing 1 mL of 5 M guanidine </w:t>
      </w:r>
      <w:proofErr w:type="spellStart"/>
      <w:r w:rsidRPr="00473810">
        <w:rPr>
          <w:rFonts w:ascii="Times New Roman" w:eastAsia="Calibri" w:hAnsi="Times New Roman" w:cs="Times New Roman"/>
          <w:sz w:val="24"/>
          <w:szCs w:val="24"/>
          <w:lang w:val="en-IN"/>
        </w:rPr>
        <w:t>isothiocyanate</w:t>
      </w:r>
      <w:proofErr w:type="spellEnd"/>
      <w:r w:rsidRPr="00473810">
        <w:rPr>
          <w:rFonts w:ascii="Times New Roman" w:eastAsia="Calibri" w:hAnsi="Times New Roman" w:cs="Times New Roman"/>
          <w:sz w:val="24"/>
          <w:szCs w:val="24"/>
          <w:lang w:val="en-IN"/>
        </w:rPr>
        <w:t xml:space="preserve"> solution and subjected to vortex homogenization. The sample was then kept under continuous stirring at room temperature for 12 hours overnight. After incubation, 50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of acidified silica dioxide solution was added to the </w:t>
      </w:r>
      <w:proofErr w:type="spellStart"/>
      <w:r w:rsidRPr="00473810">
        <w:rPr>
          <w:rFonts w:ascii="Times New Roman" w:eastAsia="Calibri" w:hAnsi="Times New Roman" w:cs="Times New Roman"/>
          <w:sz w:val="24"/>
          <w:szCs w:val="24"/>
          <w:lang w:val="en-IN"/>
        </w:rPr>
        <w:t>microtube</w:t>
      </w:r>
      <w:proofErr w:type="spellEnd"/>
      <w:r w:rsidRPr="00473810">
        <w:rPr>
          <w:rFonts w:ascii="Times New Roman" w:eastAsia="Calibri" w:hAnsi="Times New Roman" w:cs="Times New Roman"/>
          <w:sz w:val="24"/>
          <w:szCs w:val="24"/>
          <w:lang w:val="en-IN"/>
        </w:rPr>
        <w:t xml:space="preserve"> and the sample was homogenized by inversion for 5 minutes. Afterwards, the sample was centrifuged at 1000 g for 1 minute at room temperature and the supernatant was discarded. The DNA-containing silica pellet was then washed twice with 500 µL of 5M guanidine </w:t>
      </w:r>
      <w:proofErr w:type="spellStart"/>
      <w:r w:rsidRPr="00473810">
        <w:rPr>
          <w:rFonts w:ascii="Times New Roman" w:eastAsia="Calibri" w:hAnsi="Times New Roman" w:cs="Times New Roman"/>
          <w:sz w:val="24"/>
          <w:szCs w:val="24"/>
          <w:lang w:val="en-IN"/>
        </w:rPr>
        <w:t>isothiocyanate</w:t>
      </w:r>
      <w:proofErr w:type="spellEnd"/>
      <w:r w:rsidRPr="00473810">
        <w:rPr>
          <w:rFonts w:ascii="Times New Roman" w:eastAsia="Calibri" w:hAnsi="Times New Roman" w:cs="Times New Roman"/>
          <w:sz w:val="24"/>
          <w:szCs w:val="24"/>
          <w:lang w:val="en-IN"/>
        </w:rPr>
        <w:t xml:space="preserve"> wash solution, twice with 500 µL of 70% ethanol and once with 500 µL of </w:t>
      </w:r>
      <w:proofErr w:type="spellStart"/>
      <w:r w:rsidRPr="00473810">
        <w:rPr>
          <w:rFonts w:ascii="Times New Roman" w:eastAsia="Calibri" w:hAnsi="Times New Roman" w:cs="Times New Roman"/>
          <w:sz w:val="24"/>
          <w:szCs w:val="24"/>
          <w:lang w:val="en-IN"/>
        </w:rPr>
        <w:t>ultra pure</w:t>
      </w:r>
      <w:proofErr w:type="spellEnd"/>
      <w:r w:rsidRPr="00473810">
        <w:rPr>
          <w:rFonts w:ascii="Times New Roman" w:eastAsia="Calibri" w:hAnsi="Times New Roman" w:cs="Times New Roman"/>
          <w:sz w:val="24"/>
          <w:szCs w:val="24"/>
          <w:lang w:val="en-IN"/>
        </w:rPr>
        <w:t xml:space="preserve"> acetone. Between each wash, the supernatant was removed after the sample was centrifuged at 1000 g for 1 minute at room temperature. At the end of the last wash, acetone residues were removed by evaporation in a </w:t>
      </w:r>
      <w:proofErr w:type="spellStart"/>
      <w:r w:rsidRPr="00473810">
        <w:rPr>
          <w:rFonts w:ascii="Times New Roman" w:eastAsia="Calibri" w:hAnsi="Times New Roman" w:cs="Times New Roman"/>
          <w:sz w:val="24"/>
          <w:szCs w:val="24"/>
          <w:lang w:val="en-IN"/>
        </w:rPr>
        <w:t>thermoblock</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Thermomixer</w:t>
      </w:r>
      <w:proofErr w:type="spellEnd"/>
      <w:r w:rsidRPr="00473810">
        <w:rPr>
          <w:rFonts w:ascii="Times New Roman" w:eastAsia="Calibri" w:hAnsi="Times New Roman" w:cs="Times New Roman"/>
          <w:sz w:val="24"/>
          <w:szCs w:val="24"/>
          <w:lang w:val="en-IN"/>
        </w:rPr>
        <w:t xml:space="preserve"> compact, </w:t>
      </w:r>
      <w:proofErr w:type="spellStart"/>
      <w:r w:rsidRPr="00473810">
        <w:rPr>
          <w:rFonts w:ascii="Times New Roman" w:eastAsia="Calibri" w:hAnsi="Times New Roman" w:cs="Times New Roman"/>
          <w:sz w:val="24"/>
          <w:szCs w:val="24"/>
          <w:lang w:val="en-IN"/>
        </w:rPr>
        <w:t>Eppendorf</w:t>
      </w:r>
      <w:proofErr w:type="spellEnd"/>
      <w:r w:rsidRPr="00473810">
        <w:rPr>
          <w:rFonts w:ascii="Times New Roman" w:eastAsia="Calibri" w:hAnsi="Times New Roman" w:cs="Times New Roman"/>
          <w:sz w:val="24"/>
          <w:szCs w:val="24"/>
          <w:lang w:val="en-IN"/>
        </w:rPr>
        <w:t xml:space="preserve">) at 56 °C for 10 minutes. The sample was rehydrated with 25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of </w:t>
      </w:r>
      <w:proofErr w:type="spellStart"/>
      <w:r w:rsidRPr="00473810">
        <w:rPr>
          <w:rFonts w:ascii="Times New Roman" w:eastAsia="Calibri" w:hAnsi="Times New Roman" w:cs="Times New Roman"/>
          <w:sz w:val="24"/>
          <w:szCs w:val="24"/>
          <w:lang w:val="en-IN"/>
        </w:rPr>
        <w:t>Tris</w:t>
      </w:r>
      <w:proofErr w:type="spellEnd"/>
      <w:r w:rsidRPr="00473810">
        <w:rPr>
          <w:rFonts w:ascii="Times New Roman" w:eastAsia="Calibri" w:hAnsi="Times New Roman" w:cs="Times New Roman"/>
          <w:sz w:val="24"/>
          <w:szCs w:val="24"/>
          <w:lang w:val="en-IN"/>
        </w:rPr>
        <w:t xml:space="preserve">-EDTA Buffer (10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Tris.HCl</w:t>
      </w:r>
      <w:proofErr w:type="spellEnd"/>
      <w:r w:rsidRPr="00473810">
        <w:rPr>
          <w:rFonts w:ascii="Times New Roman" w:eastAsia="Calibri" w:hAnsi="Times New Roman" w:cs="Times New Roman"/>
          <w:sz w:val="24"/>
          <w:szCs w:val="24"/>
          <w:lang w:val="en-IN"/>
        </w:rPr>
        <w:t xml:space="preserve">, pH 6.4; 1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xml:space="preserve"> EDTA, pH 8.0) and again incubated in </w:t>
      </w:r>
      <w:proofErr w:type="spellStart"/>
      <w:r w:rsidRPr="00473810">
        <w:rPr>
          <w:rFonts w:ascii="Times New Roman" w:eastAsia="Calibri" w:hAnsi="Times New Roman" w:cs="Times New Roman"/>
          <w:sz w:val="24"/>
          <w:szCs w:val="24"/>
          <w:lang w:val="en-IN"/>
        </w:rPr>
        <w:t>thermoblock</w:t>
      </w:r>
      <w:proofErr w:type="spellEnd"/>
      <w:r w:rsidRPr="00473810">
        <w:rPr>
          <w:rFonts w:ascii="Times New Roman" w:eastAsia="Calibri" w:hAnsi="Times New Roman" w:cs="Times New Roman"/>
          <w:sz w:val="24"/>
          <w:szCs w:val="24"/>
          <w:lang w:val="en-IN"/>
        </w:rPr>
        <w:t xml:space="preserve"> at 56 °C for 10 minutes under agitation. Afterwards, the sample was centrifuged at 2,600 g for 5 minutes and the supernatant containing the genomic DNA was transferred to a new </w:t>
      </w:r>
      <w:proofErr w:type="spellStart"/>
      <w:r w:rsidRPr="00473810">
        <w:rPr>
          <w:rFonts w:ascii="Times New Roman" w:eastAsia="Calibri" w:hAnsi="Times New Roman" w:cs="Times New Roman"/>
          <w:sz w:val="24"/>
          <w:szCs w:val="24"/>
          <w:lang w:val="en-IN"/>
        </w:rPr>
        <w:t>microtube</w:t>
      </w:r>
      <w:proofErr w:type="spellEnd"/>
      <w:r w:rsidRPr="00473810">
        <w:rPr>
          <w:rFonts w:ascii="Times New Roman" w:eastAsia="Calibri" w:hAnsi="Times New Roman" w:cs="Times New Roman"/>
          <w:sz w:val="24"/>
          <w:szCs w:val="24"/>
          <w:lang w:val="en-IN"/>
        </w:rPr>
        <w:t xml:space="preserve"> with a capacity of 0.6 mL and frozen at minus 20 °C for later use in the assays for mutations in genes FMS3 and JAK2.</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 xml:space="preserve">Research for Mutation in the FMS3 Gene </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Detection of the Mutation in the FMS3 Gene of the DIT Type</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For the detection of FMS3-DIT, the amplification of exons 14 and 15 of the FMS3 gene was performed.</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Reactions were prepared with a final volume of 50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The PCR mix solution was prepared as follows: 100 </w:t>
      </w:r>
      <w:proofErr w:type="spellStart"/>
      <w:r w:rsidRPr="00473810">
        <w:rPr>
          <w:rFonts w:ascii="Times New Roman" w:eastAsia="Calibri" w:hAnsi="Times New Roman" w:cs="Times New Roman"/>
          <w:sz w:val="24"/>
          <w:szCs w:val="24"/>
          <w:lang w:val="en-IN"/>
        </w:rPr>
        <w:t>ng</w:t>
      </w:r>
      <w:proofErr w:type="spellEnd"/>
      <w:r w:rsidRPr="00473810">
        <w:rPr>
          <w:rFonts w:ascii="Times New Roman" w:eastAsia="Calibri" w:hAnsi="Times New Roman" w:cs="Times New Roman"/>
          <w:sz w:val="24"/>
          <w:szCs w:val="24"/>
          <w:lang w:val="en-IN"/>
        </w:rPr>
        <w:t xml:space="preserve"> to 1 µg of genomic DNA, 5 µL of concentrated 10X buffer for </w:t>
      </w:r>
      <w:proofErr w:type="spellStart"/>
      <w:r w:rsidRPr="00473810">
        <w:rPr>
          <w:rFonts w:ascii="Times New Roman" w:eastAsia="Calibri" w:hAnsi="Times New Roman" w:cs="Times New Roman"/>
          <w:sz w:val="24"/>
          <w:szCs w:val="24"/>
          <w:lang w:val="en-IN"/>
        </w:rPr>
        <w:t>Taq</w:t>
      </w:r>
      <w:proofErr w:type="spellEnd"/>
      <w:r w:rsidRPr="00473810">
        <w:rPr>
          <w:rFonts w:ascii="Times New Roman" w:eastAsia="Calibri" w:hAnsi="Times New Roman" w:cs="Times New Roman"/>
          <w:sz w:val="24"/>
          <w:szCs w:val="24"/>
          <w:lang w:val="en-IN"/>
        </w:rPr>
        <w:t xml:space="preserve"> DNA polymerase (20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Tris-HCl</w:t>
      </w:r>
      <w:proofErr w:type="spellEnd"/>
      <w:r w:rsidRPr="00473810">
        <w:rPr>
          <w:rFonts w:ascii="Times New Roman" w:eastAsia="Calibri" w:hAnsi="Times New Roman" w:cs="Times New Roman"/>
          <w:sz w:val="24"/>
          <w:szCs w:val="24"/>
          <w:lang w:val="en-IN"/>
        </w:rPr>
        <w:t xml:space="preserve">, pH 8.4; 50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KCl</w:t>
      </w:r>
      <w:proofErr w:type="spellEnd"/>
      <w:r w:rsidRPr="00473810">
        <w:rPr>
          <w:rFonts w:ascii="Times New Roman" w:eastAsia="Calibri" w:hAnsi="Times New Roman" w:cs="Times New Roman"/>
          <w:sz w:val="24"/>
          <w:szCs w:val="24"/>
          <w:lang w:val="en-IN"/>
        </w:rPr>
        <w:t xml:space="preserve">), 1.5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MgCl2 (50 Mm), 0.4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dNTP</w:t>
      </w:r>
      <w:proofErr w:type="spellEnd"/>
      <w:r w:rsidRPr="00473810">
        <w:rPr>
          <w:rFonts w:ascii="Times New Roman" w:eastAsia="Calibri" w:hAnsi="Times New Roman" w:cs="Times New Roman"/>
          <w:sz w:val="24"/>
          <w:szCs w:val="24"/>
          <w:lang w:val="en-IN"/>
        </w:rPr>
        <w:t xml:space="preserve"> mix (100 </w:t>
      </w:r>
      <w:proofErr w:type="spellStart"/>
      <w:r w:rsidRPr="00473810">
        <w:rPr>
          <w:rFonts w:ascii="Times New Roman" w:eastAsia="Calibri" w:hAnsi="Times New Roman" w:cs="Times New Roman"/>
          <w:sz w:val="24"/>
          <w:szCs w:val="24"/>
          <w:lang w:val="en-IN"/>
        </w:rPr>
        <w:t>mM</w:t>
      </w:r>
      <w:proofErr w:type="spellEnd"/>
      <w:r w:rsidRPr="00473810">
        <w:rPr>
          <w:rFonts w:ascii="Times New Roman" w:eastAsia="Calibri" w:hAnsi="Times New Roman" w:cs="Times New Roman"/>
          <w:sz w:val="24"/>
          <w:szCs w:val="24"/>
          <w:lang w:val="en-IN"/>
        </w:rPr>
        <w:t xml:space="preserve"> each), 2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primer sense (5'-GCATTTAATATGAAGCAGCCAGG-3') and antisense (5'- </w:t>
      </w:r>
      <w:r w:rsidRPr="00473810">
        <w:rPr>
          <w:rFonts w:ascii="Times New Roman" w:eastAsia="Calibri" w:hAnsi="Times New Roman" w:cs="Times New Roman"/>
          <w:sz w:val="24"/>
          <w:szCs w:val="24"/>
          <w:lang w:val="en-IN"/>
        </w:rPr>
        <w:lastRenderedPageBreak/>
        <w:t xml:space="preserve">CTTGTAACAGCATTTTCCGGCAC-3') (10 µM each), 0.25 µL of </w:t>
      </w:r>
      <w:proofErr w:type="spellStart"/>
      <w:r w:rsidRPr="00473810">
        <w:rPr>
          <w:rFonts w:ascii="Times New Roman" w:eastAsia="Calibri" w:hAnsi="Times New Roman" w:cs="Times New Roman"/>
          <w:sz w:val="24"/>
          <w:szCs w:val="24"/>
          <w:lang w:val="en-IN"/>
        </w:rPr>
        <w:t>Taq</w:t>
      </w:r>
      <w:proofErr w:type="spellEnd"/>
      <w:r w:rsidRPr="00473810">
        <w:rPr>
          <w:rFonts w:ascii="Times New Roman" w:eastAsia="Calibri" w:hAnsi="Times New Roman" w:cs="Times New Roman"/>
          <w:sz w:val="24"/>
          <w:szCs w:val="24"/>
          <w:lang w:val="en-IN"/>
        </w:rPr>
        <w:t xml:space="preserve"> DNA polymerase (5 U/</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and ultra-pure water </w:t>
      </w:r>
      <w:proofErr w:type="spellStart"/>
      <w:r w:rsidRPr="00473810">
        <w:rPr>
          <w:rFonts w:ascii="Times New Roman" w:eastAsia="Calibri" w:hAnsi="Times New Roman" w:cs="Times New Roman"/>
          <w:sz w:val="24"/>
          <w:szCs w:val="24"/>
          <w:lang w:val="en-IN"/>
        </w:rPr>
        <w:t>q.s.p</w:t>
      </w:r>
      <w:proofErr w:type="spellEnd"/>
      <w:r w:rsidRPr="00473810">
        <w:rPr>
          <w:rFonts w:ascii="Times New Roman" w:eastAsia="Calibri" w:hAnsi="Times New Roman" w:cs="Times New Roman"/>
          <w:sz w:val="24"/>
          <w:szCs w:val="24"/>
          <w:lang w:val="en-IN"/>
        </w:rPr>
        <w:t xml:space="preserve"> to 50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The reaction conditions were: A total of 35 cycles of denaturation at 94°C for 30 seconds, annealing for 1 minute at 61°C and 72°C for 2 minutes, followed by a final extension of 72°C for 8 minutes at the end of the process. It was stained with </w:t>
      </w:r>
      <w:proofErr w:type="spellStart"/>
      <w:r w:rsidRPr="00473810">
        <w:rPr>
          <w:rFonts w:ascii="Times New Roman" w:eastAsia="Calibri" w:hAnsi="Times New Roman" w:cs="Times New Roman"/>
          <w:sz w:val="24"/>
          <w:szCs w:val="24"/>
          <w:lang w:val="en-IN"/>
        </w:rPr>
        <w:t>ethidium</w:t>
      </w:r>
      <w:proofErr w:type="spellEnd"/>
      <w:r w:rsidRPr="00473810">
        <w:rPr>
          <w:rFonts w:ascii="Times New Roman" w:eastAsia="Calibri" w:hAnsi="Times New Roman" w:cs="Times New Roman"/>
          <w:sz w:val="24"/>
          <w:szCs w:val="24"/>
          <w:lang w:val="en-IN"/>
        </w:rPr>
        <w:t xml:space="preserve"> bromide after electrophoresis in a 12 </w:t>
      </w:r>
      <w:proofErr w:type="spellStart"/>
      <w:r w:rsidRPr="00473810">
        <w:rPr>
          <w:rFonts w:ascii="Times New Roman" w:eastAsia="Calibri" w:hAnsi="Times New Roman" w:cs="Times New Roman"/>
          <w:sz w:val="24"/>
          <w:szCs w:val="24"/>
          <w:lang w:val="en-IN"/>
        </w:rPr>
        <w:t>percent</w:t>
      </w:r>
      <w:proofErr w:type="spellEnd"/>
      <w:r w:rsidRPr="00473810">
        <w:rPr>
          <w:rFonts w:ascii="Times New Roman" w:eastAsia="Calibri" w:hAnsi="Times New Roman" w:cs="Times New Roman"/>
          <w:sz w:val="24"/>
          <w:szCs w:val="24"/>
          <w:lang w:val="en-IN"/>
        </w:rPr>
        <w:t xml:space="preserve"> polyacrylamide gel for 90 minutes at 80 volts. Under 320 nm UV </w:t>
      </w:r>
      <w:proofErr w:type="spellStart"/>
      <w:r w:rsidRPr="00473810">
        <w:rPr>
          <w:rFonts w:ascii="Times New Roman" w:eastAsia="Calibri" w:hAnsi="Times New Roman" w:cs="Times New Roman"/>
          <w:sz w:val="24"/>
          <w:szCs w:val="24"/>
          <w:lang w:val="en-IN"/>
        </w:rPr>
        <w:t>transilluminator</w:t>
      </w:r>
      <w:proofErr w:type="spellEnd"/>
      <w:r w:rsidRPr="00473810">
        <w:rPr>
          <w:rFonts w:ascii="Times New Roman" w:eastAsia="Calibri" w:hAnsi="Times New Roman" w:cs="Times New Roman"/>
          <w:sz w:val="24"/>
          <w:szCs w:val="24"/>
          <w:lang w:val="en-IN"/>
        </w:rPr>
        <w:t xml:space="preserve"> light, the bands could be seen. In order to estimate the fragment size, we used a molecular size marker (100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as a reference.</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the absence of the FMS3-DIT mutation, just one band with 329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was detected, which was consistent with the wild-type gene. The FMS3-DIT homozygous and heterozygous forms of the mutation were associated with the presence of a second, larger band (up to 400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or the absence of the 329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band when one or two larger bands were present ( Figure 3).</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drawing>
          <wp:inline distT="0" distB="0" distL="0" distR="0" wp14:anchorId="62BCDE7C" wp14:editId="02B030FD">
            <wp:extent cx="4724400" cy="235434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9998" cy="2357138"/>
                    </a:xfrm>
                    <a:prstGeom prst="rect">
                      <a:avLst/>
                    </a:prstGeom>
                    <a:noFill/>
                    <a:ln>
                      <a:noFill/>
                    </a:ln>
                  </pic:spPr>
                </pic:pic>
              </a:graphicData>
            </a:graphic>
          </wp:inline>
        </w:drawing>
      </w:r>
    </w:p>
    <w:p w:rsidR="00473810" w:rsidRPr="00473810" w:rsidRDefault="00473810" w:rsidP="00473810">
      <w:pPr>
        <w:spacing w:after="160" w:line="24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Figure 3 : 12% polyacrylamide gel representative of polymerase chain reaction (PCR) products for the detection of the FMS3-DIT mutation.[</w:t>
      </w:r>
      <w:r w:rsidRPr="00473810">
        <w:rPr>
          <w:rFonts w:ascii="Calibri" w:eastAsia="Calibri" w:hAnsi="Calibri" w:cs="Calibri"/>
          <w:lang w:val="en-IN"/>
        </w:rPr>
        <w:t xml:space="preserve"> </w:t>
      </w:r>
      <w:r w:rsidRPr="00473810">
        <w:rPr>
          <w:rFonts w:ascii="Times New Roman" w:eastAsia="Calibri" w:hAnsi="Times New Roman" w:cs="Times New Roman"/>
          <w:sz w:val="24"/>
          <w:szCs w:val="24"/>
          <w:lang w:val="en-IN"/>
        </w:rPr>
        <w:t xml:space="preserve">Line 1 – 100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molecular size marker; Line 2 – Homozygous patient sample with a band compatible with the FMS3-DIT mutation; Line 3 – Patient sample without a band compatible with the FMS3-DIT mutation; Line 4 – Positive control (Sample from a heterozygous patient known to be positive for the FMS3-DIT mutation); Line 5 – Negative control with DNA (Patient sample known to be negative for the FMS3-DIT mutation); Line 6 – Negative control with water.]</w:t>
      </w:r>
    </w:p>
    <w:p w:rsidR="00702E13" w:rsidRDefault="00702E13" w:rsidP="00473810">
      <w:pPr>
        <w:spacing w:after="160" w:line="360" w:lineRule="auto"/>
        <w:jc w:val="both"/>
        <w:rPr>
          <w:rFonts w:ascii="Times New Roman" w:eastAsia="Calibri" w:hAnsi="Times New Roman" w:cs="Times New Roman"/>
          <w:b/>
          <w:bCs/>
          <w:sz w:val="24"/>
          <w:szCs w:val="24"/>
          <w:lang w:val="en-IN"/>
        </w:rPr>
      </w:pP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lastRenderedPageBreak/>
        <w:t>Detection of the Mutation in the FMS3 Gene of Type D835</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To detect the FMS3-D835 mutation, exon 20 amplification of the FMS3 gene was performed followed by an enzymatic digestion with </w:t>
      </w:r>
      <w:proofErr w:type="spellStart"/>
      <w:r w:rsidRPr="00473810">
        <w:rPr>
          <w:rFonts w:ascii="Times New Roman" w:eastAsia="Calibri" w:hAnsi="Times New Roman" w:cs="Times New Roman"/>
          <w:sz w:val="24"/>
          <w:szCs w:val="24"/>
          <w:lang w:val="en-IN"/>
        </w:rPr>
        <w:t>EcoRV</w:t>
      </w:r>
      <w:proofErr w:type="spellEnd"/>
      <w:r w:rsidRPr="00473810">
        <w:rPr>
          <w:rFonts w:ascii="Times New Roman" w:eastAsia="Calibri" w:hAnsi="Times New Roman" w:cs="Times New Roman"/>
          <w:sz w:val="24"/>
          <w:szCs w:val="24"/>
          <w:lang w:val="en-IN"/>
        </w:rPr>
        <w:t xml:space="preserve">. Reactions were prepared with a final volume of 50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The reaction conditions were: initial denaturation at 94 °C for 3 minutes, followed by 35 cycles of denaturation at 94 °C for 30 seconds, annealing at 66 °C for 1 minute and extension at 72 °C for 2 minutes, with a final extension of 72 °C for 8 minutes. Before enzymatic digestion, the success of amplification was verified by performing electrophoresis in a 2.5% </w:t>
      </w:r>
      <w:proofErr w:type="spellStart"/>
      <w:r w:rsidRPr="00473810">
        <w:rPr>
          <w:rFonts w:ascii="Times New Roman" w:eastAsia="Calibri" w:hAnsi="Times New Roman" w:cs="Times New Roman"/>
          <w:sz w:val="24"/>
          <w:szCs w:val="24"/>
          <w:lang w:val="en-IN"/>
        </w:rPr>
        <w:t>agarose</w:t>
      </w:r>
      <w:proofErr w:type="spellEnd"/>
      <w:r w:rsidRPr="00473810">
        <w:rPr>
          <w:rFonts w:ascii="Times New Roman" w:eastAsia="Calibri" w:hAnsi="Times New Roman" w:cs="Times New Roman"/>
          <w:sz w:val="24"/>
          <w:szCs w:val="24"/>
          <w:lang w:val="en-IN"/>
        </w:rPr>
        <w:t xml:space="preserve"> gel at 100 V for 30 minutes. The gel was stained with </w:t>
      </w:r>
      <w:proofErr w:type="spellStart"/>
      <w:r w:rsidRPr="00473810">
        <w:rPr>
          <w:rFonts w:ascii="Times New Roman" w:eastAsia="Calibri" w:hAnsi="Times New Roman" w:cs="Times New Roman"/>
          <w:sz w:val="24"/>
          <w:szCs w:val="24"/>
          <w:lang w:val="en-IN"/>
        </w:rPr>
        <w:t>ethidium</w:t>
      </w:r>
      <w:proofErr w:type="spellEnd"/>
      <w:r w:rsidRPr="00473810">
        <w:rPr>
          <w:rFonts w:ascii="Times New Roman" w:eastAsia="Calibri" w:hAnsi="Times New Roman" w:cs="Times New Roman"/>
          <w:sz w:val="24"/>
          <w:szCs w:val="24"/>
          <w:lang w:val="en-IN"/>
        </w:rPr>
        <w:t xml:space="preserve"> bromide and the bands were visualized on a </w:t>
      </w:r>
      <w:proofErr w:type="spellStart"/>
      <w:r w:rsidRPr="00473810">
        <w:rPr>
          <w:rFonts w:ascii="Times New Roman" w:eastAsia="Calibri" w:hAnsi="Times New Roman" w:cs="Times New Roman"/>
          <w:sz w:val="24"/>
          <w:szCs w:val="24"/>
          <w:lang w:val="en-IN"/>
        </w:rPr>
        <w:t>transilluminator</w:t>
      </w:r>
      <w:proofErr w:type="spellEnd"/>
      <w:r w:rsidRPr="00473810">
        <w:rPr>
          <w:rFonts w:ascii="Times New Roman" w:eastAsia="Calibri" w:hAnsi="Times New Roman" w:cs="Times New Roman"/>
          <w:sz w:val="24"/>
          <w:szCs w:val="24"/>
          <w:lang w:val="en-IN"/>
        </w:rPr>
        <w:t xml:space="preserve"> under UV light of 320 nm. The size of the fragments was estimated by comparison with the 50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molecular size marker. Samples that showed a single band with 114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were subjected to digestion with </w:t>
      </w:r>
      <w:proofErr w:type="spellStart"/>
      <w:r w:rsidRPr="00473810">
        <w:rPr>
          <w:rFonts w:ascii="Times New Roman" w:eastAsia="Calibri" w:hAnsi="Times New Roman" w:cs="Times New Roman"/>
          <w:sz w:val="24"/>
          <w:szCs w:val="24"/>
          <w:lang w:val="en-IN"/>
        </w:rPr>
        <w:t>EcoRV</w:t>
      </w:r>
      <w:proofErr w:type="spellEnd"/>
      <w:r w:rsidRPr="00473810">
        <w:rPr>
          <w:rFonts w:ascii="Times New Roman" w:eastAsia="Calibri" w:hAnsi="Times New Roman" w:cs="Times New Roman"/>
          <w:sz w:val="24"/>
          <w:szCs w:val="24"/>
          <w:lang w:val="en-IN"/>
        </w:rPr>
        <w:t>.</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Enzymatic digestion was prepared with a final volume of 15 </w:t>
      </w:r>
      <w:proofErr w:type="spellStart"/>
      <w:r w:rsidRPr="00473810">
        <w:rPr>
          <w:rFonts w:ascii="Times New Roman" w:eastAsia="Calibri" w:hAnsi="Times New Roman" w:cs="Times New Roman"/>
          <w:sz w:val="24"/>
          <w:szCs w:val="24"/>
          <w:lang w:val="en-IN"/>
        </w:rPr>
        <w:t>μL</w:t>
      </w:r>
      <w:proofErr w:type="spellEnd"/>
      <w:r w:rsidRPr="00473810">
        <w:rPr>
          <w:rFonts w:ascii="Times New Roman" w:eastAsia="Calibri" w:hAnsi="Times New Roman" w:cs="Times New Roman"/>
          <w:sz w:val="24"/>
          <w:szCs w:val="24"/>
          <w:lang w:val="en-IN"/>
        </w:rPr>
        <w:t xml:space="preserve"> and was performed. A 20 </w:t>
      </w:r>
      <w:proofErr w:type="spellStart"/>
      <w:r w:rsidRPr="00473810">
        <w:rPr>
          <w:rFonts w:ascii="Times New Roman" w:eastAsia="Calibri" w:hAnsi="Times New Roman" w:cs="Times New Roman"/>
          <w:sz w:val="24"/>
          <w:szCs w:val="24"/>
          <w:lang w:val="en-IN"/>
        </w:rPr>
        <w:t>percent</w:t>
      </w:r>
      <w:proofErr w:type="spellEnd"/>
      <w:r w:rsidRPr="00473810">
        <w:rPr>
          <w:rFonts w:ascii="Times New Roman" w:eastAsia="Calibri" w:hAnsi="Times New Roman" w:cs="Times New Roman"/>
          <w:sz w:val="24"/>
          <w:szCs w:val="24"/>
          <w:lang w:val="en-IN"/>
        </w:rPr>
        <w:t xml:space="preserve"> polyacrylamide gel was incubated at 70 V for 90 minutes with the reaction at 37 °C, and the digestion products were seen. In order to see the bands, the gel was stained with </w:t>
      </w:r>
      <w:proofErr w:type="spellStart"/>
      <w:r w:rsidRPr="00473810">
        <w:rPr>
          <w:rFonts w:ascii="Times New Roman" w:eastAsia="Calibri" w:hAnsi="Times New Roman" w:cs="Times New Roman"/>
          <w:sz w:val="24"/>
          <w:szCs w:val="24"/>
          <w:lang w:val="en-IN"/>
        </w:rPr>
        <w:t>ethidium</w:t>
      </w:r>
      <w:proofErr w:type="spellEnd"/>
      <w:r w:rsidRPr="00473810">
        <w:rPr>
          <w:rFonts w:ascii="Times New Roman" w:eastAsia="Calibri" w:hAnsi="Times New Roman" w:cs="Times New Roman"/>
          <w:sz w:val="24"/>
          <w:szCs w:val="24"/>
          <w:lang w:val="en-IN"/>
        </w:rPr>
        <w:t xml:space="preserve"> bromide and the UV light of 320 nm was used. The molecular size marker of 50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was used to assess the size of the fragments. Samples without the FMS3-D835 mutation were fully digested and showed two bands (68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/46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Samples homozygous or heterozygous for the FMS3-D835 mutation were not digested or were partially digested, respectively. Thus, homozygous samples showed a single undigested band (114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and in heterozygotes three bands resulting from partial digestion (114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/68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/46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were observed (Figure 4).</w:t>
      </w:r>
    </w:p>
    <w:p w:rsidR="00473810" w:rsidRPr="00473810" w:rsidRDefault="00473810" w:rsidP="00473810">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lastRenderedPageBreak/>
        <w:drawing>
          <wp:inline distT="0" distB="0" distL="0" distR="0" wp14:anchorId="5A62FE5D" wp14:editId="22C525E1">
            <wp:extent cx="5723890" cy="2535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2535555"/>
                    </a:xfrm>
                    <a:prstGeom prst="rect">
                      <a:avLst/>
                    </a:prstGeom>
                    <a:noFill/>
                    <a:ln>
                      <a:noFill/>
                    </a:ln>
                  </pic:spPr>
                </pic:pic>
              </a:graphicData>
            </a:graphic>
          </wp:inline>
        </w:drawing>
      </w:r>
    </w:p>
    <w:p w:rsidR="00473810" w:rsidRPr="00473810" w:rsidRDefault="00473810" w:rsidP="00473810">
      <w:pPr>
        <w:spacing w:after="160" w:line="24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Figure 4: Representative 20% polyacrylamide gel of polymerase chain reaction (PCR) products for FMS3-D835 mutation detection.[Line 1 – 50 </w:t>
      </w:r>
      <w:proofErr w:type="spellStart"/>
      <w:r w:rsidRPr="00473810">
        <w:rPr>
          <w:rFonts w:ascii="Times New Roman" w:eastAsia="Calibri" w:hAnsi="Times New Roman" w:cs="Times New Roman"/>
          <w:sz w:val="24"/>
          <w:szCs w:val="24"/>
          <w:lang w:val="en-IN"/>
        </w:rPr>
        <w:t>bp</w:t>
      </w:r>
      <w:proofErr w:type="spellEnd"/>
      <w:r w:rsidRPr="00473810">
        <w:rPr>
          <w:rFonts w:ascii="Times New Roman" w:eastAsia="Calibri" w:hAnsi="Times New Roman" w:cs="Times New Roman"/>
          <w:sz w:val="24"/>
          <w:szCs w:val="24"/>
          <w:lang w:val="en-IN"/>
        </w:rPr>
        <w:t xml:space="preserve"> molecular size marker; Lane 2 – Patient sample with bands compatible with the FMS3-D835 mutation before digestion with </w:t>
      </w:r>
      <w:proofErr w:type="spellStart"/>
      <w:r w:rsidRPr="00473810">
        <w:rPr>
          <w:rFonts w:ascii="Times New Roman" w:eastAsia="Calibri" w:hAnsi="Times New Roman" w:cs="Times New Roman"/>
          <w:sz w:val="24"/>
          <w:szCs w:val="24"/>
          <w:lang w:val="en-IN"/>
        </w:rPr>
        <w:t>EcoRV</w:t>
      </w:r>
      <w:proofErr w:type="spellEnd"/>
      <w:r w:rsidRPr="00473810">
        <w:rPr>
          <w:rFonts w:ascii="Times New Roman" w:eastAsia="Calibri" w:hAnsi="Times New Roman" w:cs="Times New Roman"/>
          <w:sz w:val="24"/>
          <w:szCs w:val="24"/>
          <w:lang w:val="en-IN"/>
        </w:rPr>
        <w:t xml:space="preserve">; Lane 3 – Sample from a heterozygous patient with bands compatible with the FMS3-D835 mutation after digestion with </w:t>
      </w:r>
      <w:proofErr w:type="spellStart"/>
      <w:r w:rsidRPr="00473810">
        <w:rPr>
          <w:rFonts w:ascii="Times New Roman" w:eastAsia="Calibri" w:hAnsi="Times New Roman" w:cs="Times New Roman"/>
          <w:sz w:val="24"/>
          <w:szCs w:val="24"/>
          <w:lang w:val="en-IN"/>
        </w:rPr>
        <w:t>EcoRV</w:t>
      </w:r>
      <w:proofErr w:type="spellEnd"/>
      <w:r w:rsidRPr="00473810">
        <w:rPr>
          <w:rFonts w:ascii="Times New Roman" w:eastAsia="Calibri" w:hAnsi="Times New Roman" w:cs="Times New Roman"/>
          <w:sz w:val="24"/>
          <w:szCs w:val="24"/>
          <w:lang w:val="en-IN"/>
        </w:rPr>
        <w:t xml:space="preserve">; Lane 4 – Patient sample without bands compatible with the FMS3-D835 mutation before digestion with </w:t>
      </w:r>
      <w:proofErr w:type="spellStart"/>
      <w:r w:rsidRPr="00473810">
        <w:rPr>
          <w:rFonts w:ascii="Times New Roman" w:eastAsia="Calibri" w:hAnsi="Times New Roman" w:cs="Times New Roman"/>
          <w:sz w:val="24"/>
          <w:szCs w:val="24"/>
          <w:lang w:val="en-IN"/>
        </w:rPr>
        <w:t>EcoRV</w:t>
      </w:r>
      <w:proofErr w:type="spellEnd"/>
      <w:r w:rsidRPr="00473810">
        <w:rPr>
          <w:rFonts w:ascii="Times New Roman" w:eastAsia="Calibri" w:hAnsi="Times New Roman" w:cs="Times New Roman"/>
          <w:sz w:val="24"/>
          <w:szCs w:val="24"/>
          <w:lang w:val="en-IN"/>
        </w:rPr>
        <w:t xml:space="preserve">; Lane 5 – Patient sample without bands compatible with the FMS3-D835 mutation after digestion with </w:t>
      </w:r>
      <w:proofErr w:type="spellStart"/>
      <w:r w:rsidRPr="00473810">
        <w:rPr>
          <w:rFonts w:ascii="Times New Roman" w:eastAsia="Calibri" w:hAnsi="Times New Roman" w:cs="Times New Roman"/>
          <w:sz w:val="24"/>
          <w:szCs w:val="24"/>
          <w:lang w:val="en-IN"/>
        </w:rPr>
        <w:t>EcoRV</w:t>
      </w:r>
      <w:proofErr w:type="spellEnd"/>
      <w:r w:rsidRPr="00473810">
        <w:rPr>
          <w:rFonts w:ascii="Times New Roman" w:eastAsia="Calibri" w:hAnsi="Times New Roman" w:cs="Times New Roman"/>
          <w:sz w:val="24"/>
          <w:szCs w:val="24"/>
          <w:lang w:val="en-IN"/>
        </w:rPr>
        <w:t>; Line 6 – Negative control with water.]</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Statistical Analysis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The creation of the database and the statistical analysis were performed using SPSS version 17.0® and </w:t>
      </w:r>
      <w:proofErr w:type="spellStart"/>
      <w:r w:rsidRPr="00473810">
        <w:rPr>
          <w:rFonts w:ascii="Times New Roman" w:eastAsia="Calibri" w:hAnsi="Times New Roman" w:cs="Times New Roman"/>
          <w:sz w:val="24"/>
          <w:szCs w:val="24"/>
          <w:lang w:val="en-IN"/>
        </w:rPr>
        <w:t>MedCalc</w:t>
      </w:r>
      <w:proofErr w:type="spellEnd"/>
      <w:r w:rsidRPr="00473810">
        <w:rPr>
          <w:rFonts w:ascii="Times New Roman" w:eastAsia="Calibri" w:hAnsi="Times New Roman" w:cs="Times New Roman"/>
          <w:sz w:val="24"/>
          <w:szCs w:val="24"/>
          <w:lang w:val="en-IN"/>
        </w:rPr>
        <w:t xml:space="preserve">® version 12.3.0.0 software. Demographic data were summarized as absolute numbers and percentages in the case of nominal variables; and median of maximum and minimum values ​​in the case of numeric variables. The expression of multidrug resistance proteins (ABCB1, ABCC1 and LRP) were numerically summarized through median and maximum and minimum values ​​(thresholds). The presence of FMS3-DIT, FMS3-D835 and JAK2V617F mutations, as well as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translocations and transcription were summarized dichotomously (present or absent).</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To evaluate the distribution of the samples, the Shapiro-</w:t>
      </w:r>
      <w:proofErr w:type="spellStart"/>
      <w:r w:rsidRPr="00473810">
        <w:rPr>
          <w:rFonts w:ascii="Times New Roman" w:eastAsia="Calibri" w:hAnsi="Times New Roman" w:cs="Times New Roman"/>
          <w:sz w:val="24"/>
          <w:szCs w:val="24"/>
          <w:lang w:val="en-IN"/>
        </w:rPr>
        <w:t>Wilk</w:t>
      </w:r>
      <w:proofErr w:type="spellEnd"/>
      <w:r w:rsidRPr="00473810">
        <w:rPr>
          <w:rFonts w:ascii="Times New Roman" w:eastAsia="Calibri" w:hAnsi="Times New Roman" w:cs="Times New Roman"/>
          <w:sz w:val="24"/>
          <w:szCs w:val="24"/>
          <w:lang w:val="en-IN"/>
        </w:rPr>
        <w:t xml:space="preserve"> or Kolmogorov-Smirnov tests were used. Independent numerical variables were compared between groups using the Mann-Whitney U test or the </w:t>
      </w:r>
      <w:proofErr w:type="spellStart"/>
      <w:r w:rsidRPr="00473810">
        <w:rPr>
          <w:rFonts w:ascii="Times New Roman" w:eastAsia="Calibri" w:hAnsi="Times New Roman" w:cs="Times New Roman"/>
          <w:sz w:val="24"/>
          <w:szCs w:val="24"/>
          <w:lang w:val="en-IN"/>
        </w:rPr>
        <w:t>Kruskal-Walli’s</w:t>
      </w:r>
      <w:proofErr w:type="spellEnd"/>
      <w:r w:rsidRPr="00473810">
        <w:rPr>
          <w:rFonts w:ascii="Times New Roman" w:eastAsia="Calibri" w:hAnsi="Times New Roman" w:cs="Times New Roman"/>
          <w:sz w:val="24"/>
          <w:szCs w:val="24"/>
          <w:lang w:val="en-IN"/>
        </w:rPr>
        <w:t xml:space="preserve"> test. The comparison of two dependent numerical variables between the groups was performed using the Wilcoxon test. The </w:t>
      </w:r>
      <w:r w:rsidRPr="00473810">
        <w:rPr>
          <w:rFonts w:ascii="Times New Roman" w:eastAsia="Calibri" w:hAnsi="Times New Roman" w:cs="Times New Roman"/>
          <w:sz w:val="24"/>
          <w:szCs w:val="24"/>
          <w:lang w:val="en-IN"/>
        </w:rPr>
        <w:lastRenderedPageBreak/>
        <w:t>correlation between two numerical variables was performed using Pearson's correlation and the association between two or more nominal variables was verified using the chi-square or Fisher's exact test. The survival curve was constructed using the Kaplan-Meier method. A significance level of 5% (P&lt;0.05) was considered.</w:t>
      </w:r>
    </w:p>
    <w:p w:rsidR="00473810" w:rsidRPr="00473810" w:rsidRDefault="00473810" w:rsidP="00473810">
      <w:pPr>
        <w:spacing w:after="160" w:line="360" w:lineRule="auto"/>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Results</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Sample Characterization</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this study, 75 patients diagnosed with AL were evaluated. Of these, 40 (53.3%) were male and 35 (46.7%) were female and the median age was 41 years (15-87 years; Table 1). Regarding the AL subtype, 47 (62.6%) cases of AML, 26 (34.6%) of ALL and two (2.8%) of AL were diagnosed. The distribution of AL subtypes according to WHO criteria was as follows: AML (one case; 1.3%), AML with minimal differentiation (one case; 1.3%), AML without maturation (five cases; 6.7 %), maturing AML (six cases; 8.0%), maturing AML with TL-1 (three cases; 4.0%), acute </w:t>
      </w:r>
      <w:proofErr w:type="spellStart"/>
      <w:r w:rsidRPr="00473810">
        <w:rPr>
          <w:rFonts w:ascii="Times New Roman" w:eastAsia="Calibri" w:hAnsi="Times New Roman" w:cs="Times New Roman"/>
          <w:sz w:val="24"/>
          <w:szCs w:val="24"/>
          <w:lang w:val="en-IN"/>
        </w:rPr>
        <w:t>myelomonocytic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(three cases; 4, 0%), acute </w:t>
      </w:r>
      <w:proofErr w:type="spellStart"/>
      <w:r w:rsidRPr="00473810">
        <w:rPr>
          <w:rFonts w:ascii="Times New Roman" w:eastAsia="Calibri" w:hAnsi="Times New Roman" w:cs="Times New Roman"/>
          <w:sz w:val="24"/>
          <w:szCs w:val="24"/>
          <w:lang w:val="en-IN"/>
        </w:rPr>
        <w:t>monoblastic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(two cases; 2.7%), acute </w:t>
      </w:r>
      <w:proofErr w:type="spellStart"/>
      <w:r w:rsidRPr="00473810">
        <w:rPr>
          <w:rFonts w:ascii="Times New Roman" w:eastAsia="Calibri" w:hAnsi="Times New Roman" w:cs="Times New Roman"/>
          <w:sz w:val="24"/>
          <w:szCs w:val="24"/>
          <w:lang w:val="en-IN"/>
        </w:rPr>
        <w:t>monocytic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(two cases; 2.7%), acute </w:t>
      </w:r>
      <w:proofErr w:type="spellStart"/>
      <w:r w:rsidRPr="00473810">
        <w:rPr>
          <w:rFonts w:ascii="Times New Roman" w:eastAsia="Calibri" w:hAnsi="Times New Roman" w:cs="Times New Roman"/>
          <w:sz w:val="24"/>
          <w:szCs w:val="24"/>
          <w:lang w:val="en-IN"/>
        </w:rPr>
        <w:t>erythroblastic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(one case; 1.3%), acute </w:t>
      </w:r>
      <w:proofErr w:type="spellStart"/>
      <w:r w:rsidRPr="00473810">
        <w:rPr>
          <w:rFonts w:ascii="Times New Roman" w:eastAsia="Calibri" w:hAnsi="Times New Roman" w:cs="Times New Roman"/>
          <w:sz w:val="24"/>
          <w:szCs w:val="24"/>
          <w:lang w:val="en-IN"/>
        </w:rPr>
        <w:t>megakaryoblastic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(one case; 1.3%), acute </w:t>
      </w:r>
      <w:proofErr w:type="spellStart"/>
      <w:r w:rsidRPr="00473810">
        <w:rPr>
          <w:rFonts w:ascii="Times New Roman" w:eastAsia="Calibri" w:hAnsi="Times New Roman" w:cs="Times New Roman"/>
          <w:sz w:val="24"/>
          <w:szCs w:val="24"/>
          <w:lang w:val="en-IN"/>
        </w:rPr>
        <w:t>promyelocytic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with t(15;17)(q22;q12) </w:t>
      </w:r>
      <w:r w:rsidRPr="00473810">
        <w:rPr>
          <w:rFonts w:ascii="Times New Roman" w:eastAsia="Calibri" w:hAnsi="Times New Roman" w:cs="Times New Roman"/>
          <w:b/>
          <w:bCs/>
          <w:sz w:val="24"/>
          <w:szCs w:val="24"/>
          <w:lang w:val="en-IN"/>
        </w:rPr>
        <w:t>(Denoted as TL-5)</w:t>
      </w:r>
      <w:r w:rsidRPr="00473810">
        <w:rPr>
          <w:rFonts w:ascii="Times New Roman" w:eastAsia="Calibri" w:hAnsi="Times New Roman" w:cs="Times New Roman"/>
          <w:sz w:val="24"/>
          <w:szCs w:val="24"/>
          <w:lang w:val="en-IN"/>
        </w:rPr>
        <w:t xml:space="preserve">(19 cases; 25.4%; APL), AML secondary to PMN (one case; 1.3%), AML secondary to MDS (two cases; 2.7%), pro-B type ALL-B (one case; 1.3%), common type ALL-B (nine cases; 12.0%), B-ALL with </w:t>
      </w:r>
      <w:r w:rsidRPr="00473810">
        <w:rPr>
          <w:rFonts w:ascii="Times New Roman" w:eastAsia="Calibri" w:hAnsi="Times New Roman" w:cs="Times New Roman"/>
          <w:b/>
          <w:bCs/>
          <w:sz w:val="24"/>
          <w:szCs w:val="24"/>
          <w:lang w:val="en-IN"/>
        </w:rPr>
        <w:t>TL2.2</w:t>
      </w:r>
      <w:r w:rsidRPr="00473810">
        <w:rPr>
          <w:rFonts w:ascii="Times New Roman" w:eastAsia="Calibri" w:hAnsi="Times New Roman" w:cs="Times New Roman"/>
          <w:sz w:val="24"/>
          <w:szCs w:val="24"/>
          <w:lang w:val="en-IN"/>
        </w:rPr>
        <w:t xml:space="preserve"> (five cases; 6.7%), pre-B-type ALL-B (four cases; 5.3%), T-ALL (seven cases; 9.3%) and ABL (two cases; 2.8%). As can be seen in Table 1, which presents the clinical and laboratory characteristics at the time of diagnosis of the patients included in the study, the patients who did not go into remission were those who had a significantly higher median age (54 years) than those who went into remission. remission (35 years) (P&lt;0.001). The medians of </w:t>
      </w:r>
      <w:proofErr w:type="spellStart"/>
      <w:r w:rsidRPr="00473810">
        <w:rPr>
          <w:rFonts w:ascii="Times New Roman" w:eastAsia="Calibri" w:hAnsi="Times New Roman" w:cs="Times New Roman"/>
          <w:sz w:val="24"/>
          <w:szCs w:val="24"/>
          <w:lang w:val="en-IN"/>
        </w:rPr>
        <w:t>leukometry</w:t>
      </w:r>
      <w:proofErr w:type="spellEnd"/>
      <w:r w:rsidRPr="00473810">
        <w:rPr>
          <w:rFonts w:ascii="Times New Roman" w:eastAsia="Calibri" w:hAnsi="Times New Roman" w:cs="Times New Roman"/>
          <w:sz w:val="24"/>
          <w:szCs w:val="24"/>
          <w:lang w:val="en-IN"/>
        </w:rPr>
        <w:t>, percentage of blasts and LDH at diagnosis were similar between the two groups of patients. In addition, there was also no association between gender and response to treatment.</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Table 1 – Clinical and laboratory characteristics of patients diagnosed with acute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at the time of diagnosis, according to response to the first cycle of induction therapy.</w:t>
      </w:r>
    </w:p>
    <w:tbl>
      <w:tblPr>
        <w:tblW w:w="8395" w:type="dxa"/>
        <w:tblLook w:val="04A0" w:firstRow="1" w:lastRow="0" w:firstColumn="1" w:lastColumn="0" w:noHBand="0" w:noVBand="1"/>
      </w:tblPr>
      <w:tblGrid>
        <w:gridCol w:w="2215"/>
        <w:gridCol w:w="1083"/>
        <w:gridCol w:w="1300"/>
        <w:gridCol w:w="720"/>
        <w:gridCol w:w="1200"/>
        <w:gridCol w:w="720"/>
        <w:gridCol w:w="1200"/>
      </w:tblGrid>
      <w:tr w:rsidR="00473810" w:rsidRPr="00473810" w:rsidTr="00477CE4">
        <w:trPr>
          <w:trHeight w:val="315"/>
        </w:trPr>
        <w:tc>
          <w:tcPr>
            <w:tcW w:w="2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lastRenderedPageBreak/>
              <w:t> </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xml:space="preserve">Negative MRD (n=56)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Positive MRD (n=19)</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Total (n=75)</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parameters</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en-IN" w:eastAsia="en-IN"/>
              </w:rPr>
              <w:t>No.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en-IN" w:eastAsia="en-IN"/>
              </w:rPr>
              <w:t>No.                     %</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73810" w:rsidRPr="00473810" w:rsidRDefault="00473810" w:rsidP="00473810">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en-IN" w:eastAsia="en-IN"/>
              </w:rPr>
              <w:t>No.                     %</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Age (years)</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median</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35</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54*</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41</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Limits</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15-76</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29-87</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15-87</w:t>
            </w:r>
          </w:p>
        </w:tc>
      </w:tr>
      <w:tr w:rsidR="00473810" w:rsidRPr="00473810" w:rsidTr="00477CE4">
        <w:trPr>
          <w:trHeight w:val="37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proofErr w:type="spellStart"/>
            <w:r w:rsidRPr="00473810">
              <w:rPr>
                <w:rFonts w:ascii="Times New Roman" w:eastAsia="Times New Roman" w:hAnsi="Times New Roman" w:cs="Times New Roman"/>
                <w:color w:val="000000"/>
                <w:sz w:val="24"/>
                <w:szCs w:val="24"/>
                <w:lang w:val="en-IN" w:eastAsia="en-IN"/>
              </w:rPr>
              <w:t>Leukometry</w:t>
            </w:r>
            <w:proofErr w:type="spellEnd"/>
            <w:r w:rsidRPr="00473810">
              <w:rPr>
                <w:rFonts w:ascii="Times New Roman" w:eastAsia="Times New Roman" w:hAnsi="Times New Roman" w:cs="Times New Roman"/>
                <w:color w:val="000000"/>
                <w:sz w:val="24"/>
                <w:szCs w:val="24"/>
                <w:lang w:val="en-IN" w:eastAsia="en-IN"/>
              </w:rPr>
              <w:t xml:space="preserve"> (x10</w:t>
            </w:r>
            <w:r w:rsidRPr="00473810">
              <w:rPr>
                <w:rFonts w:ascii="Times New Roman" w:eastAsia="Times New Roman" w:hAnsi="Times New Roman" w:cs="Times New Roman"/>
                <w:color w:val="000000"/>
                <w:sz w:val="24"/>
                <w:szCs w:val="24"/>
                <w:vertAlign w:val="superscript"/>
                <w:lang w:val="en-IN" w:eastAsia="en-IN"/>
              </w:rPr>
              <w:t>3</w:t>
            </w:r>
            <w:r w:rsidRPr="00473810">
              <w:rPr>
                <w:rFonts w:ascii="Times New Roman" w:eastAsia="Times New Roman" w:hAnsi="Times New Roman" w:cs="Times New Roman"/>
                <w:color w:val="000000"/>
                <w:sz w:val="24"/>
                <w:szCs w:val="24"/>
                <w:lang w:val="en-IN" w:eastAsia="en-IN"/>
              </w:rPr>
              <w:t>/µL)</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median</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3.9</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10.7</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5.7</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Limits</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0.3-177.2</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0.6-288.7</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0.3-288.7</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Blasts (%)</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median</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59.1</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52</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56.1</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Limits</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6.0-98.8</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5.4-96.0</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5.4-98.8</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Lactate dehydrogenase(U/L)</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median</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308.5</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297</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308.5</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Limits</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0.0-3060.0</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131.0-3197.0</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0.0-3197.0</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LA subtype</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AML</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20</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35.4</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11</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55.2</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29</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39.2</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EPS</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19</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33.5</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11</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20</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26.6</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xml:space="preserve">ALL-B </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16</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27.6</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27.6</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20</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26.6</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ALL-T</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6</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11.8</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5.6</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7</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9.8</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ABL</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5.6</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2.9</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Genre</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Male</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36</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63</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8</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44.2</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42</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56</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Female</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26</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47.3</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12</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60.8</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37</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49</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FMS3-DIT</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0</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0</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0</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negatives</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43</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76.8</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11</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55.2</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51</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68.6</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positives</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5.6</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4.2</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Unrealized</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17</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29.5</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8</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44.2</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24</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32.2</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FMS3-D835</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negatives</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38</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66.9</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12</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60.8</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47</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63</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positives</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7.9</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0</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0</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5.6</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Unrealized</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20</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35.5</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8</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44.2</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27</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36.4</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proofErr w:type="spellStart"/>
            <w:r w:rsidRPr="00473810">
              <w:rPr>
                <w:rFonts w:ascii="Times New Roman" w:eastAsia="Times New Roman" w:hAnsi="Times New Roman" w:cs="Times New Roman"/>
                <w:color w:val="000000"/>
                <w:sz w:val="24"/>
                <w:szCs w:val="24"/>
                <w:lang w:val="en-IN" w:eastAsia="en-IN"/>
              </w:rPr>
              <w:t>survivin</w:t>
            </w:r>
            <w:proofErr w:type="spellEnd"/>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 </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negatives</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48</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86.6</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15</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77.4</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61</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81.2</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positives</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9.8</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5.6</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6</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8.4</w:t>
            </w:r>
          </w:p>
        </w:tc>
      </w:tr>
      <w:tr w:rsidR="00473810" w:rsidRPr="00473810" w:rsidTr="00477CE4">
        <w:trPr>
          <w:trHeight w:val="315"/>
        </w:trPr>
        <w:tc>
          <w:tcPr>
            <w:tcW w:w="2215" w:type="dxa"/>
            <w:tcBorders>
              <w:top w:val="nil"/>
              <w:left w:val="single" w:sz="4" w:space="0" w:color="auto"/>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Unrealized</w:t>
            </w:r>
          </w:p>
        </w:tc>
        <w:tc>
          <w:tcPr>
            <w:tcW w:w="104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7</w:t>
            </w:r>
          </w:p>
        </w:tc>
        <w:tc>
          <w:tcPr>
            <w:tcW w:w="13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13.8</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4</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22.1</w:t>
            </w:r>
          </w:p>
        </w:tc>
        <w:tc>
          <w:tcPr>
            <w:tcW w:w="72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12</w:t>
            </w:r>
          </w:p>
        </w:tc>
        <w:tc>
          <w:tcPr>
            <w:tcW w:w="1200" w:type="dxa"/>
            <w:tcBorders>
              <w:top w:val="nil"/>
              <w:left w:val="nil"/>
              <w:bottom w:val="single" w:sz="4" w:space="0" w:color="auto"/>
              <w:right w:val="single" w:sz="4" w:space="0" w:color="auto"/>
            </w:tcBorders>
            <w:shd w:val="clear" w:color="auto" w:fill="auto"/>
            <w:noWrap/>
            <w:vAlign w:val="center"/>
            <w:hideMark/>
          </w:tcPr>
          <w:p w:rsidR="00473810" w:rsidRPr="00473810" w:rsidRDefault="00473810" w:rsidP="00473810">
            <w:pPr>
              <w:spacing w:after="0" w:line="240" w:lineRule="auto"/>
              <w:jc w:val="center"/>
              <w:rPr>
                <w:rFonts w:ascii="Times New Roman" w:eastAsia="Times New Roman" w:hAnsi="Times New Roman" w:cs="Times New Roman"/>
                <w:color w:val="000000"/>
                <w:sz w:val="24"/>
                <w:szCs w:val="24"/>
                <w:lang w:val="en-IN" w:eastAsia="en-IN"/>
              </w:rPr>
            </w:pPr>
            <w:r w:rsidRPr="00473810">
              <w:rPr>
                <w:rFonts w:ascii="Times New Roman" w:eastAsia="Times New Roman" w:hAnsi="Times New Roman" w:cs="Times New Roman"/>
                <w:color w:val="000000"/>
                <w:sz w:val="24"/>
                <w:szCs w:val="24"/>
                <w:lang w:val="en-IN" w:eastAsia="en-IN"/>
              </w:rPr>
              <w:t>15.4</w:t>
            </w:r>
          </w:p>
        </w:tc>
      </w:tr>
    </w:tbl>
    <w:p w:rsidR="00473810" w:rsidRPr="00473810" w:rsidRDefault="00473810" w:rsidP="00473810">
      <w:pPr>
        <w:spacing w:after="160" w:line="24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MRD – Minimal residual disease; AL – Acute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AML – Acute Myeloid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APL – Acute </w:t>
      </w:r>
      <w:proofErr w:type="spellStart"/>
      <w:r w:rsidRPr="00473810">
        <w:rPr>
          <w:rFonts w:ascii="Times New Roman" w:eastAsia="Calibri" w:hAnsi="Times New Roman" w:cs="Times New Roman"/>
          <w:sz w:val="24"/>
          <w:szCs w:val="24"/>
          <w:lang w:val="en-IN"/>
        </w:rPr>
        <w:t>Promyelocytic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with TL-5; ALL-B – Acute </w:t>
      </w:r>
      <w:r w:rsidRPr="00473810">
        <w:rPr>
          <w:rFonts w:ascii="Times New Roman" w:eastAsia="Calibri" w:hAnsi="Times New Roman" w:cs="Times New Roman"/>
          <w:sz w:val="24"/>
          <w:szCs w:val="24"/>
          <w:lang w:val="en-IN"/>
        </w:rPr>
        <w:lastRenderedPageBreak/>
        <w:t xml:space="preserve">Lymphoblastic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type B; T-ALL – T-type Acute Lymphoid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ABL – Acute </w:t>
      </w:r>
      <w:proofErr w:type="spellStart"/>
      <w:r w:rsidRPr="00473810">
        <w:rPr>
          <w:rFonts w:ascii="Times New Roman" w:eastAsia="Calibri" w:hAnsi="Times New Roman" w:cs="Times New Roman"/>
          <w:sz w:val="24"/>
          <w:szCs w:val="24"/>
          <w:lang w:val="en-IN"/>
        </w:rPr>
        <w:t>Biphenotypic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LDH – Lactate Dehydrogenase. Mann-Whitney U Test, Chi-square Test or Fisher's Exact Test. *Statistical significance when compared with the negative MRD group, P&lt;0.05.</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Of the 75 patients included in this study, it was not possible to analyse the presence of the FMS3-DIT mutation in 23 cases and the FMS3-D835 mutation in 26 cases due to the insufficient amount of sample or the absence of amplification of the wild-type gene.</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Of the total number of patients analysed (n=75), only three had the FMS3-DIT mutation (Table 1). One was diagnosed as having APL, another as a non-mature AML, and the third as a common-type ALL-B. Patients with APL and AML without maturation achieved remission after treatment. However, the patient diagnosed with common type B-ALL died without going into remission. The four patients who were positive for the FMS3-D835 mutation went into remission after treatment and were alive until the end of the present work. Two of them were diagnosed as AML with maturation with TL-1, one as APL and another as </w:t>
      </w:r>
      <w:proofErr w:type="spellStart"/>
      <w:r w:rsidRPr="00473810">
        <w:rPr>
          <w:rFonts w:ascii="Times New Roman" w:eastAsia="Calibri" w:hAnsi="Times New Roman" w:cs="Times New Roman"/>
          <w:sz w:val="24"/>
          <w:szCs w:val="24"/>
          <w:lang w:val="en-IN"/>
        </w:rPr>
        <w:t>myelomonocytic</w:t>
      </w:r>
      <w:proofErr w:type="spellEnd"/>
      <w:r w:rsidRPr="00473810">
        <w:rPr>
          <w:rFonts w:ascii="Times New Roman" w:eastAsia="Calibri" w:hAnsi="Times New Roman" w:cs="Times New Roman"/>
          <w:sz w:val="24"/>
          <w:szCs w:val="24"/>
          <w:lang w:val="en-IN"/>
        </w:rPr>
        <w:t xml:space="preserve"> AML. No association was observed between treatment response and the presence of FMS3 mutations. In addition, no patient had the JAK2V617F mutation. Regarding the research of translocations, three patients presented TL-1, 19 to TL-5 and five to t(9;22)(q34;q11.2</w:t>
      </w:r>
      <w:r w:rsidRPr="00473810">
        <w:rPr>
          <w:rFonts w:ascii="Times New Roman" w:eastAsia="Calibri" w:hAnsi="Times New Roman" w:cs="Times New Roman"/>
          <w:b/>
          <w:bCs/>
          <w:sz w:val="24"/>
          <w:szCs w:val="24"/>
          <w:lang w:val="en-IN"/>
        </w:rPr>
        <w:t>)  (denoted as TL-2.2),</w:t>
      </w:r>
      <w:r w:rsidRPr="00473810">
        <w:rPr>
          <w:rFonts w:ascii="Times New Roman" w:eastAsia="Calibri" w:hAnsi="Times New Roman" w:cs="Times New Roman"/>
          <w:sz w:val="24"/>
          <w:szCs w:val="24"/>
          <w:lang w:val="en-IN"/>
        </w:rPr>
        <w:t xml:space="preserve"> receiving the diagnosis of AML with maturation with TL-1, APL with TL-5 and ALL-B with </w:t>
      </w:r>
      <w:r w:rsidRPr="00473810">
        <w:rPr>
          <w:rFonts w:ascii="Times New Roman" w:eastAsia="Calibri" w:hAnsi="Times New Roman" w:cs="Times New Roman"/>
          <w:b/>
          <w:bCs/>
          <w:sz w:val="24"/>
          <w:szCs w:val="24"/>
          <w:lang w:val="en-IN"/>
        </w:rPr>
        <w:t>TL-2.2</w:t>
      </w:r>
      <w:r w:rsidRPr="00473810">
        <w:rPr>
          <w:rFonts w:ascii="Times New Roman" w:eastAsia="Calibri" w:hAnsi="Times New Roman" w:cs="Times New Roman"/>
          <w:sz w:val="24"/>
          <w:szCs w:val="24"/>
          <w:lang w:val="en-IN"/>
        </w:rPr>
        <w:t>, respectively. No patient had TL-4.</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addition to these genetic alterations, the transcription of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an anti-apoptotic protein, in the leukemic cells of these patients was also investigated. Due to the insufficient amount of sample or the absence of amplification of the constitutive gene (</w:t>
      </w:r>
      <w:proofErr w:type="spellStart"/>
      <w:r w:rsidRPr="00473810">
        <w:rPr>
          <w:rFonts w:ascii="Times New Roman" w:eastAsia="Calibri" w:hAnsi="Times New Roman" w:cs="Times New Roman"/>
          <w:sz w:val="24"/>
          <w:szCs w:val="24"/>
          <w:lang w:val="en-IN"/>
        </w:rPr>
        <w:t>gapdh</w:t>
      </w:r>
      <w:proofErr w:type="spellEnd"/>
      <w:r w:rsidRPr="00473810">
        <w:rPr>
          <w:rFonts w:ascii="Times New Roman" w:eastAsia="Calibri" w:hAnsi="Times New Roman" w:cs="Times New Roman"/>
          <w:sz w:val="24"/>
          <w:szCs w:val="24"/>
          <w:lang w:val="en-IN"/>
        </w:rPr>
        <w:t xml:space="preserve">), it was not possible to assess the transcriptional intensity of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in 11 cases. As can be seen in Table 1, six patients expressed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at the time of diagnosis. Of these, one had mature AML, one had acute </w:t>
      </w:r>
      <w:proofErr w:type="spellStart"/>
      <w:r w:rsidRPr="00473810">
        <w:rPr>
          <w:rFonts w:ascii="Times New Roman" w:eastAsia="Calibri" w:hAnsi="Times New Roman" w:cs="Times New Roman"/>
          <w:sz w:val="24"/>
          <w:szCs w:val="24"/>
          <w:lang w:val="en-IN"/>
        </w:rPr>
        <w:t>monoblastic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two had common type-ALL-B and two had T-ALL. Patients diagnosed with maturation AML, acute </w:t>
      </w:r>
      <w:proofErr w:type="spellStart"/>
      <w:r w:rsidRPr="00473810">
        <w:rPr>
          <w:rFonts w:ascii="Times New Roman" w:eastAsia="Calibri" w:hAnsi="Times New Roman" w:cs="Times New Roman"/>
          <w:sz w:val="24"/>
          <w:szCs w:val="24"/>
          <w:lang w:val="en-IN"/>
        </w:rPr>
        <w:t>monoblastic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and T-ALL died. There was no association between the presence of MRD and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transcription.</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Of the total number of patients (n=75), 38 (50.7%) died. Only one death was not related to the underlying hematologic disease or treatment-associated complications. Of the </w:t>
      </w:r>
      <w:r w:rsidRPr="00473810">
        <w:rPr>
          <w:rFonts w:ascii="Times New Roman" w:eastAsia="Calibri" w:hAnsi="Times New Roman" w:cs="Times New Roman"/>
          <w:sz w:val="24"/>
          <w:szCs w:val="24"/>
          <w:lang w:val="en-IN"/>
        </w:rPr>
        <w:lastRenderedPageBreak/>
        <w:t xml:space="preserve">patients who died, 19 (50%) were in remission at the time of death and 19 (50%) died without going into remission. Although APL is a subtype of AML, this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has different pathophysiology, prognosis and treatment from other AMLs. Because of this, for the construction of the survival curve and determination of the median survival of the patients, it was decided to separate the cases of APL from the other cases of AML. As they present different prognoses, patients diagnosed with ALL-B and ALL-T were also divided into two groups.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The median survival of patients with AML was three months, those diagnosed with B-ALL at 25 months and those diagnosed wit</w:t>
      </w:r>
      <w:r w:rsidR="00C23B68">
        <w:rPr>
          <w:rFonts w:ascii="Times New Roman" w:eastAsia="Calibri" w:hAnsi="Times New Roman" w:cs="Times New Roman"/>
          <w:sz w:val="24"/>
          <w:szCs w:val="24"/>
          <w:lang w:val="en-IN"/>
        </w:rPr>
        <w:t>h T-ALL at five months (Figure 5</w:t>
      </w:r>
      <w:r w:rsidRPr="00473810">
        <w:rPr>
          <w:rFonts w:ascii="Times New Roman" w:eastAsia="Calibri" w:hAnsi="Times New Roman" w:cs="Times New Roman"/>
          <w:sz w:val="24"/>
          <w:szCs w:val="24"/>
          <w:lang w:val="en-IN"/>
        </w:rPr>
        <w:t>). The median survival of patients with APL could not be calculated, as few patients diagnosed with APL died during the period of this study. Of the patients diagnosed with ABL, one died nine days after diagnosis and another was alive until the end of this study.</w:t>
      </w:r>
    </w:p>
    <w:p w:rsidR="00473810" w:rsidRPr="00473810" w:rsidRDefault="00473810" w:rsidP="00473810">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drawing>
          <wp:inline distT="0" distB="0" distL="0" distR="0" wp14:anchorId="08A0B117" wp14:editId="17B67BE6">
            <wp:extent cx="3899535" cy="3040315"/>
            <wp:effectExtent l="19050" t="19050" r="24765" b="273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02301" cy="3042471"/>
                    </a:xfrm>
                    <a:prstGeom prst="rect">
                      <a:avLst/>
                    </a:prstGeom>
                    <a:noFill/>
                    <a:ln>
                      <a:solidFill>
                        <a:sysClr val="windowText" lastClr="000000"/>
                      </a:solidFill>
                    </a:ln>
                  </pic:spPr>
                </pic:pic>
              </a:graphicData>
            </a:graphic>
          </wp:inline>
        </w:drawing>
      </w:r>
    </w:p>
    <w:p w:rsidR="00473810" w:rsidRPr="00473810" w:rsidRDefault="00473810" w:rsidP="00C23B68">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Figure </w:t>
      </w:r>
      <w:r w:rsidR="00C23B68">
        <w:rPr>
          <w:rFonts w:ascii="Times New Roman" w:eastAsia="Calibri" w:hAnsi="Times New Roman" w:cs="Times New Roman"/>
          <w:sz w:val="24"/>
          <w:szCs w:val="24"/>
          <w:lang w:val="en-IN"/>
        </w:rPr>
        <w:t>5</w:t>
      </w:r>
      <w:r w:rsidRPr="00473810">
        <w:rPr>
          <w:rFonts w:ascii="Times New Roman" w:eastAsia="Calibri" w:hAnsi="Times New Roman" w:cs="Times New Roman"/>
          <w:sz w:val="24"/>
          <w:szCs w:val="24"/>
          <w:lang w:val="en-IN"/>
        </w:rPr>
        <w:t xml:space="preserve">: Survival curve of patients diagnosed with acute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 xml:space="preserve">Transcription of  </w:t>
      </w:r>
      <w:proofErr w:type="spellStart"/>
      <w:r w:rsidRPr="00473810">
        <w:rPr>
          <w:rFonts w:ascii="Times New Roman" w:eastAsia="Calibri" w:hAnsi="Times New Roman" w:cs="Times New Roman"/>
          <w:b/>
          <w:bCs/>
          <w:i/>
          <w:iCs/>
          <w:sz w:val="24"/>
          <w:szCs w:val="24"/>
          <w:lang w:val="en-IN"/>
        </w:rPr>
        <w:t>mdr</w:t>
      </w:r>
      <w:proofErr w:type="spellEnd"/>
      <w:r w:rsidRPr="00473810">
        <w:rPr>
          <w:rFonts w:ascii="Times New Roman" w:eastAsia="Calibri" w:hAnsi="Times New Roman" w:cs="Times New Roman"/>
          <w:b/>
          <w:bCs/>
          <w:sz w:val="24"/>
          <w:szCs w:val="24"/>
          <w:lang w:val="en-IN"/>
        </w:rPr>
        <w:t xml:space="preserve"> Genes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Of the 75 patients included in this study, 10 did not present amplification of the constitutive gene (</w:t>
      </w:r>
      <w:proofErr w:type="spellStart"/>
      <w:r w:rsidRPr="00473810">
        <w:rPr>
          <w:rFonts w:ascii="Times New Roman" w:eastAsia="Calibri" w:hAnsi="Times New Roman" w:cs="Times New Roman"/>
          <w:sz w:val="24"/>
          <w:szCs w:val="24"/>
          <w:lang w:val="en-IN"/>
        </w:rPr>
        <w:t>gapdh</w:t>
      </w:r>
      <w:proofErr w:type="spellEnd"/>
      <w:r w:rsidRPr="00473810">
        <w:rPr>
          <w:rFonts w:ascii="Times New Roman" w:eastAsia="Calibri" w:hAnsi="Times New Roman" w:cs="Times New Roman"/>
          <w:sz w:val="24"/>
          <w:szCs w:val="24"/>
          <w:lang w:val="en-IN"/>
        </w:rPr>
        <w:t xml:space="preserve">) and therefore their samples were excluded from the gene transcription detection assays. Therefore, transcription assessment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abcc1 and </w:t>
      </w:r>
      <w:proofErr w:type="spellStart"/>
      <w:r w:rsidRPr="00473810">
        <w:rPr>
          <w:rFonts w:ascii="Times New Roman" w:eastAsia="Calibri" w:hAnsi="Times New Roman" w:cs="Times New Roman"/>
          <w:i/>
          <w:iCs/>
          <w:sz w:val="24"/>
          <w:szCs w:val="24"/>
          <w:lang w:val="en-IN"/>
        </w:rPr>
        <w:lastRenderedPageBreak/>
        <w:t>lrp</w:t>
      </w:r>
      <w:proofErr w:type="spellEnd"/>
      <w:r w:rsidRPr="00473810">
        <w:rPr>
          <w:rFonts w:ascii="Times New Roman" w:eastAsia="Calibri" w:hAnsi="Times New Roman" w:cs="Times New Roman"/>
          <w:sz w:val="24"/>
          <w:szCs w:val="24"/>
          <w:lang w:val="en-IN"/>
        </w:rPr>
        <w:t xml:space="preserve"> was performed in 65 patients. For the transcription analysis of the </w:t>
      </w:r>
      <w:proofErr w:type="spellStart"/>
      <w:r w:rsidRPr="00473810">
        <w:rPr>
          <w:rFonts w:ascii="Times New Roman" w:eastAsia="Calibri" w:hAnsi="Times New Roman" w:cs="Times New Roman"/>
          <w:i/>
          <w:iCs/>
          <w:sz w:val="24"/>
          <w:szCs w:val="24"/>
          <w:lang w:val="en-IN"/>
        </w:rPr>
        <w:t>mdr</w:t>
      </w:r>
      <w:proofErr w:type="spellEnd"/>
      <w:r w:rsidRPr="00473810">
        <w:rPr>
          <w:rFonts w:ascii="Times New Roman" w:eastAsia="Calibri" w:hAnsi="Times New Roman" w:cs="Times New Roman"/>
          <w:sz w:val="24"/>
          <w:szCs w:val="24"/>
          <w:lang w:val="en-IN"/>
        </w:rPr>
        <w:t xml:space="preserve"> genes, the patients were divided into five groups: AML (n=24), APL (n=17), ALL-B (n=17), ALL-T (n=5) and ABL (n=2). Once again, this division into groups was chosen due to differences in prognosis between the AL subtypes.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As can be seen in Table 2, the medians (thresholds) of transcription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abcc1 and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in the total of patients were 0.00 (0.00-1.32), 0.78 (0.00-7, 35) and 0.00 (0.00-1.38), respectively. At the time of diagnosis, there was no correlation between the transcription intensity of the different </w:t>
      </w:r>
      <w:proofErr w:type="spellStart"/>
      <w:r w:rsidRPr="00473810">
        <w:rPr>
          <w:rFonts w:ascii="Times New Roman" w:eastAsia="Calibri" w:hAnsi="Times New Roman" w:cs="Times New Roman"/>
          <w:i/>
          <w:iCs/>
          <w:sz w:val="24"/>
          <w:szCs w:val="24"/>
          <w:lang w:val="en-IN"/>
        </w:rPr>
        <w:t>mdr</w:t>
      </w:r>
      <w:proofErr w:type="spellEnd"/>
      <w:r w:rsidRPr="00473810">
        <w:rPr>
          <w:rFonts w:ascii="Times New Roman" w:eastAsia="Calibri" w:hAnsi="Times New Roman" w:cs="Times New Roman"/>
          <w:sz w:val="24"/>
          <w:szCs w:val="24"/>
          <w:lang w:val="en-IN"/>
        </w:rPr>
        <w:t xml:space="preserve"> genes.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Table 2 – Median transcription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abcc1 and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in samples from patients with acute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at diagnosis, according to response to the first cycle of induction therapy and/or differential diagnosis.</w:t>
      </w:r>
    </w:p>
    <w:tbl>
      <w:tblPr>
        <w:tblStyle w:val="TableGrid"/>
        <w:tblW w:w="4789" w:type="pct"/>
        <w:tblLook w:val="04A0" w:firstRow="1" w:lastRow="0" w:firstColumn="1" w:lastColumn="0" w:noHBand="0" w:noVBand="1"/>
      </w:tblPr>
      <w:tblGrid>
        <w:gridCol w:w="1110"/>
        <w:gridCol w:w="1261"/>
        <w:gridCol w:w="2010"/>
        <w:gridCol w:w="1925"/>
        <w:gridCol w:w="2176"/>
      </w:tblGrid>
      <w:tr w:rsidR="00473810" w:rsidRPr="00473810" w:rsidTr="00477CE4">
        <w:trPr>
          <w:trHeight w:val="300"/>
        </w:trPr>
        <w:tc>
          <w:tcPr>
            <w:tcW w:w="654" w:type="pct"/>
            <w:hideMark/>
          </w:tcPr>
          <w:p w:rsidR="00473810" w:rsidRPr="00473810" w:rsidRDefault="00473810" w:rsidP="00473810">
            <w:pPr>
              <w:rPr>
                <w:rFonts w:ascii="Times New Roman" w:eastAsia="Times New Roman" w:hAnsi="Times New Roman" w:cs="Times New Roman"/>
                <w:color w:val="000000"/>
                <w:sz w:val="20"/>
                <w:szCs w:val="20"/>
                <w:lang w:eastAsia="en-IN"/>
              </w:rPr>
            </w:pPr>
            <w:r w:rsidRPr="00473810">
              <w:rPr>
                <w:rFonts w:ascii="Times New Roman" w:eastAsia="Times New Roman" w:hAnsi="Times New Roman" w:cs="Times New Roman"/>
                <w:color w:val="000000"/>
                <w:sz w:val="20"/>
                <w:lang w:val="pt-PT" w:eastAsia="en-IN"/>
              </w:rPr>
              <w:t> </w:t>
            </w:r>
          </w:p>
        </w:tc>
        <w:tc>
          <w:tcPr>
            <w:tcW w:w="743" w:type="pct"/>
            <w:hideMark/>
          </w:tcPr>
          <w:p w:rsidR="00473810" w:rsidRPr="00473810" w:rsidRDefault="00473810" w:rsidP="00473810">
            <w:pPr>
              <w:jc w:val="cente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color w:val="000000"/>
                <w:sz w:val="21"/>
                <w:lang w:val="pt-PT" w:eastAsia="en-IN"/>
              </w:rPr>
              <w:t>Gene</w:t>
            </w:r>
          </w:p>
        </w:tc>
        <w:tc>
          <w:tcPr>
            <w:tcW w:w="1185" w:type="pct"/>
            <w:hideMark/>
          </w:tcPr>
          <w:p w:rsidR="00473810" w:rsidRPr="00473810" w:rsidRDefault="00473810" w:rsidP="00473810">
            <w:pPr>
              <w:rPr>
                <w:rFonts w:ascii="Times New Roman" w:eastAsia="Times New Roman" w:hAnsi="Times New Roman" w:cs="Times New Roman"/>
                <w:b/>
                <w:bCs/>
                <w:color w:val="000000"/>
                <w:sz w:val="19"/>
                <w:szCs w:val="19"/>
                <w:lang w:eastAsia="en-IN"/>
              </w:rPr>
            </w:pPr>
            <w:r w:rsidRPr="00473810">
              <w:rPr>
                <w:rFonts w:ascii="Times New Roman" w:eastAsia="Times New Roman" w:hAnsi="Times New Roman" w:cs="Times New Roman"/>
                <w:b/>
                <w:bCs/>
                <w:color w:val="000000"/>
                <w:sz w:val="19"/>
                <w:szCs w:val="19"/>
                <w:lang w:eastAsia="en-IN"/>
              </w:rPr>
              <w:t>Negative MRD (n=49)</w:t>
            </w:r>
          </w:p>
        </w:tc>
        <w:tc>
          <w:tcPr>
            <w:tcW w:w="1135" w:type="pct"/>
            <w:hideMark/>
          </w:tcPr>
          <w:p w:rsidR="00473810" w:rsidRPr="00473810" w:rsidRDefault="00473810" w:rsidP="00473810">
            <w:pPr>
              <w:rPr>
                <w:rFonts w:ascii="Times New Roman" w:eastAsia="Times New Roman" w:hAnsi="Times New Roman" w:cs="Times New Roman"/>
                <w:b/>
                <w:bCs/>
                <w:color w:val="000000"/>
                <w:sz w:val="19"/>
                <w:szCs w:val="19"/>
                <w:lang w:eastAsia="en-IN"/>
              </w:rPr>
            </w:pPr>
            <w:r w:rsidRPr="00473810">
              <w:rPr>
                <w:rFonts w:ascii="Times New Roman" w:eastAsia="Times New Roman" w:hAnsi="Times New Roman" w:cs="Times New Roman"/>
                <w:b/>
                <w:bCs/>
                <w:color w:val="000000"/>
                <w:sz w:val="19"/>
                <w:szCs w:val="19"/>
                <w:lang w:eastAsia="en-IN"/>
              </w:rPr>
              <w:t>Positive MRD (n=16)</w:t>
            </w:r>
          </w:p>
        </w:tc>
        <w:tc>
          <w:tcPr>
            <w:tcW w:w="1283" w:type="pct"/>
            <w:hideMark/>
          </w:tcPr>
          <w:p w:rsidR="00473810" w:rsidRPr="00473810" w:rsidRDefault="00473810" w:rsidP="00473810">
            <w:pP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color w:val="000000"/>
                <w:sz w:val="21"/>
                <w:szCs w:val="21"/>
                <w:lang w:eastAsia="en-IN"/>
              </w:rPr>
              <w:t>Total (n=65)</w:t>
            </w:r>
          </w:p>
        </w:tc>
      </w:tr>
      <w:tr w:rsidR="00473810" w:rsidRPr="00473810" w:rsidTr="00477CE4">
        <w:trPr>
          <w:trHeight w:val="555"/>
        </w:trPr>
        <w:tc>
          <w:tcPr>
            <w:tcW w:w="654" w:type="pct"/>
            <w:vMerge w:val="restart"/>
            <w:textDirection w:val="btLr"/>
            <w:hideMark/>
          </w:tcPr>
          <w:p w:rsidR="00473810" w:rsidRPr="00473810" w:rsidRDefault="00473810" w:rsidP="00473810">
            <w:pPr>
              <w:jc w:val="cente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color w:val="000000"/>
                <w:sz w:val="21"/>
                <w:szCs w:val="21"/>
                <w:lang w:eastAsia="en-IN"/>
              </w:rPr>
              <w:t>Total of AL (n=65)</w:t>
            </w: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abcb1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sz w:val="21"/>
                <w:lang w:val="pt-PT" w:eastAsia="en-IN"/>
              </w:rPr>
              <w:t>0.00*</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0.00-1.10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0.00-1.32</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0.00-1.32</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abcc1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0.79</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0.74</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0.78</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0.00-7.35</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0.00-1.08</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0.00-7.35</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proofErr w:type="spellStart"/>
            <w:r w:rsidRPr="00473810">
              <w:rPr>
                <w:rFonts w:ascii="Times New Roman" w:eastAsia="Times New Roman" w:hAnsi="Times New Roman" w:cs="Times New Roman"/>
                <w:b/>
                <w:bCs/>
                <w:i/>
                <w:iCs/>
                <w:color w:val="000000"/>
                <w:sz w:val="21"/>
                <w:szCs w:val="21"/>
                <w:lang w:eastAsia="en-IN"/>
              </w:rPr>
              <w:t>lrp</w:t>
            </w:r>
            <w:proofErr w:type="spellEnd"/>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0.68</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0.00-1.38</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0.00-1.01</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0.00-1.38</w:t>
            </w:r>
          </w:p>
        </w:tc>
      </w:tr>
      <w:tr w:rsidR="00473810" w:rsidRPr="00473810" w:rsidTr="00477CE4">
        <w:trPr>
          <w:trHeight w:val="300"/>
        </w:trPr>
        <w:tc>
          <w:tcPr>
            <w:tcW w:w="654" w:type="pct"/>
            <w:vMerge w:val="restart"/>
            <w:textDirection w:val="btLr"/>
            <w:hideMark/>
          </w:tcPr>
          <w:p w:rsidR="00473810" w:rsidRPr="00473810" w:rsidRDefault="00473810" w:rsidP="00473810">
            <w:pPr>
              <w:jc w:val="cente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AML(n=24)</w:t>
            </w: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abcb1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color w:val="000000"/>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color w:val="000000"/>
                <w:sz w:val="21"/>
                <w:lang w:val="pt-PT" w:eastAsia="en-IN"/>
              </w:rPr>
              <w:t>0.60*</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0.00-0.84</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0.00-1.32</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0.00-1.32</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abcc1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0.85</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0.74</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0.84</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0.00-7.37</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0.00-1.08</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0.00-7.35</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proofErr w:type="spellStart"/>
            <w:r w:rsidRPr="00473810">
              <w:rPr>
                <w:rFonts w:ascii="Times New Roman" w:eastAsia="Times New Roman" w:hAnsi="Times New Roman" w:cs="Times New Roman"/>
                <w:b/>
                <w:bCs/>
                <w:i/>
                <w:iCs/>
                <w:color w:val="000000"/>
                <w:sz w:val="21"/>
                <w:szCs w:val="21"/>
                <w:lang w:eastAsia="en-IN"/>
              </w:rPr>
              <w:t>lrp</w:t>
            </w:r>
            <w:proofErr w:type="spellEnd"/>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0.00-1.01</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0.00-1.01</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0.00-1.01</w:t>
            </w:r>
          </w:p>
        </w:tc>
      </w:tr>
      <w:tr w:rsidR="00473810" w:rsidRPr="00473810" w:rsidTr="00477CE4">
        <w:trPr>
          <w:trHeight w:val="300"/>
        </w:trPr>
        <w:tc>
          <w:tcPr>
            <w:tcW w:w="654" w:type="pct"/>
            <w:vMerge w:val="restart"/>
            <w:textDirection w:val="btLr"/>
            <w:hideMark/>
          </w:tcPr>
          <w:p w:rsidR="00473810" w:rsidRPr="00473810" w:rsidRDefault="00473810" w:rsidP="00473810">
            <w:pPr>
              <w:jc w:val="cente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color w:val="000000"/>
                <w:sz w:val="21"/>
                <w:szCs w:val="21"/>
                <w:lang w:eastAsia="en-IN"/>
              </w:rPr>
              <w:t>APL (n=17)</w:t>
            </w: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abcb1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0.00-1.08</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0.00-1.08</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abcc1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0.68</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0.89</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0.68</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0.00-0.95</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0.00-0.95</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proofErr w:type="spellStart"/>
            <w:r w:rsidRPr="00473810">
              <w:rPr>
                <w:rFonts w:ascii="Times New Roman" w:eastAsia="Times New Roman" w:hAnsi="Times New Roman" w:cs="Times New Roman"/>
                <w:b/>
                <w:bCs/>
                <w:i/>
                <w:iCs/>
                <w:color w:val="000000"/>
                <w:sz w:val="21"/>
                <w:szCs w:val="21"/>
                <w:lang w:eastAsia="en-IN"/>
              </w:rPr>
              <w:t>lrp</w:t>
            </w:r>
            <w:proofErr w:type="spellEnd"/>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0.76</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0.00-1.12</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0.00-1.12</w:t>
            </w:r>
          </w:p>
        </w:tc>
      </w:tr>
      <w:tr w:rsidR="00473810" w:rsidRPr="00473810" w:rsidTr="00477CE4">
        <w:trPr>
          <w:trHeight w:val="300"/>
        </w:trPr>
        <w:tc>
          <w:tcPr>
            <w:tcW w:w="654" w:type="pct"/>
            <w:vMerge w:val="restart"/>
            <w:textDirection w:val="btLr"/>
            <w:hideMark/>
          </w:tcPr>
          <w:p w:rsidR="00473810" w:rsidRPr="00473810" w:rsidRDefault="00473810" w:rsidP="00473810">
            <w:pPr>
              <w:jc w:val="cente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ALL-B (n=17)</w:t>
            </w: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abcb1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0.00-1.10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0.00-1.09</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0.00-1.10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abcc1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0.87</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0.78</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0.83</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0.00-1.13</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0.62-0.92</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0.00-1.13</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proofErr w:type="spellStart"/>
            <w:r w:rsidRPr="00473810">
              <w:rPr>
                <w:rFonts w:ascii="Times New Roman" w:eastAsia="Times New Roman" w:hAnsi="Times New Roman" w:cs="Times New Roman"/>
                <w:b/>
                <w:bCs/>
                <w:i/>
                <w:iCs/>
                <w:color w:val="000000"/>
                <w:sz w:val="21"/>
                <w:szCs w:val="21"/>
                <w:lang w:eastAsia="en-IN"/>
              </w:rPr>
              <w:t>lrp</w:t>
            </w:r>
            <w:proofErr w:type="spellEnd"/>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0.69</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0.86</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0.74</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0.00-1.38</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0.62-0.91</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0.00-1.38</w:t>
            </w:r>
          </w:p>
        </w:tc>
      </w:tr>
      <w:tr w:rsidR="00473810" w:rsidRPr="00473810" w:rsidTr="00477CE4">
        <w:trPr>
          <w:trHeight w:val="300"/>
        </w:trPr>
        <w:tc>
          <w:tcPr>
            <w:tcW w:w="654" w:type="pct"/>
            <w:vMerge w:val="restart"/>
            <w:textDirection w:val="btLr"/>
            <w:hideMark/>
          </w:tcPr>
          <w:p w:rsidR="00473810" w:rsidRPr="00473810" w:rsidRDefault="00473810" w:rsidP="00473810">
            <w:pPr>
              <w:jc w:val="cente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szCs w:val="16"/>
                <w:lang w:eastAsia="en-IN"/>
              </w:rPr>
              <w:t>ALL-T (n=5)</w:t>
            </w: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abcb1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0.00-0.57</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0.00-0.57</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abcc1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0.39</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0.00-1.01</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0.00-1.01</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proofErr w:type="spellStart"/>
            <w:r w:rsidRPr="00473810">
              <w:rPr>
                <w:rFonts w:ascii="Times New Roman" w:eastAsia="Times New Roman" w:hAnsi="Times New Roman" w:cs="Times New Roman"/>
                <w:b/>
                <w:bCs/>
                <w:i/>
                <w:iCs/>
                <w:color w:val="000000"/>
                <w:sz w:val="21"/>
                <w:szCs w:val="21"/>
                <w:lang w:eastAsia="en-IN"/>
              </w:rPr>
              <w:t>lrp</w:t>
            </w:r>
            <w:proofErr w:type="spellEnd"/>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0.26</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0.00-0.73</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0.00-0.73</w:t>
            </w:r>
          </w:p>
        </w:tc>
      </w:tr>
      <w:tr w:rsidR="00473810" w:rsidRPr="00473810" w:rsidTr="00477CE4">
        <w:trPr>
          <w:trHeight w:val="300"/>
        </w:trPr>
        <w:tc>
          <w:tcPr>
            <w:tcW w:w="654" w:type="pct"/>
            <w:vMerge w:val="restart"/>
            <w:textDirection w:val="btLr"/>
            <w:hideMark/>
          </w:tcPr>
          <w:p w:rsidR="00473810" w:rsidRPr="00473810" w:rsidRDefault="00473810" w:rsidP="00473810">
            <w:pPr>
              <w:jc w:val="cente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szCs w:val="16"/>
                <w:lang w:eastAsia="en-IN"/>
              </w:rPr>
              <w:t>ABL(n=2)</w:t>
            </w: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abcb1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0.00-0.00</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r w:rsidRPr="00473810">
              <w:rPr>
                <w:rFonts w:ascii="Times New Roman" w:eastAsia="Times New Roman" w:hAnsi="Times New Roman" w:cs="Times New Roman"/>
                <w:b/>
                <w:bCs/>
                <w:i/>
                <w:iCs/>
                <w:color w:val="000000"/>
                <w:sz w:val="21"/>
                <w:szCs w:val="21"/>
                <w:lang w:eastAsia="en-IN"/>
              </w:rPr>
              <w:t>abcc1</w:t>
            </w:r>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0.75</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0.38</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sz w:val="21"/>
                <w:lang w:val="pt-PT" w:eastAsia="en-IN"/>
              </w:rPr>
              <w:t>0.00-0.75</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rPr>
                <w:rFonts w:ascii="Times New Roman" w:eastAsia="Times New Roman" w:hAnsi="Times New Roman" w:cs="Times New Roman"/>
                <w:b/>
                <w:bCs/>
                <w:i/>
                <w:iCs/>
                <w:color w:val="000000"/>
                <w:sz w:val="21"/>
                <w:szCs w:val="21"/>
                <w:lang w:eastAsia="en-IN"/>
              </w:rPr>
            </w:pPr>
            <w:proofErr w:type="spellStart"/>
            <w:r w:rsidRPr="00473810">
              <w:rPr>
                <w:rFonts w:ascii="Times New Roman" w:eastAsia="Times New Roman" w:hAnsi="Times New Roman" w:cs="Times New Roman"/>
                <w:b/>
                <w:bCs/>
                <w:i/>
                <w:iCs/>
                <w:color w:val="000000"/>
                <w:sz w:val="21"/>
                <w:szCs w:val="21"/>
                <w:lang w:eastAsia="en-IN"/>
              </w:rPr>
              <w:t>lrp</w:t>
            </w:r>
            <w:proofErr w:type="spellEnd"/>
          </w:p>
        </w:tc>
        <w:tc>
          <w:tcPr>
            <w:tcW w:w="118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135"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c>
          <w:tcPr>
            <w:tcW w:w="1283" w:type="pct"/>
            <w:hideMark/>
          </w:tcPr>
          <w:p w:rsidR="00473810" w:rsidRPr="00473810" w:rsidRDefault="00473810" w:rsidP="00473810">
            <w:pP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 </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median</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0.67</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0.22</w:t>
            </w:r>
          </w:p>
        </w:tc>
      </w:tr>
      <w:tr w:rsidR="00473810" w:rsidRPr="00473810" w:rsidTr="00477CE4">
        <w:trPr>
          <w:trHeight w:val="300"/>
        </w:trPr>
        <w:tc>
          <w:tcPr>
            <w:tcW w:w="654" w:type="pct"/>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743" w:type="pct"/>
            <w:hideMark/>
          </w:tcPr>
          <w:p w:rsidR="00473810" w:rsidRPr="00473810" w:rsidRDefault="00473810" w:rsidP="00473810">
            <w:pPr>
              <w:jc w:val="right"/>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szCs w:val="21"/>
                <w:lang w:eastAsia="en-IN"/>
              </w:rPr>
              <w:t>Limits</w:t>
            </w:r>
          </w:p>
        </w:tc>
        <w:tc>
          <w:tcPr>
            <w:tcW w:w="118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w:t>
            </w:r>
          </w:p>
        </w:tc>
        <w:tc>
          <w:tcPr>
            <w:tcW w:w="1135"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w:t>
            </w:r>
          </w:p>
        </w:tc>
        <w:tc>
          <w:tcPr>
            <w:tcW w:w="1283" w:type="pct"/>
            <w:hideMark/>
          </w:tcPr>
          <w:p w:rsidR="00473810" w:rsidRPr="00473810" w:rsidRDefault="00473810" w:rsidP="00473810">
            <w:pPr>
              <w:jc w:val="center"/>
              <w:rPr>
                <w:rFonts w:ascii="Times New Roman" w:eastAsia="Times New Roman" w:hAnsi="Times New Roman" w:cs="Times New Roman"/>
                <w:color w:val="000000"/>
                <w:sz w:val="21"/>
                <w:szCs w:val="21"/>
                <w:lang w:eastAsia="en-IN"/>
              </w:rPr>
            </w:pPr>
            <w:r w:rsidRPr="00473810">
              <w:rPr>
                <w:rFonts w:ascii="Times New Roman" w:eastAsia="Times New Roman" w:hAnsi="Times New Roman" w:cs="Times New Roman"/>
                <w:color w:val="000000"/>
                <w:sz w:val="21"/>
                <w:lang w:val="pt-PT" w:eastAsia="en-IN"/>
              </w:rPr>
              <w:t>0.00-0.67</w:t>
            </w:r>
          </w:p>
        </w:tc>
      </w:tr>
    </w:tbl>
    <w:p w:rsidR="00473810" w:rsidRPr="00473810" w:rsidRDefault="00473810" w:rsidP="00473810">
      <w:pPr>
        <w:spacing w:after="160" w:line="24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MRD – Minimal residual disease; AML – acute myeloid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ALL – acute lymphoblastic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ABL – Acute </w:t>
      </w:r>
      <w:proofErr w:type="spellStart"/>
      <w:r w:rsidRPr="00473810">
        <w:rPr>
          <w:rFonts w:ascii="Times New Roman" w:eastAsia="Calibri" w:hAnsi="Times New Roman" w:cs="Times New Roman"/>
          <w:sz w:val="24"/>
          <w:szCs w:val="24"/>
          <w:lang w:val="en-IN"/>
        </w:rPr>
        <w:t>biphenotypic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n – number of patients. Mann-Whitney U test. *Statistical significance when compared with the negative MRD group, P&lt;0.05.</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addition, we analysed whether there was an association between the transcription levels of </w:t>
      </w:r>
      <w:proofErr w:type="spellStart"/>
      <w:r w:rsidRPr="00473810">
        <w:rPr>
          <w:rFonts w:ascii="Times New Roman" w:eastAsia="Calibri" w:hAnsi="Times New Roman" w:cs="Times New Roman"/>
          <w:i/>
          <w:iCs/>
          <w:sz w:val="24"/>
          <w:szCs w:val="24"/>
          <w:lang w:val="en-IN"/>
        </w:rPr>
        <w:t>mdr</w:t>
      </w:r>
      <w:proofErr w:type="spellEnd"/>
      <w:r w:rsidRPr="00473810">
        <w:rPr>
          <w:rFonts w:ascii="Times New Roman" w:eastAsia="Calibri" w:hAnsi="Times New Roman" w:cs="Times New Roman"/>
          <w:sz w:val="24"/>
          <w:szCs w:val="24"/>
          <w:lang w:val="en-IN"/>
        </w:rPr>
        <w:t xml:space="preserve"> genes and the response to treatment (Table 2) and it can be seen that there is an association between the higher transcription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and the presence of MRD, both in the total of patients (P=0.004), and in the group of patients diagnosed with AML (P=0.005). This same association was not found in the other groups of patients. The </w:t>
      </w:r>
      <w:r w:rsidRPr="00473810">
        <w:rPr>
          <w:rFonts w:ascii="Times New Roman" w:eastAsia="Calibri" w:hAnsi="Times New Roman" w:cs="Times New Roman"/>
          <w:sz w:val="24"/>
          <w:szCs w:val="24"/>
          <w:lang w:val="en-IN"/>
        </w:rPr>
        <w:lastRenderedPageBreak/>
        <w:t xml:space="preserve">expressions of abcc1 and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were not related to the response to treatment in any of the AL subtypes. Subsequently, we evaluated whether there was an association between the intensity of transcription of </w:t>
      </w:r>
      <w:proofErr w:type="spellStart"/>
      <w:r w:rsidRPr="00473810">
        <w:rPr>
          <w:rFonts w:ascii="Times New Roman" w:eastAsia="Calibri" w:hAnsi="Times New Roman" w:cs="Times New Roman"/>
          <w:i/>
          <w:iCs/>
          <w:sz w:val="24"/>
          <w:szCs w:val="24"/>
          <w:lang w:val="en-IN"/>
        </w:rPr>
        <w:t>mdr</w:t>
      </w:r>
      <w:proofErr w:type="spellEnd"/>
      <w:r w:rsidRPr="00473810">
        <w:rPr>
          <w:rFonts w:ascii="Times New Roman" w:eastAsia="Calibri" w:hAnsi="Times New Roman" w:cs="Times New Roman"/>
          <w:sz w:val="24"/>
          <w:szCs w:val="24"/>
          <w:lang w:val="en-IN"/>
        </w:rPr>
        <w:t xml:space="preserve"> genes and the differential diagnosis of patients (AML, APL, ALL-B, ALL-T or ABL). However, no association was found between gene transcription and differential diagnosis, even when patients were separated according to treatment response (MRD negative and MRD positive).</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Another data that was evaluated is whether there was an association between the transcription of </w:t>
      </w:r>
      <w:proofErr w:type="spellStart"/>
      <w:r w:rsidRPr="00473810">
        <w:rPr>
          <w:rFonts w:ascii="Times New Roman" w:eastAsia="Calibri" w:hAnsi="Times New Roman" w:cs="Times New Roman"/>
          <w:i/>
          <w:iCs/>
          <w:sz w:val="24"/>
          <w:szCs w:val="24"/>
          <w:lang w:val="en-IN"/>
        </w:rPr>
        <w:t>mdr</w:t>
      </w:r>
      <w:proofErr w:type="spellEnd"/>
      <w:r w:rsidRPr="00473810">
        <w:rPr>
          <w:rFonts w:ascii="Times New Roman" w:eastAsia="Calibri" w:hAnsi="Times New Roman" w:cs="Times New Roman"/>
          <w:sz w:val="24"/>
          <w:szCs w:val="24"/>
          <w:lang w:val="en-IN"/>
        </w:rPr>
        <w:t xml:space="preserve"> genes and some prognostic factors such as: age, </w:t>
      </w:r>
      <w:proofErr w:type="spellStart"/>
      <w:r w:rsidRPr="00473810">
        <w:rPr>
          <w:rFonts w:ascii="Times New Roman" w:eastAsia="Calibri" w:hAnsi="Times New Roman" w:cs="Times New Roman"/>
          <w:sz w:val="24"/>
          <w:szCs w:val="24"/>
          <w:lang w:val="en-IN"/>
        </w:rPr>
        <w:t>leukometry</w:t>
      </w:r>
      <w:proofErr w:type="spellEnd"/>
      <w:r w:rsidRPr="00473810">
        <w:rPr>
          <w:rFonts w:ascii="Times New Roman" w:eastAsia="Calibri" w:hAnsi="Times New Roman" w:cs="Times New Roman"/>
          <w:sz w:val="24"/>
          <w:szCs w:val="24"/>
          <w:lang w:val="en-IN"/>
        </w:rPr>
        <w:t xml:space="preserve"> and percentage of blasts at diagnosis, Lactate Dehydrogenase, expression of CD34, CD56 and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presence of FMS3-DIT mutations, FMS3-D835 and TL-1 translocation in AML cases and TL-2.2 in B-ALL cases (Table 3, 4 and 5 ). Due to the small number of patients in the ABL group, it was not possible to verify the existence of a relationship between the transcription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abcc1 and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and the prognostic factors in this group. As can be seen in Table 3, transcription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was positively correlated with leukocyte count in T-ALL cases (P=0.007; R</w:t>
      </w:r>
      <w:r w:rsidRPr="00473810">
        <w:rPr>
          <w:rFonts w:ascii="Times New Roman" w:eastAsia="Calibri" w:hAnsi="Times New Roman" w:cs="Times New Roman"/>
          <w:sz w:val="24"/>
          <w:szCs w:val="24"/>
          <w:vertAlign w:val="superscript"/>
          <w:lang w:val="en-IN"/>
        </w:rPr>
        <w:t>2</w:t>
      </w:r>
      <w:r w:rsidRPr="00473810">
        <w:rPr>
          <w:rFonts w:ascii="Times New Roman" w:eastAsia="Calibri" w:hAnsi="Times New Roman" w:cs="Times New Roman"/>
          <w:sz w:val="24"/>
          <w:szCs w:val="24"/>
          <w:lang w:val="en-IN"/>
        </w:rPr>
        <w:t>=0.967). This correlation was maintained in the group of patients diagnosed with T-ALL and negative MRD (P=0.030; R</w:t>
      </w:r>
      <w:r w:rsidRPr="00473810">
        <w:rPr>
          <w:rFonts w:ascii="Times New Roman" w:eastAsia="Calibri" w:hAnsi="Times New Roman" w:cs="Times New Roman"/>
          <w:sz w:val="24"/>
          <w:szCs w:val="24"/>
          <w:vertAlign w:val="superscript"/>
          <w:lang w:val="en-IN"/>
        </w:rPr>
        <w:t>2</w:t>
      </w:r>
      <w:r w:rsidRPr="00473810">
        <w:rPr>
          <w:rFonts w:ascii="Times New Roman" w:eastAsia="Calibri" w:hAnsi="Times New Roman" w:cs="Times New Roman"/>
          <w:sz w:val="24"/>
          <w:szCs w:val="24"/>
          <w:lang w:val="en-IN"/>
        </w:rPr>
        <w:t>=0.970).</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Table 3 – Association between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transcription and prognostic factors in samples from patients with acute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at diagnosis, according to response to the first cycle of induction therapy and/or differential diagnosis.</w:t>
      </w:r>
    </w:p>
    <w:tbl>
      <w:tblPr>
        <w:tblStyle w:val="TableGrid"/>
        <w:tblW w:w="9042" w:type="dxa"/>
        <w:tblLook w:val="04A0" w:firstRow="1" w:lastRow="0" w:firstColumn="1" w:lastColumn="0" w:noHBand="0" w:noVBand="1"/>
      </w:tblPr>
      <w:tblGrid>
        <w:gridCol w:w="1055"/>
        <w:gridCol w:w="2150"/>
        <w:gridCol w:w="2148"/>
        <w:gridCol w:w="2120"/>
        <w:gridCol w:w="1569"/>
      </w:tblGrid>
      <w:tr w:rsidR="00473810" w:rsidRPr="00473810" w:rsidTr="00477CE4">
        <w:trPr>
          <w:trHeight w:val="70"/>
        </w:trPr>
        <w:tc>
          <w:tcPr>
            <w:tcW w:w="1055" w:type="dxa"/>
            <w:hideMark/>
          </w:tcPr>
          <w:p w:rsidR="00473810" w:rsidRPr="00473810" w:rsidRDefault="00473810" w:rsidP="00473810">
            <w:pPr>
              <w:rPr>
                <w:rFonts w:ascii="Times New Roman" w:eastAsia="Times New Roman" w:hAnsi="Times New Roman" w:cs="Times New Roman"/>
                <w:color w:val="000000"/>
                <w:sz w:val="18"/>
                <w:szCs w:val="18"/>
                <w:lang w:eastAsia="en-IN"/>
              </w:rPr>
            </w:pPr>
            <w:r w:rsidRPr="00473810">
              <w:rPr>
                <w:rFonts w:ascii="Times New Roman" w:eastAsia="Times New Roman" w:hAnsi="Times New Roman" w:cs="Times New Roman"/>
                <w:color w:val="000000"/>
                <w:sz w:val="18"/>
                <w:szCs w:val="18"/>
                <w:lang w:eastAsia="en-IN"/>
              </w:rPr>
              <w:t> </w:t>
            </w:r>
          </w:p>
        </w:tc>
        <w:tc>
          <w:tcPr>
            <w:tcW w:w="2150" w:type="dxa"/>
            <w:hideMark/>
          </w:tcPr>
          <w:p w:rsidR="00473810" w:rsidRPr="00473810" w:rsidRDefault="00473810" w:rsidP="00473810">
            <w:pPr>
              <w:rPr>
                <w:rFonts w:ascii="Times New Roman" w:eastAsia="Times New Roman" w:hAnsi="Times New Roman" w:cs="Times New Roman"/>
                <w:b/>
                <w:bCs/>
                <w:color w:val="000000"/>
                <w:sz w:val="19"/>
                <w:szCs w:val="19"/>
                <w:lang w:eastAsia="en-IN"/>
              </w:rPr>
            </w:pPr>
            <w:r w:rsidRPr="00473810">
              <w:rPr>
                <w:rFonts w:ascii="Times New Roman" w:eastAsia="Times New Roman" w:hAnsi="Times New Roman" w:cs="Times New Roman"/>
                <w:b/>
                <w:bCs/>
                <w:color w:val="000000"/>
                <w:sz w:val="19"/>
                <w:szCs w:val="19"/>
                <w:lang w:eastAsia="en-IN"/>
              </w:rPr>
              <w:t>Prognostic Factors</w:t>
            </w:r>
          </w:p>
        </w:tc>
        <w:tc>
          <w:tcPr>
            <w:tcW w:w="2148" w:type="dxa"/>
            <w:hideMark/>
          </w:tcPr>
          <w:p w:rsidR="00473810" w:rsidRPr="00473810" w:rsidRDefault="00473810" w:rsidP="00473810">
            <w:pPr>
              <w:rPr>
                <w:rFonts w:ascii="Times New Roman" w:eastAsia="Times New Roman" w:hAnsi="Times New Roman" w:cs="Times New Roman"/>
                <w:b/>
                <w:bCs/>
                <w:color w:val="000000"/>
                <w:sz w:val="19"/>
                <w:szCs w:val="19"/>
                <w:lang w:eastAsia="en-IN"/>
              </w:rPr>
            </w:pPr>
            <w:r w:rsidRPr="00473810">
              <w:rPr>
                <w:rFonts w:ascii="Times New Roman" w:eastAsia="Times New Roman" w:hAnsi="Times New Roman" w:cs="Times New Roman"/>
                <w:b/>
                <w:bCs/>
                <w:color w:val="000000"/>
                <w:sz w:val="19"/>
                <w:szCs w:val="19"/>
                <w:lang w:eastAsia="en-IN"/>
              </w:rPr>
              <w:t>Negative MRD (n=49)</w:t>
            </w:r>
          </w:p>
        </w:tc>
        <w:tc>
          <w:tcPr>
            <w:tcW w:w="2120" w:type="dxa"/>
            <w:hideMark/>
          </w:tcPr>
          <w:p w:rsidR="00473810" w:rsidRPr="00473810" w:rsidRDefault="00473810" w:rsidP="00473810">
            <w:pPr>
              <w:rPr>
                <w:rFonts w:ascii="Times New Roman" w:eastAsia="Times New Roman" w:hAnsi="Times New Roman" w:cs="Times New Roman"/>
                <w:b/>
                <w:bCs/>
                <w:color w:val="000000"/>
                <w:sz w:val="19"/>
                <w:szCs w:val="19"/>
                <w:lang w:eastAsia="en-IN"/>
              </w:rPr>
            </w:pPr>
            <w:r w:rsidRPr="00473810">
              <w:rPr>
                <w:rFonts w:ascii="Times New Roman" w:eastAsia="Times New Roman" w:hAnsi="Times New Roman" w:cs="Times New Roman"/>
                <w:b/>
                <w:bCs/>
                <w:color w:val="000000"/>
                <w:sz w:val="19"/>
                <w:szCs w:val="19"/>
                <w:lang w:eastAsia="en-IN"/>
              </w:rPr>
              <w:t>Positive MRD (n=16)</w:t>
            </w:r>
          </w:p>
        </w:tc>
        <w:tc>
          <w:tcPr>
            <w:tcW w:w="1569" w:type="dxa"/>
            <w:hideMark/>
          </w:tcPr>
          <w:p w:rsidR="00473810" w:rsidRPr="00473810" w:rsidRDefault="00473810" w:rsidP="00473810">
            <w:pP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color w:val="000000"/>
                <w:sz w:val="21"/>
                <w:szCs w:val="21"/>
                <w:lang w:eastAsia="en-IN"/>
              </w:rPr>
              <w:t>Total (n=65)</w:t>
            </w:r>
          </w:p>
        </w:tc>
      </w:tr>
      <w:tr w:rsidR="00473810" w:rsidRPr="00473810" w:rsidTr="00477CE4">
        <w:trPr>
          <w:trHeight w:val="278"/>
        </w:trPr>
        <w:tc>
          <w:tcPr>
            <w:tcW w:w="1055" w:type="dxa"/>
            <w:vMerge w:val="restart"/>
            <w:textDirection w:val="btLr"/>
            <w:hideMark/>
          </w:tcPr>
          <w:p w:rsidR="00473810" w:rsidRPr="00473810" w:rsidRDefault="00473810" w:rsidP="00473810">
            <w:pPr>
              <w:jc w:val="cente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color w:val="000000"/>
                <w:sz w:val="21"/>
                <w:szCs w:val="21"/>
                <w:lang w:eastAsia="en-IN"/>
              </w:rPr>
              <w:t>TOTAL of AL (n=65)</w:t>
            </w: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Age (years)</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0.13</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0.73</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0.54</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proofErr w:type="spellStart"/>
            <w:r w:rsidRPr="00473810">
              <w:rPr>
                <w:rFonts w:ascii="Times New Roman" w:eastAsia="Times New Roman" w:hAnsi="Times New Roman" w:cs="Times New Roman"/>
                <w:color w:val="000000"/>
                <w:sz w:val="19"/>
                <w:szCs w:val="19"/>
                <w:lang w:eastAsia="en-IN"/>
              </w:rPr>
              <w:t>Leuco</w:t>
            </w:r>
            <w:proofErr w:type="spellEnd"/>
            <w:r w:rsidRPr="00473810">
              <w:rPr>
                <w:rFonts w:ascii="Times New Roman" w:eastAsia="Times New Roman" w:hAnsi="Times New Roman" w:cs="Times New Roman"/>
                <w:color w:val="000000"/>
                <w:sz w:val="19"/>
                <w:szCs w:val="19"/>
                <w:lang w:eastAsia="en-IN"/>
              </w:rPr>
              <w:t xml:space="preserve"> (x10</w:t>
            </w:r>
            <w:r w:rsidRPr="00473810">
              <w:rPr>
                <w:rFonts w:ascii="Times New Roman" w:eastAsia="Times New Roman" w:hAnsi="Times New Roman" w:cs="Times New Roman"/>
                <w:color w:val="000000"/>
                <w:sz w:val="19"/>
                <w:szCs w:val="19"/>
                <w:vertAlign w:val="superscript"/>
                <w:lang w:eastAsia="en-IN"/>
              </w:rPr>
              <w:t>3</w:t>
            </w:r>
            <w:r w:rsidRPr="00473810">
              <w:rPr>
                <w:rFonts w:ascii="Times New Roman" w:eastAsia="Times New Roman" w:hAnsi="Times New Roman" w:cs="Times New Roman"/>
                <w:color w:val="000000"/>
                <w:sz w:val="19"/>
                <w:szCs w:val="19"/>
                <w:lang w:eastAsia="en-IN"/>
              </w:rPr>
              <w:t>/µL)</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0.32</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0.27</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0.99</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Blasts (%)</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0.65</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0.39</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0.71</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Lactate dehydrogenase(U/L)</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0.33</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0.19</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0.17</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CD34 expression</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0.53</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CD56 expression</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0.53</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0.33</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proofErr w:type="spellStart"/>
            <w:r w:rsidRPr="00473810">
              <w:rPr>
                <w:rFonts w:ascii="Times New Roman" w:eastAsia="Times New Roman" w:hAnsi="Times New Roman" w:cs="Times New Roman"/>
                <w:color w:val="000000"/>
                <w:sz w:val="19"/>
                <w:szCs w:val="19"/>
                <w:lang w:eastAsia="en-IN"/>
              </w:rPr>
              <w:t>survivin</w:t>
            </w:r>
            <w:proofErr w:type="spellEnd"/>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0.60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i/>
                <w:iCs/>
                <w:color w:val="000000"/>
                <w:sz w:val="19"/>
                <w:szCs w:val="19"/>
                <w:lang w:eastAsia="en-IN"/>
              </w:rPr>
            </w:pPr>
            <w:r w:rsidRPr="00473810">
              <w:rPr>
                <w:rFonts w:ascii="Times New Roman" w:eastAsia="Times New Roman" w:hAnsi="Times New Roman" w:cs="Times New Roman"/>
                <w:i/>
                <w:iCs/>
                <w:color w:val="000000"/>
                <w:sz w:val="19"/>
                <w:szCs w:val="19"/>
                <w:lang w:eastAsia="en-IN"/>
              </w:rPr>
              <w:t>FMS3-DIT</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i/>
                <w:iCs/>
                <w:color w:val="000000"/>
                <w:sz w:val="19"/>
                <w:szCs w:val="19"/>
                <w:lang w:eastAsia="en-IN"/>
              </w:rPr>
            </w:pPr>
            <w:r w:rsidRPr="00473810">
              <w:rPr>
                <w:rFonts w:ascii="Times New Roman" w:eastAsia="Times New Roman" w:hAnsi="Times New Roman" w:cs="Times New Roman"/>
                <w:i/>
                <w:iCs/>
                <w:color w:val="000000"/>
                <w:sz w:val="19"/>
                <w:szCs w:val="19"/>
                <w:lang w:eastAsia="en-IN"/>
              </w:rPr>
              <w:t>FMS3-D835</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0.23</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0.19</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TL-1</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0.90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TL-2.2</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0.57</w:t>
            </w:r>
          </w:p>
        </w:tc>
      </w:tr>
      <w:tr w:rsidR="00473810" w:rsidRPr="00473810" w:rsidTr="00477CE4">
        <w:trPr>
          <w:trHeight w:val="278"/>
        </w:trPr>
        <w:tc>
          <w:tcPr>
            <w:tcW w:w="1055" w:type="dxa"/>
            <w:vMerge w:val="restart"/>
            <w:textDirection w:val="btLr"/>
            <w:hideMark/>
          </w:tcPr>
          <w:p w:rsidR="00473810" w:rsidRPr="00473810" w:rsidRDefault="00473810" w:rsidP="00473810">
            <w:pPr>
              <w:jc w:val="cente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AML(n=24)</w:t>
            </w: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Age years)</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0.10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0.76</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0.94</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proofErr w:type="spellStart"/>
            <w:r w:rsidRPr="00473810">
              <w:rPr>
                <w:rFonts w:ascii="Times New Roman" w:eastAsia="Times New Roman" w:hAnsi="Times New Roman" w:cs="Times New Roman"/>
                <w:color w:val="000000"/>
                <w:sz w:val="19"/>
                <w:szCs w:val="19"/>
                <w:lang w:eastAsia="en-IN"/>
              </w:rPr>
              <w:t>Leuco</w:t>
            </w:r>
            <w:proofErr w:type="spellEnd"/>
            <w:r w:rsidRPr="00473810">
              <w:rPr>
                <w:rFonts w:ascii="Times New Roman" w:eastAsia="Times New Roman" w:hAnsi="Times New Roman" w:cs="Times New Roman"/>
                <w:color w:val="000000"/>
                <w:sz w:val="19"/>
                <w:szCs w:val="19"/>
                <w:lang w:eastAsia="en-IN"/>
              </w:rPr>
              <w:t xml:space="preserve"> (x10</w:t>
            </w:r>
            <w:r w:rsidRPr="00473810">
              <w:rPr>
                <w:rFonts w:ascii="Times New Roman" w:eastAsia="Times New Roman" w:hAnsi="Times New Roman" w:cs="Times New Roman"/>
                <w:color w:val="000000"/>
                <w:sz w:val="19"/>
                <w:szCs w:val="19"/>
                <w:vertAlign w:val="superscript"/>
                <w:lang w:eastAsia="en-IN"/>
              </w:rPr>
              <w:t>3</w:t>
            </w:r>
            <w:r w:rsidRPr="00473810">
              <w:rPr>
                <w:rFonts w:ascii="Times New Roman" w:eastAsia="Times New Roman" w:hAnsi="Times New Roman" w:cs="Times New Roman"/>
                <w:color w:val="000000"/>
                <w:sz w:val="19"/>
                <w:szCs w:val="19"/>
                <w:lang w:eastAsia="en-IN"/>
              </w:rPr>
              <w:t>/µL)</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0.78</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0.52</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0.83</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Blasts (%)</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0.08</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0.97</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0.30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Lactate dehydrogenase(U/L)</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0.39</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0.72</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0.25</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CD34 expression</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0.30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0.87</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0.74</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CD56 expression</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0.41</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0.98</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proofErr w:type="spellStart"/>
            <w:r w:rsidRPr="00473810">
              <w:rPr>
                <w:rFonts w:ascii="Times New Roman" w:eastAsia="Times New Roman" w:hAnsi="Times New Roman" w:cs="Times New Roman"/>
                <w:color w:val="000000"/>
                <w:sz w:val="19"/>
                <w:szCs w:val="19"/>
                <w:lang w:eastAsia="en-IN"/>
              </w:rPr>
              <w:t>survivin</w:t>
            </w:r>
            <w:proofErr w:type="spellEnd"/>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0.14</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0.91</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0.10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i/>
                <w:iCs/>
                <w:color w:val="000000"/>
                <w:sz w:val="19"/>
                <w:szCs w:val="19"/>
                <w:lang w:eastAsia="en-IN"/>
              </w:rPr>
            </w:pPr>
            <w:r w:rsidRPr="00473810">
              <w:rPr>
                <w:rFonts w:ascii="Times New Roman" w:eastAsia="Times New Roman" w:hAnsi="Times New Roman" w:cs="Times New Roman"/>
                <w:i/>
                <w:iCs/>
                <w:color w:val="000000"/>
                <w:sz w:val="19"/>
                <w:szCs w:val="19"/>
                <w:lang w:eastAsia="en-IN"/>
              </w:rPr>
              <w:t>FMS3-DIT</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i/>
                <w:iCs/>
                <w:color w:val="000000"/>
                <w:sz w:val="19"/>
                <w:szCs w:val="19"/>
                <w:lang w:eastAsia="en-IN"/>
              </w:rPr>
            </w:pPr>
            <w:r w:rsidRPr="00473810">
              <w:rPr>
                <w:rFonts w:ascii="Times New Roman" w:eastAsia="Times New Roman" w:hAnsi="Times New Roman" w:cs="Times New Roman"/>
                <w:i/>
                <w:iCs/>
                <w:color w:val="000000"/>
                <w:sz w:val="19"/>
                <w:szCs w:val="19"/>
                <w:lang w:eastAsia="en-IN"/>
              </w:rPr>
              <w:t>FMS3-D835</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0.28</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TL-1</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0.90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TL-2.2</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val="restart"/>
            <w:textDirection w:val="btLr"/>
            <w:hideMark/>
          </w:tcPr>
          <w:p w:rsidR="00473810" w:rsidRPr="00473810" w:rsidRDefault="00473810" w:rsidP="00473810">
            <w:pPr>
              <w:jc w:val="center"/>
              <w:rPr>
                <w:rFonts w:ascii="Times New Roman" w:eastAsia="Times New Roman" w:hAnsi="Times New Roman" w:cs="Times New Roman"/>
                <w:b/>
                <w:bCs/>
                <w:color w:val="000000"/>
                <w:sz w:val="21"/>
                <w:szCs w:val="21"/>
                <w:lang w:eastAsia="en-IN"/>
              </w:rPr>
            </w:pPr>
            <w:r w:rsidRPr="00473810">
              <w:rPr>
                <w:rFonts w:ascii="Times New Roman" w:eastAsia="Times New Roman" w:hAnsi="Times New Roman" w:cs="Times New Roman"/>
                <w:b/>
                <w:bCs/>
                <w:color w:val="000000"/>
                <w:sz w:val="21"/>
                <w:szCs w:val="21"/>
                <w:lang w:eastAsia="en-IN"/>
              </w:rPr>
              <w:t>APL (n=17)</w:t>
            </w: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Age years)</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0.92</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proofErr w:type="spellStart"/>
            <w:r w:rsidRPr="00473810">
              <w:rPr>
                <w:rFonts w:ascii="Times New Roman" w:eastAsia="Times New Roman" w:hAnsi="Times New Roman" w:cs="Times New Roman"/>
                <w:color w:val="000000"/>
                <w:sz w:val="19"/>
                <w:szCs w:val="19"/>
                <w:lang w:eastAsia="en-IN"/>
              </w:rPr>
              <w:t>Leuco</w:t>
            </w:r>
            <w:proofErr w:type="spellEnd"/>
            <w:r w:rsidRPr="00473810">
              <w:rPr>
                <w:rFonts w:ascii="Times New Roman" w:eastAsia="Times New Roman" w:hAnsi="Times New Roman" w:cs="Times New Roman"/>
                <w:color w:val="000000"/>
                <w:sz w:val="19"/>
                <w:szCs w:val="19"/>
                <w:lang w:eastAsia="en-IN"/>
              </w:rPr>
              <w:t xml:space="preserve"> (x10</w:t>
            </w:r>
            <w:r w:rsidRPr="00473810">
              <w:rPr>
                <w:rFonts w:ascii="Times New Roman" w:eastAsia="Times New Roman" w:hAnsi="Times New Roman" w:cs="Times New Roman"/>
                <w:color w:val="000000"/>
                <w:sz w:val="19"/>
                <w:szCs w:val="19"/>
                <w:vertAlign w:val="superscript"/>
                <w:lang w:eastAsia="en-IN"/>
              </w:rPr>
              <w:t>3</w:t>
            </w:r>
            <w:r w:rsidRPr="00473810">
              <w:rPr>
                <w:rFonts w:ascii="Times New Roman" w:eastAsia="Times New Roman" w:hAnsi="Times New Roman" w:cs="Times New Roman"/>
                <w:color w:val="000000"/>
                <w:sz w:val="19"/>
                <w:szCs w:val="19"/>
                <w:lang w:eastAsia="en-IN"/>
              </w:rPr>
              <w:t>/µL)</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0.53</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0.54</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Blasts (%)</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0.49</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0.56</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Lactate dehydrogenase(U/L)</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0.88</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0.84</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CD34 expression</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CD56 expression</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0.28</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0.28</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proofErr w:type="spellStart"/>
            <w:r w:rsidRPr="00473810">
              <w:rPr>
                <w:rFonts w:ascii="Times New Roman" w:eastAsia="Times New Roman" w:hAnsi="Times New Roman" w:cs="Times New Roman"/>
                <w:color w:val="000000"/>
                <w:sz w:val="19"/>
                <w:szCs w:val="19"/>
                <w:lang w:eastAsia="en-IN"/>
              </w:rPr>
              <w:t>survivin</w:t>
            </w:r>
            <w:proofErr w:type="spellEnd"/>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i/>
                <w:iCs/>
                <w:color w:val="000000"/>
                <w:sz w:val="19"/>
                <w:szCs w:val="19"/>
                <w:lang w:eastAsia="en-IN"/>
              </w:rPr>
            </w:pPr>
            <w:r w:rsidRPr="00473810">
              <w:rPr>
                <w:rFonts w:ascii="Times New Roman" w:eastAsia="Times New Roman" w:hAnsi="Times New Roman" w:cs="Times New Roman"/>
                <w:i/>
                <w:iCs/>
                <w:color w:val="000000"/>
                <w:sz w:val="19"/>
                <w:szCs w:val="19"/>
                <w:lang w:eastAsia="en-IN"/>
              </w:rPr>
              <w:t>FMS3-DIT</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i/>
                <w:iCs/>
                <w:color w:val="000000"/>
                <w:sz w:val="19"/>
                <w:szCs w:val="19"/>
                <w:lang w:eastAsia="en-IN"/>
              </w:rPr>
            </w:pPr>
            <w:r w:rsidRPr="00473810">
              <w:rPr>
                <w:rFonts w:ascii="Times New Roman" w:eastAsia="Times New Roman" w:hAnsi="Times New Roman" w:cs="Times New Roman"/>
                <w:i/>
                <w:iCs/>
                <w:color w:val="000000"/>
                <w:sz w:val="19"/>
                <w:szCs w:val="19"/>
                <w:lang w:eastAsia="en-IN"/>
              </w:rPr>
              <w:t>FMS3-D835</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TL-1</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b/>
                <w:bCs/>
                <w:color w:val="000000"/>
                <w:sz w:val="21"/>
                <w:szCs w:val="21"/>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TL-2.2</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92"/>
        </w:trPr>
        <w:tc>
          <w:tcPr>
            <w:tcW w:w="1055" w:type="dxa"/>
            <w:vMerge w:val="restart"/>
            <w:textDirection w:val="btLr"/>
            <w:hideMark/>
          </w:tcPr>
          <w:p w:rsidR="00473810" w:rsidRPr="00473810" w:rsidRDefault="00473810" w:rsidP="00473810">
            <w:pPr>
              <w:jc w:val="cente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lang w:val="pt-PT" w:eastAsia="en-IN"/>
              </w:rPr>
              <w:t>ALL-B (n=17)</w:t>
            </w: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Age years)</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0.36</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0.34</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0.77</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proofErr w:type="spellStart"/>
            <w:r w:rsidRPr="00473810">
              <w:rPr>
                <w:rFonts w:ascii="Times New Roman" w:eastAsia="Times New Roman" w:hAnsi="Times New Roman" w:cs="Times New Roman"/>
                <w:color w:val="000000"/>
                <w:sz w:val="19"/>
                <w:szCs w:val="19"/>
                <w:lang w:eastAsia="en-IN"/>
              </w:rPr>
              <w:t>Leuco</w:t>
            </w:r>
            <w:proofErr w:type="spellEnd"/>
            <w:r w:rsidRPr="00473810">
              <w:rPr>
                <w:rFonts w:ascii="Times New Roman" w:eastAsia="Times New Roman" w:hAnsi="Times New Roman" w:cs="Times New Roman"/>
                <w:color w:val="000000"/>
                <w:sz w:val="19"/>
                <w:szCs w:val="19"/>
                <w:lang w:eastAsia="en-IN"/>
              </w:rPr>
              <w:t xml:space="preserve"> (x10</w:t>
            </w:r>
            <w:r w:rsidRPr="00473810">
              <w:rPr>
                <w:rFonts w:ascii="Times New Roman" w:eastAsia="Times New Roman" w:hAnsi="Times New Roman" w:cs="Times New Roman"/>
                <w:color w:val="000000"/>
                <w:sz w:val="19"/>
                <w:szCs w:val="19"/>
                <w:vertAlign w:val="superscript"/>
                <w:lang w:eastAsia="en-IN"/>
              </w:rPr>
              <w:t>3</w:t>
            </w:r>
            <w:r w:rsidRPr="00473810">
              <w:rPr>
                <w:rFonts w:ascii="Times New Roman" w:eastAsia="Times New Roman" w:hAnsi="Times New Roman" w:cs="Times New Roman"/>
                <w:color w:val="000000"/>
                <w:sz w:val="19"/>
                <w:szCs w:val="19"/>
                <w:lang w:eastAsia="en-IN"/>
              </w:rPr>
              <w:t>/µL)</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0.51</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0.47</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0.66</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Blasts (%)</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0.71</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0.58</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Lactate dehydrogenase(U/L)</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0.74</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0.29</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0.39</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CD34 expression</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CD56 expression</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proofErr w:type="spellStart"/>
            <w:r w:rsidRPr="00473810">
              <w:rPr>
                <w:rFonts w:ascii="Times New Roman" w:eastAsia="Times New Roman" w:hAnsi="Times New Roman" w:cs="Times New Roman"/>
                <w:color w:val="000000"/>
                <w:sz w:val="19"/>
                <w:szCs w:val="19"/>
                <w:lang w:eastAsia="en-IN"/>
              </w:rPr>
              <w:t>survivin</w:t>
            </w:r>
            <w:proofErr w:type="spellEnd"/>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i/>
                <w:iCs/>
                <w:color w:val="000000"/>
                <w:sz w:val="19"/>
                <w:szCs w:val="19"/>
                <w:lang w:eastAsia="en-IN"/>
              </w:rPr>
            </w:pPr>
            <w:r w:rsidRPr="00473810">
              <w:rPr>
                <w:rFonts w:ascii="Times New Roman" w:eastAsia="Times New Roman" w:hAnsi="Times New Roman" w:cs="Times New Roman"/>
                <w:i/>
                <w:iCs/>
                <w:color w:val="000000"/>
                <w:sz w:val="19"/>
                <w:szCs w:val="19"/>
                <w:lang w:eastAsia="en-IN"/>
              </w:rPr>
              <w:t>FMS3-DIT</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i/>
                <w:iCs/>
                <w:color w:val="000000"/>
                <w:sz w:val="19"/>
                <w:szCs w:val="19"/>
                <w:lang w:eastAsia="en-IN"/>
              </w:rPr>
            </w:pPr>
            <w:r w:rsidRPr="00473810">
              <w:rPr>
                <w:rFonts w:ascii="Times New Roman" w:eastAsia="Times New Roman" w:hAnsi="Times New Roman" w:cs="Times New Roman"/>
                <w:i/>
                <w:iCs/>
                <w:color w:val="000000"/>
                <w:sz w:val="19"/>
                <w:szCs w:val="19"/>
                <w:lang w:eastAsia="en-IN"/>
              </w:rPr>
              <w:t>FMS3-D835</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TL-1</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TL-2.2</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0.57</w:t>
            </w:r>
          </w:p>
        </w:tc>
      </w:tr>
      <w:tr w:rsidR="00473810" w:rsidRPr="00473810" w:rsidTr="00477CE4">
        <w:trPr>
          <w:trHeight w:val="278"/>
        </w:trPr>
        <w:tc>
          <w:tcPr>
            <w:tcW w:w="1055" w:type="dxa"/>
            <w:vMerge w:val="restart"/>
            <w:textDirection w:val="btLr"/>
            <w:hideMark/>
          </w:tcPr>
          <w:p w:rsidR="00473810" w:rsidRPr="00473810" w:rsidRDefault="00473810" w:rsidP="00473810">
            <w:pPr>
              <w:jc w:val="center"/>
              <w:rPr>
                <w:rFonts w:ascii="Times New Roman" w:eastAsia="Times New Roman" w:hAnsi="Times New Roman" w:cs="Times New Roman"/>
                <w:color w:val="000000"/>
                <w:sz w:val="16"/>
                <w:szCs w:val="16"/>
                <w:lang w:eastAsia="en-IN"/>
              </w:rPr>
            </w:pPr>
            <w:r w:rsidRPr="00473810">
              <w:rPr>
                <w:rFonts w:ascii="Times New Roman" w:eastAsia="Times New Roman" w:hAnsi="Times New Roman" w:cs="Times New Roman"/>
                <w:color w:val="000000"/>
                <w:sz w:val="16"/>
                <w:szCs w:val="16"/>
                <w:lang w:eastAsia="en-IN"/>
              </w:rPr>
              <w:t>ABL(n=2)</w:t>
            </w: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Age years)</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0.12</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0.09</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proofErr w:type="spellStart"/>
            <w:r w:rsidRPr="00473810">
              <w:rPr>
                <w:rFonts w:ascii="Times New Roman" w:eastAsia="Times New Roman" w:hAnsi="Times New Roman" w:cs="Times New Roman"/>
                <w:color w:val="000000"/>
                <w:sz w:val="19"/>
                <w:szCs w:val="19"/>
                <w:lang w:eastAsia="en-IN"/>
              </w:rPr>
              <w:t>Leuco</w:t>
            </w:r>
            <w:proofErr w:type="spellEnd"/>
            <w:r w:rsidRPr="00473810">
              <w:rPr>
                <w:rFonts w:ascii="Times New Roman" w:eastAsia="Times New Roman" w:hAnsi="Times New Roman" w:cs="Times New Roman"/>
                <w:color w:val="000000"/>
                <w:sz w:val="19"/>
                <w:szCs w:val="19"/>
                <w:lang w:eastAsia="en-IN"/>
              </w:rPr>
              <w:t xml:space="preserve"> (x10</w:t>
            </w:r>
            <w:r w:rsidRPr="00473810">
              <w:rPr>
                <w:rFonts w:ascii="Times New Roman" w:eastAsia="Times New Roman" w:hAnsi="Times New Roman" w:cs="Times New Roman"/>
                <w:color w:val="000000"/>
                <w:sz w:val="19"/>
                <w:szCs w:val="19"/>
                <w:vertAlign w:val="superscript"/>
                <w:lang w:eastAsia="en-IN"/>
              </w:rPr>
              <w:t>3</w:t>
            </w:r>
            <w:r w:rsidRPr="00473810">
              <w:rPr>
                <w:rFonts w:ascii="Times New Roman" w:eastAsia="Times New Roman" w:hAnsi="Times New Roman" w:cs="Times New Roman"/>
                <w:color w:val="000000"/>
                <w:sz w:val="19"/>
                <w:szCs w:val="19"/>
                <w:lang w:eastAsia="en-IN"/>
              </w:rPr>
              <w:t>/µL)</w:t>
            </w:r>
          </w:p>
        </w:tc>
        <w:tc>
          <w:tcPr>
            <w:tcW w:w="2148" w:type="dxa"/>
            <w:vAlign w:val="center"/>
            <w:hideMark/>
          </w:tcPr>
          <w:p w:rsidR="00473810" w:rsidRPr="00473810" w:rsidRDefault="00473810" w:rsidP="00473810">
            <w:pPr>
              <w:jc w:val="center"/>
              <w:rPr>
                <w:rFonts w:ascii="Times New Roman" w:eastAsia="Times New Roman" w:hAnsi="Times New Roman" w:cs="Times New Roman"/>
                <w:b/>
                <w:bCs/>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b/>
                <w:bCs/>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Blasts (%)</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0.52</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Lactate dehydrogenase(U/L)</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0.77</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0.84</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CD34 expression</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0.26</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0.41</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CD56 expression</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proofErr w:type="spellStart"/>
            <w:r w:rsidRPr="00473810">
              <w:rPr>
                <w:rFonts w:ascii="Times New Roman" w:eastAsia="Times New Roman" w:hAnsi="Times New Roman" w:cs="Times New Roman"/>
                <w:color w:val="000000"/>
                <w:sz w:val="19"/>
                <w:szCs w:val="19"/>
                <w:lang w:eastAsia="en-IN"/>
              </w:rPr>
              <w:t>survivin</w:t>
            </w:r>
            <w:proofErr w:type="spellEnd"/>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1.00</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i/>
                <w:iCs/>
                <w:color w:val="000000"/>
                <w:sz w:val="19"/>
                <w:szCs w:val="19"/>
                <w:lang w:eastAsia="en-IN"/>
              </w:rPr>
            </w:pPr>
            <w:r w:rsidRPr="00473810">
              <w:rPr>
                <w:rFonts w:ascii="Times New Roman" w:eastAsia="Times New Roman" w:hAnsi="Times New Roman" w:cs="Times New Roman"/>
                <w:i/>
                <w:iCs/>
                <w:color w:val="000000"/>
                <w:sz w:val="19"/>
                <w:szCs w:val="19"/>
                <w:lang w:eastAsia="en-IN"/>
              </w:rPr>
              <w:t>FMS3-DIT</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i/>
                <w:iCs/>
                <w:color w:val="000000"/>
                <w:sz w:val="19"/>
                <w:szCs w:val="19"/>
                <w:lang w:eastAsia="en-IN"/>
              </w:rPr>
            </w:pPr>
            <w:r w:rsidRPr="00473810">
              <w:rPr>
                <w:rFonts w:ascii="Times New Roman" w:eastAsia="Times New Roman" w:hAnsi="Times New Roman" w:cs="Times New Roman"/>
                <w:i/>
                <w:iCs/>
                <w:color w:val="000000"/>
                <w:sz w:val="19"/>
                <w:szCs w:val="19"/>
                <w:lang w:eastAsia="en-IN"/>
              </w:rPr>
              <w:t>FMS3-D835</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TL-1</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r w:rsidR="00473810" w:rsidRPr="00473810" w:rsidTr="00477CE4">
        <w:trPr>
          <w:trHeight w:val="278"/>
        </w:trPr>
        <w:tc>
          <w:tcPr>
            <w:tcW w:w="1055" w:type="dxa"/>
            <w:vMerge/>
            <w:hideMark/>
          </w:tcPr>
          <w:p w:rsidR="00473810" w:rsidRPr="00473810" w:rsidRDefault="00473810" w:rsidP="00473810">
            <w:pPr>
              <w:rPr>
                <w:rFonts w:ascii="Times New Roman" w:eastAsia="Times New Roman" w:hAnsi="Times New Roman" w:cs="Times New Roman"/>
                <w:color w:val="000000"/>
                <w:sz w:val="16"/>
                <w:szCs w:val="16"/>
                <w:lang w:eastAsia="en-IN"/>
              </w:rPr>
            </w:pPr>
          </w:p>
        </w:tc>
        <w:tc>
          <w:tcPr>
            <w:tcW w:w="2150" w:type="dxa"/>
            <w:hideMark/>
          </w:tcPr>
          <w:p w:rsidR="00473810" w:rsidRPr="00473810" w:rsidRDefault="00473810" w:rsidP="00473810">
            <w:pPr>
              <w:rPr>
                <w:rFonts w:ascii="Times New Roman" w:eastAsia="Times New Roman" w:hAnsi="Times New Roman" w:cs="Times New Roman"/>
                <w:color w:val="000000"/>
                <w:sz w:val="19"/>
                <w:szCs w:val="19"/>
                <w:lang w:eastAsia="en-IN"/>
              </w:rPr>
            </w:pPr>
            <w:r w:rsidRPr="00473810">
              <w:rPr>
                <w:rFonts w:ascii="Times New Roman" w:eastAsia="Times New Roman" w:hAnsi="Times New Roman" w:cs="Times New Roman"/>
                <w:color w:val="000000"/>
                <w:sz w:val="19"/>
                <w:szCs w:val="19"/>
                <w:lang w:eastAsia="en-IN"/>
              </w:rPr>
              <w:t>TL-2.2</w:t>
            </w:r>
          </w:p>
        </w:tc>
        <w:tc>
          <w:tcPr>
            <w:tcW w:w="2148"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2120"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c>
          <w:tcPr>
            <w:tcW w:w="1569" w:type="dxa"/>
            <w:vAlign w:val="center"/>
            <w:hideMark/>
          </w:tcPr>
          <w:p w:rsidR="00473810" w:rsidRPr="00473810" w:rsidRDefault="00473810" w:rsidP="00473810">
            <w:pPr>
              <w:jc w:val="center"/>
              <w:rPr>
                <w:rFonts w:ascii="Times New Roman" w:eastAsia="Times New Roman" w:hAnsi="Times New Roman" w:cs="Times New Roman"/>
                <w:color w:val="000000"/>
                <w:sz w:val="20"/>
                <w:szCs w:val="20"/>
                <w:lang w:eastAsia="en-IN"/>
              </w:rPr>
            </w:pPr>
            <w:r w:rsidRPr="00473810">
              <w:rPr>
                <w:rFonts w:ascii="Times New Roman" w:eastAsia="Calibri" w:hAnsi="Times New Roman" w:cs="Times New Roman"/>
                <w:color w:val="000000"/>
                <w:sz w:val="20"/>
                <w:szCs w:val="20"/>
              </w:rPr>
              <w:t>-</w:t>
            </w:r>
          </w:p>
        </w:tc>
      </w:tr>
    </w:tbl>
    <w:p w:rsidR="00473810" w:rsidRPr="00473810" w:rsidRDefault="00473810" w:rsidP="00473810">
      <w:pPr>
        <w:spacing w:after="160" w:line="24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lastRenderedPageBreak/>
        <w:t xml:space="preserve">MRD – Minimal residual disease; AL – Acute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AML – Acute myeloid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APL – Acute </w:t>
      </w:r>
      <w:proofErr w:type="spellStart"/>
      <w:r w:rsidRPr="00473810">
        <w:rPr>
          <w:rFonts w:ascii="Times New Roman" w:eastAsia="Calibri" w:hAnsi="Times New Roman" w:cs="Times New Roman"/>
          <w:sz w:val="24"/>
          <w:szCs w:val="24"/>
          <w:lang w:val="en-IN"/>
        </w:rPr>
        <w:t>promyelocytic</w:t>
      </w:r>
      <w:proofErr w:type="spellEnd"/>
      <w:r w:rsidRPr="00473810">
        <w:rPr>
          <w:rFonts w:ascii="Times New Roman" w:eastAsia="Calibri" w:hAnsi="Times New Roman" w:cs="Times New Roman"/>
          <w:sz w:val="24"/>
          <w:szCs w:val="24"/>
          <w:lang w:val="en-IN"/>
        </w:rPr>
        <w:t xml:space="preserve">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with TL-5; ALL-B – Acute lymphoblastic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type B; T-ALL – T-type acute lymphoid </w:t>
      </w:r>
      <w:proofErr w:type="spellStart"/>
      <w:r w:rsidRPr="00473810">
        <w:rPr>
          <w:rFonts w:ascii="Times New Roman" w:eastAsia="Calibri" w:hAnsi="Times New Roman" w:cs="Times New Roman"/>
          <w:sz w:val="24"/>
          <w:szCs w:val="24"/>
          <w:lang w:val="en-IN"/>
        </w:rPr>
        <w:t>leukemia</w:t>
      </w:r>
      <w:proofErr w:type="spellEnd"/>
      <w:r w:rsidRPr="00473810">
        <w:rPr>
          <w:rFonts w:ascii="Times New Roman" w:eastAsia="Calibri" w:hAnsi="Times New Roman" w:cs="Times New Roman"/>
          <w:sz w:val="24"/>
          <w:szCs w:val="24"/>
          <w:lang w:val="en-IN"/>
        </w:rPr>
        <w:t xml:space="preserve">; LDH – Lactate dehydrogenase; </w:t>
      </w:r>
      <w:proofErr w:type="spellStart"/>
      <w:r w:rsidRPr="00473810">
        <w:rPr>
          <w:rFonts w:ascii="Times New Roman" w:eastAsia="Calibri" w:hAnsi="Times New Roman" w:cs="Times New Roman"/>
          <w:sz w:val="24"/>
          <w:szCs w:val="24"/>
          <w:lang w:val="en-IN"/>
        </w:rPr>
        <w:t>Leuco</w:t>
      </w:r>
      <w:proofErr w:type="spellEnd"/>
      <w:r w:rsidRPr="00473810">
        <w:rPr>
          <w:rFonts w:ascii="Times New Roman" w:eastAsia="Calibri" w:hAnsi="Times New Roman" w:cs="Times New Roman"/>
          <w:sz w:val="24"/>
          <w:szCs w:val="24"/>
          <w:lang w:val="en-IN"/>
        </w:rPr>
        <w:t xml:space="preserve"> - </w:t>
      </w:r>
      <w:proofErr w:type="spellStart"/>
      <w:r w:rsidRPr="00473810">
        <w:rPr>
          <w:rFonts w:ascii="Times New Roman" w:eastAsia="Calibri" w:hAnsi="Times New Roman" w:cs="Times New Roman"/>
          <w:sz w:val="24"/>
          <w:szCs w:val="24"/>
          <w:lang w:val="en-IN"/>
        </w:rPr>
        <w:t>Leucometry</w:t>
      </w:r>
      <w:proofErr w:type="spellEnd"/>
      <w:r w:rsidRPr="00473810">
        <w:rPr>
          <w:rFonts w:ascii="Times New Roman" w:eastAsia="Calibri" w:hAnsi="Times New Roman" w:cs="Times New Roman"/>
          <w:sz w:val="24"/>
          <w:szCs w:val="24"/>
          <w:lang w:val="en-IN"/>
        </w:rPr>
        <w:t>. Mann-Whitney U test or Pearson correlation. *Statistical significance.</w:t>
      </w:r>
    </w:p>
    <w:p w:rsidR="00473810" w:rsidRPr="00473810" w:rsidRDefault="00473810" w:rsidP="00473810">
      <w:pPr>
        <w:spacing w:after="160" w:line="360" w:lineRule="auto"/>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Discussion</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Clinical and Laboratory Characteristics of Patients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ALs constitute a heterogeneous group of malignant neoplasms that affect individuals in all age groups and are slightly more frequent in men. As expected, the group of patients included in the present study showed a predominance of males (n=40; ​​Female=35) and a wide age range (15-87 years; Table 1). In addition, the median age of patients diagnosed with AML was 54 years (18-87 years), while that of those diagnosed with ALL was 30 years (15-60 years).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Worldwide, the median age at diagnosis of adult patients with AML and ALL is 63 to 72 years and 25 to 45 years. years, respectively. At the Iraq, a study carried out in Baghdad with AML patients found a median age at diagnosis of 43 years (n=69). Studies reported median age at diagnosis in AMLs of 34 years (n=109), 67 years (n=97), 35 years (n=17) and 34 years (n =115), respectively. Regarding ALLs, a study in Bahia and another in Rio Grande do </w:t>
      </w:r>
      <w:proofErr w:type="spellStart"/>
      <w:r w:rsidRPr="00473810">
        <w:rPr>
          <w:rFonts w:ascii="Times New Roman" w:eastAsia="Calibri" w:hAnsi="Times New Roman" w:cs="Times New Roman"/>
          <w:sz w:val="24"/>
          <w:szCs w:val="24"/>
          <w:lang w:val="en-IN"/>
        </w:rPr>
        <w:t>Sul</w:t>
      </w:r>
      <w:proofErr w:type="spellEnd"/>
      <w:r w:rsidRPr="00473810">
        <w:rPr>
          <w:rFonts w:ascii="Times New Roman" w:eastAsia="Calibri" w:hAnsi="Times New Roman" w:cs="Times New Roman"/>
          <w:sz w:val="24"/>
          <w:szCs w:val="24"/>
          <w:lang w:val="en-IN"/>
        </w:rPr>
        <w:t xml:space="preserve"> reported medians of age at diagnosis of 49 years (n=70) and 26 years (n=42), respectively. As can be seen, with the exception of the Baghdad study, the patients diagnosed with AML evaluated here had a median age slightly higher than that found in other studies (James, 2017), but still lower than that reported in international studies. On the other hand, the median age of patients diagnosed with ALL included in the present study was similar to those reported in national and international studies.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Unlike the other AL subtypes, APLs do not show an age-peak distribution. Its incidence progressively increases during adolescence, reaches a plateau during early adulthood and remains constant until it decreases around the age of 60. Thus, most APL diagnoses occur between 20 and 50 years of age. Therefore, the median age (26 years) and age group (15-87 years) of patients diagnosed with APL included in the present study are in line with expectations for this AML subtype. </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lastRenderedPageBreak/>
        <w:t xml:space="preserve">Still regarding the age of the patients included in this study, it was found that individuals who did not go into remission after induction therapy had a significantly higher median age (54 years) than patients who went into remission (35 years; P&lt; 0.001; Table 1). As already mentioned, “advanced age” is considered a poor prognostic factor independent of ALs. In addition, older patients generally have a higher occurrence of other poor prognostic factors, such as </w:t>
      </w:r>
      <w:proofErr w:type="spellStart"/>
      <w:r w:rsidRPr="00473810">
        <w:rPr>
          <w:rFonts w:ascii="Times New Roman" w:eastAsia="Calibri" w:hAnsi="Times New Roman" w:cs="Times New Roman"/>
          <w:sz w:val="24"/>
          <w:szCs w:val="24"/>
          <w:lang w:val="en-IN"/>
        </w:rPr>
        <w:t>unfavorable</w:t>
      </w:r>
      <w:proofErr w:type="spellEnd"/>
      <w:r w:rsidRPr="00473810">
        <w:rPr>
          <w:rFonts w:ascii="Times New Roman" w:eastAsia="Calibri" w:hAnsi="Times New Roman" w:cs="Times New Roman"/>
          <w:sz w:val="24"/>
          <w:szCs w:val="24"/>
          <w:lang w:val="en-IN"/>
        </w:rPr>
        <w:t xml:space="preserve"> cytogenetic abnormalities, greater susceptibility to the toxic effects of chemotherapy, overexpression of genes associated with MDR, and the presence of contraindications to intensive care, which explains because these patients usually do not respond as well to chemotherapy. Therefore, it was already expected that, in the present study, patients with positive MRD would present a median age higher than those who entered complete remission after induction therapy.</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proofErr w:type="spellStart"/>
      <w:r w:rsidRPr="00473810">
        <w:rPr>
          <w:rFonts w:ascii="Times New Roman" w:eastAsia="Calibri" w:hAnsi="Times New Roman" w:cs="Times New Roman"/>
          <w:sz w:val="24"/>
          <w:szCs w:val="24"/>
          <w:lang w:val="en-IN"/>
        </w:rPr>
        <w:t>Leukometry</w:t>
      </w:r>
      <w:proofErr w:type="spellEnd"/>
      <w:r w:rsidRPr="00473810">
        <w:rPr>
          <w:rFonts w:ascii="Times New Roman" w:eastAsia="Calibri" w:hAnsi="Times New Roman" w:cs="Times New Roman"/>
          <w:sz w:val="24"/>
          <w:szCs w:val="24"/>
          <w:lang w:val="en-IN"/>
        </w:rPr>
        <w:t xml:space="preserve"> at diagnosis was another prognostic factor evaluated in this study. Patients diagnosed with AL may have elevated, normal, or decreased WBC counts at the time of diagnosis and, in general, counts greater than 30,000 WBCs/mm3 are considered to have a poor prognosis. In the present study, the group of patients who went into remission and the group that presented MRD after induction therapy had similar median leukocyte counts of 3,900 leukocytes/mm3 and 10,700 leukocytes/mm</w:t>
      </w:r>
      <w:r w:rsidRPr="00473810">
        <w:rPr>
          <w:rFonts w:ascii="Times New Roman" w:eastAsia="Calibri" w:hAnsi="Times New Roman" w:cs="Times New Roman"/>
          <w:sz w:val="24"/>
          <w:szCs w:val="24"/>
          <w:vertAlign w:val="superscript"/>
          <w:lang w:val="en-IN"/>
        </w:rPr>
        <w:t>3</w:t>
      </w:r>
      <w:r w:rsidRPr="00473810">
        <w:rPr>
          <w:rFonts w:ascii="Times New Roman" w:eastAsia="Calibri" w:hAnsi="Times New Roman" w:cs="Times New Roman"/>
          <w:sz w:val="24"/>
          <w:szCs w:val="24"/>
          <w:lang w:val="en-IN"/>
        </w:rPr>
        <w:t xml:space="preserve">, respectively (P&gt;0.05; Table 1). Iraq study carried out in </w:t>
      </w:r>
      <w:proofErr w:type="spellStart"/>
      <w:r w:rsidRPr="00473810">
        <w:rPr>
          <w:rFonts w:ascii="Times New Roman" w:eastAsia="Calibri" w:hAnsi="Times New Roman" w:cs="Times New Roman"/>
          <w:sz w:val="24"/>
          <w:szCs w:val="24"/>
          <w:lang w:val="en-IN"/>
        </w:rPr>
        <w:t>Abdulsalam</w:t>
      </w:r>
      <w:proofErr w:type="spellEnd"/>
      <w:r w:rsidRPr="00473810">
        <w:rPr>
          <w:rFonts w:ascii="Times New Roman" w:eastAsia="Calibri" w:hAnsi="Times New Roman" w:cs="Times New Roman"/>
          <w:sz w:val="24"/>
          <w:szCs w:val="24"/>
          <w:lang w:val="en-IN"/>
        </w:rPr>
        <w:t>, et al. (2010) reported a median number of leukocytes a little higher (12,600 leukocytes/mm</w:t>
      </w:r>
      <w:r w:rsidRPr="00473810">
        <w:rPr>
          <w:rFonts w:ascii="Times New Roman" w:eastAsia="Calibri" w:hAnsi="Times New Roman" w:cs="Times New Roman"/>
          <w:sz w:val="24"/>
          <w:szCs w:val="24"/>
          <w:vertAlign w:val="superscript"/>
          <w:lang w:val="en-IN"/>
        </w:rPr>
        <w:t>3</w:t>
      </w:r>
      <w:r w:rsidRPr="00473810">
        <w:rPr>
          <w:rFonts w:ascii="Times New Roman" w:eastAsia="Calibri" w:hAnsi="Times New Roman" w:cs="Times New Roman"/>
          <w:sz w:val="24"/>
          <w:szCs w:val="24"/>
          <w:lang w:val="en-IN"/>
        </w:rPr>
        <w:t>; n=115) than that found in this study. However, a study carried  by Liu, (2002) in terms of ethnic and socioeconomic characteristics, reported that 51% of the evaluated patients had leukocyte counts below 10,000 leukocytes/mm</w:t>
      </w:r>
      <w:r w:rsidRPr="00473810">
        <w:rPr>
          <w:rFonts w:ascii="Times New Roman" w:eastAsia="Calibri" w:hAnsi="Times New Roman" w:cs="Times New Roman"/>
          <w:sz w:val="24"/>
          <w:szCs w:val="24"/>
          <w:vertAlign w:val="superscript"/>
          <w:lang w:val="en-IN"/>
        </w:rPr>
        <w:t>3</w:t>
      </w:r>
      <w:r w:rsidRPr="00473810">
        <w:rPr>
          <w:rFonts w:ascii="Times New Roman" w:eastAsia="Calibri" w:hAnsi="Times New Roman" w:cs="Times New Roman"/>
          <w:sz w:val="24"/>
          <w:szCs w:val="24"/>
          <w:lang w:val="en-IN"/>
        </w:rPr>
        <w:t xml:space="preserve"> (n= 39), which is very similar to the </w:t>
      </w:r>
      <w:proofErr w:type="spellStart"/>
      <w:r w:rsidRPr="00473810">
        <w:rPr>
          <w:rFonts w:ascii="Times New Roman" w:eastAsia="Calibri" w:hAnsi="Times New Roman" w:cs="Times New Roman"/>
          <w:sz w:val="24"/>
          <w:szCs w:val="24"/>
          <w:lang w:val="en-IN"/>
        </w:rPr>
        <w:t>leukometries</w:t>
      </w:r>
      <w:proofErr w:type="spellEnd"/>
      <w:r w:rsidRPr="00473810">
        <w:rPr>
          <w:rFonts w:ascii="Times New Roman" w:eastAsia="Calibri" w:hAnsi="Times New Roman" w:cs="Times New Roman"/>
          <w:sz w:val="24"/>
          <w:szCs w:val="24"/>
          <w:lang w:val="en-IN"/>
        </w:rPr>
        <w:t xml:space="preserve"> found in the present work. In addition, an interesting fact observed is that both the good prognosis group (negative MRD) and the poor prognostic group (positive MRD) had medians of </w:t>
      </w:r>
      <w:proofErr w:type="spellStart"/>
      <w:r w:rsidRPr="00473810">
        <w:rPr>
          <w:rFonts w:ascii="Times New Roman" w:eastAsia="Calibri" w:hAnsi="Times New Roman" w:cs="Times New Roman"/>
          <w:sz w:val="24"/>
          <w:szCs w:val="24"/>
          <w:lang w:val="en-IN"/>
        </w:rPr>
        <w:t>leukometry</w:t>
      </w:r>
      <w:proofErr w:type="spellEnd"/>
      <w:r w:rsidRPr="00473810">
        <w:rPr>
          <w:rFonts w:ascii="Times New Roman" w:eastAsia="Calibri" w:hAnsi="Times New Roman" w:cs="Times New Roman"/>
          <w:sz w:val="24"/>
          <w:szCs w:val="24"/>
          <w:lang w:val="en-IN"/>
        </w:rPr>
        <w:t xml:space="preserve"> considered as having a good prognosis and within the reference values ​​stipulated by the Clinical Analysis Service BTH (3,800 to11,000 leukocytes/mm</w:t>
      </w:r>
      <w:r w:rsidRPr="00473810">
        <w:rPr>
          <w:rFonts w:ascii="Times New Roman" w:eastAsia="Calibri" w:hAnsi="Times New Roman" w:cs="Times New Roman"/>
          <w:sz w:val="24"/>
          <w:szCs w:val="24"/>
          <w:vertAlign w:val="superscript"/>
          <w:lang w:val="en-IN"/>
        </w:rPr>
        <w:t>3</w:t>
      </w:r>
      <w:r w:rsidRPr="00473810">
        <w:rPr>
          <w:rFonts w:ascii="Times New Roman" w:eastAsia="Calibri" w:hAnsi="Times New Roman" w:cs="Times New Roman"/>
          <w:sz w:val="24"/>
          <w:szCs w:val="24"/>
          <w:lang w:val="en-IN"/>
        </w:rPr>
        <w:t xml:space="preserve">). However, it is important to note that of the 19 patients who did not go into remission after induction therapy, seven (36.8%) had a WBC greater than 30,000 leukocytes/mm3, while in the group with negative MRD, only ten patients (17.8%) out of a total of 56 had a leukocyte count above 30,000 leukocytes/mm3. Thus, it is evident that, despite the leukocyte medians of the two groups being within the parameters of a good prognosis, </w:t>
      </w:r>
      <w:r w:rsidRPr="00473810">
        <w:rPr>
          <w:rFonts w:ascii="Times New Roman" w:eastAsia="Calibri" w:hAnsi="Times New Roman" w:cs="Times New Roman"/>
          <w:sz w:val="24"/>
          <w:szCs w:val="24"/>
          <w:lang w:val="en-IN"/>
        </w:rPr>
        <w:lastRenderedPageBreak/>
        <w:t>the group with positive MRD presented, as expected, a higher frequency of patients with leukocyte counts greater than 30,000 leukocytes/mm</w:t>
      </w:r>
      <w:r w:rsidRPr="00473810">
        <w:rPr>
          <w:rFonts w:ascii="Times New Roman" w:eastAsia="Calibri" w:hAnsi="Times New Roman" w:cs="Times New Roman"/>
          <w:sz w:val="24"/>
          <w:szCs w:val="24"/>
          <w:vertAlign w:val="superscript"/>
          <w:lang w:val="en-IN"/>
        </w:rPr>
        <w:t>3</w:t>
      </w:r>
      <w:r w:rsidRPr="00473810">
        <w:rPr>
          <w:rFonts w:ascii="Times New Roman" w:eastAsia="Calibri" w:hAnsi="Times New Roman" w:cs="Times New Roman"/>
          <w:sz w:val="24"/>
          <w:szCs w:val="24"/>
          <w:lang w:val="en-IN"/>
        </w:rPr>
        <w:t xml:space="preserve">. Another fact to be highlighted is that, although the median of the </w:t>
      </w:r>
      <w:proofErr w:type="spellStart"/>
      <w:r w:rsidRPr="00473810">
        <w:rPr>
          <w:rFonts w:ascii="Times New Roman" w:eastAsia="Calibri" w:hAnsi="Times New Roman" w:cs="Times New Roman"/>
          <w:sz w:val="24"/>
          <w:szCs w:val="24"/>
          <w:lang w:val="en-IN"/>
        </w:rPr>
        <w:t>leukometry</w:t>
      </w:r>
      <w:proofErr w:type="spellEnd"/>
      <w:r w:rsidRPr="00473810">
        <w:rPr>
          <w:rFonts w:ascii="Times New Roman" w:eastAsia="Calibri" w:hAnsi="Times New Roman" w:cs="Times New Roman"/>
          <w:sz w:val="24"/>
          <w:szCs w:val="24"/>
          <w:lang w:val="en-IN"/>
        </w:rPr>
        <w:t xml:space="preserve"> of the patients who went into remission (3,900 leukocytes/mm3; Table 1) was within the reference limits, it is very close to the lower limit of normality adopted for this parameter by the Clinical Analysis Service of BTH(3,800 leukocytes/mm3). Probably, the low leukocyte count is due to the high number of APL cases in the negative MRD group (n=17). This AML subtype usually has a </w:t>
      </w:r>
      <w:proofErr w:type="spellStart"/>
      <w:r w:rsidRPr="00473810">
        <w:rPr>
          <w:rFonts w:ascii="Times New Roman" w:eastAsia="Calibri" w:hAnsi="Times New Roman" w:cs="Times New Roman"/>
          <w:sz w:val="24"/>
          <w:szCs w:val="24"/>
          <w:lang w:val="en-IN"/>
        </w:rPr>
        <w:t>favorable</w:t>
      </w:r>
      <w:proofErr w:type="spellEnd"/>
      <w:r w:rsidRPr="00473810">
        <w:rPr>
          <w:rFonts w:ascii="Times New Roman" w:eastAsia="Calibri" w:hAnsi="Times New Roman" w:cs="Times New Roman"/>
          <w:sz w:val="24"/>
          <w:szCs w:val="24"/>
          <w:lang w:val="en-IN"/>
        </w:rPr>
        <w:t xml:space="preserve"> prognosis and is characterized by frequently presenting pancytopenia at diagnosis.</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 xml:space="preserve">Relationship of </w:t>
      </w:r>
      <w:proofErr w:type="spellStart"/>
      <w:r w:rsidRPr="00473810">
        <w:rPr>
          <w:rFonts w:ascii="Times New Roman" w:eastAsia="Calibri" w:hAnsi="Times New Roman" w:cs="Times New Roman"/>
          <w:b/>
          <w:bCs/>
          <w:i/>
          <w:iCs/>
          <w:sz w:val="24"/>
          <w:szCs w:val="24"/>
          <w:lang w:val="en-IN"/>
        </w:rPr>
        <w:t>mdr</w:t>
      </w:r>
      <w:proofErr w:type="spellEnd"/>
      <w:r w:rsidRPr="00473810">
        <w:rPr>
          <w:rFonts w:ascii="Times New Roman" w:eastAsia="Calibri" w:hAnsi="Times New Roman" w:cs="Times New Roman"/>
          <w:b/>
          <w:bCs/>
          <w:sz w:val="24"/>
          <w:szCs w:val="24"/>
          <w:lang w:val="en-IN"/>
        </w:rPr>
        <w:t>/MDR Profile with Prognosis Factors</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 xml:space="preserve">Relationship of </w:t>
      </w:r>
      <w:r w:rsidRPr="00473810">
        <w:rPr>
          <w:rFonts w:ascii="Times New Roman" w:eastAsia="Calibri" w:hAnsi="Times New Roman" w:cs="Times New Roman"/>
          <w:b/>
          <w:bCs/>
          <w:i/>
          <w:iCs/>
          <w:sz w:val="24"/>
          <w:szCs w:val="24"/>
          <w:lang w:val="en-IN"/>
        </w:rPr>
        <w:t>abcb1</w:t>
      </w:r>
      <w:r w:rsidRPr="00473810">
        <w:rPr>
          <w:rFonts w:ascii="Times New Roman" w:eastAsia="Calibri" w:hAnsi="Times New Roman" w:cs="Times New Roman"/>
          <w:b/>
          <w:bCs/>
          <w:sz w:val="24"/>
          <w:szCs w:val="24"/>
          <w:lang w:val="en-IN"/>
        </w:rPr>
        <w:t>/ABCB1 Expression Profile with Prognostic Factors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Analysis of the association between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/ABCB1 expression and prognostic factors showed that patients diagnosed with AL and negative MRD after the induction phase of chemotherapy showed only a moderate correlation between ABCB1 protein expression and LDH activity (P=0.002; R</w:t>
      </w:r>
      <w:r w:rsidRPr="00473810">
        <w:rPr>
          <w:rFonts w:ascii="Times New Roman" w:eastAsia="Calibri" w:hAnsi="Times New Roman" w:cs="Times New Roman"/>
          <w:sz w:val="24"/>
          <w:szCs w:val="24"/>
          <w:vertAlign w:val="superscript"/>
          <w:lang w:val="en-IN"/>
        </w:rPr>
        <w:t>2</w:t>
      </w:r>
      <w:r w:rsidRPr="00473810">
        <w:rPr>
          <w:rFonts w:ascii="Times New Roman" w:eastAsia="Calibri" w:hAnsi="Times New Roman" w:cs="Times New Roman"/>
          <w:sz w:val="24"/>
          <w:szCs w:val="24"/>
          <w:lang w:val="en-IN"/>
        </w:rPr>
        <w:t>=0.601; Table 8), while individuals diagnosed with ALL-B with negative MRD showed a strong correlation between these two parameters (P=0.006; R</w:t>
      </w:r>
      <w:r w:rsidRPr="00473810">
        <w:rPr>
          <w:rFonts w:ascii="Times New Roman" w:eastAsia="Calibri" w:hAnsi="Times New Roman" w:cs="Times New Roman"/>
          <w:sz w:val="24"/>
          <w:szCs w:val="24"/>
          <w:vertAlign w:val="superscript"/>
          <w:lang w:val="en-IN"/>
        </w:rPr>
        <w:t>2</w:t>
      </w:r>
      <w:r w:rsidRPr="00473810">
        <w:rPr>
          <w:rFonts w:ascii="Times New Roman" w:eastAsia="Calibri" w:hAnsi="Times New Roman" w:cs="Times New Roman"/>
          <w:sz w:val="24"/>
          <w:szCs w:val="24"/>
          <w:lang w:val="en-IN"/>
        </w:rPr>
        <w:t>=0.931; Table 8). This finding allows us to suggest that the correlation found in the group of patients diagnosed with AL and negative MRD is a reflection of the presence of ALL-B cases in this group.</w:t>
      </w:r>
    </w:p>
    <w:p w:rsidR="00473810" w:rsidRPr="00473810" w:rsidRDefault="00473810" w:rsidP="00C85B12">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Differently from what was observed in the present study, Carrillo, et al. (2016) found no association between ABCB1 expression and LDH in adult individuals diagnosed with ALL (n=95). A possible explanation for the divergence</w:t>
      </w:r>
      <w:r w:rsidR="00C85B12">
        <w:rPr>
          <w:rFonts w:ascii="Times New Roman" w:eastAsia="Calibri" w:hAnsi="Times New Roman" w:cs="Times New Roman"/>
          <w:sz w:val="24"/>
          <w:szCs w:val="24"/>
          <w:lang w:val="en-IN"/>
        </w:rPr>
        <w:t xml:space="preserve"> between the results of Thomas </w:t>
      </w:r>
      <w:r w:rsidRPr="00473810">
        <w:rPr>
          <w:rFonts w:ascii="Times New Roman" w:eastAsia="Calibri" w:hAnsi="Times New Roman" w:cs="Times New Roman"/>
          <w:sz w:val="24"/>
          <w:szCs w:val="24"/>
          <w:lang w:val="en-IN"/>
        </w:rPr>
        <w:t>et al. (200</w:t>
      </w:r>
      <w:r w:rsidR="00C85B12">
        <w:rPr>
          <w:rFonts w:ascii="Times New Roman" w:eastAsia="Calibri" w:hAnsi="Times New Roman" w:cs="Times New Roman"/>
          <w:sz w:val="24"/>
          <w:szCs w:val="24"/>
          <w:lang w:val="en-IN"/>
        </w:rPr>
        <w:t>3</w:t>
      </w:r>
      <w:r w:rsidRPr="00473810">
        <w:rPr>
          <w:rFonts w:ascii="Times New Roman" w:eastAsia="Calibri" w:hAnsi="Times New Roman" w:cs="Times New Roman"/>
          <w:sz w:val="24"/>
          <w:szCs w:val="24"/>
          <w:lang w:val="en-IN"/>
        </w:rPr>
        <w:t xml:space="preserve">) and those of the present work is that, in their analysis, </w:t>
      </w:r>
      <w:proofErr w:type="spellStart"/>
      <w:r w:rsidRPr="00473810">
        <w:rPr>
          <w:rFonts w:ascii="Times New Roman" w:eastAsia="Calibri" w:hAnsi="Times New Roman" w:cs="Times New Roman"/>
          <w:sz w:val="24"/>
          <w:szCs w:val="24"/>
          <w:lang w:val="en-IN"/>
        </w:rPr>
        <w:t>Jamroziak</w:t>
      </w:r>
      <w:proofErr w:type="spellEnd"/>
      <w:r w:rsidRPr="00473810">
        <w:rPr>
          <w:rFonts w:ascii="Times New Roman" w:eastAsia="Calibri" w:hAnsi="Times New Roman" w:cs="Times New Roman"/>
          <w:sz w:val="24"/>
          <w:szCs w:val="24"/>
          <w:lang w:val="en-IN"/>
        </w:rPr>
        <w:t xml:space="preserve">, et al. (2006) chose to express the results of ABCB1 and LDH dichotomously (positive/negative and low/high, respectively), which implies the use of statistical methods different from those used in this study. Furthermore, </w:t>
      </w:r>
      <w:proofErr w:type="spellStart"/>
      <w:r w:rsidRPr="00473810">
        <w:rPr>
          <w:rFonts w:ascii="Times New Roman" w:eastAsia="Calibri" w:hAnsi="Times New Roman" w:cs="Times New Roman"/>
          <w:sz w:val="24"/>
          <w:szCs w:val="24"/>
          <w:lang w:val="en-IN"/>
        </w:rPr>
        <w:t>Maroofi</w:t>
      </w:r>
      <w:proofErr w:type="spellEnd"/>
      <w:r w:rsidRPr="00473810">
        <w:rPr>
          <w:rFonts w:ascii="Times New Roman" w:eastAsia="Calibri" w:hAnsi="Times New Roman" w:cs="Times New Roman"/>
          <w:sz w:val="24"/>
          <w:szCs w:val="24"/>
          <w:lang w:val="en-IN"/>
        </w:rPr>
        <w:t xml:space="preserve">, et al. (2015) demonstrated that certain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gene polymorphisms are associated with higher concentrations of LDH. Thus, another possible explanation for the disagreement between the results by </w:t>
      </w:r>
      <w:proofErr w:type="spellStart"/>
      <w:r w:rsidRPr="00473810">
        <w:rPr>
          <w:rFonts w:ascii="Times New Roman" w:eastAsia="Calibri" w:hAnsi="Times New Roman" w:cs="Times New Roman"/>
          <w:sz w:val="24"/>
          <w:szCs w:val="24"/>
          <w:lang w:val="en-IN"/>
        </w:rPr>
        <w:t>Miladpoor</w:t>
      </w:r>
      <w:proofErr w:type="spellEnd"/>
      <w:r w:rsidRPr="00473810">
        <w:rPr>
          <w:rFonts w:ascii="Times New Roman" w:eastAsia="Calibri" w:hAnsi="Times New Roman" w:cs="Times New Roman"/>
          <w:sz w:val="24"/>
          <w:szCs w:val="24"/>
          <w:lang w:val="en-IN"/>
        </w:rPr>
        <w:t>, et al. (2009) and those of the present work would be the difference in the frequency of certain polymorphisms in the two populations studied.</w:t>
      </w:r>
    </w:p>
    <w:p w:rsidR="00473810" w:rsidRPr="00473810" w:rsidRDefault="00473810" w:rsidP="00473810">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lastRenderedPageBreak/>
        <w:t>Relationship of abcc1/ABCC1 Expression Profile with Prognostic Factors</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Analysis of abcc1/ABCC1 expression revealed several associations between their expression and prognostic factors (Tables 4 and 9). In individuals diagnosed with AL, the highest transcription of abcc1 was associated with the presence of the CD34 marker in leukemic blasts (P=0.005). This same association was found for the AL group with negative MRD (P=0.006). When the patients were divided according to the differential diagnosis, no group showed a significant association between the transcription of abcc1 and the presence of the CD34 marker. However, patients diagnosed with APL showed a trend of association between these two parameters (P=0.061). This finding suggests that the significant association found for the AL group is due, in part, to the presence of APL cases in the group. In fact, studies that analysed the transcription of abcc1 in adult patients diagnosed with AML or ALL also found no relationship between the transcription of this gene and the presence of the CD34 marker. Unfortunately, no other studies were found that specifically evaluated the gene transcription of abcc1 in patients diagnosed with APL. Therefore, to confirm whether this trend of association between abcc1 and the presence of the CD34 marker in patients with APL will become significant or not, studies with a larger number of patients are needed.</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When evaluating the expression of abcc1/ABCC1 in AML patients, a directly proportional correlation was found between gene transcription and age in the group that did not go into remission after induction therapy (P=0.031; R</w:t>
      </w:r>
      <w:r w:rsidRPr="00473810">
        <w:rPr>
          <w:rFonts w:ascii="Times New Roman" w:eastAsia="Calibri" w:hAnsi="Times New Roman" w:cs="Times New Roman"/>
          <w:sz w:val="24"/>
          <w:szCs w:val="24"/>
          <w:vertAlign w:val="superscript"/>
          <w:lang w:val="en-IN"/>
        </w:rPr>
        <w:t>2</w:t>
      </w:r>
      <w:r w:rsidRPr="00473810">
        <w:rPr>
          <w:rFonts w:ascii="Times New Roman" w:eastAsia="Calibri" w:hAnsi="Times New Roman" w:cs="Times New Roman"/>
          <w:sz w:val="24"/>
          <w:szCs w:val="24"/>
          <w:lang w:val="en-IN"/>
        </w:rPr>
        <w:t xml:space="preserve">=0.721; Table 4). As already mentioned, elderly patients commonly overexpress resistance genes and proteins. However, studies that specifically evaluated the transcription of abcc1 could not find a relationship between its transcription and the age of the patients, which suggests that the transcription of abcc1 would not influence the worse response to induction chemotherapy in elderly patients. In fact, as will be discussed later, the present study also found no relationship between abcc1 transcription and the response to induction therapy in AML patients (Table 2). However, it is important to emphasize that elderly patients are more susceptible to the toxic effects of chemotherapy, which often makes it impossible for clinicians to indicate intensive doses of chemotherapy, which, consequently, increases the risk of resistance to treatment due to the induction of overexpression. of resistance genes. </w:t>
      </w:r>
      <w:r w:rsidRPr="00473810">
        <w:rPr>
          <w:rFonts w:ascii="Times New Roman" w:eastAsia="Calibri" w:hAnsi="Times New Roman" w:cs="Times New Roman"/>
          <w:sz w:val="24"/>
          <w:szCs w:val="24"/>
          <w:lang w:val="en-IN"/>
        </w:rPr>
        <w:lastRenderedPageBreak/>
        <w:t>Thus, the results found in the present study suggest that older patients are more susceptible to developing chemotherapy-induced resistance, since, from the moment of diagnosis, they already express more abcc1.</w:t>
      </w:r>
    </w:p>
    <w:p w:rsidR="00473810" w:rsidRPr="00473810" w:rsidRDefault="00473810" w:rsidP="00473810">
      <w:pPr>
        <w:spacing w:after="160" w:line="360" w:lineRule="auto"/>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Conclusion</w:t>
      </w:r>
    </w:p>
    <w:p w:rsidR="00473810" w:rsidRP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The compilations of evidence obtained in this study are:</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Patients with AL (n=75) who did not go into remission (n=56/75) after induction chemotherapy had a higher median age than patients who went into remission (n=19/75);</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The median survival of patients with AML, B-ALL and T-ALL were three months, 25 months and five months, respectively;</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The median survival of APL patients (n=19) was greater than 60 months;</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FMS3-DIT (5.8%) and LACTATE DEHYDROGENASE3-D835 (8.4%) mutations were rare;</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The JAK2V617F mutation was not detected in any patient;</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Only six subjects expressed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(9.4%);</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The expression profile of MDR genes and proteins in AL patients was heterogeneous;</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cases of AL, ABCB1 expression and LDH activity were positively correlated, the presence of the CD34 marker was associated with the highest transcription of abcc1, and the highest transcription of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was associated with the absence of the marker CD56 and with the absence of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transcription;</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AML carriers (n=28/75), abcc1 transcription and patient age were positively correlated, and the absence of </w:t>
      </w:r>
      <w:proofErr w:type="spellStart"/>
      <w:r w:rsidRPr="00473810">
        <w:rPr>
          <w:rFonts w:ascii="Times New Roman" w:eastAsia="Calibri" w:hAnsi="Times New Roman" w:cs="Times New Roman"/>
          <w:sz w:val="24"/>
          <w:szCs w:val="24"/>
          <w:lang w:val="en-IN"/>
        </w:rPr>
        <w:t>survivin</w:t>
      </w:r>
      <w:proofErr w:type="spellEnd"/>
      <w:r w:rsidRPr="00473810">
        <w:rPr>
          <w:rFonts w:ascii="Times New Roman" w:eastAsia="Calibri" w:hAnsi="Times New Roman" w:cs="Times New Roman"/>
          <w:sz w:val="24"/>
          <w:szCs w:val="24"/>
          <w:lang w:val="en-IN"/>
        </w:rPr>
        <w:t xml:space="preserve"> transcription was associated with higher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 transcription;</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patients diagnosed with APL (n=19/75), abcc1 and LRP expressions were positively correlated with the percentage of leukemic </w:t>
      </w:r>
      <w:proofErr w:type="spellStart"/>
      <w:r w:rsidRPr="00473810">
        <w:rPr>
          <w:rFonts w:ascii="Times New Roman" w:eastAsia="Calibri" w:hAnsi="Times New Roman" w:cs="Times New Roman"/>
          <w:sz w:val="24"/>
          <w:szCs w:val="24"/>
          <w:lang w:val="en-IN"/>
        </w:rPr>
        <w:t>promyelocytes</w:t>
      </w:r>
      <w:proofErr w:type="spellEnd"/>
      <w:r w:rsidRPr="00473810">
        <w:rPr>
          <w:rFonts w:ascii="Times New Roman" w:eastAsia="Calibri" w:hAnsi="Times New Roman" w:cs="Times New Roman"/>
          <w:sz w:val="24"/>
          <w:szCs w:val="24"/>
          <w:lang w:val="en-IN"/>
        </w:rPr>
        <w:t xml:space="preserve"> at diagnosis, and ABCC1 expression was positively correlated with LDH activity;</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ALL-B cases (n=19/75), ABCB1 and abcc1 expressions correlated positively with LDH activity, ABCC1 expression was negatively correlated with leukocyte </w:t>
      </w:r>
      <w:r w:rsidRPr="00473810">
        <w:rPr>
          <w:rFonts w:ascii="Times New Roman" w:eastAsia="Calibri" w:hAnsi="Times New Roman" w:cs="Times New Roman"/>
          <w:sz w:val="24"/>
          <w:szCs w:val="24"/>
          <w:lang w:val="en-IN"/>
        </w:rPr>
        <w:lastRenderedPageBreak/>
        <w:t>count at diagnosis, and LRP expression was positively correlated with the number of leukocytes at diagnosis and was associated with the presence of TL-2.2;</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T-ALL cases (n=7/75),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transcription and leukocyte count were positively correlated;</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Higher LRP expression was associated with the diagnosis of AML;</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Patients diagnosed with AL and AML who did not go into remission after induction therapy expressed more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than those who showed complete remission after induction chemotherapy;</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AML patients who did not respond to induction therapy expressed more ABCC1 than those who experienced complete remission after induction therapy;</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There was no association between the expression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/ABCB1, abcc1/ABCC1 and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/LRP and the occurrence of deaths;</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Patients diagnosed with AML expressed less abcc1 after induction therapy;</w:t>
      </w:r>
    </w:p>
    <w:p w:rsidR="00473810" w:rsidRPr="00473810" w:rsidRDefault="00473810" w:rsidP="00473810">
      <w:pPr>
        <w:numPr>
          <w:ilvl w:val="0"/>
          <w:numId w:val="5"/>
        </w:numPr>
        <w:spacing w:after="160" w:line="360" w:lineRule="auto"/>
        <w:contextualSpacing/>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APL carriers expressed more LRP after induction chemotherapy.</w:t>
      </w:r>
    </w:p>
    <w:p w:rsidR="00473810" w:rsidRDefault="00473810" w:rsidP="00473810">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These results suggest that the expression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/ABCB1, abcc1/ABCC1 and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xml:space="preserve">/LRP is related to prognostic factors, such as age, </w:t>
      </w:r>
      <w:proofErr w:type="spellStart"/>
      <w:r w:rsidRPr="00473810">
        <w:rPr>
          <w:rFonts w:ascii="Times New Roman" w:eastAsia="Calibri" w:hAnsi="Times New Roman" w:cs="Times New Roman"/>
          <w:sz w:val="24"/>
          <w:szCs w:val="24"/>
          <w:lang w:val="en-IN"/>
        </w:rPr>
        <w:t>leukometry</w:t>
      </w:r>
      <w:proofErr w:type="spellEnd"/>
      <w:r w:rsidRPr="00473810">
        <w:rPr>
          <w:rFonts w:ascii="Times New Roman" w:eastAsia="Calibri" w:hAnsi="Times New Roman" w:cs="Times New Roman"/>
          <w:sz w:val="24"/>
          <w:szCs w:val="24"/>
          <w:lang w:val="en-IN"/>
        </w:rPr>
        <w:t xml:space="preserve"> at diagnosis, percentage of neoplastic blasts, LDH, presence of CD34 marker and TL-2.2, in cases of AL and that the high expression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and ABCC1 influences the response to induction therapy in patients diagnosed with AML. Furthermore, it could be seen that the analysis of the transcription of chemotherapy resistance genes provides different prognostic information than the analysis of chemotherapy resistance proteins. Therefore, the present study recommends that, at the time of diagnosis of patients with AL, a simultaneous assessment of the transcription of genes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abcc1 and </w:t>
      </w:r>
      <w:proofErr w:type="spellStart"/>
      <w:r w:rsidRPr="00473810">
        <w:rPr>
          <w:rFonts w:ascii="Times New Roman" w:eastAsia="Calibri" w:hAnsi="Times New Roman" w:cs="Times New Roman"/>
          <w:i/>
          <w:iCs/>
          <w:sz w:val="24"/>
          <w:szCs w:val="24"/>
          <w:lang w:val="en-IN"/>
        </w:rPr>
        <w:t>lrp</w:t>
      </w:r>
      <w:proofErr w:type="spellEnd"/>
      <w:r w:rsidRPr="00473810">
        <w:rPr>
          <w:rFonts w:ascii="Times New Roman" w:eastAsia="Calibri" w:hAnsi="Times New Roman" w:cs="Times New Roman"/>
          <w:sz w:val="24"/>
          <w:szCs w:val="24"/>
          <w:lang w:val="en-IN"/>
        </w:rPr>
        <w:t>) and proteins (ABCB1, ABCC1 and LRP) of resistance to chemotherapy be performed.</w:t>
      </w:r>
    </w:p>
    <w:p w:rsidR="006F5F6B" w:rsidRDefault="006F5F6B" w:rsidP="00473810">
      <w:pPr>
        <w:spacing w:after="160" w:line="360" w:lineRule="auto"/>
        <w:jc w:val="both"/>
        <w:rPr>
          <w:rFonts w:ascii="Times New Roman" w:eastAsia="Calibri" w:hAnsi="Times New Roman" w:cs="Times New Roman"/>
          <w:b/>
          <w:bCs/>
          <w:sz w:val="24"/>
          <w:szCs w:val="24"/>
          <w:lang w:val="en-IN"/>
        </w:rPr>
      </w:pPr>
      <w:r w:rsidRPr="006F5F6B">
        <w:rPr>
          <w:rFonts w:ascii="Times New Roman" w:eastAsia="Calibri" w:hAnsi="Times New Roman" w:cs="Times New Roman"/>
          <w:b/>
          <w:bCs/>
          <w:sz w:val="24"/>
          <w:szCs w:val="24"/>
          <w:lang w:val="en-IN"/>
        </w:rPr>
        <w:t xml:space="preserve">References </w:t>
      </w:r>
    </w:p>
    <w:p w:rsidR="00424274" w:rsidRPr="00D61214" w:rsidRDefault="00424274" w:rsidP="00D61214">
      <w:pPr>
        <w:pStyle w:val="ListParagraph"/>
        <w:numPr>
          <w:ilvl w:val="0"/>
          <w:numId w:val="8"/>
        </w:numPr>
        <w:spacing w:line="360" w:lineRule="auto"/>
        <w:jc w:val="both"/>
        <w:rPr>
          <w:rFonts w:ascii="Times New Roman" w:hAnsi="Times New Roman" w:cs="Times New Roman"/>
          <w:sz w:val="24"/>
          <w:szCs w:val="24"/>
        </w:rPr>
      </w:pPr>
      <w:bookmarkStart w:id="0" w:name="_GoBack"/>
      <w:proofErr w:type="spellStart"/>
      <w:r w:rsidRPr="00D61214">
        <w:rPr>
          <w:rFonts w:ascii="Times New Roman" w:hAnsi="Times New Roman" w:cs="Times New Roman"/>
          <w:sz w:val="24"/>
          <w:szCs w:val="24"/>
        </w:rPr>
        <w:t>Abdulsalam</w:t>
      </w:r>
      <w:proofErr w:type="spellEnd"/>
      <w:r w:rsidRPr="00D61214">
        <w:rPr>
          <w:rFonts w:ascii="Times New Roman" w:hAnsi="Times New Roman" w:cs="Times New Roman"/>
          <w:sz w:val="24"/>
          <w:szCs w:val="24"/>
        </w:rPr>
        <w:t xml:space="preserve">, Abbas. (2010). Laboratory diagnosis of acute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in Iraq, the available options. Turkish Journal of </w:t>
      </w:r>
      <w:proofErr w:type="spellStart"/>
      <w:r w:rsidRPr="00D61214">
        <w:rPr>
          <w:rFonts w:ascii="Times New Roman" w:hAnsi="Times New Roman" w:cs="Times New Roman"/>
          <w:sz w:val="24"/>
          <w:szCs w:val="24"/>
        </w:rPr>
        <w:t>Hematology</w:t>
      </w:r>
      <w:proofErr w:type="spellEnd"/>
      <w:r w:rsidRPr="00D61214">
        <w:rPr>
          <w:rFonts w:ascii="Times New Roman" w:hAnsi="Times New Roman" w:cs="Times New Roman"/>
          <w:sz w:val="24"/>
          <w:szCs w:val="24"/>
        </w:rPr>
        <w:t xml:space="preserve">. 27. 10.5152/tjh.2010.59. </w:t>
      </w:r>
    </w:p>
    <w:p w:rsidR="00802F71" w:rsidRPr="00D61214" w:rsidRDefault="00802F71" w:rsidP="00D61214">
      <w:pPr>
        <w:pStyle w:val="ListParagraph"/>
        <w:numPr>
          <w:ilvl w:val="0"/>
          <w:numId w:val="8"/>
        </w:numPr>
        <w:spacing w:line="360" w:lineRule="auto"/>
        <w:jc w:val="both"/>
        <w:rPr>
          <w:rFonts w:ascii="Times New Roman" w:hAnsi="Times New Roman" w:cs="Times New Roman"/>
          <w:sz w:val="24"/>
          <w:szCs w:val="24"/>
        </w:rPr>
      </w:pPr>
      <w:proofErr w:type="spellStart"/>
      <w:r w:rsidRPr="00D61214">
        <w:rPr>
          <w:rFonts w:ascii="Times New Roman" w:hAnsi="Times New Roman" w:cs="Times New Roman"/>
          <w:sz w:val="24"/>
          <w:szCs w:val="24"/>
        </w:rPr>
        <w:t>Alyaqubi</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Kifah</w:t>
      </w:r>
      <w:proofErr w:type="spellEnd"/>
      <w:r w:rsidRPr="00D61214">
        <w:rPr>
          <w:rFonts w:ascii="Times New Roman" w:hAnsi="Times New Roman" w:cs="Times New Roman"/>
          <w:sz w:val="24"/>
          <w:szCs w:val="24"/>
        </w:rPr>
        <w:t xml:space="preserve"> &amp; AL-Faisal, A. &amp; </w:t>
      </w:r>
      <w:proofErr w:type="spellStart"/>
      <w:r w:rsidRPr="00D61214">
        <w:rPr>
          <w:rFonts w:ascii="Times New Roman" w:hAnsi="Times New Roman" w:cs="Times New Roman"/>
          <w:sz w:val="24"/>
          <w:szCs w:val="24"/>
        </w:rPr>
        <w:t>Almothaffar</w:t>
      </w:r>
      <w:proofErr w:type="spellEnd"/>
      <w:r w:rsidRPr="00D61214">
        <w:rPr>
          <w:rFonts w:ascii="Times New Roman" w:hAnsi="Times New Roman" w:cs="Times New Roman"/>
          <w:sz w:val="24"/>
          <w:szCs w:val="24"/>
        </w:rPr>
        <w:t xml:space="preserve">, Ali &amp; </w:t>
      </w:r>
      <w:proofErr w:type="spellStart"/>
      <w:r w:rsidRPr="00D61214">
        <w:rPr>
          <w:rFonts w:ascii="Times New Roman" w:hAnsi="Times New Roman" w:cs="Times New Roman"/>
          <w:sz w:val="24"/>
          <w:szCs w:val="24"/>
        </w:rPr>
        <w:t>Tobal</w:t>
      </w:r>
      <w:proofErr w:type="spellEnd"/>
      <w:r w:rsidRPr="00D61214">
        <w:rPr>
          <w:rFonts w:ascii="Times New Roman" w:hAnsi="Times New Roman" w:cs="Times New Roman"/>
          <w:sz w:val="24"/>
          <w:szCs w:val="24"/>
        </w:rPr>
        <w:t xml:space="preserve">, Khalid. (2014). Assessment of Multidrug Resistance Gene (MDR1) Expression in Acute Myeloid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IJAR.. 2. 375-383. </w:t>
      </w:r>
    </w:p>
    <w:p w:rsidR="00424274" w:rsidRPr="00D61214" w:rsidRDefault="00424274" w:rsidP="00D61214">
      <w:pPr>
        <w:pStyle w:val="ListParagraph"/>
        <w:numPr>
          <w:ilvl w:val="0"/>
          <w:numId w:val="8"/>
        </w:numPr>
        <w:spacing w:line="360" w:lineRule="auto"/>
        <w:jc w:val="both"/>
        <w:rPr>
          <w:rFonts w:ascii="Times New Roman" w:hAnsi="Times New Roman" w:cs="Times New Roman"/>
          <w:sz w:val="24"/>
          <w:szCs w:val="24"/>
        </w:rPr>
      </w:pPr>
      <w:proofErr w:type="spellStart"/>
      <w:r w:rsidRPr="00D61214">
        <w:rPr>
          <w:rFonts w:ascii="Times New Roman" w:hAnsi="Times New Roman" w:cs="Times New Roman"/>
          <w:sz w:val="24"/>
          <w:szCs w:val="24"/>
        </w:rPr>
        <w:lastRenderedPageBreak/>
        <w:t>Biteau</w:t>
      </w:r>
      <w:proofErr w:type="spellEnd"/>
      <w:r w:rsidRPr="00D61214">
        <w:rPr>
          <w:rFonts w:ascii="Times New Roman" w:hAnsi="Times New Roman" w:cs="Times New Roman"/>
          <w:sz w:val="24"/>
          <w:szCs w:val="24"/>
        </w:rPr>
        <w:t xml:space="preserve"> B, </w:t>
      </w:r>
      <w:proofErr w:type="spellStart"/>
      <w:r w:rsidRPr="00D61214">
        <w:rPr>
          <w:rFonts w:ascii="Times New Roman" w:hAnsi="Times New Roman" w:cs="Times New Roman"/>
          <w:sz w:val="24"/>
          <w:szCs w:val="24"/>
        </w:rPr>
        <w:t>Hochmuth</w:t>
      </w:r>
      <w:proofErr w:type="spellEnd"/>
      <w:r w:rsidRPr="00D61214">
        <w:rPr>
          <w:rFonts w:ascii="Times New Roman" w:hAnsi="Times New Roman" w:cs="Times New Roman"/>
          <w:sz w:val="24"/>
          <w:szCs w:val="24"/>
        </w:rPr>
        <w:t xml:space="preserve"> CE, Jasper H. Maintaining tissue homeostasis: dynamic control of somatic stem cell activity. Cell Stem Cell. 2011 Nov 4;9(5):402-11. </w:t>
      </w:r>
      <w:proofErr w:type="spellStart"/>
      <w:r w:rsidRPr="00D61214">
        <w:rPr>
          <w:rFonts w:ascii="Times New Roman" w:hAnsi="Times New Roman" w:cs="Times New Roman"/>
          <w:sz w:val="24"/>
          <w:szCs w:val="24"/>
        </w:rPr>
        <w:t>doi</w:t>
      </w:r>
      <w:proofErr w:type="spellEnd"/>
      <w:r w:rsidRPr="00D61214">
        <w:rPr>
          <w:rFonts w:ascii="Times New Roman" w:hAnsi="Times New Roman" w:cs="Times New Roman"/>
          <w:sz w:val="24"/>
          <w:szCs w:val="24"/>
        </w:rPr>
        <w:t>: 10.1016/j.stem.2011.10.004. PMID: 22056138; PMCID: PMC3212030.</w:t>
      </w:r>
    </w:p>
    <w:p w:rsidR="00424274" w:rsidRPr="00D61214" w:rsidRDefault="00424274" w:rsidP="00D61214">
      <w:pPr>
        <w:pStyle w:val="ListParagraph"/>
        <w:numPr>
          <w:ilvl w:val="0"/>
          <w:numId w:val="8"/>
        </w:numPr>
        <w:spacing w:line="360" w:lineRule="auto"/>
        <w:jc w:val="both"/>
        <w:rPr>
          <w:rFonts w:ascii="Times New Roman" w:hAnsi="Times New Roman" w:cs="Times New Roman"/>
          <w:sz w:val="24"/>
          <w:szCs w:val="24"/>
        </w:rPr>
      </w:pPr>
      <w:r w:rsidRPr="00D61214">
        <w:rPr>
          <w:rFonts w:ascii="Times New Roman" w:hAnsi="Times New Roman" w:cs="Times New Roman"/>
          <w:sz w:val="24"/>
          <w:szCs w:val="24"/>
        </w:rPr>
        <w:t xml:space="preserve">Carrillo, </w:t>
      </w:r>
      <w:proofErr w:type="spellStart"/>
      <w:r w:rsidRPr="00D61214">
        <w:rPr>
          <w:rFonts w:ascii="Times New Roman" w:hAnsi="Times New Roman" w:cs="Times New Roman"/>
          <w:sz w:val="24"/>
          <w:szCs w:val="24"/>
        </w:rPr>
        <w:t>Olarte</w:t>
      </w:r>
      <w:proofErr w:type="spellEnd"/>
      <w:r w:rsidRPr="00D61214">
        <w:rPr>
          <w:rFonts w:ascii="Times New Roman" w:hAnsi="Times New Roman" w:cs="Times New Roman"/>
          <w:sz w:val="24"/>
          <w:szCs w:val="24"/>
        </w:rPr>
        <w:t xml:space="preserve"> &amp; Ramos-</w:t>
      </w:r>
      <w:proofErr w:type="spellStart"/>
      <w:r w:rsidRPr="00D61214">
        <w:rPr>
          <w:rFonts w:ascii="Times New Roman" w:hAnsi="Times New Roman" w:cs="Times New Roman"/>
          <w:sz w:val="24"/>
          <w:szCs w:val="24"/>
        </w:rPr>
        <w:t>Peñafiel</w:t>
      </w:r>
      <w:proofErr w:type="spellEnd"/>
      <w:r w:rsidRPr="00D61214">
        <w:rPr>
          <w:rFonts w:ascii="Times New Roman" w:hAnsi="Times New Roman" w:cs="Times New Roman"/>
          <w:sz w:val="24"/>
          <w:szCs w:val="24"/>
        </w:rPr>
        <w:t xml:space="preserve">, Christian &amp; Peralta, E &amp; Fuller, E &amp; </w:t>
      </w:r>
      <w:proofErr w:type="spellStart"/>
      <w:r w:rsidRPr="00D61214">
        <w:rPr>
          <w:rFonts w:ascii="Times New Roman" w:hAnsi="Times New Roman" w:cs="Times New Roman"/>
          <w:sz w:val="24"/>
          <w:szCs w:val="24"/>
        </w:rPr>
        <w:t>Ipiña</w:t>
      </w:r>
      <w:proofErr w:type="spellEnd"/>
      <w:r w:rsidRPr="00D61214">
        <w:rPr>
          <w:rFonts w:ascii="Times New Roman" w:hAnsi="Times New Roman" w:cs="Times New Roman"/>
          <w:sz w:val="24"/>
          <w:szCs w:val="24"/>
        </w:rPr>
        <w:t xml:space="preserve">, J &amp; </w:t>
      </w:r>
      <w:proofErr w:type="spellStart"/>
      <w:r w:rsidRPr="00D61214">
        <w:rPr>
          <w:rFonts w:ascii="Times New Roman" w:hAnsi="Times New Roman" w:cs="Times New Roman"/>
          <w:sz w:val="24"/>
          <w:szCs w:val="24"/>
        </w:rPr>
        <w:t>Centeno</w:t>
      </w:r>
      <w:proofErr w:type="spellEnd"/>
      <w:r w:rsidRPr="00D61214">
        <w:rPr>
          <w:rFonts w:ascii="Times New Roman" w:hAnsi="Times New Roman" w:cs="Times New Roman"/>
          <w:sz w:val="24"/>
          <w:szCs w:val="24"/>
        </w:rPr>
        <w:t xml:space="preserve">, Federico &amp; </w:t>
      </w:r>
      <w:proofErr w:type="spellStart"/>
      <w:r w:rsidRPr="00D61214">
        <w:rPr>
          <w:rFonts w:ascii="Times New Roman" w:hAnsi="Times New Roman" w:cs="Times New Roman"/>
          <w:sz w:val="24"/>
          <w:szCs w:val="24"/>
        </w:rPr>
        <w:t>Garrido</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Efraín</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Jaloma</w:t>
      </w:r>
      <w:proofErr w:type="spellEnd"/>
      <w:r w:rsidRPr="00D61214">
        <w:rPr>
          <w:rFonts w:ascii="Times New Roman" w:hAnsi="Times New Roman" w:cs="Times New Roman"/>
          <w:sz w:val="24"/>
          <w:szCs w:val="24"/>
        </w:rPr>
        <w:t xml:space="preserve">, J &amp; Vargas, K &amp; </w:t>
      </w:r>
      <w:proofErr w:type="spellStart"/>
      <w:r w:rsidRPr="00D61214">
        <w:rPr>
          <w:rFonts w:ascii="Times New Roman" w:hAnsi="Times New Roman" w:cs="Times New Roman"/>
          <w:sz w:val="24"/>
          <w:szCs w:val="24"/>
        </w:rPr>
        <w:t>Martínez</w:t>
      </w:r>
      <w:proofErr w:type="spellEnd"/>
      <w:r w:rsidRPr="00D61214">
        <w:rPr>
          <w:rFonts w:ascii="Times New Roman" w:hAnsi="Times New Roman" w:cs="Times New Roman"/>
          <w:sz w:val="24"/>
          <w:szCs w:val="24"/>
        </w:rPr>
        <w:t xml:space="preserve"> Tovar, Adolfo. (2016). Clinical significance of the ABCB1 and ABCG2 gene expression levels in acute lymphoblastic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Hematology</w:t>
      </w:r>
      <w:proofErr w:type="spellEnd"/>
      <w:r w:rsidRPr="00D61214">
        <w:rPr>
          <w:rFonts w:ascii="Times New Roman" w:hAnsi="Times New Roman" w:cs="Times New Roman"/>
          <w:sz w:val="24"/>
          <w:szCs w:val="24"/>
        </w:rPr>
        <w:t xml:space="preserve"> (Amsterdam, Netherlands). 22. 1-6. 10.1080/10245332.2016.1265780. </w:t>
      </w:r>
    </w:p>
    <w:p w:rsidR="00424274" w:rsidRPr="00D61214" w:rsidRDefault="00424274" w:rsidP="00D61214">
      <w:pPr>
        <w:pStyle w:val="ListParagraph"/>
        <w:numPr>
          <w:ilvl w:val="0"/>
          <w:numId w:val="8"/>
        </w:numPr>
        <w:spacing w:line="360" w:lineRule="auto"/>
        <w:jc w:val="both"/>
        <w:rPr>
          <w:rFonts w:ascii="Times New Roman" w:hAnsi="Times New Roman" w:cs="Times New Roman"/>
          <w:sz w:val="24"/>
          <w:szCs w:val="24"/>
        </w:rPr>
      </w:pPr>
      <w:proofErr w:type="spellStart"/>
      <w:r w:rsidRPr="00D61214">
        <w:rPr>
          <w:rFonts w:ascii="Times New Roman" w:hAnsi="Times New Roman" w:cs="Times New Roman"/>
          <w:sz w:val="24"/>
          <w:szCs w:val="24"/>
        </w:rPr>
        <w:t>Ferlay</w:t>
      </w:r>
      <w:proofErr w:type="spellEnd"/>
      <w:r w:rsidRPr="00D61214">
        <w:rPr>
          <w:rFonts w:ascii="Times New Roman" w:hAnsi="Times New Roman" w:cs="Times New Roman"/>
          <w:sz w:val="24"/>
          <w:szCs w:val="24"/>
        </w:rPr>
        <w:t xml:space="preserve"> J, </w:t>
      </w:r>
      <w:proofErr w:type="spellStart"/>
      <w:r w:rsidRPr="00D61214">
        <w:rPr>
          <w:rFonts w:ascii="Times New Roman" w:hAnsi="Times New Roman" w:cs="Times New Roman"/>
          <w:sz w:val="24"/>
          <w:szCs w:val="24"/>
        </w:rPr>
        <w:t>Ervik</w:t>
      </w:r>
      <w:proofErr w:type="spellEnd"/>
      <w:r w:rsidRPr="00D61214">
        <w:rPr>
          <w:rFonts w:ascii="Times New Roman" w:hAnsi="Times New Roman" w:cs="Times New Roman"/>
          <w:sz w:val="24"/>
          <w:szCs w:val="24"/>
        </w:rPr>
        <w:t xml:space="preserve"> M, Lam F, </w:t>
      </w:r>
      <w:proofErr w:type="spellStart"/>
      <w:r w:rsidRPr="00D61214">
        <w:rPr>
          <w:rFonts w:ascii="Times New Roman" w:hAnsi="Times New Roman" w:cs="Times New Roman"/>
          <w:sz w:val="24"/>
          <w:szCs w:val="24"/>
        </w:rPr>
        <w:t>Colombet</w:t>
      </w:r>
      <w:proofErr w:type="spellEnd"/>
      <w:r w:rsidRPr="00D61214">
        <w:rPr>
          <w:rFonts w:ascii="Times New Roman" w:hAnsi="Times New Roman" w:cs="Times New Roman"/>
          <w:sz w:val="24"/>
          <w:szCs w:val="24"/>
        </w:rPr>
        <w:t xml:space="preserve"> M, </w:t>
      </w:r>
      <w:proofErr w:type="spellStart"/>
      <w:r w:rsidRPr="00D61214">
        <w:rPr>
          <w:rFonts w:ascii="Times New Roman" w:hAnsi="Times New Roman" w:cs="Times New Roman"/>
          <w:sz w:val="24"/>
          <w:szCs w:val="24"/>
        </w:rPr>
        <w:t>Mery</w:t>
      </w:r>
      <w:proofErr w:type="spellEnd"/>
      <w:r w:rsidRPr="00D61214">
        <w:rPr>
          <w:rFonts w:ascii="Times New Roman" w:hAnsi="Times New Roman" w:cs="Times New Roman"/>
          <w:sz w:val="24"/>
          <w:szCs w:val="24"/>
        </w:rPr>
        <w:t xml:space="preserve"> L, </w:t>
      </w:r>
      <w:proofErr w:type="spellStart"/>
      <w:r w:rsidRPr="00D61214">
        <w:rPr>
          <w:rFonts w:ascii="Times New Roman" w:hAnsi="Times New Roman" w:cs="Times New Roman"/>
          <w:sz w:val="24"/>
          <w:szCs w:val="24"/>
        </w:rPr>
        <w:t>Piñeros</w:t>
      </w:r>
      <w:proofErr w:type="spellEnd"/>
      <w:r w:rsidRPr="00D61214">
        <w:rPr>
          <w:rFonts w:ascii="Times New Roman" w:hAnsi="Times New Roman" w:cs="Times New Roman"/>
          <w:sz w:val="24"/>
          <w:szCs w:val="24"/>
        </w:rPr>
        <w:t xml:space="preserve"> M, et al. Global Cancer Observatory: Cancer Today. Lyon: International Agency for Research on Cancer; 2020 (https://gco.iarc.fr/today, accessed February 2021</w:t>
      </w:r>
      <w:r w:rsidR="00694BEC" w:rsidRPr="00D61214">
        <w:rPr>
          <w:rFonts w:ascii="Times New Roman" w:hAnsi="Times New Roman" w:cs="Times New Roman"/>
          <w:sz w:val="24"/>
          <w:szCs w:val="24"/>
        </w:rPr>
        <w:t>.</w:t>
      </w:r>
    </w:p>
    <w:p w:rsidR="00424274" w:rsidRPr="00D61214" w:rsidRDefault="00424274" w:rsidP="00D61214">
      <w:pPr>
        <w:pStyle w:val="ListParagraph"/>
        <w:numPr>
          <w:ilvl w:val="0"/>
          <w:numId w:val="8"/>
        </w:numPr>
        <w:spacing w:line="360" w:lineRule="auto"/>
        <w:jc w:val="both"/>
        <w:rPr>
          <w:rFonts w:ascii="Times New Roman" w:hAnsi="Times New Roman" w:cs="Times New Roman"/>
          <w:sz w:val="24"/>
          <w:szCs w:val="24"/>
        </w:rPr>
      </w:pPr>
      <w:r w:rsidRPr="00D61214">
        <w:rPr>
          <w:rFonts w:ascii="Times New Roman" w:hAnsi="Times New Roman" w:cs="Times New Roman"/>
          <w:sz w:val="24"/>
          <w:szCs w:val="24"/>
        </w:rPr>
        <w:t xml:space="preserve">James, William &amp; </w:t>
      </w:r>
      <w:proofErr w:type="spellStart"/>
      <w:r w:rsidRPr="00D61214">
        <w:rPr>
          <w:rFonts w:ascii="Times New Roman" w:hAnsi="Times New Roman" w:cs="Times New Roman"/>
          <w:sz w:val="24"/>
          <w:szCs w:val="24"/>
        </w:rPr>
        <w:t>Grech</w:t>
      </w:r>
      <w:proofErr w:type="spellEnd"/>
      <w:r w:rsidRPr="00D61214">
        <w:rPr>
          <w:rFonts w:ascii="Times New Roman" w:hAnsi="Times New Roman" w:cs="Times New Roman"/>
          <w:sz w:val="24"/>
          <w:szCs w:val="24"/>
        </w:rPr>
        <w:t xml:space="preserve">, Victor. (2017). A review of the established and suspected causes of variations in human sex ratio at birth. Early Human Development. 109. 10.1016/j.earlhumdev.2017.03.002. </w:t>
      </w:r>
    </w:p>
    <w:p w:rsidR="00694BEC" w:rsidRPr="00D61214" w:rsidRDefault="00694BEC" w:rsidP="00D61214">
      <w:pPr>
        <w:pStyle w:val="ListParagraph"/>
        <w:numPr>
          <w:ilvl w:val="0"/>
          <w:numId w:val="8"/>
        </w:numPr>
        <w:spacing w:line="360" w:lineRule="auto"/>
        <w:jc w:val="both"/>
        <w:rPr>
          <w:rFonts w:ascii="Times New Roman" w:hAnsi="Times New Roman" w:cs="Times New Roman"/>
          <w:sz w:val="24"/>
          <w:szCs w:val="24"/>
        </w:rPr>
      </w:pPr>
      <w:r w:rsidRPr="00D61214">
        <w:rPr>
          <w:rFonts w:ascii="Times New Roman" w:hAnsi="Times New Roman" w:cs="Times New Roman"/>
          <w:sz w:val="24"/>
          <w:szCs w:val="24"/>
        </w:rPr>
        <w:t xml:space="preserve">Kumar CC. Genetic abnormalities and challenges in the treatment of acute myeloid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Genes Cancer. 2011 Feb;2(2):95-107. </w:t>
      </w:r>
      <w:proofErr w:type="spellStart"/>
      <w:r w:rsidRPr="00D61214">
        <w:rPr>
          <w:rFonts w:ascii="Times New Roman" w:hAnsi="Times New Roman" w:cs="Times New Roman"/>
          <w:sz w:val="24"/>
          <w:szCs w:val="24"/>
        </w:rPr>
        <w:t>doi</w:t>
      </w:r>
      <w:proofErr w:type="spellEnd"/>
      <w:r w:rsidRPr="00D61214">
        <w:rPr>
          <w:rFonts w:ascii="Times New Roman" w:hAnsi="Times New Roman" w:cs="Times New Roman"/>
          <w:sz w:val="24"/>
          <w:szCs w:val="24"/>
        </w:rPr>
        <w:t>: 10.1177/1947601911408076. PMID: 21779483; PMCID: PMC3111245.</w:t>
      </w:r>
    </w:p>
    <w:p w:rsidR="00694BEC" w:rsidRPr="00D61214" w:rsidRDefault="00694BEC" w:rsidP="00D61214">
      <w:pPr>
        <w:pStyle w:val="ListParagraph"/>
        <w:numPr>
          <w:ilvl w:val="0"/>
          <w:numId w:val="8"/>
        </w:numPr>
        <w:spacing w:line="360" w:lineRule="auto"/>
        <w:jc w:val="both"/>
        <w:rPr>
          <w:rFonts w:ascii="Times New Roman" w:hAnsi="Times New Roman" w:cs="Times New Roman"/>
          <w:sz w:val="24"/>
          <w:szCs w:val="24"/>
        </w:rPr>
      </w:pPr>
      <w:r w:rsidRPr="00D61214">
        <w:rPr>
          <w:rFonts w:ascii="Times New Roman" w:hAnsi="Times New Roman" w:cs="Times New Roman"/>
          <w:sz w:val="24"/>
          <w:szCs w:val="24"/>
        </w:rPr>
        <w:t xml:space="preserve">Liu, TC &amp; Lin, </w:t>
      </w:r>
      <w:proofErr w:type="spellStart"/>
      <w:r w:rsidRPr="00D61214">
        <w:rPr>
          <w:rFonts w:ascii="Times New Roman" w:hAnsi="Times New Roman" w:cs="Times New Roman"/>
          <w:sz w:val="24"/>
          <w:szCs w:val="24"/>
        </w:rPr>
        <w:t>Hsiu</w:t>
      </w:r>
      <w:proofErr w:type="spellEnd"/>
      <w:r w:rsidRPr="00D61214">
        <w:rPr>
          <w:rFonts w:ascii="Times New Roman" w:hAnsi="Times New Roman" w:cs="Times New Roman"/>
          <w:sz w:val="24"/>
          <w:szCs w:val="24"/>
        </w:rPr>
        <w:t xml:space="preserve">-Fen &amp; Chen, TP &amp; Chang, JG. (2002). Polymorphism analysis of CYP3A5 in myeloid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Oncology Reports. 9. 327-329. </w:t>
      </w:r>
    </w:p>
    <w:p w:rsidR="00694BEC" w:rsidRPr="00D61214" w:rsidRDefault="00694BEC" w:rsidP="00D61214">
      <w:pPr>
        <w:pStyle w:val="ListParagraph"/>
        <w:numPr>
          <w:ilvl w:val="0"/>
          <w:numId w:val="8"/>
        </w:numPr>
        <w:spacing w:line="360" w:lineRule="auto"/>
        <w:jc w:val="both"/>
        <w:rPr>
          <w:rFonts w:ascii="Times New Roman" w:hAnsi="Times New Roman" w:cs="Times New Roman"/>
          <w:sz w:val="24"/>
          <w:szCs w:val="24"/>
        </w:rPr>
      </w:pPr>
      <w:proofErr w:type="spellStart"/>
      <w:r w:rsidRPr="00D61214">
        <w:rPr>
          <w:rFonts w:ascii="Times New Roman" w:hAnsi="Times New Roman" w:cs="Times New Roman"/>
          <w:sz w:val="24"/>
          <w:szCs w:val="24"/>
        </w:rPr>
        <w:t>Maroofi</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Farzad</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Amini</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Sabrieh</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Roshani</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Daem</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Ghaderi</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Bayazid</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Abdi</w:t>
      </w:r>
      <w:proofErr w:type="spellEnd"/>
      <w:r w:rsidRPr="00D61214">
        <w:rPr>
          <w:rFonts w:ascii="Times New Roman" w:hAnsi="Times New Roman" w:cs="Times New Roman"/>
          <w:sz w:val="24"/>
          <w:szCs w:val="24"/>
        </w:rPr>
        <w:t xml:space="preserve">, Mohammad. (2015). Different frequencies and effects of ABCB1 T3435C polymorphism on clinical and laboratory features of B cell chronic lymphocytic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in Kurdish patients. </w:t>
      </w:r>
      <w:proofErr w:type="spellStart"/>
      <w:r w:rsidRPr="00D61214">
        <w:rPr>
          <w:rFonts w:ascii="Times New Roman" w:hAnsi="Times New Roman" w:cs="Times New Roman"/>
          <w:sz w:val="24"/>
          <w:szCs w:val="24"/>
        </w:rPr>
        <w:t>Tumor</w:t>
      </w:r>
      <w:proofErr w:type="spellEnd"/>
      <w:r w:rsidRPr="00D61214">
        <w:rPr>
          <w:rFonts w:ascii="Times New Roman" w:hAnsi="Times New Roman" w:cs="Times New Roman"/>
          <w:sz w:val="24"/>
          <w:szCs w:val="24"/>
        </w:rPr>
        <w:t xml:space="preserve"> Biology. 10.1007/s13277-014-2914-9. </w:t>
      </w:r>
    </w:p>
    <w:p w:rsidR="00694BEC" w:rsidRPr="00D61214" w:rsidRDefault="00694BEC" w:rsidP="00D61214">
      <w:pPr>
        <w:pStyle w:val="ListParagraph"/>
        <w:numPr>
          <w:ilvl w:val="0"/>
          <w:numId w:val="8"/>
        </w:numPr>
        <w:spacing w:line="360" w:lineRule="auto"/>
        <w:jc w:val="both"/>
        <w:rPr>
          <w:rFonts w:ascii="Times New Roman" w:hAnsi="Times New Roman" w:cs="Times New Roman"/>
          <w:sz w:val="24"/>
          <w:szCs w:val="24"/>
        </w:rPr>
      </w:pPr>
      <w:proofErr w:type="spellStart"/>
      <w:r w:rsidRPr="00D61214">
        <w:rPr>
          <w:rFonts w:ascii="Times New Roman" w:hAnsi="Times New Roman" w:cs="Times New Roman"/>
          <w:sz w:val="24"/>
          <w:szCs w:val="24"/>
        </w:rPr>
        <w:t>Miladpoor</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Behnoosh</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Shokouhi</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Amireh</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Shirdel</w:t>
      </w:r>
      <w:proofErr w:type="spellEnd"/>
      <w:r w:rsidRPr="00D61214">
        <w:rPr>
          <w:rFonts w:ascii="Times New Roman" w:hAnsi="Times New Roman" w:cs="Times New Roman"/>
          <w:sz w:val="24"/>
          <w:szCs w:val="24"/>
        </w:rPr>
        <w:t xml:space="preserve">, Abbas &amp; </w:t>
      </w:r>
      <w:proofErr w:type="spellStart"/>
      <w:r w:rsidRPr="00D61214">
        <w:rPr>
          <w:rFonts w:ascii="Times New Roman" w:hAnsi="Times New Roman" w:cs="Times New Roman"/>
          <w:sz w:val="24"/>
          <w:szCs w:val="24"/>
        </w:rPr>
        <w:t>entezari</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heravi</w:t>
      </w:r>
      <w:proofErr w:type="spellEnd"/>
      <w:r w:rsidRPr="00D61214">
        <w:rPr>
          <w:rFonts w:ascii="Times New Roman" w:hAnsi="Times New Roman" w:cs="Times New Roman"/>
          <w:sz w:val="24"/>
          <w:szCs w:val="24"/>
        </w:rPr>
        <w:t xml:space="preserve">, Reza &amp; </w:t>
      </w:r>
      <w:proofErr w:type="spellStart"/>
      <w:r w:rsidRPr="00D61214">
        <w:rPr>
          <w:rFonts w:ascii="Times New Roman" w:hAnsi="Times New Roman" w:cs="Times New Roman"/>
          <w:sz w:val="24"/>
          <w:szCs w:val="24"/>
        </w:rPr>
        <w:t>Banihashem</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Abdollah</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Esmaily</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Habibollah</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Khedri</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Azam</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Behravan</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Javad</w:t>
      </w:r>
      <w:proofErr w:type="spellEnd"/>
      <w:r w:rsidRPr="00D61214">
        <w:rPr>
          <w:rFonts w:ascii="Times New Roman" w:hAnsi="Times New Roman" w:cs="Times New Roman"/>
          <w:sz w:val="24"/>
          <w:szCs w:val="24"/>
        </w:rPr>
        <w:t xml:space="preserve">. (2009). Association of Acute Lymphoblastic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and MDR1 Gene Polymorphism in an Ethnic Iranian Population. Iranian journal of blood and cancer. SIDIRANIAN JOURNAL OF BLOOD AND CANCER | Volume 1,Number 2 ,63-66</w:t>
      </w:r>
    </w:p>
    <w:p w:rsidR="00694BEC" w:rsidRPr="00D61214" w:rsidRDefault="00694BEC" w:rsidP="00D61214">
      <w:pPr>
        <w:pStyle w:val="ListParagraph"/>
        <w:numPr>
          <w:ilvl w:val="0"/>
          <w:numId w:val="8"/>
        </w:numPr>
        <w:spacing w:line="360" w:lineRule="auto"/>
        <w:jc w:val="both"/>
        <w:rPr>
          <w:rFonts w:ascii="Times New Roman" w:hAnsi="Times New Roman" w:cs="Times New Roman"/>
          <w:sz w:val="24"/>
          <w:szCs w:val="24"/>
        </w:rPr>
      </w:pPr>
      <w:proofErr w:type="spellStart"/>
      <w:r w:rsidRPr="00D61214">
        <w:rPr>
          <w:rFonts w:ascii="Times New Roman" w:hAnsi="Times New Roman" w:cs="Times New Roman"/>
          <w:sz w:val="24"/>
          <w:szCs w:val="24"/>
        </w:rPr>
        <w:t>Mjali</w:t>
      </w:r>
      <w:proofErr w:type="spellEnd"/>
      <w:r w:rsidRPr="00D61214">
        <w:rPr>
          <w:rFonts w:ascii="Times New Roman" w:hAnsi="Times New Roman" w:cs="Times New Roman"/>
          <w:sz w:val="24"/>
          <w:szCs w:val="24"/>
        </w:rPr>
        <w:t xml:space="preserve">, Ahmed &amp; </w:t>
      </w:r>
      <w:proofErr w:type="spellStart"/>
      <w:r w:rsidRPr="00D61214">
        <w:rPr>
          <w:rFonts w:ascii="Times New Roman" w:hAnsi="Times New Roman" w:cs="Times New Roman"/>
          <w:sz w:val="24"/>
          <w:szCs w:val="24"/>
        </w:rPr>
        <w:t>Hasan</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Jaleel</w:t>
      </w:r>
      <w:proofErr w:type="spellEnd"/>
      <w:r w:rsidRPr="00D61214">
        <w:rPr>
          <w:rFonts w:ascii="Times New Roman" w:hAnsi="Times New Roman" w:cs="Times New Roman"/>
          <w:sz w:val="24"/>
          <w:szCs w:val="24"/>
        </w:rPr>
        <w:t xml:space="preserve"> Al-</w:t>
      </w:r>
      <w:proofErr w:type="spellStart"/>
      <w:r w:rsidRPr="00D61214">
        <w:rPr>
          <w:rFonts w:ascii="Times New Roman" w:hAnsi="Times New Roman" w:cs="Times New Roman"/>
          <w:sz w:val="24"/>
          <w:szCs w:val="24"/>
        </w:rPr>
        <w:t>Shammari</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Haider</w:t>
      </w:r>
      <w:proofErr w:type="spellEnd"/>
      <w:r w:rsidRPr="00D61214">
        <w:rPr>
          <w:rFonts w:ascii="Times New Roman" w:hAnsi="Times New Roman" w:cs="Times New Roman"/>
          <w:sz w:val="24"/>
          <w:szCs w:val="24"/>
        </w:rPr>
        <w:t xml:space="preserve"> &amp; Abbas, </w:t>
      </w:r>
      <w:proofErr w:type="spellStart"/>
      <w:r w:rsidRPr="00D61214">
        <w:rPr>
          <w:rFonts w:ascii="Times New Roman" w:hAnsi="Times New Roman" w:cs="Times New Roman"/>
          <w:sz w:val="24"/>
          <w:szCs w:val="24"/>
        </w:rPr>
        <w:t>Nareen</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Azeez</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Zahraa</w:t>
      </w:r>
      <w:proofErr w:type="spellEnd"/>
      <w:r w:rsidRPr="00D61214">
        <w:rPr>
          <w:rFonts w:ascii="Times New Roman" w:hAnsi="Times New Roman" w:cs="Times New Roman"/>
          <w:sz w:val="24"/>
          <w:szCs w:val="24"/>
        </w:rPr>
        <w:t xml:space="preserve"> &amp; Abbas, </w:t>
      </w:r>
      <w:proofErr w:type="spellStart"/>
      <w:r w:rsidRPr="00D61214">
        <w:rPr>
          <w:rFonts w:ascii="Times New Roman" w:hAnsi="Times New Roman" w:cs="Times New Roman"/>
          <w:sz w:val="24"/>
          <w:szCs w:val="24"/>
        </w:rPr>
        <w:t>Saja</w:t>
      </w:r>
      <w:proofErr w:type="spellEnd"/>
      <w:r w:rsidRPr="00D61214">
        <w:rPr>
          <w:rFonts w:ascii="Times New Roman" w:hAnsi="Times New Roman" w:cs="Times New Roman"/>
          <w:sz w:val="24"/>
          <w:szCs w:val="24"/>
        </w:rPr>
        <w:t xml:space="preserve">. (2019).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Epidemiology in Karbala province of </w:t>
      </w:r>
      <w:r w:rsidRPr="00D61214">
        <w:rPr>
          <w:rFonts w:ascii="Times New Roman" w:hAnsi="Times New Roman" w:cs="Times New Roman"/>
          <w:sz w:val="24"/>
          <w:szCs w:val="24"/>
        </w:rPr>
        <w:lastRenderedPageBreak/>
        <w:t xml:space="preserve">Iraq. Asian Pacific Journal of Cancer Care. 4. 135-139. 10.31557/apjcc.2019.4.4.135-139. </w:t>
      </w:r>
    </w:p>
    <w:p w:rsidR="00694BEC" w:rsidRPr="00D61214" w:rsidRDefault="00694BEC" w:rsidP="00D61214">
      <w:pPr>
        <w:pStyle w:val="ListParagraph"/>
        <w:numPr>
          <w:ilvl w:val="0"/>
          <w:numId w:val="8"/>
        </w:numPr>
        <w:spacing w:line="360" w:lineRule="auto"/>
        <w:jc w:val="both"/>
        <w:rPr>
          <w:rFonts w:ascii="Times New Roman" w:hAnsi="Times New Roman" w:cs="Times New Roman"/>
          <w:sz w:val="24"/>
          <w:szCs w:val="24"/>
        </w:rPr>
      </w:pPr>
      <w:proofErr w:type="spellStart"/>
      <w:r w:rsidRPr="00D61214">
        <w:rPr>
          <w:rFonts w:ascii="Times New Roman" w:hAnsi="Times New Roman" w:cs="Times New Roman"/>
          <w:sz w:val="24"/>
          <w:szCs w:val="24"/>
        </w:rPr>
        <w:t>Rafiq</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Sabika</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Raza</w:t>
      </w:r>
      <w:proofErr w:type="spellEnd"/>
      <w:r w:rsidRPr="00D61214">
        <w:rPr>
          <w:rFonts w:ascii="Times New Roman" w:hAnsi="Times New Roman" w:cs="Times New Roman"/>
          <w:sz w:val="24"/>
          <w:szCs w:val="24"/>
        </w:rPr>
        <w:t xml:space="preserve">, Muhammad &amp; </w:t>
      </w:r>
      <w:proofErr w:type="spellStart"/>
      <w:r w:rsidRPr="00D61214">
        <w:rPr>
          <w:rFonts w:ascii="Times New Roman" w:hAnsi="Times New Roman" w:cs="Times New Roman"/>
          <w:sz w:val="24"/>
          <w:szCs w:val="24"/>
        </w:rPr>
        <w:t>Younas</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Mehwish</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Naeem</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Fariha</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Adeeb</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Romisha</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Iqbal</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Javed</w:t>
      </w:r>
      <w:proofErr w:type="spellEnd"/>
      <w:r w:rsidRPr="00D61214">
        <w:rPr>
          <w:rFonts w:ascii="Times New Roman" w:hAnsi="Times New Roman" w:cs="Times New Roman"/>
          <w:sz w:val="24"/>
          <w:szCs w:val="24"/>
        </w:rPr>
        <w:t xml:space="preserve"> &amp; Anwar, Pervez &amp; </w:t>
      </w:r>
      <w:proofErr w:type="spellStart"/>
      <w:r w:rsidRPr="00D61214">
        <w:rPr>
          <w:rFonts w:ascii="Times New Roman" w:hAnsi="Times New Roman" w:cs="Times New Roman"/>
          <w:sz w:val="24"/>
          <w:szCs w:val="24"/>
        </w:rPr>
        <w:t>Sajid</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Umara</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Manzoor</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Hafiza</w:t>
      </w:r>
      <w:proofErr w:type="spellEnd"/>
      <w:r w:rsidRPr="00D61214">
        <w:rPr>
          <w:rFonts w:ascii="Times New Roman" w:hAnsi="Times New Roman" w:cs="Times New Roman"/>
          <w:sz w:val="24"/>
          <w:szCs w:val="24"/>
        </w:rPr>
        <w:t xml:space="preserve">. (2018). Molecular Targets of </w:t>
      </w:r>
      <w:proofErr w:type="spellStart"/>
      <w:r w:rsidRPr="00D61214">
        <w:rPr>
          <w:rFonts w:ascii="Times New Roman" w:hAnsi="Times New Roman" w:cs="Times New Roman"/>
          <w:sz w:val="24"/>
          <w:szCs w:val="24"/>
        </w:rPr>
        <w:t>Curcumin</w:t>
      </w:r>
      <w:proofErr w:type="spellEnd"/>
      <w:r w:rsidRPr="00D61214">
        <w:rPr>
          <w:rFonts w:ascii="Times New Roman" w:hAnsi="Times New Roman" w:cs="Times New Roman"/>
          <w:sz w:val="24"/>
          <w:szCs w:val="24"/>
        </w:rPr>
        <w:t xml:space="preserve"> and Future Therapeutic Role in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Journal of Biosciences and Medicines. 06. 33-50. 10.4236/jbm.2018.64003. </w:t>
      </w:r>
    </w:p>
    <w:p w:rsidR="00802F71" w:rsidRPr="00D61214" w:rsidRDefault="00802F71" w:rsidP="00D61214">
      <w:pPr>
        <w:pStyle w:val="ListParagraph"/>
        <w:numPr>
          <w:ilvl w:val="0"/>
          <w:numId w:val="8"/>
        </w:numPr>
        <w:spacing w:line="360" w:lineRule="auto"/>
        <w:jc w:val="both"/>
        <w:rPr>
          <w:rFonts w:ascii="Times New Roman" w:hAnsi="Times New Roman" w:cs="Times New Roman"/>
          <w:sz w:val="24"/>
          <w:szCs w:val="24"/>
        </w:rPr>
      </w:pPr>
      <w:r w:rsidRPr="00D61214">
        <w:rPr>
          <w:rFonts w:ascii="Times New Roman" w:hAnsi="Times New Roman" w:cs="Times New Roman"/>
          <w:sz w:val="24"/>
          <w:szCs w:val="24"/>
        </w:rPr>
        <w:t xml:space="preserve">Thomas X, Le Q. H. Prognostic factors in adult acute lymphoblastic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Hematology</w:t>
      </w:r>
      <w:proofErr w:type="spellEnd"/>
      <w:r w:rsidRPr="00D61214">
        <w:rPr>
          <w:rFonts w:ascii="Times New Roman" w:hAnsi="Times New Roman" w:cs="Times New Roman"/>
          <w:sz w:val="24"/>
          <w:szCs w:val="24"/>
        </w:rPr>
        <w:t>; 2003; 8: 233-42.</w:t>
      </w:r>
    </w:p>
    <w:p w:rsidR="00802F71" w:rsidRPr="00D61214" w:rsidRDefault="00802F71" w:rsidP="00D61214">
      <w:pPr>
        <w:pStyle w:val="ListParagraph"/>
        <w:numPr>
          <w:ilvl w:val="0"/>
          <w:numId w:val="8"/>
        </w:numPr>
        <w:spacing w:line="360" w:lineRule="auto"/>
        <w:jc w:val="both"/>
        <w:rPr>
          <w:rFonts w:ascii="Times New Roman" w:hAnsi="Times New Roman" w:cs="Times New Roman"/>
          <w:sz w:val="24"/>
          <w:szCs w:val="24"/>
        </w:rPr>
      </w:pPr>
      <w:proofErr w:type="spellStart"/>
      <w:r w:rsidRPr="00D61214">
        <w:rPr>
          <w:rFonts w:ascii="Times New Roman" w:hAnsi="Times New Roman" w:cs="Times New Roman"/>
          <w:sz w:val="24"/>
          <w:szCs w:val="24"/>
        </w:rPr>
        <w:t>Tomiyasu</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Hirotaka</w:t>
      </w:r>
      <w:proofErr w:type="spellEnd"/>
      <w:r w:rsidRPr="00D61214">
        <w:rPr>
          <w:rFonts w:ascii="Times New Roman" w:hAnsi="Times New Roman" w:cs="Times New Roman"/>
          <w:sz w:val="24"/>
          <w:szCs w:val="24"/>
        </w:rPr>
        <w:t xml:space="preserve"> &amp; Watanabe, Manabu &amp; </w:t>
      </w:r>
      <w:proofErr w:type="spellStart"/>
      <w:r w:rsidRPr="00D61214">
        <w:rPr>
          <w:rFonts w:ascii="Times New Roman" w:hAnsi="Times New Roman" w:cs="Times New Roman"/>
          <w:sz w:val="24"/>
          <w:szCs w:val="24"/>
        </w:rPr>
        <w:t>Goto-Koshino</w:t>
      </w:r>
      <w:proofErr w:type="spellEnd"/>
      <w:r w:rsidRPr="00D61214">
        <w:rPr>
          <w:rFonts w:ascii="Times New Roman" w:hAnsi="Times New Roman" w:cs="Times New Roman"/>
          <w:sz w:val="24"/>
          <w:szCs w:val="24"/>
        </w:rPr>
        <w:t xml:space="preserve">, Yuko &amp; </w:t>
      </w:r>
      <w:proofErr w:type="spellStart"/>
      <w:r w:rsidRPr="00D61214">
        <w:rPr>
          <w:rFonts w:ascii="Times New Roman" w:hAnsi="Times New Roman" w:cs="Times New Roman"/>
          <w:sz w:val="24"/>
          <w:szCs w:val="24"/>
        </w:rPr>
        <w:t>Fujino</w:t>
      </w:r>
      <w:proofErr w:type="spellEnd"/>
      <w:r w:rsidRPr="00D61214">
        <w:rPr>
          <w:rFonts w:ascii="Times New Roman" w:hAnsi="Times New Roman" w:cs="Times New Roman"/>
          <w:sz w:val="24"/>
          <w:szCs w:val="24"/>
        </w:rPr>
        <w:t xml:space="preserve">, </w:t>
      </w:r>
      <w:proofErr w:type="spellStart"/>
      <w:r w:rsidRPr="00D61214">
        <w:rPr>
          <w:rFonts w:ascii="Times New Roman" w:hAnsi="Times New Roman" w:cs="Times New Roman"/>
          <w:sz w:val="24"/>
          <w:szCs w:val="24"/>
        </w:rPr>
        <w:t>Yasuhito</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Ohno</w:t>
      </w:r>
      <w:proofErr w:type="spellEnd"/>
      <w:r w:rsidRPr="00D61214">
        <w:rPr>
          <w:rFonts w:ascii="Times New Roman" w:hAnsi="Times New Roman" w:cs="Times New Roman"/>
          <w:sz w:val="24"/>
          <w:szCs w:val="24"/>
        </w:rPr>
        <w:t xml:space="preserve">, Koichi &amp; Sugano, </w:t>
      </w:r>
      <w:proofErr w:type="spellStart"/>
      <w:r w:rsidRPr="00D61214">
        <w:rPr>
          <w:rFonts w:ascii="Times New Roman" w:hAnsi="Times New Roman" w:cs="Times New Roman"/>
          <w:sz w:val="24"/>
          <w:szCs w:val="24"/>
        </w:rPr>
        <w:t>Sumio</w:t>
      </w:r>
      <w:proofErr w:type="spellEnd"/>
      <w:r w:rsidRPr="00D61214">
        <w:rPr>
          <w:rFonts w:ascii="Times New Roman" w:hAnsi="Times New Roman" w:cs="Times New Roman"/>
          <w:sz w:val="24"/>
          <w:szCs w:val="24"/>
        </w:rPr>
        <w:t xml:space="preserve"> &amp; </w:t>
      </w:r>
      <w:proofErr w:type="spellStart"/>
      <w:r w:rsidRPr="00D61214">
        <w:rPr>
          <w:rFonts w:ascii="Times New Roman" w:hAnsi="Times New Roman" w:cs="Times New Roman"/>
          <w:sz w:val="24"/>
          <w:szCs w:val="24"/>
        </w:rPr>
        <w:t>Tsujimoto</w:t>
      </w:r>
      <w:proofErr w:type="spellEnd"/>
      <w:r w:rsidRPr="00D61214">
        <w:rPr>
          <w:rFonts w:ascii="Times New Roman" w:hAnsi="Times New Roman" w:cs="Times New Roman"/>
          <w:sz w:val="24"/>
          <w:szCs w:val="24"/>
        </w:rPr>
        <w:t xml:space="preserve">, Hajime. (2012). Regulation of the expression of ABCB1 and LRP genes by MAPK/ERK pathway and its role in the generation of side population cells in canine lymphoma cell lines.. </w:t>
      </w:r>
      <w:proofErr w:type="spellStart"/>
      <w:r w:rsidRPr="00D61214">
        <w:rPr>
          <w:rFonts w:ascii="Times New Roman" w:hAnsi="Times New Roman" w:cs="Times New Roman"/>
          <w:sz w:val="24"/>
          <w:szCs w:val="24"/>
        </w:rPr>
        <w:t>Leukemia</w:t>
      </w:r>
      <w:proofErr w:type="spellEnd"/>
      <w:r w:rsidRPr="00D61214">
        <w:rPr>
          <w:rFonts w:ascii="Times New Roman" w:hAnsi="Times New Roman" w:cs="Times New Roman"/>
          <w:sz w:val="24"/>
          <w:szCs w:val="24"/>
        </w:rPr>
        <w:t xml:space="preserve"> &amp; lymphoma. 54. 10.3109/10428194.2012.751529. </w:t>
      </w:r>
    </w:p>
    <w:bookmarkEnd w:id="0"/>
    <w:p w:rsidR="00424274" w:rsidRPr="006F5F6B" w:rsidRDefault="00424274" w:rsidP="00473810">
      <w:pPr>
        <w:spacing w:after="160" w:line="360" w:lineRule="auto"/>
        <w:jc w:val="both"/>
        <w:rPr>
          <w:rFonts w:ascii="Times New Roman" w:eastAsia="Calibri" w:hAnsi="Times New Roman" w:cs="Times New Roman"/>
          <w:b/>
          <w:bCs/>
          <w:sz w:val="24"/>
          <w:szCs w:val="24"/>
          <w:lang w:val="en-IN"/>
        </w:rPr>
      </w:pPr>
    </w:p>
    <w:sectPr w:rsidR="00424274" w:rsidRPr="006F5F6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0E8" w:rsidRDefault="009C00E8" w:rsidP="00F87309">
      <w:pPr>
        <w:spacing w:after="0" w:line="240" w:lineRule="auto"/>
      </w:pPr>
      <w:r>
        <w:separator/>
      </w:r>
    </w:p>
  </w:endnote>
  <w:endnote w:type="continuationSeparator" w:id="0">
    <w:p w:rsidR="009C00E8" w:rsidRDefault="009C00E8" w:rsidP="00F8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0E8" w:rsidRDefault="009C00E8" w:rsidP="00F87309">
      <w:pPr>
        <w:spacing w:after="0" w:line="240" w:lineRule="auto"/>
      </w:pPr>
      <w:r>
        <w:separator/>
      </w:r>
    </w:p>
  </w:footnote>
  <w:footnote w:type="continuationSeparator" w:id="0">
    <w:p w:rsidR="009C00E8" w:rsidRDefault="009C00E8" w:rsidP="00F87309">
      <w:pPr>
        <w:spacing w:after="0" w:line="240" w:lineRule="auto"/>
      </w:pPr>
      <w:r>
        <w:continuationSeparator/>
      </w:r>
    </w:p>
  </w:footnote>
  <w:footnote w:id="1">
    <w:p w:rsidR="00873ACD" w:rsidRPr="00F42155" w:rsidRDefault="00873ACD" w:rsidP="00F87309">
      <w:pPr>
        <w:pStyle w:val="FootnoteText"/>
        <w:rPr>
          <w:lang w:val="en-US"/>
        </w:rPr>
      </w:pPr>
      <w:r>
        <w:rPr>
          <w:rStyle w:val="FootnoteReference"/>
        </w:rPr>
        <w:footnoteRef/>
      </w:r>
      <w:r>
        <w:t xml:space="preserve"> </w:t>
      </w:r>
      <w:r w:rsidRPr="00F42155">
        <w:t>Pulmonary resistance-associated protein/Main vault group protein/MVP</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519FD"/>
    <w:multiLevelType w:val="hybridMultilevel"/>
    <w:tmpl w:val="B0B20DBA"/>
    <w:lvl w:ilvl="0" w:tplc="889AEC60">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54032A4"/>
    <w:multiLevelType w:val="hybridMultilevel"/>
    <w:tmpl w:val="D4B6D3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B8B293E"/>
    <w:multiLevelType w:val="hybridMultilevel"/>
    <w:tmpl w:val="EA4AD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8A919E0"/>
    <w:multiLevelType w:val="hybridMultilevel"/>
    <w:tmpl w:val="6A48CAA8"/>
    <w:lvl w:ilvl="0" w:tplc="4C78F2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0DE604E"/>
    <w:multiLevelType w:val="hybridMultilevel"/>
    <w:tmpl w:val="CBC625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553B0F"/>
    <w:multiLevelType w:val="hybridMultilevel"/>
    <w:tmpl w:val="B4EC68FE"/>
    <w:lvl w:ilvl="0" w:tplc="5A8E56CE">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345195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40973B6"/>
    <w:multiLevelType w:val="hybridMultilevel"/>
    <w:tmpl w:val="C5E43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A2"/>
    <w:rsid w:val="00161E7F"/>
    <w:rsid w:val="00167246"/>
    <w:rsid w:val="00190990"/>
    <w:rsid w:val="0029238E"/>
    <w:rsid w:val="003E2F4A"/>
    <w:rsid w:val="00410497"/>
    <w:rsid w:val="00424274"/>
    <w:rsid w:val="004277FB"/>
    <w:rsid w:val="00454A1A"/>
    <w:rsid w:val="00473810"/>
    <w:rsid w:val="00477CE4"/>
    <w:rsid w:val="004E0449"/>
    <w:rsid w:val="00507787"/>
    <w:rsid w:val="005972D5"/>
    <w:rsid w:val="00670DD5"/>
    <w:rsid w:val="00694BEC"/>
    <w:rsid w:val="00697260"/>
    <w:rsid w:val="006F5F6B"/>
    <w:rsid w:val="00702E13"/>
    <w:rsid w:val="0074108C"/>
    <w:rsid w:val="007B10AD"/>
    <w:rsid w:val="00802F71"/>
    <w:rsid w:val="008573A4"/>
    <w:rsid w:val="00873ACD"/>
    <w:rsid w:val="00950A52"/>
    <w:rsid w:val="009B2AA2"/>
    <w:rsid w:val="009C00E8"/>
    <w:rsid w:val="009E576D"/>
    <w:rsid w:val="009E7794"/>
    <w:rsid w:val="00AC4650"/>
    <w:rsid w:val="00B243BD"/>
    <w:rsid w:val="00BF3ED5"/>
    <w:rsid w:val="00C23B68"/>
    <w:rsid w:val="00C36104"/>
    <w:rsid w:val="00C402B8"/>
    <w:rsid w:val="00C41A08"/>
    <w:rsid w:val="00C74633"/>
    <w:rsid w:val="00C85B12"/>
    <w:rsid w:val="00D05990"/>
    <w:rsid w:val="00D61214"/>
    <w:rsid w:val="00EE2438"/>
    <w:rsid w:val="00F87309"/>
    <w:rsid w:val="00FD7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7309"/>
    <w:pPr>
      <w:spacing w:after="0" w:line="240" w:lineRule="auto"/>
    </w:pPr>
    <w:rPr>
      <w:rFonts w:ascii="Calibri" w:eastAsia="Calibri" w:hAnsi="Calibri" w:cs="Calibri"/>
      <w:sz w:val="20"/>
      <w:szCs w:val="20"/>
      <w:lang w:val="en-IN"/>
    </w:rPr>
  </w:style>
  <w:style w:type="character" w:customStyle="1" w:styleId="FootnoteTextChar">
    <w:name w:val="Footnote Text Char"/>
    <w:basedOn w:val="DefaultParagraphFont"/>
    <w:link w:val="FootnoteText"/>
    <w:uiPriority w:val="99"/>
    <w:semiHidden/>
    <w:rsid w:val="00F87309"/>
    <w:rPr>
      <w:rFonts w:ascii="Calibri" w:eastAsia="Calibri" w:hAnsi="Calibri" w:cs="Calibri"/>
      <w:sz w:val="20"/>
      <w:szCs w:val="20"/>
      <w:lang w:val="en-IN"/>
    </w:rPr>
  </w:style>
  <w:style w:type="character" w:styleId="FootnoteReference">
    <w:name w:val="footnote reference"/>
    <w:basedOn w:val="DefaultParagraphFont"/>
    <w:uiPriority w:val="99"/>
    <w:semiHidden/>
    <w:unhideWhenUsed/>
    <w:rsid w:val="00F87309"/>
    <w:rPr>
      <w:vertAlign w:val="superscript"/>
    </w:rPr>
  </w:style>
  <w:style w:type="numbering" w:customStyle="1" w:styleId="NoList1">
    <w:name w:val="No List1"/>
    <w:next w:val="NoList"/>
    <w:uiPriority w:val="99"/>
    <w:semiHidden/>
    <w:unhideWhenUsed/>
    <w:rsid w:val="00473810"/>
  </w:style>
  <w:style w:type="paragraph" w:styleId="ListParagraph">
    <w:name w:val="List Paragraph"/>
    <w:basedOn w:val="Normal"/>
    <w:uiPriority w:val="34"/>
    <w:qFormat/>
    <w:rsid w:val="00473810"/>
    <w:pPr>
      <w:spacing w:after="160" w:line="259" w:lineRule="auto"/>
      <w:ind w:left="720"/>
      <w:contextualSpacing/>
    </w:pPr>
    <w:rPr>
      <w:rFonts w:ascii="Calibri" w:eastAsia="Calibri" w:hAnsi="Calibri" w:cs="Calibri"/>
      <w:lang w:val="en-IN"/>
    </w:rPr>
  </w:style>
  <w:style w:type="table" w:styleId="TableGrid">
    <w:name w:val="Table Grid"/>
    <w:basedOn w:val="TableNormal"/>
    <w:uiPriority w:val="39"/>
    <w:rsid w:val="0047381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3810"/>
    <w:pPr>
      <w:tabs>
        <w:tab w:val="center" w:pos="4513"/>
        <w:tab w:val="right" w:pos="9026"/>
      </w:tabs>
      <w:spacing w:after="0" w:line="240" w:lineRule="auto"/>
    </w:pPr>
    <w:rPr>
      <w:rFonts w:ascii="Calibri" w:eastAsia="Calibri" w:hAnsi="Calibri" w:cs="Calibri"/>
      <w:lang w:val="en-IN"/>
    </w:rPr>
  </w:style>
  <w:style w:type="character" w:customStyle="1" w:styleId="HeaderChar">
    <w:name w:val="Header Char"/>
    <w:basedOn w:val="DefaultParagraphFont"/>
    <w:link w:val="Header"/>
    <w:uiPriority w:val="99"/>
    <w:rsid w:val="00473810"/>
    <w:rPr>
      <w:rFonts w:ascii="Calibri" w:eastAsia="Calibri" w:hAnsi="Calibri" w:cs="Calibri"/>
      <w:lang w:val="en-IN"/>
    </w:rPr>
  </w:style>
  <w:style w:type="paragraph" w:styleId="Footer">
    <w:name w:val="footer"/>
    <w:basedOn w:val="Normal"/>
    <w:link w:val="FooterChar"/>
    <w:uiPriority w:val="99"/>
    <w:unhideWhenUsed/>
    <w:rsid w:val="00473810"/>
    <w:pPr>
      <w:tabs>
        <w:tab w:val="center" w:pos="4513"/>
        <w:tab w:val="right" w:pos="9026"/>
      </w:tabs>
      <w:spacing w:after="0" w:line="240" w:lineRule="auto"/>
    </w:pPr>
    <w:rPr>
      <w:rFonts w:ascii="Calibri" w:eastAsia="Calibri" w:hAnsi="Calibri" w:cs="Calibri"/>
      <w:lang w:val="en-IN"/>
    </w:rPr>
  </w:style>
  <w:style w:type="character" w:customStyle="1" w:styleId="FooterChar">
    <w:name w:val="Footer Char"/>
    <w:basedOn w:val="DefaultParagraphFont"/>
    <w:link w:val="Footer"/>
    <w:uiPriority w:val="99"/>
    <w:rsid w:val="00473810"/>
    <w:rPr>
      <w:rFonts w:ascii="Calibri" w:eastAsia="Calibri" w:hAnsi="Calibri" w:cs="Calibri"/>
      <w:lang w:val="en-IN"/>
    </w:rPr>
  </w:style>
  <w:style w:type="paragraph" w:styleId="BalloonText">
    <w:name w:val="Balloon Text"/>
    <w:basedOn w:val="Normal"/>
    <w:link w:val="BalloonTextChar"/>
    <w:uiPriority w:val="99"/>
    <w:semiHidden/>
    <w:unhideWhenUsed/>
    <w:rsid w:val="00473810"/>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473810"/>
    <w:rPr>
      <w:rFonts w:ascii="Tahoma" w:eastAsia="Calibri"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7309"/>
    <w:pPr>
      <w:spacing w:after="0" w:line="240" w:lineRule="auto"/>
    </w:pPr>
    <w:rPr>
      <w:rFonts w:ascii="Calibri" w:eastAsia="Calibri" w:hAnsi="Calibri" w:cs="Calibri"/>
      <w:sz w:val="20"/>
      <w:szCs w:val="20"/>
      <w:lang w:val="en-IN"/>
    </w:rPr>
  </w:style>
  <w:style w:type="character" w:customStyle="1" w:styleId="FootnoteTextChar">
    <w:name w:val="Footnote Text Char"/>
    <w:basedOn w:val="DefaultParagraphFont"/>
    <w:link w:val="FootnoteText"/>
    <w:uiPriority w:val="99"/>
    <w:semiHidden/>
    <w:rsid w:val="00F87309"/>
    <w:rPr>
      <w:rFonts w:ascii="Calibri" w:eastAsia="Calibri" w:hAnsi="Calibri" w:cs="Calibri"/>
      <w:sz w:val="20"/>
      <w:szCs w:val="20"/>
      <w:lang w:val="en-IN"/>
    </w:rPr>
  </w:style>
  <w:style w:type="character" w:styleId="FootnoteReference">
    <w:name w:val="footnote reference"/>
    <w:basedOn w:val="DefaultParagraphFont"/>
    <w:uiPriority w:val="99"/>
    <w:semiHidden/>
    <w:unhideWhenUsed/>
    <w:rsid w:val="00F87309"/>
    <w:rPr>
      <w:vertAlign w:val="superscript"/>
    </w:rPr>
  </w:style>
  <w:style w:type="numbering" w:customStyle="1" w:styleId="NoList1">
    <w:name w:val="No List1"/>
    <w:next w:val="NoList"/>
    <w:uiPriority w:val="99"/>
    <w:semiHidden/>
    <w:unhideWhenUsed/>
    <w:rsid w:val="00473810"/>
  </w:style>
  <w:style w:type="paragraph" w:styleId="ListParagraph">
    <w:name w:val="List Paragraph"/>
    <w:basedOn w:val="Normal"/>
    <w:uiPriority w:val="34"/>
    <w:qFormat/>
    <w:rsid w:val="00473810"/>
    <w:pPr>
      <w:spacing w:after="160" w:line="259" w:lineRule="auto"/>
      <w:ind w:left="720"/>
      <w:contextualSpacing/>
    </w:pPr>
    <w:rPr>
      <w:rFonts w:ascii="Calibri" w:eastAsia="Calibri" w:hAnsi="Calibri" w:cs="Calibri"/>
      <w:lang w:val="en-IN"/>
    </w:rPr>
  </w:style>
  <w:style w:type="table" w:styleId="TableGrid">
    <w:name w:val="Table Grid"/>
    <w:basedOn w:val="TableNormal"/>
    <w:uiPriority w:val="39"/>
    <w:rsid w:val="0047381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3810"/>
    <w:pPr>
      <w:tabs>
        <w:tab w:val="center" w:pos="4513"/>
        <w:tab w:val="right" w:pos="9026"/>
      </w:tabs>
      <w:spacing w:after="0" w:line="240" w:lineRule="auto"/>
    </w:pPr>
    <w:rPr>
      <w:rFonts w:ascii="Calibri" w:eastAsia="Calibri" w:hAnsi="Calibri" w:cs="Calibri"/>
      <w:lang w:val="en-IN"/>
    </w:rPr>
  </w:style>
  <w:style w:type="character" w:customStyle="1" w:styleId="HeaderChar">
    <w:name w:val="Header Char"/>
    <w:basedOn w:val="DefaultParagraphFont"/>
    <w:link w:val="Header"/>
    <w:uiPriority w:val="99"/>
    <w:rsid w:val="00473810"/>
    <w:rPr>
      <w:rFonts w:ascii="Calibri" w:eastAsia="Calibri" w:hAnsi="Calibri" w:cs="Calibri"/>
      <w:lang w:val="en-IN"/>
    </w:rPr>
  </w:style>
  <w:style w:type="paragraph" w:styleId="Footer">
    <w:name w:val="footer"/>
    <w:basedOn w:val="Normal"/>
    <w:link w:val="FooterChar"/>
    <w:uiPriority w:val="99"/>
    <w:unhideWhenUsed/>
    <w:rsid w:val="00473810"/>
    <w:pPr>
      <w:tabs>
        <w:tab w:val="center" w:pos="4513"/>
        <w:tab w:val="right" w:pos="9026"/>
      </w:tabs>
      <w:spacing w:after="0" w:line="240" w:lineRule="auto"/>
    </w:pPr>
    <w:rPr>
      <w:rFonts w:ascii="Calibri" w:eastAsia="Calibri" w:hAnsi="Calibri" w:cs="Calibri"/>
      <w:lang w:val="en-IN"/>
    </w:rPr>
  </w:style>
  <w:style w:type="character" w:customStyle="1" w:styleId="FooterChar">
    <w:name w:val="Footer Char"/>
    <w:basedOn w:val="DefaultParagraphFont"/>
    <w:link w:val="Footer"/>
    <w:uiPriority w:val="99"/>
    <w:rsid w:val="00473810"/>
    <w:rPr>
      <w:rFonts w:ascii="Calibri" w:eastAsia="Calibri" w:hAnsi="Calibri" w:cs="Calibri"/>
      <w:lang w:val="en-IN"/>
    </w:rPr>
  </w:style>
  <w:style w:type="paragraph" w:styleId="BalloonText">
    <w:name w:val="Balloon Text"/>
    <w:basedOn w:val="Normal"/>
    <w:link w:val="BalloonTextChar"/>
    <w:uiPriority w:val="99"/>
    <w:semiHidden/>
    <w:unhideWhenUsed/>
    <w:rsid w:val="00473810"/>
    <w:pPr>
      <w:spacing w:after="0" w:line="240" w:lineRule="auto"/>
    </w:pPr>
    <w:rPr>
      <w:rFonts w:ascii="Tahoma" w:eastAsia="Calibri" w:hAnsi="Tahoma" w:cs="Tahoma"/>
      <w:sz w:val="16"/>
      <w:szCs w:val="16"/>
      <w:lang w:val="en-IN"/>
    </w:rPr>
  </w:style>
  <w:style w:type="character" w:customStyle="1" w:styleId="BalloonTextChar">
    <w:name w:val="Balloon Text Char"/>
    <w:basedOn w:val="DefaultParagraphFont"/>
    <w:link w:val="BalloonText"/>
    <w:uiPriority w:val="99"/>
    <w:semiHidden/>
    <w:rsid w:val="00473810"/>
    <w:rPr>
      <w:rFonts w:ascii="Tahoma" w:eastAsia="Calibri"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9261</Words>
  <Characters>52794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120</cp:revision>
  <dcterms:created xsi:type="dcterms:W3CDTF">2022-08-09T10:14:00Z</dcterms:created>
  <dcterms:modified xsi:type="dcterms:W3CDTF">2022-08-09T20:31:00Z</dcterms:modified>
</cp:coreProperties>
</file>