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38" w:rsidRPr="00102F1B" w:rsidRDefault="00853B38" w:rsidP="00A12FD8">
      <w:pPr>
        <w:autoSpaceDE w:val="0"/>
        <w:autoSpaceDN w:val="0"/>
        <w:adjustRightInd w:val="0"/>
        <w:jc w:val="lowKashida"/>
        <w:rPr>
          <w:sz w:val="28"/>
          <w:szCs w:val="28"/>
        </w:rPr>
      </w:pPr>
      <w:bookmarkStart w:id="0" w:name="_GoBack"/>
      <w:bookmarkEnd w:id="0"/>
      <w:r w:rsidRPr="00102F1B">
        <w:rPr>
          <w:sz w:val="28"/>
          <w:szCs w:val="28"/>
        </w:rPr>
        <w:t>SYNTHESIS, CHARACTERIZATION AND ANTIOXIDANE ACTIVITY OF N1-(5-CHLORO-2-OXOINDOLINE-3-YLIDENE) THIOCARBOHYDRAZONE SCHİFF BASES</w:t>
      </w:r>
    </w:p>
    <w:p w:rsidR="00853B38" w:rsidRPr="00102F1B" w:rsidRDefault="00853B38" w:rsidP="00A12FD8">
      <w:pPr>
        <w:autoSpaceDE w:val="0"/>
        <w:autoSpaceDN w:val="0"/>
        <w:adjustRightInd w:val="0"/>
        <w:jc w:val="lowKashida"/>
        <w:rPr>
          <w:rFonts w:asciiTheme="majorBidi" w:eastAsia="Calibri" w:hAnsiTheme="majorBidi" w:cstheme="majorBidi"/>
          <w:bCs/>
          <w:sz w:val="28"/>
          <w:szCs w:val="28"/>
        </w:rPr>
      </w:pPr>
    </w:p>
    <w:p w:rsidR="00A12FD8" w:rsidRPr="00593BEC" w:rsidRDefault="00954B85" w:rsidP="00A12FD8">
      <w:pPr>
        <w:autoSpaceDE w:val="0"/>
        <w:autoSpaceDN w:val="0"/>
        <w:adjustRightInd w:val="0"/>
        <w:jc w:val="lowKashida"/>
        <w:rPr>
          <w:rFonts w:asciiTheme="majorBidi" w:eastAsia="Calibri" w:hAnsiTheme="majorBidi" w:cstheme="majorBidi"/>
          <w:bCs/>
          <w:lang w:val="en-US"/>
        </w:rPr>
      </w:pPr>
      <w:r w:rsidRPr="00593BEC">
        <w:rPr>
          <w:rFonts w:asciiTheme="majorBidi" w:eastAsia="Calibri" w:hAnsiTheme="majorBidi" w:cstheme="majorBidi"/>
          <w:bCs/>
          <w:lang w:val="en-US"/>
        </w:rPr>
        <w:t xml:space="preserve">1- </w:t>
      </w:r>
      <w:r w:rsidR="00A12FD8" w:rsidRPr="00593BEC">
        <w:rPr>
          <w:rFonts w:asciiTheme="majorBidi" w:eastAsia="Calibri" w:hAnsiTheme="majorBidi" w:cstheme="majorBidi"/>
          <w:bCs/>
          <w:lang w:val="en-US"/>
        </w:rPr>
        <w:t>Abstract</w:t>
      </w:r>
      <w:r w:rsidR="00853B38" w:rsidRPr="00593BEC">
        <w:rPr>
          <w:rFonts w:asciiTheme="majorBidi" w:eastAsia="Calibri" w:hAnsiTheme="majorBidi" w:cstheme="majorBidi"/>
          <w:bCs/>
          <w:lang w:val="en-US"/>
        </w:rPr>
        <w:t>.</w:t>
      </w:r>
    </w:p>
    <w:p w:rsidR="00A12FD8" w:rsidRPr="00593BEC" w:rsidRDefault="00A12FD8" w:rsidP="00F02497">
      <w:pPr>
        <w:autoSpaceDE w:val="0"/>
        <w:autoSpaceDN w:val="0"/>
        <w:adjustRightInd w:val="0"/>
        <w:jc w:val="lowKashida"/>
        <w:rPr>
          <w:rFonts w:asciiTheme="majorBidi" w:eastAsia="Calibri" w:hAnsiTheme="majorBidi" w:cstheme="majorBidi"/>
          <w:bCs/>
          <w:lang w:val="en-US"/>
        </w:rPr>
      </w:pPr>
      <w:r w:rsidRPr="00593BEC">
        <w:rPr>
          <w:rFonts w:asciiTheme="majorBidi" w:eastAsia="Calibri" w:hAnsiTheme="majorBidi" w:cstheme="majorBidi"/>
          <w:bCs/>
          <w:lang w:val="en-US"/>
        </w:rPr>
        <w:t xml:space="preserve">In this </w:t>
      </w:r>
      <w:r w:rsidR="00F02497" w:rsidRPr="00593BEC">
        <w:rPr>
          <w:rFonts w:asciiTheme="majorBidi" w:eastAsia="Calibri" w:hAnsiTheme="majorBidi" w:cstheme="majorBidi"/>
          <w:bCs/>
          <w:lang w:val="en-US"/>
        </w:rPr>
        <w:t>study</w:t>
      </w:r>
      <w:r w:rsidRPr="00593BEC">
        <w:rPr>
          <w:rFonts w:asciiTheme="majorBidi" w:eastAsia="Calibri" w:hAnsiTheme="majorBidi" w:cstheme="majorBidi"/>
          <w:bCs/>
          <w:lang w:val="en-US"/>
        </w:rPr>
        <w:t xml:space="preserve"> seven new Schiff bases were prepared from monothiocarbohydrazones and 5-chloro isatin. The monothiocarbohydrazones were synthesized in the presence of ethanol under reflux with the reaction thiocarbohydrazide and substituted aldehydes. The reaction of synthesized benzothiocarbohydrazone, 4-hydroxy benzothiocarbohydrazone, 3-ethoxy-4-hydroxyl benzothiocarbohydrazone, 3,5-dimethoxy-4-hydroxyl benzothiocarbohydrazone and 4-N, N, dimethly benzothiocarbohydrazone with 5-chloro isatin in acidic medium under reflux with N1- (5-Chloro-2-oxoindolin-3-ylidene) Shiff bases were obtained. The chemical structures of the products were confirmed by 1H-NMR, 13C-NMR, IR and elemental analysis. Physicochemical properties such as melting point, color and solubility were determined. In vitro antioxidant activity of all compounds was determined by 1,1-Diphenyl-2-Picril Hydrazil (DPPH) free radical scavenging method. Antioxidant activities of molecules and standard used Gallic Acid&gt; 3,5-dimethoxy-4-hydroxyl benzothiocarbohydrazone&gt; 3-ethoxy-4-hydroxyl benzothiocarbohydrazone&gt; 4-hydroxy benzothiocarbohydrazone&gt; Benzothiocarbohydrazone&gt; N1- (5-Chloro-2-oxoindolin-3-ylidene) ) 4-N, N, dimethly benzothiocarbohydrazone&gt; N1- (5-Chloro-2-oxoindolin-3-ylidene) 3, ethoxy-4-hydroxyl benzothiocarbohydrazone&gt; 4-N, N, dimethly benzothiocarbohydrazone&gt; N1- (5-Chloro-) 2-oxoindolin-3-ylidene) 3,5-dimethoxy-4-hydroxyl benzothiocarbohydrazone&gt; N1- (5-Chloro-2-oxoindolin-3-ylidene) 4, hydroxy benzothiocarbohydrazone&gt; N1- (5-Chloro-2-oxoindoline- 3-ylidene) benzothiocarbohydrazone.</w:t>
      </w:r>
    </w:p>
    <w:p w:rsidR="00A12FD8" w:rsidRPr="00593BEC" w:rsidRDefault="00A12FD8" w:rsidP="00A12FD8">
      <w:pPr>
        <w:autoSpaceDE w:val="0"/>
        <w:autoSpaceDN w:val="0"/>
        <w:adjustRightInd w:val="0"/>
        <w:jc w:val="lowKashida"/>
        <w:rPr>
          <w:rFonts w:asciiTheme="majorBidi" w:eastAsia="Calibri" w:hAnsiTheme="majorBidi" w:cstheme="majorBidi"/>
          <w:b/>
          <w:bCs/>
          <w:highlight w:val="yellow"/>
          <w:lang w:val="en-US" w:eastAsia="tr-TR"/>
        </w:rPr>
      </w:pPr>
    </w:p>
    <w:p w:rsidR="00A12FD8" w:rsidRPr="00593BEC" w:rsidRDefault="00853B38" w:rsidP="00A12FD8">
      <w:pPr>
        <w:autoSpaceDE w:val="0"/>
        <w:autoSpaceDN w:val="0"/>
        <w:adjustRightInd w:val="0"/>
        <w:ind w:left="1843" w:hanging="1843"/>
        <w:jc w:val="lowKashida"/>
        <w:rPr>
          <w:rFonts w:asciiTheme="majorBidi" w:eastAsia="Calibri" w:hAnsiTheme="majorBidi" w:cstheme="majorBidi"/>
          <w:lang w:eastAsia="tr-TR"/>
        </w:rPr>
      </w:pPr>
      <w:r w:rsidRPr="00593BEC">
        <w:rPr>
          <w:rFonts w:asciiTheme="majorBidi" w:eastAsia="Calibri" w:hAnsiTheme="majorBidi" w:cstheme="majorBidi"/>
          <w:lang w:eastAsia="tr-TR"/>
        </w:rPr>
        <w:t xml:space="preserve">Key </w:t>
      </w:r>
      <w:r w:rsidR="00A12FD8" w:rsidRPr="00593BEC">
        <w:rPr>
          <w:rFonts w:asciiTheme="majorBidi" w:eastAsia="Calibri" w:hAnsiTheme="majorBidi" w:cstheme="majorBidi"/>
          <w:lang w:eastAsia="tr-TR"/>
        </w:rPr>
        <w:t>Words</w:t>
      </w:r>
      <w:r w:rsidR="00A12FD8" w:rsidRPr="00593BEC">
        <w:rPr>
          <w:rFonts w:asciiTheme="majorBidi" w:eastAsia="Calibri" w:hAnsiTheme="majorBidi" w:cstheme="majorBidi"/>
          <w:b/>
          <w:bCs/>
          <w:lang w:eastAsia="tr-TR"/>
        </w:rPr>
        <w:t>:</w:t>
      </w:r>
      <w:r w:rsidRPr="00593BEC">
        <w:rPr>
          <w:rFonts w:asciiTheme="majorBidi" w:eastAsia="Calibri" w:hAnsiTheme="majorBidi" w:cstheme="majorBidi"/>
          <w:b/>
          <w:bCs/>
          <w:lang w:eastAsia="tr-TR"/>
        </w:rPr>
        <w:t xml:space="preserve"> </w:t>
      </w:r>
      <w:r w:rsidR="00A12FD8" w:rsidRPr="00593BEC">
        <w:rPr>
          <w:rFonts w:asciiTheme="majorBidi" w:eastAsia="Calibri" w:hAnsiTheme="majorBidi" w:cstheme="majorBidi"/>
          <w:lang w:eastAsia="tr-TR"/>
        </w:rPr>
        <w:t>N1- (5-Chloro-2-Oxoindolin-3-Ylidene) Thiocarbohydrazone,  Antioxidant Activity, DPPH method, NMR spectroscopy.</w:t>
      </w:r>
    </w:p>
    <w:p w:rsidR="00A12FD8" w:rsidRPr="00593BEC" w:rsidRDefault="00A12FD8" w:rsidP="00A12FD8">
      <w:pPr>
        <w:autoSpaceDE w:val="0"/>
        <w:autoSpaceDN w:val="0"/>
        <w:adjustRightInd w:val="0"/>
        <w:ind w:left="1503" w:hanging="1503"/>
        <w:jc w:val="lowKashida"/>
        <w:rPr>
          <w:rFonts w:asciiTheme="majorBidi" w:hAnsiTheme="majorBidi" w:cstheme="majorBidi"/>
          <w:b/>
          <w:sz w:val="20"/>
          <w:szCs w:val="20"/>
        </w:rPr>
      </w:pPr>
    </w:p>
    <w:p w:rsidR="00A12FD8" w:rsidRDefault="00A12FD8" w:rsidP="009C60E6"/>
    <w:p w:rsidR="002F16B0" w:rsidRPr="00A30AC3" w:rsidRDefault="002F16B0" w:rsidP="00954B85">
      <w:pPr>
        <w:spacing w:after="360" w:line="360" w:lineRule="auto"/>
        <w:jc w:val="both"/>
        <w:rPr>
          <w:rFonts w:asciiTheme="majorBidi" w:eastAsia="Calibri" w:hAnsiTheme="majorBidi" w:cstheme="majorBidi"/>
          <w:bCs/>
          <w:sz w:val="22"/>
          <w:szCs w:val="22"/>
          <w:lang w:eastAsia="tr-TR"/>
        </w:rPr>
      </w:pPr>
      <w:r w:rsidRPr="00A30AC3">
        <w:rPr>
          <w:rFonts w:asciiTheme="majorBidi" w:eastAsia="Calibri" w:hAnsiTheme="majorBidi" w:cstheme="majorBidi"/>
          <w:bCs/>
          <w:sz w:val="22"/>
          <w:szCs w:val="22"/>
          <w:lang w:eastAsia="tr-TR"/>
        </w:rPr>
        <w:t>2</w:t>
      </w:r>
      <w:r w:rsidR="00954B85" w:rsidRPr="00A30AC3">
        <w:rPr>
          <w:rFonts w:asciiTheme="majorBidi" w:eastAsia="Calibri" w:hAnsiTheme="majorBidi" w:cstheme="majorBidi"/>
          <w:bCs/>
          <w:sz w:val="22"/>
          <w:szCs w:val="22"/>
          <w:lang w:eastAsia="tr-TR"/>
        </w:rPr>
        <w:t>-</w:t>
      </w:r>
      <w:r w:rsidRPr="00A30AC3">
        <w:rPr>
          <w:rFonts w:asciiTheme="majorBidi" w:eastAsia="Calibri" w:hAnsiTheme="majorBidi" w:cstheme="majorBidi"/>
          <w:bCs/>
          <w:sz w:val="22"/>
          <w:szCs w:val="22"/>
          <w:lang w:eastAsia="tr-TR"/>
        </w:rPr>
        <w:t xml:space="preserve"> Devices and Chemicals Used</w:t>
      </w:r>
      <w:r w:rsidR="00954B85" w:rsidRPr="00A30AC3">
        <w:rPr>
          <w:rFonts w:asciiTheme="majorBidi" w:eastAsia="Calibri" w:hAnsiTheme="majorBidi" w:cstheme="majorBidi"/>
          <w:bCs/>
          <w:sz w:val="22"/>
          <w:szCs w:val="22"/>
          <w:lang w:eastAsia="tr-TR"/>
        </w:rPr>
        <w:t>.</w:t>
      </w:r>
    </w:p>
    <w:p w:rsidR="002F16B0" w:rsidRPr="00A30AC3" w:rsidRDefault="002F16B0" w:rsidP="002F16B0">
      <w:pPr>
        <w:autoSpaceDE w:val="0"/>
        <w:autoSpaceDN w:val="0"/>
        <w:adjustRightInd w:val="0"/>
        <w:spacing w:line="360" w:lineRule="auto"/>
        <w:jc w:val="both"/>
        <w:rPr>
          <w:rFonts w:asciiTheme="majorBidi" w:eastAsia="Calibri" w:hAnsiTheme="majorBidi" w:cstheme="majorBidi"/>
          <w:sz w:val="22"/>
          <w:szCs w:val="22"/>
          <w:lang w:eastAsia="tr-TR"/>
        </w:rPr>
      </w:pPr>
      <w:r w:rsidRPr="00A30AC3">
        <w:rPr>
          <w:rFonts w:asciiTheme="majorBidi" w:eastAsia="Calibri" w:hAnsiTheme="majorBidi" w:cstheme="majorBidi"/>
          <w:sz w:val="22"/>
          <w:szCs w:val="22"/>
          <w:lang w:eastAsia="tr-TR"/>
        </w:rPr>
        <w:t>5-chloro isatin, Thiocarbohydrazone and aldehydes are provided from Sigma-Aldrich Co. Ltd. LLC. company. Deionized purity water was used in each step. C, H and O elemental analyzes and FTIR analyzes were performed in Kastamonu University Central Research Laboratory. 1H-NMR and 13C-NMR analyzes were performed in Bolu Abant University Central Research Laboratory. All solvents were used in analytical purity. Absorbances were measured by SHIMADZU UVmini-1240 UV-Visible spectrophotometer (Schimadzu Corp., Kyoto, Japan manufactures) using a pair of equivalent quartz cuvettes of 1 cm thickness at 517 nm.</w:t>
      </w:r>
    </w:p>
    <w:p w:rsidR="002F16B0" w:rsidRPr="00A30AC3" w:rsidRDefault="002F16B0" w:rsidP="002F16B0">
      <w:pPr>
        <w:autoSpaceDE w:val="0"/>
        <w:autoSpaceDN w:val="0"/>
        <w:adjustRightInd w:val="0"/>
        <w:spacing w:line="360" w:lineRule="auto"/>
        <w:jc w:val="both"/>
        <w:rPr>
          <w:rFonts w:asciiTheme="majorBidi" w:eastAsia="Calibri" w:hAnsiTheme="majorBidi" w:cstheme="majorBidi"/>
          <w:sz w:val="22"/>
          <w:szCs w:val="22"/>
          <w:lang w:eastAsia="tr-TR"/>
        </w:rPr>
      </w:pPr>
    </w:p>
    <w:p w:rsidR="002F16B0" w:rsidRPr="00A30AC3" w:rsidRDefault="002F16B0" w:rsidP="002F16B0">
      <w:pPr>
        <w:spacing w:line="360" w:lineRule="auto"/>
        <w:jc w:val="both"/>
        <w:rPr>
          <w:rFonts w:asciiTheme="majorBidi" w:eastAsia="Calibri" w:hAnsiTheme="majorBidi" w:cstheme="majorBidi"/>
          <w:sz w:val="22"/>
          <w:szCs w:val="22"/>
          <w:lang w:eastAsia="tr-TR"/>
        </w:rPr>
      </w:pPr>
      <w:r w:rsidRPr="00A30AC3">
        <w:rPr>
          <w:rFonts w:asciiTheme="majorBidi" w:eastAsia="Calibri" w:hAnsiTheme="majorBidi" w:cstheme="majorBidi"/>
          <w:sz w:val="22"/>
          <w:szCs w:val="22"/>
          <w:lang w:eastAsia="tr-TR"/>
        </w:rPr>
        <w:t>Compounds synthesized in the study were examined in two stages. In the first step, the synthesis of the semifinished products was performed and the synthesized compounds are given in Table 2.1. In the second step, the final products were synthesized and the synthesized compoundsaregiveninTable2.2.</w:t>
      </w:r>
      <w:r w:rsidRPr="00A30AC3">
        <w:rPr>
          <w:rFonts w:asciiTheme="majorBidi" w:eastAsia="Calibri" w:hAnsiTheme="majorBidi" w:cstheme="majorBidi"/>
          <w:sz w:val="22"/>
          <w:szCs w:val="22"/>
          <w:lang w:eastAsia="tr-TR"/>
        </w:rPr>
        <w:br/>
        <w:t>The chemical materials used in this study are as follows:</w:t>
      </w:r>
    </w:p>
    <w:p w:rsidR="002F16B0" w:rsidRPr="00A30AC3" w:rsidRDefault="002F16B0" w:rsidP="002F16B0">
      <w:pPr>
        <w:spacing w:line="360" w:lineRule="auto"/>
        <w:rPr>
          <w:rFonts w:asciiTheme="majorBidi" w:eastAsia="Times New Roman" w:hAnsiTheme="majorBidi" w:cstheme="majorBidi"/>
          <w:sz w:val="22"/>
          <w:szCs w:val="22"/>
          <w:lang w:eastAsia="tr-TR"/>
        </w:rPr>
      </w:pP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lastRenderedPageBreak/>
        <w:t>1)  Thiocarbohydrazone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2)  Benzaldehyde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3)  4, hydroxy benzaldhyde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4)  3,5 dimethoxy-4-hydroxyl –benzaldhyde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5)  3,ethoxy-4-hydroxyl –benzaldhyde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6)  N1- 5-Chloro-2-oxoindolin-3-ylidene</w:t>
      </w:r>
    </w:p>
    <w:p w:rsidR="002F16B0" w:rsidRPr="00A30AC3" w:rsidRDefault="002F16B0" w:rsidP="002F16B0">
      <w:pPr>
        <w:spacing w:line="360" w:lineRule="auto"/>
        <w:rPr>
          <w:rFonts w:asciiTheme="majorBidi" w:eastAsia="Times New Roman" w:hAnsiTheme="majorBidi" w:cstheme="majorBidi"/>
          <w:sz w:val="22"/>
          <w:szCs w:val="22"/>
          <w:lang w:eastAsia="tr-TR"/>
        </w:rPr>
      </w:pPr>
      <w:r w:rsidRPr="00A30AC3">
        <w:rPr>
          <w:rFonts w:asciiTheme="majorBidi" w:eastAsia="Times New Roman" w:hAnsiTheme="majorBidi" w:cstheme="majorBidi"/>
          <w:sz w:val="22"/>
          <w:szCs w:val="22"/>
          <w:lang w:eastAsia="tr-TR"/>
        </w:rPr>
        <w:t xml:space="preserve">7)  4-N,N, dimethly benzaldehyde  </w:t>
      </w:r>
    </w:p>
    <w:p w:rsidR="002F16B0" w:rsidRPr="00A30AC3" w:rsidRDefault="002F16B0" w:rsidP="002F16B0">
      <w:pPr>
        <w:spacing w:line="360" w:lineRule="auto"/>
        <w:rPr>
          <w:rFonts w:asciiTheme="majorBidi" w:eastAsia="Times New Roman" w:hAnsiTheme="majorBidi" w:cstheme="majorBidi"/>
          <w:sz w:val="22"/>
          <w:szCs w:val="22"/>
          <w:lang w:eastAsia="tr-TR"/>
        </w:rPr>
      </w:pPr>
    </w:p>
    <w:p w:rsidR="00F02497" w:rsidRPr="00A30AC3" w:rsidRDefault="00954B85" w:rsidP="00853B38">
      <w:pPr>
        <w:rPr>
          <w:rFonts w:asciiTheme="majorBidi" w:eastAsia="Calibri" w:hAnsiTheme="majorBidi" w:cstheme="majorBidi"/>
          <w:sz w:val="22"/>
          <w:szCs w:val="22"/>
        </w:rPr>
      </w:pPr>
      <w:r w:rsidRPr="00A30AC3">
        <w:rPr>
          <w:rFonts w:asciiTheme="majorBidi" w:eastAsia="Calibri" w:hAnsiTheme="majorBidi" w:cstheme="majorBidi"/>
          <w:sz w:val="22"/>
          <w:szCs w:val="22"/>
        </w:rPr>
        <w:t xml:space="preserve">3- </w:t>
      </w:r>
      <w:r w:rsidR="00F02497" w:rsidRPr="00A30AC3">
        <w:rPr>
          <w:rFonts w:asciiTheme="majorBidi" w:eastAsia="Calibri" w:hAnsiTheme="majorBidi" w:cstheme="majorBidi"/>
          <w:sz w:val="22"/>
          <w:szCs w:val="22"/>
        </w:rPr>
        <w:t>RESULTS AND DISCUSSION</w:t>
      </w:r>
      <w:r w:rsidR="00853B38" w:rsidRPr="00A30AC3">
        <w:rPr>
          <w:rFonts w:asciiTheme="majorBidi" w:eastAsia="Calibri" w:hAnsiTheme="majorBidi" w:cstheme="majorBidi"/>
          <w:sz w:val="22"/>
          <w:szCs w:val="22"/>
        </w:rPr>
        <w:t>.</w:t>
      </w:r>
    </w:p>
    <w:p w:rsidR="00F02497" w:rsidRPr="00A30AC3" w:rsidRDefault="00F02497" w:rsidP="00853B38">
      <w:pPr>
        <w:rPr>
          <w:rFonts w:asciiTheme="majorBidi" w:eastAsia="Calibri" w:hAnsiTheme="majorBidi" w:cstheme="majorBidi"/>
          <w:sz w:val="22"/>
          <w:szCs w:val="22"/>
        </w:rPr>
      </w:pPr>
    </w:p>
    <w:p w:rsidR="00F02497" w:rsidRPr="00A30AC3" w:rsidRDefault="00F02497" w:rsidP="00F02497">
      <w:pPr>
        <w:autoSpaceDE w:val="0"/>
        <w:autoSpaceDN w:val="0"/>
        <w:adjustRightInd w:val="0"/>
        <w:spacing w:after="360" w:line="360" w:lineRule="auto"/>
        <w:jc w:val="both"/>
        <w:rPr>
          <w:rFonts w:asciiTheme="majorBidi" w:eastAsia="Calibri" w:hAnsiTheme="majorBidi" w:cstheme="majorBidi"/>
          <w:bCs/>
          <w:sz w:val="22"/>
          <w:szCs w:val="22"/>
          <w:lang w:eastAsia="tr-TR"/>
        </w:rPr>
      </w:pPr>
      <w:r w:rsidRPr="00A30AC3">
        <w:rPr>
          <w:rFonts w:asciiTheme="majorBidi" w:eastAsia="Calibri" w:hAnsiTheme="majorBidi" w:cstheme="majorBidi"/>
          <w:bCs/>
          <w:sz w:val="22"/>
          <w:szCs w:val="22"/>
          <w:lang w:eastAsia="tr-TR"/>
        </w:rPr>
        <w:t>Some physicochemical parameters of the synthesized products are given in Table 3.1 for semi-products and Table 3.2 for final products. In addition to the structural determinations, the calculated and experimental elemental analyzes ((N), (C) and (H)%) of the compounds were performed and given in Table 3.3.</w:t>
      </w:r>
    </w:p>
    <w:p w:rsidR="00F02497" w:rsidRPr="00A30AC3" w:rsidRDefault="00F02497" w:rsidP="00F02497">
      <w:pPr>
        <w:rPr>
          <w:rFonts w:asciiTheme="majorBidi" w:eastAsia="Calibri" w:hAnsiTheme="majorBidi" w:cstheme="majorBidi"/>
          <w:sz w:val="22"/>
          <w:szCs w:val="22"/>
        </w:rPr>
      </w:pPr>
      <w:r w:rsidRPr="00A30AC3">
        <w:rPr>
          <w:rFonts w:asciiTheme="majorBidi" w:eastAsia="Calibri" w:hAnsiTheme="majorBidi" w:cstheme="majorBidi"/>
          <w:i/>
          <w:sz w:val="22"/>
          <w:szCs w:val="22"/>
        </w:rPr>
        <w:t xml:space="preserve">Tablo 3.1. </w:t>
      </w:r>
      <w:r w:rsidRPr="00A30AC3">
        <w:rPr>
          <w:rFonts w:asciiTheme="majorBidi" w:eastAsia="Calibri" w:hAnsiTheme="majorBidi" w:cstheme="majorBidi"/>
          <w:sz w:val="22"/>
          <w:szCs w:val="22"/>
        </w:rPr>
        <w:t>Physicochemical Parameters of Synthesized Compounds (Semi-Product)</w:t>
      </w:r>
    </w:p>
    <w:p w:rsidR="00F02497" w:rsidRPr="00A30AC3" w:rsidRDefault="00F02497" w:rsidP="00F02497">
      <w:pPr>
        <w:rPr>
          <w:rFonts w:asciiTheme="majorBidi" w:eastAsia="Calibri" w:hAnsiTheme="majorBidi" w:cstheme="majorBidi"/>
          <w:sz w:val="22"/>
          <w:szCs w:val="22"/>
        </w:rPr>
      </w:pPr>
    </w:p>
    <w:tbl>
      <w:tblPr>
        <w:tblStyle w:val="TabloKlavuzu2"/>
        <w:tblpPr w:leftFromText="142" w:rightFromText="142" w:vertAnchor="text" w:horzAnchor="margin" w:tblpXSpec="center" w:tblpY="1"/>
        <w:tblW w:w="0" w:type="auto"/>
        <w:tblLook w:val="04A0"/>
      </w:tblPr>
      <w:tblGrid>
        <w:gridCol w:w="1355"/>
        <w:gridCol w:w="1200"/>
        <w:gridCol w:w="1400"/>
        <w:gridCol w:w="1680"/>
        <w:gridCol w:w="1498"/>
        <w:gridCol w:w="1060"/>
      </w:tblGrid>
      <w:tr w:rsidR="00F02497" w:rsidRPr="00A30AC3" w:rsidTr="004B1420">
        <w:trPr>
          <w:trHeight w:val="606"/>
        </w:trPr>
        <w:tc>
          <w:tcPr>
            <w:tcW w:w="1355" w:type="dxa"/>
            <w:hideMark/>
          </w:tcPr>
          <w:p w:rsidR="00F02497" w:rsidRPr="00A30AC3" w:rsidRDefault="00F02497" w:rsidP="004B1420">
            <w:pPr>
              <w:spacing w:after="160"/>
              <w:jc w:val="center"/>
              <w:rPr>
                <w:rFonts w:asciiTheme="majorBidi" w:hAnsiTheme="majorBidi" w:cstheme="majorBidi"/>
              </w:rPr>
            </w:pPr>
            <w:r w:rsidRPr="00A30AC3">
              <w:rPr>
                <w:rFonts w:asciiTheme="majorBidi" w:hAnsiTheme="majorBidi" w:cstheme="majorBidi"/>
                <w:b/>
              </w:rPr>
              <w:t xml:space="preserve">Compound          (Semi Product) </w:t>
            </w:r>
          </w:p>
        </w:tc>
        <w:tc>
          <w:tcPr>
            <w:tcW w:w="1200" w:type="dxa"/>
            <w:hideMark/>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rPr>
              <w:t>Molecular Weight</w:t>
            </w:r>
          </w:p>
        </w:tc>
        <w:tc>
          <w:tcPr>
            <w:tcW w:w="1400" w:type="dxa"/>
            <w:hideMark/>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Melt Point (</w:t>
            </w:r>
            <w:r w:rsidRPr="00A30AC3">
              <w:rPr>
                <w:rFonts w:asciiTheme="majorBidi" w:hAnsiTheme="majorBidi" w:cstheme="majorBidi"/>
                <w:b/>
                <w:vertAlign w:val="superscript"/>
              </w:rPr>
              <w:t>o</w:t>
            </w:r>
            <w:r w:rsidRPr="00A30AC3">
              <w:rPr>
                <w:rFonts w:asciiTheme="majorBidi" w:hAnsiTheme="majorBidi" w:cstheme="majorBidi"/>
                <w:b/>
              </w:rPr>
              <w:t>C)</w:t>
            </w:r>
          </w:p>
        </w:tc>
        <w:tc>
          <w:tcPr>
            <w:tcW w:w="1680" w:type="dxa"/>
            <w:hideMark/>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Colour</w:t>
            </w:r>
          </w:p>
        </w:tc>
        <w:tc>
          <w:tcPr>
            <w:tcW w:w="1498" w:type="dxa"/>
            <w:hideMark/>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Resolution</w:t>
            </w:r>
          </w:p>
        </w:tc>
        <w:tc>
          <w:tcPr>
            <w:tcW w:w="992" w:type="dxa"/>
            <w:hideMark/>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Efficieny</w:t>
            </w:r>
          </w:p>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w:t>
            </w:r>
          </w:p>
        </w:tc>
      </w:tr>
      <w:tr w:rsidR="00F02497" w:rsidRPr="00A30AC3" w:rsidTr="004B1420">
        <w:trPr>
          <w:trHeight w:val="354"/>
        </w:trPr>
        <w:tc>
          <w:tcPr>
            <w:tcW w:w="1355"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1</w:t>
            </w:r>
          </w:p>
        </w:tc>
        <w:tc>
          <w:tcPr>
            <w:tcW w:w="1200" w:type="dxa"/>
            <w:tcBorders>
              <w:top w:val="single" w:sz="4" w:space="0" w:color="auto"/>
              <w:left w:val="single" w:sz="4" w:space="0" w:color="auto"/>
              <w:bottom w:val="single" w:sz="4" w:space="0" w:color="auto"/>
              <w:right w:val="single" w:sz="4" w:space="0" w:color="auto"/>
            </w:tcBorders>
            <w:hideMark/>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194,27</w:t>
            </w:r>
          </w:p>
        </w:tc>
        <w:tc>
          <w:tcPr>
            <w:tcW w:w="1400" w:type="dxa"/>
            <w:tcBorders>
              <w:top w:val="single" w:sz="4" w:space="0" w:color="auto"/>
              <w:left w:val="single" w:sz="4" w:space="0" w:color="auto"/>
              <w:bottom w:val="single" w:sz="4" w:space="0" w:color="auto"/>
              <w:right w:val="single" w:sz="4" w:space="0" w:color="auto"/>
            </w:tcBorders>
            <w:hideMark/>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184</w:t>
            </w:r>
          </w:p>
        </w:tc>
        <w:tc>
          <w:tcPr>
            <w:tcW w:w="1680" w:type="dxa"/>
            <w:tcBorders>
              <w:top w:val="single" w:sz="4" w:space="0" w:color="auto"/>
              <w:left w:val="single" w:sz="4" w:space="0" w:color="auto"/>
              <w:bottom w:val="single" w:sz="4" w:space="0" w:color="auto"/>
              <w:right w:val="single" w:sz="4" w:space="0" w:color="auto"/>
            </w:tcBorders>
            <w:hideMark/>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White</w:t>
            </w:r>
          </w:p>
        </w:tc>
        <w:tc>
          <w:tcPr>
            <w:tcW w:w="1498" w:type="dxa"/>
            <w:tcBorders>
              <w:top w:val="single" w:sz="4" w:space="0" w:color="auto"/>
              <w:left w:val="single" w:sz="4" w:space="0" w:color="auto"/>
              <w:bottom w:val="single" w:sz="4" w:space="0" w:color="auto"/>
              <w:right w:val="single" w:sz="4" w:space="0" w:color="auto"/>
            </w:tcBorders>
            <w:hideMark/>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92" w:type="dxa"/>
            <w:tcBorders>
              <w:top w:val="single" w:sz="4" w:space="0" w:color="auto"/>
              <w:left w:val="single" w:sz="4" w:space="0" w:color="auto"/>
              <w:bottom w:val="single" w:sz="4" w:space="0" w:color="auto"/>
              <w:right w:val="single" w:sz="4" w:space="0" w:color="auto"/>
            </w:tcBorders>
            <w:hideMark/>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74,73</w:t>
            </w:r>
          </w:p>
        </w:tc>
      </w:tr>
      <w:tr w:rsidR="00F02497" w:rsidRPr="00A30AC3" w:rsidTr="004B1420">
        <w:trPr>
          <w:trHeight w:val="434"/>
        </w:trPr>
        <w:tc>
          <w:tcPr>
            <w:tcW w:w="1355"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2</w:t>
            </w:r>
          </w:p>
        </w:tc>
        <w:tc>
          <w:tcPr>
            <w:tcW w:w="12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210,27</w:t>
            </w:r>
          </w:p>
        </w:tc>
        <w:tc>
          <w:tcPr>
            <w:tcW w:w="14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214</w:t>
            </w:r>
          </w:p>
        </w:tc>
        <w:tc>
          <w:tcPr>
            <w:tcW w:w="168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Light cream color</w:t>
            </w:r>
          </w:p>
        </w:tc>
        <w:tc>
          <w:tcPr>
            <w:tcW w:w="1498"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92"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74,84</w:t>
            </w:r>
          </w:p>
          <w:p w:rsidR="00F02497" w:rsidRPr="00A30AC3" w:rsidRDefault="00F02497" w:rsidP="004B1420">
            <w:pPr>
              <w:jc w:val="center"/>
              <w:rPr>
                <w:rFonts w:asciiTheme="majorBidi" w:hAnsiTheme="majorBidi" w:cstheme="majorBidi"/>
              </w:rPr>
            </w:pPr>
          </w:p>
        </w:tc>
      </w:tr>
      <w:tr w:rsidR="00F02497" w:rsidRPr="00A30AC3" w:rsidTr="004B1420">
        <w:trPr>
          <w:trHeight w:val="434"/>
        </w:trPr>
        <w:tc>
          <w:tcPr>
            <w:tcW w:w="1355"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3</w:t>
            </w:r>
          </w:p>
        </w:tc>
        <w:tc>
          <w:tcPr>
            <w:tcW w:w="12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254,32</w:t>
            </w:r>
          </w:p>
        </w:tc>
        <w:tc>
          <w:tcPr>
            <w:tcW w:w="14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206</w:t>
            </w:r>
          </w:p>
        </w:tc>
        <w:tc>
          <w:tcPr>
            <w:tcW w:w="168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Light yellow</w:t>
            </w:r>
          </w:p>
        </w:tc>
        <w:tc>
          <w:tcPr>
            <w:tcW w:w="1498"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92"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76,73</w:t>
            </w:r>
          </w:p>
          <w:p w:rsidR="00F02497" w:rsidRPr="00A30AC3" w:rsidRDefault="00F02497" w:rsidP="004B1420">
            <w:pPr>
              <w:jc w:val="center"/>
              <w:rPr>
                <w:rFonts w:asciiTheme="majorBidi" w:hAnsiTheme="majorBidi" w:cstheme="majorBidi"/>
              </w:rPr>
            </w:pPr>
          </w:p>
        </w:tc>
      </w:tr>
      <w:tr w:rsidR="00F02497" w:rsidRPr="00A30AC3" w:rsidTr="004B1420">
        <w:trPr>
          <w:trHeight w:val="448"/>
        </w:trPr>
        <w:tc>
          <w:tcPr>
            <w:tcW w:w="1355"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4</w:t>
            </w:r>
          </w:p>
        </w:tc>
        <w:tc>
          <w:tcPr>
            <w:tcW w:w="12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270,32</w:t>
            </w:r>
          </w:p>
        </w:tc>
        <w:tc>
          <w:tcPr>
            <w:tcW w:w="14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226</w:t>
            </w:r>
          </w:p>
        </w:tc>
        <w:tc>
          <w:tcPr>
            <w:tcW w:w="168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Light yellow- cream color</w:t>
            </w:r>
          </w:p>
        </w:tc>
        <w:tc>
          <w:tcPr>
            <w:tcW w:w="1498"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92"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79,61</w:t>
            </w:r>
          </w:p>
        </w:tc>
      </w:tr>
      <w:tr w:rsidR="00F02497" w:rsidRPr="00A30AC3" w:rsidTr="004B1420">
        <w:trPr>
          <w:trHeight w:val="434"/>
        </w:trPr>
        <w:tc>
          <w:tcPr>
            <w:tcW w:w="1355"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5</w:t>
            </w:r>
          </w:p>
        </w:tc>
        <w:tc>
          <w:tcPr>
            <w:tcW w:w="12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237,34</w:t>
            </w:r>
          </w:p>
        </w:tc>
        <w:tc>
          <w:tcPr>
            <w:tcW w:w="140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198</w:t>
            </w:r>
          </w:p>
        </w:tc>
        <w:tc>
          <w:tcPr>
            <w:tcW w:w="1680"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 70 yellow- % 30 green</w:t>
            </w:r>
          </w:p>
        </w:tc>
        <w:tc>
          <w:tcPr>
            <w:tcW w:w="1498"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92" w:type="dxa"/>
            <w:tcBorders>
              <w:top w:val="single" w:sz="4" w:space="0" w:color="auto"/>
              <w:left w:val="single" w:sz="4" w:space="0" w:color="auto"/>
              <w:bottom w:val="single" w:sz="4" w:space="0" w:color="auto"/>
              <w:right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r>
    </w:tbl>
    <w:p w:rsidR="00F02497" w:rsidRPr="00A30AC3" w:rsidRDefault="00F02497" w:rsidP="00F02497">
      <w:pPr>
        <w:tabs>
          <w:tab w:val="center" w:pos="4110"/>
          <w:tab w:val="right" w:pos="8220"/>
        </w:tabs>
        <w:rPr>
          <w:rFonts w:asciiTheme="majorBidi" w:eastAsia="Calibri" w:hAnsiTheme="majorBidi" w:cstheme="majorBidi"/>
          <w:b/>
          <w:sz w:val="22"/>
          <w:szCs w:val="22"/>
        </w:rPr>
      </w:pPr>
    </w:p>
    <w:p w:rsidR="00F02497" w:rsidRPr="00A30AC3" w:rsidRDefault="00F02497" w:rsidP="00F02497">
      <w:pPr>
        <w:tabs>
          <w:tab w:val="center" w:pos="4110"/>
          <w:tab w:val="right" w:pos="8220"/>
        </w:tabs>
        <w:rPr>
          <w:rFonts w:asciiTheme="majorBidi" w:eastAsia="Calibri" w:hAnsiTheme="majorBidi" w:cstheme="majorBidi"/>
          <w:b/>
          <w:sz w:val="22"/>
          <w:szCs w:val="22"/>
        </w:rPr>
      </w:pPr>
    </w:p>
    <w:p w:rsidR="00F02497" w:rsidRPr="00A30AC3" w:rsidRDefault="00F02497" w:rsidP="00F02497">
      <w:pPr>
        <w:tabs>
          <w:tab w:val="center" w:pos="4110"/>
          <w:tab w:val="right" w:pos="8220"/>
        </w:tabs>
        <w:rPr>
          <w:rFonts w:asciiTheme="majorBidi" w:eastAsia="Calibri" w:hAnsiTheme="majorBidi" w:cstheme="majorBidi"/>
          <w:b/>
          <w:sz w:val="22"/>
          <w:szCs w:val="22"/>
        </w:rPr>
      </w:pPr>
    </w:p>
    <w:p w:rsidR="00F02497" w:rsidRPr="00A30AC3" w:rsidRDefault="00F02497" w:rsidP="00F02497">
      <w:pPr>
        <w:tabs>
          <w:tab w:val="center" w:pos="4110"/>
          <w:tab w:val="right" w:pos="8220"/>
        </w:tabs>
        <w:jc w:val="both"/>
        <w:rPr>
          <w:rFonts w:asciiTheme="majorBidi" w:eastAsia="Calibri" w:hAnsiTheme="majorBidi" w:cstheme="majorBidi"/>
          <w:sz w:val="22"/>
          <w:szCs w:val="22"/>
        </w:rPr>
      </w:pPr>
      <w:r w:rsidRPr="00A30AC3">
        <w:rPr>
          <w:rFonts w:asciiTheme="majorBidi" w:eastAsia="Calibri" w:hAnsiTheme="majorBidi" w:cstheme="majorBidi"/>
          <w:i/>
          <w:sz w:val="22"/>
          <w:szCs w:val="22"/>
        </w:rPr>
        <w:t xml:space="preserve">Tablo 3.2 </w:t>
      </w:r>
      <w:r w:rsidRPr="00A30AC3">
        <w:rPr>
          <w:rFonts w:asciiTheme="majorBidi" w:eastAsia="Calibri" w:hAnsiTheme="majorBidi" w:cstheme="majorBidi"/>
          <w:sz w:val="22"/>
          <w:szCs w:val="22"/>
        </w:rPr>
        <w:t>Physicochemical Parameters of Synthesized Compounds (Final Product)</w:t>
      </w:r>
    </w:p>
    <w:p w:rsidR="00F02497" w:rsidRPr="00A30AC3" w:rsidRDefault="00F02497" w:rsidP="00F02497">
      <w:pPr>
        <w:tabs>
          <w:tab w:val="center" w:pos="4110"/>
          <w:tab w:val="right" w:pos="8220"/>
        </w:tabs>
        <w:jc w:val="both"/>
        <w:rPr>
          <w:rFonts w:asciiTheme="majorBidi" w:eastAsia="Calibri" w:hAnsiTheme="majorBidi" w:cstheme="majorBidi"/>
          <w:sz w:val="22"/>
          <w:szCs w:val="22"/>
        </w:rPr>
      </w:pPr>
      <w:r w:rsidRPr="00A30AC3">
        <w:rPr>
          <w:rFonts w:asciiTheme="majorBidi" w:eastAsia="Calibri" w:hAnsiTheme="majorBidi" w:cstheme="majorBidi"/>
          <w:sz w:val="22"/>
          <w:szCs w:val="22"/>
        </w:rPr>
        <w:tab/>
      </w:r>
    </w:p>
    <w:tbl>
      <w:tblPr>
        <w:tblStyle w:val="TabloKlavuzu2"/>
        <w:tblpPr w:leftFromText="142" w:rightFromText="142" w:vertAnchor="text" w:horzAnchor="margin" w:tblpX="74" w:tblpY="1"/>
        <w:tblOverlap w:val="never"/>
        <w:tblW w:w="0" w:type="auto"/>
        <w:tblLook w:val="04A0"/>
      </w:tblPr>
      <w:tblGrid>
        <w:gridCol w:w="1364"/>
        <w:gridCol w:w="1197"/>
        <w:gridCol w:w="1384"/>
        <w:gridCol w:w="1795"/>
        <w:gridCol w:w="1501"/>
        <w:gridCol w:w="1060"/>
      </w:tblGrid>
      <w:tr w:rsidR="00F02497" w:rsidRPr="00A30AC3" w:rsidTr="004B1420">
        <w:trPr>
          <w:trHeight w:val="841"/>
        </w:trPr>
        <w:tc>
          <w:tcPr>
            <w:tcW w:w="1364" w:type="dxa"/>
          </w:tcPr>
          <w:p w:rsidR="00F02497" w:rsidRPr="00A30AC3" w:rsidRDefault="00F02497" w:rsidP="004B1420">
            <w:pPr>
              <w:spacing w:after="160"/>
              <w:jc w:val="center"/>
              <w:rPr>
                <w:rFonts w:asciiTheme="majorBidi" w:hAnsiTheme="majorBidi" w:cstheme="majorBidi"/>
              </w:rPr>
            </w:pPr>
            <w:r w:rsidRPr="00A30AC3">
              <w:rPr>
                <w:rFonts w:asciiTheme="majorBidi" w:hAnsiTheme="majorBidi" w:cstheme="majorBidi"/>
                <w:b/>
              </w:rPr>
              <w:t xml:space="preserve">Compound          (Final Product) </w:t>
            </w:r>
          </w:p>
        </w:tc>
        <w:tc>
          <w:tcPr>
            <w:tcW w:w="1197" w:type="dxa"/>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rPr>
              <w:t>Molecular Weight</w:t>
            </w:r>
          </w:p>
        </w:tc>
        <w:tc>
          <w:tcPr>
            <w:tcW w:w="1384" w:type="dxa"/>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Melt Point (</w:t>
            </w:r>
            <w:r w:rsidRPr="00A30AC3">
              <w:rPr>
                <w:rFonts w:asciiTheme="majorBidi" w:hAnsiTheme="majorBidi" w:cstheme="majorBidi"/>
                <w:b/>
                <w:vertAlign w:val="superscript"/>
              </w:rPr>
              <w:t>o</w:t>
            </w:r>
            <w:r w:rsidRPr="00A30AC3">
              <w:rPr>
                <w:rFonts w:asciiTheme="majorBidi" w:hAnsiTheme="majorBidi" w:cstheme="majorBidi"/>
                <w:b/>
              </w:rPr>
              <w:t>C)</w:t>
            </w:r>
          </w:p>
        </w:tc>
        <w:tc>
          <w:tcPr>
            <w:tcW w:w="1795" w:type="dxa"/>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Colour</w:t>
            </w:r>
          </w:p>
        </w:tc>
        <w:tc>
          <w:tcPr>
            <w:tcW w:w="1501" w:type="dxa"/>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Resolution</w:t>
            </w:r>
          </w:p>
        </w:tc>
        <w:tc>
          <w:tcPr>
            <w:tcW w:w="947" w:type="dxa"/>
          </w:tcPr>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Efficieny</w:t>
            </w:r>
          </w:p>
          <w:p w:rsidR="00F02497" w:rsidRPr="00A30AC3" w:rsidRDefault="00F02497" w:rsidP="004B1420">
            <w:pPr>
              <w:spacing w:after="160"/>
              <w:jc w:val="center"/>
              <w:rPr>
                <w:rFonts w:asciiTheme="majorBidi" w:hAnsiTheme="majorBidi" w:cstheme="majorBidi"/>
                <w:b/>
              </w:rPr>
            </w:pPr>
            <w:r w:rsidRPr="00A30AC3">
              <w:rPr>
                <w:rFonts w:asciiTheme="majorBidi" w:hAnsiTheme="majorBidi" w:cstheme="majorBidi"/>
                <w:b/>
              </w:rPr>
              <w:t>(%)</w:t>
            </w:r>
          </w:p>
        </w:tc>
      </w:tr>
      <w:tr w:rsidR="00F02497" w:rsidRPr="00A30AC3" w:rsidTr="004B1420">
        <w:tc>
          <w:tcPr>
            <w:tcW w:w="1364" w:type="dxa"/>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1</w:t>
            </w:r>
          </w:p>
        </w:tc>
        <w:tc>
          <w:tcPr>
            <w:tcW w:w="119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357,85</w:t>
            </w:r>
          </w:p>
        </w:tc>
        <w:tc>
          <w:tcPr>
            <w:tcW w:w="138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234</w:t>
            </w:r>
          </w:p>
        </w:tc>
        <w:tc>
          <w:tcPr>
            <w:tcW w:w="1795"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 80 Light brown- % 20 Yellow</w:t>
            </w:r>
          </w:p>
        </w:tc>
        <w:tc>
          <w:tcPr>
            <w:tcW w:w="1501"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4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56,70</w:t>
            </w:r>
          </w:p>
        </w:tc>
      </w:tr>
      <w:tr w:rsidR="00F02497" w:rsidRPr="00A30AC3" w:rsidTr="004B1420">
        <w:tc>
          <w:tcPr>
            <w:tcW w:w="1364" w:type="dxa"/>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2</w:t>
            </w:r>
          </w:p>
        </w:tc>
        <w:tc>
          <w:tcPr>
            <w:tcW w:w="119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373,85</w:t>
            </w:r>
          </w:p>
        </w:tc>
        <w:tc>
          <w:tcPr>
            <w:tcW w:w="138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254</w:t>
            </w:r>
          </w:p>
        </w:tc>
        <w:tc>
          <w:tcPr>
            <w:tcW w:w="1795"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Light orange</w:t>
            </w:r>
          </w:p>
        </w:tc>
        <w:tc>
          <w:tcPr>
            <w:tcW w:w="1501"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4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82,96</w:t>
            </w:r>
          </w:p>
        </w:tc>
      </w:tr>
      <w:tr w:rsidR="00F02497" w:rsidRPr="00A30AC3" w:rsidTr="004B1420">
        <w:tc>
          <w:tcPr>
            <w:tcW w:w="1364" w:type="dxa"/>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3</w:t>
            </w:r>
          </w:p>
        </w:tc>
        <w:tc>
          <w:tcPr>
            <w:tcW w:w="119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417,90</w:t>
            </w:r>
          </w:p>
        </w:tc>
        <w:tc>
          <w:tcPr>
            <w:tcW w:w="138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248</w:t>
            </w:r>
          </w:p>
        </w:tc>
        <w:tc>
          <w:tcPr>
            <w:tcW w:w="1795"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Matte yellow</w:t>
            </w:r>
          </w:p>
        </w:tc>
        <w:tc>
          <w:tcPr>
            <w:tcW w:w="1501"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4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76,44</w:t>
            </w:r>
          </w:p>
          <w:p w:rsidR="00F02497" w:rsidRPr="00A30AC3" w:rsidRDefault="00F02497" w:rsidP="004B1420">
            <w:pPr>
              <w:jc w:val="center"/>
              <w:rPr>
                <w:rFonts w:asciiTheme="majorBidi" w:hAnsiTheme="majorBidi" w:cstheme="majorBidi"/>
              </w:rPr>
            </w:pPr>
          </w:p>
        </w:tc>
      </w:tr>
      <w:tr w:rsidR="00F02497" w:rsidRPr="00A30AC3" w:rsidTr="004B1420">
        <w:tc>
          <w:tcPr>
            <w:tcW w:w="1364" w:type="dxa"/>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t>4</w:t>
            </w:r>
          </w:p>
        </w:tc>
        <w:tc>
          <w:tcPr>
            <w:tcW w:w="119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433,90</w:t>
            </w:r>
          </w:p>
        </w:tc>
        <w:tc>
          <w:tcPr>
            <w:tcW w:w="138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267</w:t>
            </w:r>
          </w:p>
        </w:tc>
        <w:tc>
          <w:tcPr>
            <w:tcW w:w="1795"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 xml:space="preserve">% 30 Brown-% 10 orange-% </w:t>
            </w:r>
            <w:r w:rsidRPr="00A30AC3">
              <w:rPr>
                <w:rFonts w:asciiTheme="majorBidi" w:hAnsiTheme="majorBidi" w:cstheme="majorBidi"/>
              </w:rPr>
              <w:lastRenderedPageBreak/>
              <w:t>60yellow</w:t>
            </w:r>
          </w:p>
        </w:tc>
        <w:tc>
          <w:tcPr>
            <w:tcW w:w="1501"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lastRenderedPageBreak/>
              <w:t>DMSO (+)</w:t>
            </w:r>
          </w:p>
        </w:tc>
        <w:tc>
          <w:tcPr>
            <w:tcW w:w="94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90,54</w:t>
            </w:r>
          </w:p>
        </w:tc>
      </w:tr>
      <w:tr w:rsidR="00F02497" w:rsidRPr="00A30AC3" w:rsidTr="004B1420">
        <w:tc>
          <w:tcPr>
            <w:tcW w:w="1364" w:type="dxa"/>
          </w:tcPr>
          <w:p w:rsidR="00F02497" w:rsidRPr="00A30AC3" w:rsidRDefault="00F02497" w:rsidP="004B1420">
            <w:pPr>
              <w:spacing w:after="160" w:line="256" w:lineRule="auto"/>
              <w:jc w:val="center"/>
              <w:rPr>
                <w:rFonts w:asciiTheme="majorBidi" w:hAnsiTheme="majorBidi" w:cstheme="majorBidi"/>
              </w:rPr>
            </w:pPr>
            <w:r w:rsidRPr="00A30AC3">
              <w:rPr>
                <w:rFonts w:asciiTheme="majorBidi" w:hAnsiTheme="majorBidi" w:cstheme="majorBidi"/>
              </w:rPr>
              <w:lastRenderedPageBreak/>
              <w:t>5</w:t>
            </w:r>
          </w:p>
        </w:tc>
        <w:tc>
          <w:tcPr>
            <w:tcW w:w="119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400,92</w:t>
            </w:r>
          </w:p>
        </w:tc>
        <w:tc>
          <w:tcPr>
            <w:tcW w:w="138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238</w:t>
            </w:r>
          </w:p>
        </w:tc>
        <w:tc>
          <w:tcPr>
            <w:tcW w:w="1795"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Dark brown</w:t>
            </w:r>
          </w:p>
        </w:tc>
        <w:tc>
          <w:tcPr>
            <w:tcW w:w="1501"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DMSO (+)</w:t>
            </w:r>
          </w:p>
        </w:tc>
        <w:tc>
          <w:tcPr>
            <w:tcW w:w="947"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50,29</w:t>
            </w:r>
          </w:p>
        </w:tc>
      </w:tr>
    </w:tbl>
    <w:p w:rsidR="00F02497" w:rsidRPr="00A30AC3" w:rsidRDefault="00F02497" w:rsidP="00F02497">
      <w:pPr>
        <w:rPr>
          <w:rFonts w:asciiTheme="majorBidi" w:eastAsia="Calibri" w:hAnsiTheme="majorBidi" w:cstheme="majorBidi"/>
          <w:sz w:val="22"/>
          <w:szCs w:val="22"/>
        </w:rPr>
      </w:pPr>
    </w:p>
    <w:p w:rsidR="00F02497" w:rsidRPr="00A30AC3" w:rsidRDefault="00F02497" w:rsidP="00F02497">
      <w:pPr>
        <w:rPr>
          <w:rFonts w:asciiTheme="majorBidi" w:eastAsia="Calibri" w:hAnsiTheme="majorBidi" w:cstheme="majorBidi"/>
          <w:b/>
          <w:sz w:val="22"/>
          <w:szCs w:val="22"/>
        </w:rPr>
      </w:pPr>
    </w:p>
    <w:p w:rsidR="00F02497" w:rsidRPr="00A30AC3" w:rsidRDefault="00F02497" w:rsidP="00F02497">
      <w:pPr>
        <w:jc w:val="both"/>
        <w:rPr>
          <w:rFonts w:asciiTheme="majorBidi" w:eastAsia="Calibri" w:hAnsiTheme="majorBidi" w:cstheme="majorBidi"/>
          <w:i/>
          <w:sz w:val="22"/>
          <w:szCs w:val="22"/>
        </w:rPr>
      </w:pPr>
    </w:p>
    <w:p w:rsidR="00F02497" w:rsidRPr="00A30AC3" w:rsidRDefault="00F02497" w:rsidP="00F02497">
      <w:pPr>
        <w:jc w:val="both"/>
        <w:rPr>
          <w:rFonts w:asciiTheme="majorBidi" w:eastAsia="Calibri" w:hAnsiTheme="majorBidi" w:cstheme="majorBidi"/>
          <w:i/>
          <w:sz w:val="22"/>
          <w:szCs w:val="22"/>
        </w:rPr>
      </w:pPr>
    </w:p>
    <w:p w:rsidR="00F02497" w:rsidRPr="00A30AC3" w:rsidRDefault="00F02497" w:rsidP="00F02497">
      <w:pPr>
        <w:jc w:val="both"/>
        <w:rPr>
          <w:rFonts w:asciiTheme="majorBidi" w:eastAsia="Calibri" w:hAnsiTheme="majorBidi" w:cstheme="majorBidi"/>
          <w:i/>
          <w:sz w:val="22"/>
          <w:szCs w:val="22"/>
        </w:rPr>
      </w:pPr>
    </w:p>
    <w:p w:rsidR="00F02497" w:rsidRPr="00A30AC3" w:rsidRDefault="00F02497" w:rsidP="00F02497">
      <w:pPr>
        <w:jc w:val="both"/>
        <w:rPr>
          <w:rFonts w:asciiTheme="majorBidi" w:eastAsia="Calibri" w:hAnsiTheme="majorBidi" w:cstheme="majorBidi"/>
          <w:i/>
          <w:sz w:val="22"/>
          <w:szCs w:val="22"/>
        </w:rPr>
      </w:pPr>
    </w:p>
    <w:p w:rsidR="00F02497" w:rsidRPr="00A30AC3" w:rsidRDefault="00F02497" w:rsidP="00F02497">
      <w:pPr>
        <w:jc w:val="both"/>
        <w:rPr>
          <w:rFonts w:asciiTheme="majorBidi" w:eastAsia="Calibri" w:hAnsiTheme="majorBidi" w:cstheme="majorBidi"/>
          <w:i/>
          <w:sz w:val="22"/>
          <w:szCs w:val="22"/>
        </w:rPr>
      </w:pPr>
    </w:p>
    <w:p w:rsidR="00F02497" w:rsidRPr="00A30AC3" w:rsidRDefault="00F02497" w:rsidP="00F02497">
      <w:pPr>
        <w:jc w:val="both"/>
        <w:rPr>
          <w:rFonts w:asciiTheme="majorBidi" w:eastAsia="Calibri" w:hAnsiTheme="majorBidi" w:cstheme="majorBidi"/>
          <w:sz w:val="22"/>
          <w:szCs w:val="22"/>
        </w:rPr>
      </w:pPr>
      <w:r w:rsidRPr="00A30AC3">
        <w:rPr>
          <w:rFonts w:asciiTheme="majorBidi" w:eastAsia="Calibri" w:hAnsiTheme="majorBidi" w:cstheme="majorBidi"/>
          <w:i/>
          <w:sz w:val="22"/>
          <w:szCs w:val="22"/>
        </w:rPr>
        <w:t>Tablo 3.3.</w:t>
      </w:r>
      <w:r w:rsidRPr="00A30AC3">
        <w:rPr>
          <w:rFonts w:asciiTheme="majorBidi" w:eastAsia="Calibri" w:hAnsiTheme="majorBidi" w:cstheme="majorBidi"/>
          <w:sz w:val="22"/>
          <w:szCs w:val="22"/>
        </w:rPr>
        <w:t>Calculated and experimental elemental analysis of synthesized compounds</w:t>
      </w:r>
    </w:p>
    <w:p w:rsidR="00F02497" w:rsidRPr="00A30AC3" w:rsidRDefault="00F02497" w:rsidP="00F02497">
      <w:pPr>
        <w:jc w:val="both"/>
        <w:rPr>
          <w:rFonts w:asciiTheme="majorBidi" w:eastAsia="Calibri" w:hAnsiTheme="majorBidi" w:cstheme="majorBidi"/>
          <w:sz w:val="22"/>
          <w:szCs w:val="22"/>
        </w:rPr>
      </w:pPr>
      <w:r w:rsidRPr="00A30AC3">
        <w:rPr>
          <w:rFonts w:asciiTheme="majorBidi" w:eastAsia="Calibri" w:hAnsiTheme="majorBidi" w:cstheme="majorBidi"/>
          <w:sz w:val="22"/>
          <w:szCs w:val="22"/>
        </w:rPr>
        <w:t>((N),(C) ve (H)%)</w:t>
      </w:r>
    </w:p>
    <w:p w:rsidR="00F02497" w:rsidRPr="00A30AC3" w:rsidRDefault="00F02497" w:rsidP="00F02497">
      <w:pPr>
        <w:jc w:val="both"/>
        <w:rPr>
          <w:rFonts w:asciiTheme="majorBidi" w:eastAsia="Calibri" w:hAnsiTheme="majorBidi" w:cstheme="majorBidi"/>
          <w:sz w:val="22"/>
          <w:szCs w:val="22"/>
        </w:rPr>
      </w:pPr>
    </w:p>
    <w:tbl>
      <w:tblPr>
        <w:tblStyle w:val="TabloKlavuzu2"/>
        <w:tblpPr w:leftFromText="142" w:rightFromText="142" w:vertAnchor="text" w:horzAnchor="margin" w:tblpX="108" w:tblpY="1"/>
        <w:tblOverlap w:val="never"/>
        <w:tblW w:w="8222" w:type="dxa"/>
        <w:tblLayout w:type="fixed"/>
        <w:tblLook w:val="04A0"/>
      </w:tblPr>
      <w:tblGrid>
        <w:gridCol w:w="1701"/>
        <w:gridCol w:w="1134"/>
        <w:gridCol w:w="993"/>
        <w:gridCol w:w="1134"/>
        <w:gridCol w:w="1134"/>
        <w:gridCol w:w="1134"/>
        <w:gridCol w:w="992"/>
      </w:tblGrid>
      <w:tr w:rsidR="00F02497" w:rsidRPr="00A30AC3" w:rsidTr="004B1420">
        <w:trPr>
          <w:trHeight w:val="405"/>
        </w:trPr>
        <w:tc>
          <w:tcPr>
            <w:tcW w:w="1701" w:type="dxa"/>
            <w:vMerge w:val="restart"/>
          </w:tcPr>
          <w:p w:rsidR="00F02497" w:rsidRPr="00A30AC3" w:rsidRDefault="00F02497" w:rsidP="004B1420">
            <w:pPr>
              <w:spacing w:after="160" w:line="259" w:lineRule="auto"/>
              <w:jc w:val="center"/>
              <w:rPr>
                <w:rFonts w:asciiTheme="majorBidi" w:hAnsiTheme="majorBidi" w:cstheme="majorBidi"/>
                <w:b/>
              </w:rPr>
            </w:pPr>
            <w:r w:rsidRPr="00A30AC3">
              <w:rPr>
                <w:rFonts w:asciiTheme="majorBidi" w:hAnsiTheme="majorBidi" w:cstheme="majorBidi"/>
                <w:b/>
              </w:rPr>
              <w:t>Compound</w:t>
            </w:r>
          </w:p>
        </w:tc>
        <w:tc>
          <w:tcPr>
            <w:tcW w:w="3261" w:type="dxa"/>
            <w:gridSpan w:val="3"/>
            <w:vAlign w:val="center"/>
          </w:tcPr>
          <w:p w:rsidR="00F02497" w:rsidRPr="00A30AC3" w:rsidRDefault="00F02497" w:rsidP="004B1420">
            <w:pPr>
              <w:jc w:val="center"/>
              <w:rPr>
                <w:rFonts w:asciiTheme="majorBidi" w:hAnsiTheme="majorBidi" w:cstheme="majorBidi"/>
                <w:b/>
              </w:rPr>
            </w:pPr>
            <w:r w:rsidRPr="00A30AC3">
              <w:rPr>
                <w:rFonts w:asciiTheme="majorBidi" w:hAnsiTheme="majorBidi" w:cstheme="majorBidi"/>
                <w:b/>
              </w:rPr>
              <w:t>Calculated</w:t>
            </w:r>
          </w:p>
        </w:tc>
        <w:tc>
          <w:tcPr>
            <w:tcW w:w="3260" w:type="dxa"/>
            <w:gridSpan w:val="3"/>
            <w:vAlign w:val="center"/>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bCs/>
              </w:rPr>
              <w:t>Experimental</w:t>
            </w:r>
          </w:p>
        </w:tc>
      </w:tr>
      <w:tr w:rsidR="00F02497" w:rsidRPr="00A30AC3" w:rsidTr="004B1420">
        <w:trPr>
          <w:trHeight w:val="150"/>
        </w:trPr>
        <w:tc>
          <w:tcPr>
            <w:tcW w:w="1701" w:type="dxa"/>
            <w:vMerge/>
          </w:tcPr>
          <w:p w:rsidR="00F02497" w:rsidRPr="00A30AC3" w:rsidRDefault="00F02497" w:rsidP="004B1420">
            <w:pPr>
              <w:spacing w:after="160" w:line="259" w:lineRule="auto"/>
              <w:jc w:val="center"/>
              <w:rPr>
                <w:rFonts w:asciiTheme="majorBidi" w:hAnsiTheme="majorBidi" w:cstheme="majorBidi"/>
              </w:rPr>
            </w:pPr>
          </w:p>
        </w:tc>
        <w:tc>
          <w:tcPr>
            <w:tcW w:w="1134" w:type="dxa"/>
            <w:vAlign w:val="center"/>
          </w:tcPr>
          <w:p w:rsidR="00F02497" w:rsidRPr="00A30AC3" w:rsidRDefault="00F02497" w:rsidP="004B1420">
            <w:pPr>
              <w:jc w:val="center"/>
              <w:rPr>
                <w:rFonts w:asciiTheme="majorBidi" w:hAnsiTheme="majorBidi" w:cstheme="majorBidi"/>
                <w:b/>
              </w:rPr>
            </w:pPr>
            <w:r w:rsidRPr="00A30AC3">
              <w:rPr>
                <w:rFonts w:asciiTheme="majorBidi" w:hAnsiTheme="majorBidi" w:cstheme="majorBidi"/>
                <w:b/>
              </w:rPr>
              <w:t>%N</w:t>
            </w:r>
          </w:p>
        </w:tc>
        <w:tc>
          <w:tcPr>
            <w:tcW w:w="993" w:type="dxa"/>
            <w:vAlign w:val="center"/>
          </w:tcPr>
          <w:p w:rsidR="00F02497" w:rsidRPr="00A30AC3" w:rsidRDefault="00F02497" w:rsidP="004B1420">
            <w:pPr>
              <w:jc w:val="center"/>
              <w:rPr>
                <w:rFonts w:asciiTheme="majorBidi" w:hAnsiTheme="majorBidi" w:cstheme="majorBidi"/>
                <w:b/>
              </w:rPr>
            </w:pPr>
            <w:r w:rsidRPr="00A30AC3">
              <w:rPr>
                <w:rFonts w:asciiTheme="majorBidi" w:hAnsiTheme="majorBidi" w:cstheme="majorBidi"/>
                <w:b/>
              </w:rPr>
              <w:t>%C</w:t>
            </w:r>
          </w:p>
        </w:tc>
        <w:tc>
          <w:tcPr>
            <w:tcW w:w="1134" w:type="dxa"/>
            <w:vAlign w:val="center"/>
          </w:tcPr>
          <w:p w:rsidR="00F02497" w:rsidRPr="00A30AC3" w:rsidRDefault="00F02497" w:rsidP="004B1420">
            <w:pPr>
              <w:jc w:val="center"/>
              <w:rPr>
                <w:rFonts w:asciiTheme="majorBidi" w:hAnsiTheme="majorBidi" w:cstheme="majorBidi"/>
                <w:b/>
              </w:rPr>
            </w:pPr>
            <w:r w:rsidRPr="00A30AC3">
              <w:rPr>
                <w:rFonts w:asciiTheme="majorBidi" w:hAnsiTheme="majorBidi" w:cstheme="majorBidi"/>
                <w:b/>
              </w:rPr>
              <w:t>%H</w:t>
            </w:r>
          </w:p>
        </w:tc>
        <w:tc>
          <w:tcPr>
            <w:tcW w:w="1134" w:type="dxa"/>
            <w:vAlign w:val="center"/>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bCs/>
              </w:rPr>
              <w:t>(N) %</w:t>
            </w:r>
          </w:p>
        </w:tc>
        <w:tc>
          <w:tcPr>
            <w:tcW w:w="1134" w:type="dxa"/>
            <w:vAlign w:val="center"/>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bCs/>
              </w:rPr>
              <w:t>(C) %</w:t>
            </w:r>
          </w:p>
        </w:tc>
        <w:tc>
          <w:tcPr>
            <w:tcW w:w="992" w:type="dxa"/>
            <w:vAlign w:val="center"/>
          </w:tcPr>
          <w:p w:rsidR="00F02497" w:rsidRPr="00A30AC3" w:rsidRDefault="00F02497" w:rsidP="004B1420">
            <w:pPr>
              <w:jc w:val="center"/>
              <w:rPr>
                <w:rFonts w:asciiTheme="majorBidi" w:hAnsiTheme="majorBidi" w:cstheme="majorBidi"/>
                <w:b/>
                <w:bCs/>
              </w:rPr>
            </w:pPr>
            <w:r w:rsidRPr="00A30AC3">
              <w:rPr>
                <w:rFonts w:asciiTheme="majorBidi" w:hAnsiTheme="majorBidi" w:cstheme="majorBidi"/>
                <w:b/>
                <w:bCs/>
              </w:rPr>
              <w:t>(H) %</w:t>
            </w:r>
          </w:p>
        </w:tc>
      </w:tr>
      <w:tr w:rsidR="00F02497" w:rsidRPr="00A30AC3" w:rsidTr="004B1420">
        <w:tc>
          <w:tcPr>
            <w:tcW w:w="1701" w:type="dxa"/>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Son Ürünler 1</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19,561</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53,653</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3,380</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18,998</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52,769</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3,219</w:t>
            </w:r>
          </w:p>
        </w:tc>
      </w:tr>
      <w:tr w:rsidR="00F02497" w:rsidRPr="00A30AC3" w:rsidTr="004B1420">
        <w:trPr>
          <w:trHeight w:val="193"/>
        </w:trPr>
        <w:tc>
          <w:tcPr>
            <w:tcW w:w="1701" w:type="dxa"/>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Son Ürünler 2</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18,724</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51,357</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3,235</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18,312</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50,829</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3,193</w:t>
            </w:r>
          </w:p>
        </w:tc>
      </w:tr>
      <w:tr w:rsidR="00F02497" w:rsidRPr="00A30AC3" w:rsidTr="004B1420">
        <w:tc>
          <w:tcPr>
            <w:tcW w:w="1701" w:type="dxa"/>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Son Ürünler 3</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16,750</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51,687</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3,859</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16,374</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50,730</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3,813</w:t>
            </w:r>
          </w:p>
        </w:tc>
      </w:tr>
      <w:tr w:rsidR="00F02497" w:rsidRPr="00A30AC3" w:rsidTr="004B1420">
        <w:trPr>
          <w:trHeight w:val="276"/>
        </w:trPr>
        <w:tc>
          <w:tcPr>
            <w:tcW w:w="1701" w:type="dxa"/>
            <w:tcBorders>
              <w:bottom w:val="single" w:sz="4" w:space="0" w:color="auto"/>
            </w:tcBorders>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Son Ürünler 4</w:t>
            </w:r>
          </w:p>
        </w:tc>
        <w:tc>
          <w:tcPr>
            <w:tcW w:w="1134"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16,132</w:t>
            </w:r>
          </w:p>
        </w:tc>
        <w:tc>
          <w:tcPr>
            <w:tcW w:w="993"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49,781</w:t>
            </w:r>
          </w:p>
        </w:tc>
        <w:tc>
          <w:tcPr>
            <w:tcW w:w="1134"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3,716</w:t>
            </w:r>
          </w:p>
        </w:tc>
        <w:tc>
          <w:tcPr>
            <w:tcW w:w="1134"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15,897</w:t>
            </w:r>
          </w:p>
        </w:tc>
        <w:tc>
          <w:tcPr>
            <w:tcW w:w="1134"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48,153</w:t>
            </w:r>
          </w:p>
        </w:tc>
        <w:tc>
          <w:tcPr>
            <w:tcW w:w="992" w:type="dxa"/>
            <w:tcBorders>
              <w:bottom w:val="single" w:sz="4" w:space="0" w:color="auto"/>
            </w:tcBorders>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3,676</w:t>
            </w:r>
          </w:p>
        </w:tc>
      </w:tr>
      <w:tr w:rsidR="00F02497" w:rsidRPr="00A30AC3" w:rsidTr="004B1420">
        <w:trPr>
          <w:trHeight w:val="266"/>
        </w:trPr>
        <w:tc>
          <w:tcPr>
            <w:tcW w:w="1701" w:type="dxa"/>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Son Ürünler 5</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20,951</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53,876</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4,274</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20,615</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51,973</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4,236</w:t>
            </w:r>
          </w:p>
        </w:tc>
      </w:tr>
      <w:tr w:rsidR="00F02497" w:rsidRPr="00A30AC3" w:rsidTr="004B1420">
        <w:tc>
          <w:tcPr>
            <w:tcW w:w="1701" w:type="dxa"/>
          </w:tcPr>
          <w:p w:rsidR="00F02497" w:rsidRPr="00A30AC3" w:rsidRDefault="00F02497" w:rsidP="004B1420">
            <w:pPr>
              <w:jc w:val="center"/>
              <w:rPr>
                <w:rFonts w:asciiTheme="majorBidi" w:hAnsiTheme="majorBidi" w:cstheme="majorBidi"/>
                <w:noProof/>
                <w:lang w:eastAsia="tr-TR"/>
              </w:rPr>
            </w:pPr>
            <w:r w:rsidRPr="00A30AC3">
              <w:rPr>
                <w:rFonts w:asciiTheme="majorBidi" w:hAnsiTheme="majorBidi" w:cstheme="majorBidi"/>
              </w:rPr>
              <w:t>*YarıÜrünler 1</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28,825</w:t>
            </w:r>
          </w:p>
        </w:tc>
        <w:tc>
          <w:tcPr>
            <w:tcW w:w="993"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49,415</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5,188</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r>
      <w:tr w:rsidR="00F02497" w:rsidRPr="00A30AC3" w:rsidTr="004B1420">
        <w:tc>
          <w:tcPr>
            <w:tcW w:w="1701" w:type="dxa"/>
          </w:tcPr>
          <w:p w:rsidR="00F02497" w:rsidRPr="00A30AC3" w:rsidRDefault="00F02497" w:rsidP="004B1420">
            <w:pPr>
              <w:jc w:val="center"/>
              <w:rPr>
                <w:rFonts w:asciiTheme="majorBidi" w:hAnsiTheme="majorBidi" w:cstheme="majorBidi"/>
                <w:noProof/>
                <w:lang w:eastAsia="tr-TR"/>
              </w:rPr>
            </w:pPr>
            <w:r w:rsidRPr="00A30AC3">
              <w:rPr>
                <w:rFonts w:asciiTheme="majorBidi" w:hAnsiTheme="majorBidi" w:cstheme="majorBidi"/>
              </w:rPr>
              <w:t>*YarıÜrünler 2</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26,632</w:t>
            </w:r>
          </w:p>
        </w:tc>
        <w:tc>
          <w:tcPr>
            <w:tcW w:w="993"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45,655</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4,793</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r>
      <w:tr w:rsidR="00F02497" w:rsidRPr="00A30AC3" w:rsidTr="004B1420">
        <w:tc>
          <w:tcPr>
            <w:tcW w:w="1701" w:type="dxa"/>
          </w:tcPr>
          <w:p w:rsidR="00F02497" w:rsidRPr="00A30AC3" w:rsidRDefault="00F02497" w:rsidP="004B1420">
            <w:pPr>
              <w:jc w:val="center"/>
              <w:rPr>
                <w:rFonts w:asciiTheme="majorBidi" w:hAnsiTheme="majorBidi" w:cstheme="majorBidi"/>
                <w:noProof/>
                <w:lang w:eastAsia="tr-TR"/>
              </w:rPr>
            </w:pPr>
            <w:r w:rsidRPr="00A30AC3">
              <w:rPr>
                <w:rFonts w:asciiTheme="majorBidi" w:hAnsiTheme="majorBidi" w:cstheme="majorBidi"/>
              </w:rPr>
              <w:t>YarıÜrünler 3</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22,019</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47,184</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5,548</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21,387</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46,417</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5,447</w:t>
            </w:r>
          </w:p>
        </w:tc>
      </w:tr>
      <w:tr w:rsidR="00F02497" w:rsidRPr="00A30AC3" w:rsidTr="004B1420">
        <w:tc>
          <w:tcPr>
            <w:tcW w:w="1701" w:type="dxa"/>
          </w:tcPr>
          <w:p w:rsidR="00F02497" w:rsidRPr="00A30AC3" w:rsidRDefault="00F02497" w:rsidP="004B1420">
            <w:pPr>
              <w:jc w:val="center"/>
              <w:rPr>
                <w:rFonts w:asciiTheme="majorBidi" w:hAnsiTheme="majorBidi" w:cstheme="majorBidi"/>
                <w:noProof/>
                <w:lang w:eastAsia="tr-TR"/>
              </w:rPr>
            </w:pPr>
            <w:r w:rsidRPr="00A30AC3">
              <w:rPr>
                <w:rFonts w:asciiTheme="majorBidi" w:hAnsiTheme="majorBidi" w:cstheme="majorBidi"/>
              </w:rPr>
              <w:t>YarıÜrünler 4</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20,716</w:t>
            </w:r>
          </w:p>
        </w:tc>
        <w:tc>
          <w:tcPr>
            <w:tcW w:w="993"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44,391</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5,220</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20,375</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42,926</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5,131</w:t>
            </w:r>
          </w:p>
        </w:tc>
      </w:tr>
      <w:tr w:rsidR="00F02497" w:rsidRPr="00A30AC3" w:rsidTr="004B1420">
        <w:tc>
          <w:tcPr>
            <w:tcW w:w="1701" w:type="dxa"/>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*YarıÜrünler 5</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29,49355</w:t>
            </w:r>
          </w:p>
        </w:tc>
        <w:tc>
          <w:tcPr>
            <w:tcW w:w="993"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50,560</w:t>
            </w:r>
          </w:p>
        </w:tc>
        <w:tc>
          <w:tcPr>
            <w:tcW w:w="1134" w:type="dxa"/>
            <w:vAlign w:val="bottom"/>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6,370</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1134"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c>
          <w:tcPr>
            <w:tcW w:w="992" w:type="dxa"/>
            <w:vAlign w:val="center"/>
          </w:tcPr>
          <w:p w:rsidR="00F02497" w:rsidRPr="00A30AC3" w:rsidRDefault="00F02497" w:rsidP="004B1420">
            <w:pPr>
              <w:jc w:val="center"/>
              <w:rPr>
                <w:rFonts w:asciiTheme="majorBidi" w:hAnsiTheme="majorBidi" w:cstheme="majorBidi"/>
              </w:rPr>
            </w:pPr>
            <w:r w:rsidRPr="00A30AC3">
              <w:rPr>
                <w:rFonts w:asciiTheme="majorBidi" w:hAnsiTheme="majorBidi" w:cstheme="majorBidi"/>
              </w:rPr>
              <w:t>-</w:t>
            </w:r>
          </w:p>
        </w:tc>
      </w:tr>
    </w:tbl>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p>
    <w:p w:rsidR="00F02497" w:rsidRPr="00A30AC3" w:rsidRDefault="00F02497" w:rsidP="00F02497">
      <w:pPr>
        <w:spacing w:before="240" w:line="360" w:lineRule="auto"/>
        <w:rPr>
          <w:rFonts w:asciiTheme="majorBidi" w:eastAsia="Calibri" w:hAnsiTheme="majorBidi" w:cstheme="majorBidi"/>
          <w:sz w:val="22"/>
          <w:szCs w:val="22"/>
        </w:rPr>
      </w:pPr>
      <w:r w:rsidRPr="00A30AC3">
        <w:rPr>
          <w:rFonts w:asciiTheme="majorBidi" w:eastAsia="Calibri" w:hAnsiTheme="majorBidi" w:cstheme="majorBidi"/>
          <w:sz w:val="22"/>
          <w:szCs w:val="22"/>
        </w:rPr>
        <w:t>*These compounds have been synthesized previously and are available in the literature.</w:t>
      </w:r>
    </w:p>
    <w:p w:rsidR="00F02497" w:rsidRPr="00A30AC3" w:rsidRDefault="00F02497" w:rsidP="00F02497">
      <w:pPr>
        <w:jc w:val="center"/>
        <w:rPr>
          <w:rFonts w:asciiTheme="majorBidi" w:hAnsiTheme="majorBidi" w:cstheme="majorBidi"/>
          <w:sz w:val="22"/>
          <w:szCs w:val="22"/>
        </w:rPr>
      </w:pPr>
    </w:p>
    <w:p w:rsidR="00F02497" w:rsidRPr="00A30AC3" w:rsidRDefault="00F02497" w:rsidP="00F02497">
      <w:pPr>
        <w:jc w:val="center"/>
        <w:rPr>
          <w:rFonts w:asciiTheme="majorBidi" w:hAnsiTheme="majorBidi" w:cstheme="majorBidi"/>
          <w:sz w:val="22"/>
          <w:szCs w:val="22"/>
        </w:rPr>
      </w:pPr>
    </w:p>
    <w:p w:rsidR="00F02497" w:rsidRPr="00A30AC3" w:rsidRDefault="00F02497" w:rsidP="00F02497">
      <w:pPr>
        <w:jc w:val="center"/>
        <w:rPr>
          <w:rFonts w:asciiTheme="majorBidi" w:hAnsiTheme="majorBidi" w:cstheme="majorBidi"/>
          <w:sz w:val="22"/>
          <w:szCs w:val="22"/>
        </w:rPr>
      </w:pPr>
    </w:p>
    <w:p w:rsidR="00F02497" w:rsidRPr="00A30AC3" w:rsidRDefault="00954B85" w:rsidP="00954B85">
      <w:pPr>
        <w:rPr>
          <w:rFonts w:asciiTheme="majorBidi" w:hAnsiTheme="majorBidi" w:cstheme="majorBidi"/>
          <w:sz w:val="22"/>
          <w:szCs w:val="22"/>
        </w:rPr>
      </w:pPr>
      <w:r w:rsidRPr="00A30AC3">
        <w:rPr>
          <w:rFonts w:asciiTheme="majorBidi" w:hAnsiTheme="majorBidi" w:cstheme="majorBidi"/>
          <w:sz w:val="22"/>
          <w:szCs w:val="22"/>
        </w:rPr>
        <w:t xml:space="preserve">4- </w:t>
      </w:r>
      <w:r w:rsidR="00F02497" w:rsidRPr="00A30AC3">
        <w:rPr>
          <w:rFonts w:asciiTheme="majorBidi" w:hAnsiTheme="majorBidi" w:cstheme="majorBidi"/>
          <w:sz w:val="22"/>
          <w:szCs w:val="22"/>
        </w:rPr>
        <w:t>CONCLUSİON</w:t>
      </w:r>
    </w:p>
    <w:p w:rsidR="00F02497" w:rsidRPr="00A30AC3" w:rsidRDefault="00F02497" w:rsidP="00F02497">
      <w:pPr>
        <w:jc w:val="center"/>
        <w:rPr>
          <w:rFonts w:asciiTheme="majorBidi" w:hAnsiTheme="majorBidi" w:cstheme="majorBidi"/>
          <w:sz w:val="22"/>
          <w:szCs w:val="22"/>
        </w:rPr>
      </w:pPr>
    </w:p>
    <w:p w:rsidR="00F02497" w:rsidRPr="00A30AC3" w:rsidRDefault="00F02497" w:rsidP="00F02497">
      <w:pPr>
        <w:spacing w:line="360" w:lineRule="auto"/>
        <w:jc w:val="both"/>
        <w:rPr>
          <w:rFonts w:asciiTheme="majorBidi" w:eastAsia="Calibri" w:hAnsiTheme="majorBidi" w:cstheme="majorBidi"/>
          <w:bCs/>
          <w:sz w:val="22"/>
          <w:szCs w:val="22"/>
        </w:rPr>
      </w:pPr>
      <w:r w:rsidRPr="00A30AC3">
        <w:rPr>
          <w:rFonts w:asciiTheme="majorBidi" w:eastAsia="Calibri" w:hAnsiTheme="majorBidi" w:cstheme="majorBidi"/>
          <w:bCs/>
          <w:sz w:val="22"/>
          <w:szCs w:val="22"/>
        </w:rPr>
        <w:t>Isatin and its derivatives, which are known to exhibit many biological activities in the pharmaceutical field, constitute an important class of hetero-compounds. In this study, Schiff base compounds with azomethine group (-C = N–) bound to different aldehydes synthesized as intermediates and final product compounds formed with 5-chloro isatin were investigated in terms of antioxidant activities. It has been found that the antioxidant activities of the semi products are obtained not only from the substitutes present on the aromatic ring, but also from the H donor groups bound to the azomethine group and therefore show higher activity than the end products containing isatin. Although all synthesized molecules exhibit lower activity than gallic acid, which is a natural antioxidant, intermediates with methoxy and ethoxy groups can be considered as an alternative industrial product after toxicological and biological studies.</w:t>
      </w:r>
    </w:p>
    <w:p w:rsidR="00954B85" w:rsidRPr="00A30AC3" w:rsidRDefault="00954B85" w:rsidP="00F02497">
      <w:pPr>
        <w:spacing w:line="360" w:lineRule="auto"/>
        <w:jc w:val="both"/>
        <w:rPr>
          <w:rFonts w:asciiTheme="majorBidi" w:eastAsia="Calibri" w:hAnsiTheme="majorBidi" w:cstheme="majorBidi"/>
          <w:bCs/>
          <w:sz w:val="22"/>
          <w:szCs w:val="22"/>
        </w:rPr>
      </w:pPr>
    </w:p>
    <w:p w:rsidR="00954B85" w:rsidRPr="00A30AC3" w:rsidRDefault="00954B85" w:rsidP="00F02497">
      <w:pPr>
        <w:spacing w:line="360" w:lineRule="auto"/>
        <w:jc w:val="both"/>
        <w:rPr>
          <w:rFonts w:asciiTheme="majorBidi" w:eastAsia="Calibri" w:hAnsiTheme="majorBidi" w:cstheme="majorBidi"/>
          <w:bCs/>
          <w:sz w:val="22"/>
          <w:szCs w:val="22"/>
        </w:rPr>
      </w:pPr>
    </w:p>
    <w:p w:rsidR="00A12FD8" w:rsidRPr="00A30AC3" w:rsidRDefault="00A12FD8" w:rsidP="009C60E6">
      <w:pPr>
        <w:rPr>
          <w:rFonts w:asciiTheme="majorBidi" w:hAnsiTheme="majorBidi" w:cstheme="majorBidi"/>
          <w:sz w:val="22"/>
          <w:szCs w:val="22"/>
        </w:rPr>
      </w:pPr>
    </w:p>
    <w:p w:rsidR="00954B85" w:rsidRPr="00954B85" w:rsidRDefault="00954B85" w:rsidP="00954B85">
      <w:pPr>
        <w:spacing w:after="720" w:line="360" w:lineRule="auto"/>
        <w:jc w:val="both"/>
        <w:rPr>
          <w:rFonts w:eastAsia="Calibri" w:cs="Times New Roman"/>
          <w:sz w:val="28"/>
          <w:szCs w:val="28"/>
        </w:rPr>
      </w:pPr>
      <w:r>
        <w:rPr>
          <w:rFonts w:eastAsia="Calibri" w:cs="Times New Roman"/>
          <w:sz w:val="28"/>
          <w:szCs w:val="28"/>
        </w:rPr>
        <w:t xml:space="preserve">5- </w:t>
      </w:r>
      <w:r w:rsidRPr="00954B85">
        <w:rPr>
          <w:rFonts w:eastAsia="Calibri" w:cs="Times New Roman"/>
          <w:sz w:val="28"/>
          <w:szCs w:val="28"/>
        </w:rPr>
        <w:t>References</w:t>
      </w:r>
    </w:p>
    <w:p w:rsidR="00954B85" w:rsidRPr="00E73E46" w:rsidRDefault="00954B85" w:rsidP="00954B85">
      <w:pPr>
        <w:jc w:val="both"/>
        <w:rPr>
          <w:rFonts w:eastAsia="Times New Roman" w:cs="Times New Roman"/>
          <w:shd w:val="clear" w:color="auto" w:fill="FFFFFF"/>
          <w:rtl/>
        </w:rPr>
      </w:pPr>
      <w:r>
        <w:rPr>
          <w:rFonts w:cs="Times New Roman"/>
        </w:rPr>
        <w:lastRenderedPageBreak/>
        <w:t>[</w:t>
      </w:r>
      <w:r w:rsidRPr="00E73E46">
        <w:rPr>
          <w:rFonts w:cs="Times New Roman"/>
        </w:rPr>
        <w:t>1</w:t>
      </w:r>
      <w:r>
        <w:rPr>
          <w:rFonts w:cs="Times New Roman"/>
        </w:rPr>
        <w:t xml:space="preserve">] </w:t>
      </w:r>
      <w:r>
        <w:rPr>
          <w:rFonts w:eastAsia="Times New Roman" w:cs="Times New Roman"/>
        </w:rPr>
        <w:t xml:space="preserve">URL-1.  </w:t>
      </w:r>
      <w:hyperlink r:id="rId7">
        <w:r w:rsidRPr="00E73E46">
          <w:rPr>
            <w:rFonts w:eastAsia="Times New Roman" w:cs="Times New Roman"/>
            <w:shd w:val="clear" w:color="auto" w:fill="FFFFFF"/>
          </w:rPr>
          <w:t>https://en.wikipedia.org/wiki/Schiff_base</w:t>
        </w:r>
      </w:hyperlink>
    </w:p>
    <w:p w:rsidR="00954B85" w:rsidRPr="00E73E46" w:rsidRDefault="00954B85" w:rsidP="00954B85">
      <w:pPr>
        <w:ind w:left="709" w:hanging="709"/>
        <w:jc w:val="both"/>
        <w:rPr>
          <w:rFonts w:eastAsia="Times New Roman" w:cs="Times New Roman"/>
        </w:rPr>
      </w:pPr>
      <w:r>
        <w:rPr>
          <w:rFonts w:eastAsia="Times New Roman" w:cs="Times New Roman"/>
        </w:rPr>
        <w:t>[</w:t>
      </w:r>
      <w:r w:rsidRPr="00E73E46">
        <w:rPr>
          <w:rFonts w:eastAsia="Times New Roman" w:cs="Times New Roman"/>
        </w:rPr>
        <w:t>2</w:t>
      </w:r>
      <w:r>
        <w:rPr>
          <w:rFonts w:eastAsia="Times New Roman" w:cs="Times New Roman"/>
        </w:rPr>
        <w:t xml:space="preserve">] </w:t>
      </w:r>
      <w:hyperlink r:id="rId8">
        <w:r w:rsidRPr="00E73E46">
          <w:rPr>
            <w:rFonts w:eastAsia="Times New Roman" w:cs="Times New Roman"/>
          </w:rPr>
          <w:t>IUPAC</w:t>
        </w:r>
      </w:hyperlink>
      <w:r w:rsidRPr="00E73E46">
        <w:rPr>
          <w:rFonts w:eastAsia="Times New Roman" w:cs="Times New Roman"/>
        </w:rPr>
        <w:t>, </w:t>
      </w:r>
      <w:hyperlink r:id="rId9">
        <w:r w:rsidRPr="00E73E46">
          <w:rPr>
            <w:rFonts w:eastAsia="Times New Roman" w:cs="Times New Roman"/>
          </w:rPr>
          <w:t>Compendium of Chemical Terminology</w:t>
        </w:r>
      </w:hyperlink>
      <w:r w:rsidRPr="00E73E46">
        <w:rPr>
          <w:rFonts w:eastAsia="Times New Roman" w:cs="Times New Roman"/>
        </w:rPr>
        <w:t>, 2nd ed. (the "Gold Book") (1997).      Online corrected version:  (2006–) "Schiff base".</w:t>
      </w:r>
    </w:p>
    <w:p w:rsidR="00954B85" w:rsidRPr="00E73E46" w:rsidRDefault="00954B85" w:rsidP="00954B85">
      <w:pPr>
        <w:ind w:left="709" w:hanging="709"/>
        <w:jc w:val="both"/>
        <w:rPr>
          <w:rFonts w:eastAsia="Times New Roman" w:cs="Times New Roman"/>
        </w:rPr>
      </w:pPr>
      <w:r>
        <w:rPr>
          <w:rFonts w:eastAsia="Times New Roman" w:cs="Times New Roman"/>
        </w:rPr>
        <w:t>[</w:t>
      </w:r>
      <w:r w:rsidRPr="00515167">
        <w:rPr>
          <w:rFonts w:eastAsia="Times New Roman" w:cs="Times New Roman"/>
        </w:rPr>
        <w:t>3</w:t>
      </w:r>
      <w:r>
        <w:rPr>
          <w:rFonts w:eastAsia="Times New Roman" w:cs="Times New Roman"/>
        </w:rPr>
        <w:t>]</w:t>
      </w:r>
      <w:r w:rsidRPr="00515167">
        <w:rPr>
          <w:rFonts w:eastAsia="Times New Roman" w:cs="Times New Roman"/>
          <w:vanish/>
        </w:rPr>
        <w:t>"604211HYPERLINK "%22http://pubs.rsc.org/en/Content/ArticleLanding/HYPERLINK%203-------</w:t>
      </w:r>
      <w:r>
        <w:rPr>
          <w:rFonts w:eastAsia="Times New Roman" w:cs="Times New Roman"/>
          <w:vanish/>
        </w:rPr>
        <w:t xml:space="preserve">------**ghjhgj   </w:t>
      </w:r>
      <w:r w:rsidRPr="00515167">
        <w:rPr>
          <w:rFonts w:eastAsia="Times New Roman" w:cs="Times New Roman"/>
        </w:rPr>
        <w:t>Chohan</w:t>
      </w:r>
      <w:r w:rsidRPr="00E73E46">
        <w:rPr>
          <w:rFonts w:eastAsia="Times New Roman" w:cs="Times New Roman"/>
        </w:rPr>
        <w:t xml:space="preserve"> ZH, Hernandes MZ, Sensato FR, et al. Sulfonamide–metalcomplexes endowed with potent anti-Trypanosoma cruzi activity. JEnzyme Inhib Med Chem. 2014;29(2):230–236.6. </w:t>
      </w:r>
    </w:p>
    <w:p w:rsidR="00954B85" w:rsidRPr="00E73E46" w:rsidRDefault="00954B85" w:rsidP="00954B85">
      <w:pPr>
        <w:ind w:left="709" w:hanging="709"/>
        <w:jc w:val="both"/>
        <w:rPr>
          <w:rFonts w:eastAsia="Times New Roman" w:cs="Times New Roman"/>
        </w:rPr>
      </w:pPr>
      <w:r>
        <w:rPr>
          <w:rFonts w:eastAsia="Times New Roman" w:cs="Times New Roman"/>
        </w:rPr>
        <w:t>[4]</w:t>
      </w:r>
      <w:r w:rsidRPr="00E73E46">
        <w:rPr>
          <w:rFonts w:eastAsia="Times New Roman" w:cs="Times New Roman"/>
        </w:rPr>
        <w:t xml:space="preserve"> Eroglu E. Some QSAR studies for a group of sulfonamide Schiff base ascarbonic anhydrase CA II inhibitors. Int J Mol Sci. 2008;9(2):181–197</w:t>
      </w:r>
    </w:p>
    <w:p w:rsidR="00954B85" w:rsidRPr="00E73E46" w:rsidRDefault="00954B85" w:rsidP="00954B85">
      <w:pPr>
        <w:ind w:left="709" w:hanging="709"/>
        <w:jc w:val="both"/>
        <w:rPr>
          <w:rFonts w:eastAsia="Times New Roman" w:cs="Times New Roman"/>
          <w:rtl/>
        </w:rPr>
      </w:pPr>
      <w:r>
        <w:rPr>
          <w:rFonts w:eastAsia="Times New Roman" w:cs="Times New Roman"/>
        </w:rPr>
        <w:t>[5]</w:t>
      </w:r>
      <w:r w:rsidR="00102F1B">
        <w:rPr>
          <w:rFonts w:eastAsia="Times New Roman" w:cs="Times New Roman"/>
        </w:rPr>
        <w:t xml:space="preserve"> </w:t>
      </w:r>
      <w:r w:rsidRPr="00EC2D95">
        <w:rPr>
          <w:rFonts w:eastAsia="Times New Roman" w:cs="Times New Roman"/>
        </w:rPr>
        <w:t>Eman T</w:t>
      </w:r>
      <w:r>
        <w:rPr>
          <w:rFonts w:eastAsia="Times New Roman" w:cs="Times New Roman"/>
        </w:rPr>
        <w:t xml:space="preserve">., </w:t>
      </w:r>
      <w:r w:rsidRPr="00EC2D95">
        <w:rPr>
          <w:rFonts w:eastAsia="Times New Roman" w:cs="Times New Roman"/>
        </w:rPr>
        <w:t>S.(2016).Preparation and Characterization of new Schiff base Derived from Pyridineand its metal complexes.Int. J. Curr. Res. Chem. Pharm. Sci. 3(4):118-123.</w:t>
      </w:r>
    </w:p>
    <w:p w:rsidR="00954B85" w:rsidRPr="00EC2D95" w:rsidRDefault="00954B85" w:rsidP="00954B85">
      <w:pPr>
        <w:ind w:left="709" w:hanging="709"/>
        <w:jc w:val="both"/>
        <w:rPr>
          <w:rFonts w:eastAsia="Times New Roman" w:cs="Times New Roman"/>
        </w:rPr>
      </w:pPr>
      <w:r>
        <w:rPr>
          <w:rFonts w:eastAsia="Times New Roman" w:cs="Times New Roman"/>
        </w:rPr>
        <w:t>[6]</w:t>
      </w:r>
      <w:r w:rsidR="00102F1B">
        <w:rPr>
          <w:rFonts w:eastAsia="Times New Roman" w:cs="Times New Roman"/>
        </w:rPr>
        <w:t xml:space="preserve"> </w:t>
      </w:r>
      <w:r w:rsidRPr="00EC2D95">
        <w:rPr>
          <w:rFonts w:eastAsia="Times New Roman" w:cs="Times New Roman"/>
        </w:rPr>
        <w:t xml:space="preserve">Abu-Khadra, A. S., Farag, R. S., &amp; Abdel-Hady, A. E. D. M. (2016). Synthesis, characterization and antimicrobial activity of Schiff base (E)-N-(4-(2-hydroxybenzylideneamino) phenylsulfonyl) acetamide metal complexes. </w:t>
      </w:r>
      <w:r w:rsidRPr="00EC2D95">
        <w:rPr>
          <w:rFonts w:eastAsia="Times New Roman" w:cs="Times New Roman"/>
          <w:i/>
          <w:iCs/>
        </w:rPr>
        <w:t>American Journal of Analytical Chemistry</w:t>
      </w:r>
      <w:r w:rsidRPr="00EC2D95">
        <w:rPr>
          <w:rFonts w:eastAsia="Times New Roman" w:cs="Times New Roman"/>
        </w:rPr>
        <w:t xml:space="preserve">, </w:t>
      </w:r>
      <w:r w:rsidRPr="00EC2D95">
        <w:rPr>
          <w:rFonts w:eastAsia="Times New Roman" w:cs="Times New Roman"/>
          <w:i/>
          <w:iCs/>
        </w:rPr>
        <w:t>7</w:t>
      </w:r>
      <w:r w:rsidRPr="00EC2D95">
        <w:rPr>
          <w:rFonts w:eastAsia="Times New Roman" w:cs="Times New Roman"/>
        </w:rPr>
        <w:t>(3).</w:t>
      </w:r>
    </w:p>
    <w:p w:rsidR="00954B85" w:rsidRDefault="00954B85" w:rsidP="00954B85">
      <w:pPr>
        <w:jc w:val="both"/>
        <w:rPr>
          <w:rFonts w:eastAsia="Times New Roman" w:cs="Times New Roman"/>
        </w:rPr>
      </w:pPr>
      <w:r>
        <w:rPr>
          <w:rFonts w:eastAsia="Times New Roman" w:cs="Times New Roman"/>
        </w:rPr>
        <w:t>[</w:t>
      </w:r>
      <w:r w:rsidRPr="00E062AC">
        <w:rPr>
          <w:rFonts w:eastAsia="Times New Roman" w:cs="Times New Roman"/>
        </w:rPr>
        <w:t>7</w:t>
      </w:r>
      <w:r>
        <w:rPr>
          <w:rFonts w:eastAsia="Times New Roman" w:cs="Times New Roman"/>
        </w:rPr>
        <w:t xml:space="preserve">] </w:t>
      </w:r>
      <w:r w:rsidR="00102F1B">
        <w:rPr>
          <w:rFonts w:eastAsia="Times New Roman" w:cs="Times New Roman"/>
        </w:rPr>
        <w:t xml:space="preserve"> </w:t>
      </w:r>
      <w:r>
        <w:rPr>
          <w:rFonts w:eastAsia="Times New Roman" w:cs="Times New Roman"/>
        </w:rPr>
        <w:t xml:space="preserve">URL-2. </w:t>
      </w:r>
      <w:r w:rsidRPr="00E062AC">
        <w:rPr>
          <w:rFonts w:eastAsia="Times New Roman" w:cs="Times New Roman"/>
        </w:rPr>
        <w:t>https://shodhganga.inflibnet.ac.in/bitstream/10603/8812/6/06_chapter%</w:t>
      </w:r>
    </w:p>
    <w:p w:rsidR="00954B85" w:rsidRDefault="00954B85" w:rsidP="00954B85">
      <w:pPr>
        <w:ind w:firstLine="708"/>
        <w:jc w:val="both"/>
        <w:rPr>
          <w:rFonts w:eastAsia="Times New Roman" w:cs="Times New Roman"/>
        </w:rPr>
      </w:pPr>
      <w:r w:rsidRPr="00E062AC">
        <w:rPr>
          <w:rFonts w:eastAsia="Times New Roman" w:cs="Times New Roman"/>
        </w:rPr>
        <w:t>201.pdf</w:t>
      </w:r>
    </w:p>
    <w:p w:rsidR="00954B85" w:rsidRDefault="00954B85" w:rsidP="00954B85">
      <w:pPr>
        <w:ind w:firstLine="708"/>
        <w:jc w:val="both"/>
        <w:rPr>
          <w:rFonts w:eastAsia="Times New Roman" w:cs="Times New Roman"/>
        </w:rPr>
      </w:pPr>
    </w:p>
    <w:p w:rsidR="00954B85" w:rsidRPr="00E73E46" w:rsidRDefault="00954B85" w:rsidP="00954B85">
      <w:pPr>
        <w:ind w:left="709" w:hanging="709"/>
        <w:jc w:val="both"/>
        <w:rPr>
          <w:rFonts w:eastAsia="Times New Roman" w:cs="Times New Roman"/>
        </w:rPr>
      </w:pPr>
      <w:r>
        <w:rPr>
          <w:rFonts w:eastAsia="Times New Roman" w:cs="Times New Roman"/>
        </w:rPr>
        <w:t xml:space="preserve">[8] </w:t>
      </w:r>
      <w:r w:rsidR="00102F1B">
        <w:rPr>
          <w:rFonts w:eastAsia="Times New Roman" w:cs="Times New Roman"/>
        </w:rPr>
        <w:t xml:space="preserve"> </w:t>
      </w:r>
      <w:r w:rsidRPr="00E73E46">
        <w:rPr>
          <w:rFonts w:eastAsia="Times New Roman" w:cs="Times New Roman"/>
        </w:rPr>
        <w:t xml:space="preserve">Da Silva CM, Da Silva DL, Modolo LV, Rosemeire B Alves, Maria A de Resende, et al. (2011) Schiff bases: A short review of their antimicrobial activities. J of adv res 2(1): 1-8. </w:t>
      </w:r>
    </w:p>
    <w:p w:rsidR="00954B85" w:rsidRPr="00E73E46" w:rsidRDefault="00954B85" w:rsidP="00954B85">
      <w:pPr>
        <w:ind w:left="708" w:hanging="708"/>
        <w:jc w:val="both"/>
        <w:rPr>
          <w:rFonts w:eastAsia="Times New Roman" w:cs="Times New Roman"/>
          <w:rtl/>
        </w:rPr>
      </w:pPr>
      <w:r>
        <w:rPr>
          <w:rFonts w:eastAsia="Times New Roman" w:cs="Times New Roman"/>
        </w:rPr>
        <w:t xml:space="preserve">[9] </w:t>
      </w:r>
      <w:r w:rsidR="00102F1B">
        <w:rPr>
          <w:rFonts w:eastAsia="Times New Roman" w:cs="Times New Roman"/>
        </w:rPr>
        <w:t xml:space="preserve"> </w:t>
      </w:r>
      <w:r w:rsidRPr="00EC2D95">
        <w:rPr>
          <w:rFonts w:eastAsia="Times New Roman" w:cs="Times New Roman"/>
        </w:rPr>
        <w:t>Hodnett, E. M., &amp; Dunn, W. J. (1970). Structure-antitumor activity correlation of some Schiff bases.</w:t>
      </w:r>
      <w:r w:rsidRPr="00EC2D95">
        <w:rPr>
          <w:rFonts w:eastAsia="Times New Roman" w:cs="Times New Roman"/>
          <w:i/>
          <w:iCs/>
        </w:rPr>
        <w:t>Journal of Medicinal Chemistry</w:t>
      </w:r>
      <w:r w:rsidRPr="00EC2D95">
        <w:rPr>
          <w:rFonts w:eastAsia="Times New Roman" w:cs="Times New Roman"/>
        </w:rPr>
        <w:t xml:space="preserve">, </w:t>
      </w:r>
      <w:r w:rsidRPr="00EC2D95">
        <w:rPr>
          <w:rFonts w:eastAsia="Times New Roman" w:cs="Times New Roman"/>
          <w:i/>
          <w:iCs/>
        </w:rPr>
        <w:t>13</w:t>
      </w:r>
      <w:r w:rsidRPr="00EC2D95">
        <w:rPr>
          <w:rFonts w:eastAsia="Times New Roman" w:cs="Times New Roman"/>
        </w:rPr>
        <w:t>(4), 768-770.</w:t>
      </w:r>
    </w:p>
    <w:p w:rsidR="00954B85" w:rsidRPr="00EC2D95" w:rsidRDefault="00954B85" w:rsidP="00954B85">
      <w:pPr>
        <w:ind w:left="708" w:hanging="708"/>
        <w:jc w:val="both"/>
        <w:rPr>
          <w:rFonts w:eastAsia="Times New Roman" w:cs="Times New Roman"/>
        </w:rPr>
      </w:pPr>
      <w:r>
        <w:rPr>
          <w:rFonts w:eastAsia="Times New Roman" w:cs="Times New Roman"/>
        </w:rPr>
        <w:t xml:space="preserve">[10] </w:t>
      </w:r>
      <w:r w:rsidRPr="00EC2D95">
        <w:rPr>
          <w:rFonts w:eastAsia="Times New Roman" w:cs="Times New Roman"/>
        </w:rPr>
        <w:t xml:space="preserve">Hodnett, E. M., &amp; Mooney, P. D. (1970). Antitumor activities of some Schiff bases. </w:t>
      </w:r>
      <w:r w:rsidRPr="00EC2D95">
        <w:rPr>
          <w:rFonts w:eastAsia="Times New Roman" w:cs="Times New Roman"/>
          <w:i/>
          <w:iCs/>
        </w:rPr>
        <w:t>Journal of medicinal chemistry</w:t>
      </w:r>
      <w:r w:rsidRPr="00EC2D95">
        <w:rPr>
          <w:rFonts w:eastAsia="Times New Roman" w:cs="Times New Roman"/>
        </w:rPr>
        <w:t xml:space="preserve">, </w:t>
      </w:r>
      <w:r w:rsidRPr="00EC2D95">
        <w:rPr>
          <w:rFonts w:eastAsia="Times New Roman" w:cs="Times New Roman"/>
          <w:i/>
          <w:iCs/>
        </w:rPr>
        <w:t>13</w:t>
      </w:r>
      <w:r w:rsidRPr="00EC2D95">
        <w:rPr>
          <w:rFonts w:eastAsia="Times New Roman" w:cs="Times New Roman"/>
        </w:rPr>
        <w:t>(4), 786-786.</w:t>
      </w:r>
    </w:p>
    <w:p w:rsidR="00954B85" w:rsidRPr="0014020F" w:rsidRDefault="00954B85" w:rsidP="00954B85">
      <w:pPr>
        <w:ind w:left="708" w:hanging="708"/>
        <w:jc w:val="both"/>
        <w:rPr>
          <w:rFonts w:eastAsia="Times New Roman" w:cs="Times New Roman"/>
        </w:rPr>
      </w:pPr>
      <w:r>
        <w:rPr>
          <w:rFonts w:eastAsia="Times New Roman" w:cs="Times New Roman"/>
        </w:rPr>
        <w:t xml:space="preserve">[11] </w:t>
      </w:r>
      <w:r w:rsidRPr="0014020F">
        <w:rPr>
          <w:rFonts w:eastAsia="Times New Roman" w:cs="Times New Roman"/>
        </w:rPr>
        <w:t xml:space="preserve">Urbach, F. L. (1981). </w:t>
      </w:r>
      <w:r w:rsidRPr="0014020F">
        <w:rPr>
          <w:rFonts w:eastAsia="Times New Roman" w:cs="Times New Roman"/>
          <w:i/>
          <w:iCs/>
        </w:rPr>
        <w:t>The properties of binuclear copper centers in model and natural compounds</w:t>
      </w:r>
      <w:r w:rsidRPr="0014020F">
        <w:rPr>
          <w:rFonts w:eastAsia="Times New Roman" w:cs="Times New Roman"/>
        </w:rPr>
        <w:t>(Vol. 13, p. 73). Dekker: New York.</w:t>
      </w:r>
    </w:p>
    <w:p w:rsidR="00954B85" w:rsidRPr="00E73E46" w:rsidRDefault="00954B85" w:rsidP="00954B85">
      <w:pPr>
        <w:ind w:left="708" w:hanging="708"/>
        <w:jc w:val="both"/>
        <w:rPr>
          <w:rFonts w:eastAsia="Times New Roman" w:cs="Times New Roman"/>
        </w:rPr>
      </w:pPr>
      <w:r>
        <w:rPr>
          <w:rFonts w:eastAsia="Times New Roman" w:cs="Times New Roman"/>
        </w:rPr>
        <w:t>[12]</w:t>
      </w:r>
      <w:r w:rsidRPr="00E73E46">
        <w:rPr>
          <w:rFonts w:eastAsia="Times New Roman" w:cs="Times New Roman"/>
        </w:rPr>
        <w:t xml:space="preserve"> Patai S Ed., "The Chemistry of the Carbon-Nitrogen Double Bond", J. Wiley &amp; Sons, 1970, London.</w:t>
      </w:r>
    </w:p>
    <w:p w:rsidR="00954B85" w:rsidRPr="00E73E46" w:rsidRDefault="00954B85" w:rsidP="00954B85">
      <w:pPr>
        <w:ind w:left="709" w:hanging="709"/>
        <w:jc w:val="both"/>
        <w:rPr>
          <w:rFonts w:eastAsia="Times New Roman" w:cs="Times New Roman"/>
          <w:b/>
          <w:bCs/>
        </w:rPr>
      </w:pPr>
      <w:r>
        <w:rPr>
          <w:rFonts w:eastAsia="Times New Roman" w:cs="Times New Roman"/>
        </w:rPr>
        <w:t xml:space="preserve">[13] </w:t>
      </w:r>
      <w:r w:rsidRPr="00E73E46">
        <w:rPr>
          <w:rFonts w:eastAsia="Times New Roman" w:cs="Times New Roman"/>
        </w:rPr>
        <w:t>Jungreis E and Thabet S, "Analytical Applications of Schiff bases", Marcell Dekker, 1969, New York</w:t>
      </w:r>
    </w:p>
    <w:p w:rsidR="00954B85" w:rsidRPr="00E73E46" w:rsidRDefault="00954B85" w:rsidP="00954B85">
      <w:pPr>
        <w:ind w:left="709" w:hanging="709"/>
        <w:jc w:val="both"/>
        <w:rPr>
          <w:rFonts w:eastAsia="Times New Roman" w:cs="Times New Roman"/>
        </w:rPr>
      </w:pPr>
      <w:r>
        <w:rPr>
          <w:rFonts w:eastAsia="Times New Roman" w:cs="Times New Roman"/>
        </w:rPr>
        <w:t>[14]</w:t>
      </w:r>
      <w:r w:rsidRPr="00697C86">
        <w:rPr>
          <w:rFonts w:eastAsia="Times New Roman" w:cs="Times New Roman"/>
        </w:rPr>
        <w:t>S.Gaur, Assian J. Chem. 15(1), 250 (2003). (b) M.J.Gemi, C.Biles, B.J.Keiser, S.M.Poppe, S.M. Swaney, W.G.Tarapley, D.L.Romeso, Y.Yage, J.Med.Chem. 43(5), 1034 (2000).</w:t>
      </w:r>
      <w:r w:rsidRPr="00E73E46">
        <w:rPr>
          <w:rFonts w:eastAsia="Times New Roman" w:cs="Times New Roman"/>
        </w:rPr>
        <w:t>.</w:t>
      </w:r>
    </w:p>
    <w:p w:rsidR="00954B85" w:rsidRPr="00697C86" w:rsidRDefault="00954B85" w:rsidP="00954B85">
      <w:pPr>
        <w:ind w:left="709" w:hanging="709"/>
        <w:jc w:val="both"/>
        <w:rPr>
          <w:rFonts w:eastAsia="Times New Roman" w:cs="Times New Roman"/>
        </w:rPr>
      </w:pPr>
      <w:r>
        <w:rPr>
          <w:rFonts w:eastAsia="Times New Roman" w:cs="Times New Roman"/>
        </w:rPr>
        <w:t>[15]</w:t>
      </w:r>
      <w:r w:rsidRPr="00697C86">
        <w:rPr>
          <w:rFonts w:eastAsia="Times New Roman" w:cs="Times New Roman"/>
        </w:rPr>
        <w:t xml:space="preserve">Tisato, F., Refosco, F., &amp; Bandoli, G. (1994). Structural survey of technetium complexes. </w:t>
      </w:r>
      <w:r w:rsidRPr="00697C86">
        <w:rPr>
          <w:rFonts w:eastAsia="Times New Roman" w:cs="Times New Roman"/>
          <w:i/>
          <w:iCs/>
        </w:rPr>
        <w:t>Coordination Chemistry Reviews</w:t>
      </w:r>
      <w:r w:rsidRPr="00697C86">
        <w:rPr>
          <w:rFonts w:eastAsia="Times New Roman" w:cs="Times New Roman"/>
        </w:rPr>
        <w:t xml:space="preserve">, </w:t>
      </w:r>
      <w:r w:rsidRPr="00697C86">
        <w:rPr>
          <w:rFonts w:eastAsia="Times New Roman" w:cs="Times New Roman"/>
          <w:i/>
          <w:iCs/>
        </w:rPr>
        <w:t>135</w:t>
      </w:r>
      <w:r w:rsidRPr="00697C86">
        <w:rPr>
          <w:rFonts w:eastAsia="Times New Roman" w:cs="Times New Roman"/>
        </w:rPr>
        <w:t>, 325-397.</w:t>
      </w:r>
    </w:p>
    <w:p w:rsidR="00954B85" w:rsidRPr="00697C86" w:rsidRDefault="00954B85" w:rsidP="00954B85">
      <w:pPr>
        <w:ind w:left="709" w:hanging="709"/>
        <w:jc w:val="both"/>
        <w:rPr>
          <w:rFonts w:eastAsia="Times New Roman" w:cs="Times New Roman"/>
          <w:rtl/>
        </w:rPr>
      </w:pPr>
      <w:r>
        <w:rPr>
          <w:rFonts w:eastAsia="Times New Roman" w:cs="Times New Roman"/>
        </w:rPr>
        <w:t>[16]</w:t>
      </w:r>
      <w:r w:rsidRPr="00697C86">
        <w:rPr>
          <w:rFonts w:eastAsia="Times New Roman" w:cs="Times New Roman"/>
        </w:rPr>
        <w:t xml:space="preserve">Balsells, J., Mejorado, L., Phillips, M., Ortega, F., Aguirre, G., Somanathan, R., &amp; Walsh, P. J. (1998). Synthesis of chiral sulfonamide/Schiff base ligands. </w:t>
      </w:r>
      <w:r w:rsidRPr="00697C86">
        <w:rPr>
          <w:rFonts w:eastAsia="Times New Roman" w:cs="Times New Roman"/>
          <w:i/>
          <w:iCs/>
        </w:rPr>
        <w:t>Tetrahedron: Asymmetry</w:t>
      </w:r>
      <w:r w:rsidRPr="00697C86">
        <w:rPr>
          <w:rFonts w:eastAsia="Times New Roman" w:cs="Times New Roman"/>
        </w:rPr>
        <w:t xml:space="preserve">, </w:t>
      </w:r>
      <w:r w:rsidRPr="00697C86">
        <w:rPr>
          <w:rFonts w:eastAsia="Times New Roman" w:cs="Times New Roman"/>
          <w:i/>
          <w:iCs/>
        </w:rPr>
        <w:t>9</w:t>
      </w:r>
      <w:r w:rsidRPr="00697C86">
        <w:rPr>
          <w:rFonts w:eastAsia="Times New Roman" w:cs="Times New Roman"/>
        </w:rPr>
        <w:t>(23), 4135-4142.</w:t>
      </w:r>
    </w:p>
    <w:p w:rsidR="00954B85" w:rsidRPr="00E73E46" w:rsidRDefault="00954B85" w:rsidP="00954B85">
      <w:pPr>
        <w:ind w:left="709" w:hanging="709"/>
        <w:jc w:val="both"/>
        <w:rPr>
          <w:rFonts w:eastAsia="Times New Roman" w:cs="Times New Roman"/>
        </w:rPr>
      </w:pPr>
      <w:r>
        <w:rPr>
          <w:rFonts w:eastAsia="Times New Roman" w:cs="Times New Roman"/>
        </w:rPr>
        <w:t xml:space="preserve">[17] </w:t>
      </w:r>
      <w:r w:rsidRPr="00697C86">
        <w:rPr>
          <w:rFonts w:eastAsia="Times New Roman" w:cs="Times New Roman"/>
        </w:rPr>
        <w:t xml:space="preserve">Isloor, A. M., Kalluraya, B., &amp; Shetty, P. (2009). Regioselective reaction: synthesis, characterization and pharmacological studies of some new Mannich bases derived from 1, 2, 4-triazoles. </w:t>
      </w:r>
      <w:r w:rsidRPr="00697C86">
        <w:rPr>
          <w:rFonts w:eastAsia="Times New Roman" w:cs="Times New Roman"/>
          <w:i/>
          <w:iCs/>
        </w:rPr>
        <w:t>European journal of medicinal chemistry</w:t>
      </w:r>
      <w:r w:rsidRPr="00697C86">
        <w:rPr>
          <w:rFonts w:eastAsia="Times New Roman" w:cs="Times New Roman"/>
        </w:rPr>
        <w:t xml:space="preserve">, </w:t>
      </w:r>
      <w:r w:rsidRPr="00697C86">
        <w:rPr>
          <w:rFonts w:eastAsia="Times New Roman" w:cs="Times New Roman"/>
          <w:i/>
          <w:iCs/>
        </w:rPr>
        <w:t>44</w:t>
      </w:r>
      <w:r w:rsidRPr="00697C86">
        <w:rPr>
          <w:rFonts w:eastAsia="Times New Roman" w:cs="Times New Roman"/>
        </w:rPr>
        <w:t>(9), 3784-3787.</w:t>
      </w:r>
    </w:p>
    <w:p w:rsidR="00954B85" w:rsidRPr="00E73E46" w:rsidRDefault="00954B85" w:rsidP="00954B85">
      <w:pPr>
        <w:ind w:left="709" w:hanging="709"/>
        <w:jc w:val="both"/>
        <w:rPr>
          <w:rFonts w:eastAsia="Times New Roman" w:cs="Times New Roman"/>
          <w:rtl/>
        </w:rPr>
      </w:pPr>
      <w:r>
        <w:rPr>
          <w:rFonts w:eastAsia="Times New Roman" w:cs="Times New Roman"/>
        </w:rPr>
        <w:t xml:space="preserve">[18] </w:t>
      </w:r>
      <w:r w:rsidRPr="00697C86">
        <w:rPr>
          <w:rFonts w:eastAsia="Times New Roman" w:cs="Times New Roman"/>
        </w:rPr>
        <w:t xml:space="preserve">Krishnaraj, S., Muthukumar, M., Viswanathamurthi, P., &amp; Sivakumar, S. (2008). Studies on ruthenium (II) Schiff base complexes as catalysts for transfer hydrogenation reactions. </w:t>
      </w:r>
      <w:r w:rsidRPr="00697C86">
        <w:rPr>
          <w:rFonts w:eastAsia="Times New Roman" w:cs="Times New Roman"/>
          <w:i/>
          <w:iCs/>
        </w:rPr>
        <w:t>Transition Metal Chemistry</w:t>
      </w:r>
      <w:r w:rsidRPr="00697C86">
        <w:rPr>
          <w:rFonts w:eastAsia="Times New Roman" w:cs="Times New Roman"/>
        </w:rPr>
        <w:t xml:space="preserve">, </w:t>
      </w:r>
      <w:r w:rsidRPr="00697C86">
        <w:rPr>
          <w:rFonts w:eastAsia="Times New Roman" w:cs="Times New Roman"/>
          <w:i/>
          <w:iCs/>
        </w:rPr>
        <w:t>33</w:t>
      </w:r>
      <w:r w:rsidRPr="00697C86">
        <w:rPr>
          <w:rFonts w:eastAsia="Times New Roman" w:cs="Times New Roman"/>
        </w:rPr>
        <w:t>(5), 643.</w:t>
      </w:r>
    </w:p>
    <w:p w:rsidR="00954B85" w:rsidRDefault="00954B85" w:rsidP="009C60E6"/>
    <w:sectPr w:rsidR="00954B85" w:rsidSect="009C60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83" w:rsidRDefault="00237F83" w:rsidP="00286220">
      <w:r>
        <w:separator/>
      </w:r>
    </w:p>
  </w:endnote>
  <w:endnote w:type="continuationSeparator" w:id="1">
    <w:p w:rsidR="00237F83" w:rsidRDefault="00237F83" w:rsidP="0028622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83" w:rsidRDefault="00237F83" w:rsidP="00286220">
      <w:r>
        <w:separator/>
      </w:r>
    </w:p>
  </w:footnote>
  <w:footnote w:type="continuationSeparator" w:id="1">
    <w:p w:rsidR="00237F83" w:rsidRDefault="00237F83" w:rsidP="00286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0A8"/>
    <w:multiLevelType w:val="multilevel"/>
    <w:tmpl w:val="B934A256"/>
    <w:lvl w:ilvl="0">
      <w:start w:val="1"/>
      <w:numFmt w:val="decimal"/>
      <w:suff w:val="space"/>
      <w:lvlText w:val="%1."/>
      <w:lvlJc w:val="left"/>
      <w:pPr>
        <w:ind w:left="0" w:firstLine="0"/>
      </w:pPr>
      <w:rPr>
        <w:rFonts w:ascii="Palatino Linotype" w:hAnsi="Palatino Linotype" w:hint="default"/>
        <w:b/>
        <w:i w:val="0"/>
        <w:sz w:val="22"/>
      </w:rPr>
    </w:lvl>
    <w:lvl w:ilvl="1">
      <w:start w:val="1"/>
      <w:numFmt w:val="decimal"/>
      <w:pStyle w:val="H2"/>
      <w:suff w:val="space"/>
      <w:lvlText w:val="%1.%2."/>
      <w:lvlJc w:val="left"/>
      <w:pPr>
        <w:ind w:left="0" w:firstLine="0"/>
      </w:pPr>
      <w:rPr>
        <w:rFonts w:ascii="Palatino Linotype" w:hAnsi="Palatino Linotype" w:hint="default"/>
        <w:b/>
        <w:i w:val="0"/>
        <w:sz w:val="20"/>
      </w:rPr>
    </w:lvl>
    <w:lvl w:ilvl="2">
      <w:start w:val="1"/>
      <w:numFmt w:val="decimal"/>
      <w:pStyle w:val="H3"/>
      <w:suff w:val="space"/>
      <w:lvlText w:val="%1.%2.%3."/>
      <w:lvlJc w:val="left"/>
      <w:pPr>
        <w:ind w:left="0" w:firstLine="0"/>
      </w:pPr>
      <w:rPr>
        <w:rFonts w:ascii="Palatino Linotype" w:hAnsi="Palatino Linotype" w:hint="default"/>
        <w:b w:val="0"/>
        <w:i/>
        <w:sz w:val="20"/>
      </w:rPr>
    </w:lvl>
    <w:lvl w:ilvl="3">
      <w:start w:val="1"/>
      <w:numFmt w:val="decimal"/>
      <w:pStyle w:val="H4"/>
      <w:suff w:val="space"/>
      <w:lvlText w:val="%1.%2.%3.%4."/>
      <w:lvlJc w:val="left"/>
      <w:pPr>
        <w:ind w:left="0" w:firstLine="0"/>
      </w:pPr>
      <w:rPr>
        <w:rFonts w:ascii="Palatino Linotype" w:hAnsi="Palatino Linotype" w:hint="default"/>
        <w:b w:val="0"/>
        <w:i/>
        <w:sz w:val="18"/>
      </w:rPr>
    </w:lvl>
    <w:lvl w:ilvl="4">
      <w:start w:val="1"/>
      <w:numFmt w:val="decimal"/>
      <w:pStyle w:val="H5"/>
      <w:suff w:val="space"/>
      <w:lvlText w:val="%1.%2.%3.%4.%5."/>
      <w:lvlJc w:val="left"/>
      <w:pPr>
        <w:ind w:left="0" w:firstLine="0"/>
      </w:pPr>
      <w:rPr>
        <w:rFonts w:ascii="Palatino Linotype" w:hAnsi="Palatino Linotype" w:hint="default"/>
        <w:b w:val="0"/>
        <w:i/>
        <w:sz w:val="18"/>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2">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3">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4">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5">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6">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7">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 w:numId="8">
    <w:abstractNumId w:val="0"/>
    <w:lvlOverride w:ilvl="0">
      <w:lvl w:ilvl="0">
        <w:start w:val="1"/>
        <w:numFmt w:val="decimal"/>
        <w:suff w:val="space"/>
        <w:lvlText w:val="%1."/>
        <w:lvlJc w:val="left"/>
        <w:pPr>
          <w:ind w:left="0" w:firstLine="0"/>
        </w:pPr>
        <w:rPr>
          <w:rFonts w:ascii="Palatino Linotype" w:hAnsi="Palatino Linotype" w:hint="default"/>
          <w:b/>
          <w:i w:val="0"/>
          <w:sz w:val="22"/>
        </w:rPr>
      </w:lvl>
    </w:lvlOverride>
    <w:lvlOverride w:ilvl="1">
      <w:lvl w:ilvl="1">
        <w:start w:val="1"/>
        <w:numFmt w:val="decimal"/>
        <w:pStyle w:val="H2"/>
        <w:suff w:val="space"/>
        <w:lvlText w:val="%1.%2."/>
        <w:lvlJc w:val="left"/>
        <w:pPr>
          <w:ind w:left="0" w:firstLine="0"/>
        </w:pPr>
        <w:rPr>
          <w:rFonts w:ascii="Palatino Linotype" w:hAnsi="Palatino Linotype" w:hint="default"/>
          <w:b/>
          <w:i w:val="0"/>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0E6"/>
    <w:rsid w:val="0000096C"/>
    <w:rsid w:val="00010B2C"/>
    <w:rsid w:val="000A7F66"/>
    <w:rsid w:val="00102F1B"/>
    <w:rsid w:val="00194378"/>
    <w:rsid w:val="001C02EA"/>
    <w:rsid w:val="00237F83"/>
    <w:rsid w:val="00286220"/>
    <w:rsid w:val="002A6BDA"/>
    <w:rsid w:val="002E2660"/>
    <w:rsid w:val="002F16B0"/>
    <w:rsid w:val="00381E84"/>
    <w:rsid w:val="003B11B3"/>
    <w:rsid w:val="003E4704"/>
    <w:rsid w:val="00494CFE"/>
    <w:rsid w:val="004A6FD0"/>
    <w:rsid w:val="004B53EE"/>
    <w:rsid w:val="00534003"/>
    <w:rsid w:val="00593BEC"/>
    <w:rsid w:val="00632BAC"/>
    <w:rsid w:val="00770E5A"/>
    <w:rsid w:val="007D1541"/>
    <w:rsid w:val="008119BB"/>
    <w:rsid w:val="008442A1"/>
    <w:rsid w:val="00853B38"/>
    <w:rsid w:val="009048DB"/>
    <w:rsid w:val="00954B85"/>
    <w:rsid w:val="00990A04"/>
    <w:rsid w:val="009C60E6"/>
    <w:rsid w:val="009D1D5E"/>
    <w:rsid w:val="00A12FD8"/>
    <w:rsid w:val="00A30AC3"/>
    <w:rsid w:val="00AC5E5F"/>
    <w:rsid w:val="00B05A43"/>
    <w:rsid w:val="00BF471B"/>
    <w:rsid w:val="00C2289E"/>
    <w:rsid w:val="00D00AD5"/>
    <w:rsid w:val="00EC011D"/>
    <w:rsid w:val="00F02497"/>
    <w:rsid w:val="00F45055"/>
    <w:rsid w:val="00F73A4A"/>
    <w:rsid w:val="00F75F8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3A4A"/>
    <w:pPr>
      <w:spacing w:after="0" w:line="240" w:lineRule="auto"/>
    </w:pPr>
    <w:rPr>
      <w:rFonts w:ascii="Times New Roman" w:hAnsi="Times New Roman"/>
      <w:sz w:val="24"/>
      <w:szCs w:val="24"/>
    </w:rPr>
  </w:style>
  <w:style w:type="paragraph" w:styleId="Balk1">
    <w:name w:val="heading 1"/>
    <w:basedOn w:val="Normal"/>
    <w:next w:val="Normal"/>
    <w:link w:val="Balk1Char"/>
    <w:uiPriority w:val="9"/>
    <w:rsid w:val="00F73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F73A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2">
    <w:name w:val="H2"/>
    <w:basedOn w:val="Normal"/>
    <w:next w:val="paragraph"/>
    <w:qFormat/>
    <w:rsid w:val="00F73A4A"/>
    <w:pPr>
      <w:numPr>
        <w:ilvl w:val="1"/>
        <w:numId w:val="8"/>
      </w:numPr>
      <w:autoSpaceDE w:val="0"/>
      <w:autoSpaceDN w:val="0"/>
      <w:adjustRightInd w:val="0"/>
      <w:spacing w:before="280" w:after="240"/>
    </w:pPr>
    <w:rPr>
      <w:rFonts w:ascii="Palatino Linotype" w:eastAsia="PMingLiU" w:hAnsi="Palatino Linotype" w:cs="Times New Roman"/>
      <w:b/>
      <w:bCs/>
      <w:sz w:val="20"/>
      <w:szCs w:val="20"/>
      <w:lang w:val="en-GB" w:eastAsia="de-AT"/>
    </w:rPr>
  </w:style>
  <w:style w:type="paragraph" w:customStyle="1" w:styleId="H3">
    <w:name w:val="H3"/>
    <w:basedOn w:val="H2"/>
    <w:next w:val="paragraph"/>
    <w:qFormat/>
    <w:rsid w:val="00F73A4A"/>
    <w:pPr>
      <w:numPr>
        <w:ilvl w:val="2"/>
      </w:numPr>
    </w:pPr>
    <w:rPr>
      <w:b w:val="0"/>
      <w:i/>
      <w:lang w:eastAsia="en-US"/>
    </w:rPr>
  </w:style>
  <w:style w:type="paragraph" w:customStyle="1" w:styleId="H4">
    <w:name w:val="H4"/>
    <w:basedOn w:val="Normal"/>
    <w:next w:val="paragraph"/>
    <w:qFormat/>
    <w:rsid w:val="00F73A4A"/>
    <w:pPr>
      <w:numPr>
        <w:ilvl w:val="3"/>
        <w:numId w:val="8"/>
      </w:numPr>
      <w:spacing w:before="120" w:after="120"/>
    </w:pPr>
    <w:rPr>
      <w:rFonts w:ascii="Palatino Linotype" w:eastAsia="Times New Roman" w:hAnsi="Palatino Linotype" w:cs="Times New Roman"/>
      <w:i/>
      <w:iCs/>
      <w:sz w:val="18"/>
      <w:szCs w:val="20"/>
      <w:lang w:val="en-GB" w:eastAsia="de-AT"/>
    </w:rPr>
  </w:style>
  <w:style w:type="paragraph" w:customStyle="1" w:styleId="paragraph">
    <w:name w:val="paragraph"/>
    <w:basedOn w:val="Normal"/>
    <w:link w:val="paragraphChar"/>
    <w:qFormat/>
    <w:rsid w:val="00F73A4A"/>
    <w:pPr>
      <w:spacing w:before="120" w:after="120"/>
    </w:pPr>
    <w:rPr>
      <w:rFonts w:ascii="Palatino Linotype" w:eastAsia="Times New Roman" w:hAnsi="Palatino Linotype" w:cs="Times New Roman"/>
      <w:sz w:val="18"/>
      <w:szCs w:val="20"/>
      <w:lang w:val="en-GB" w:eastAsia="de-AT"/>
    </w:rPr>
  </w:style>
  <w:style w:type="character" w:customStyle="1" w:styleId="paragraphChar">
    <w:name w:val="paragraph Char"/>
    <w:basedOn w:val="VarsaylanParagrafYazTipi"/>
    <w:link w:val="paragraph"/>
    <w:rsid w:val="00F73A4A"/>
    <w:rPr>
      <w:rFonts w:ascii="Palatino Linotype" w:eastAsia="Times New Roman" w:hAnsi="Palatino Linotype" w:cs="Times New Roman"/>
      <w:sz w:val="18"/>
      <w:szCs w:val="20"/>
      <w:lang w:val="en-GB" w:eastAsia="de-AT"/>
    </w:rPr>
  </w:style>
  <w:style w:type="paragraph" w:customStyle="1" w:styleId="H5">
    <w:name w:val="H5+"/>
    <w:basedOn w:val="H4"/>
    <w:next w:val="paragraph"/>
    <w:qFormat/>
    <w:rsid w:val="00F73A4A"/>
    <w:pPr>
      <w:numPr>
        <w:ilvl w:val="4"/>
      </w:numPr>
    </w:pPr>
  </w:style>
  <w:style w:type="character" w:customStyle="1" w:styleId="Balk4Char">
    <w:name w:val="Başlık 4 Char"/>
    <w:basedOn w:val="VarsaylanParagrafYazTipi"/>
    <w:link w:val="Balk4"/>
    <w:uiPriority w:val="9"/>
    <w:rsid w:val="00F73A4A"/>
    <w:rPr>
      <w:rFonts w:asciiTheme="majorHAnsi" w:eastAsiaTheme="majorEastAsia" w:hAnsiTheme="majorHAnsi" w:cstheme="majorBidi"/>
      <w:b/>
      <w:bCs/>
      <w:i/>
      <w:iCs/>
      <w:color w:val="4F81BD" w:themeColor="accent1"/>
      <w:sz w:val="24"/>
      <w:szCs w:val="24"/>
    </w:rPr>
  </w:style>
  <w:style w:type="paragraph" w:styleId="ResimYazs">
    <w:name w:val="caption"/>
    <w:basedOn w:val="Normal"/>
    <w:next w:val="Normal"/>
    <w:uiPriority w:val="35"/>
    <w:unhideWhenUsed/>
    <w:qFormat/>
    <w:rsid w:val="00F73A4A"/>
    <w:rPr>
      <w:rFonts w:eastAsia="Times New Roman" w:cs="Times New Roman"/>
      <w:b/>
      <w:bCs/>
      <w:color w:val="4F81BD" w:themeColor="accent1"/>
      <w:sz w:val="18"/>
      <w:szCs w:val="18"/>
    </w:rPr>
  </w:style>
  <w:style w:type="paragraph" w:styleId="ListeParagraf">
    <w:name w:val="List Paragraph"/>
    <w:basedOn w:val="Normal"/>
    <w:uiPriority w:val="34"/>
    <w:qFormat/>
    <w:rsid w:val="00F73A4A"/>
    <w:pPr>
      <w:ind w:left="720"/>
      <w:contextualSpacing/>
    </w:pPr>
    <w:rPr>
      <w:rFonts w:eastAsia="Times New Roman" w:cs="Times New Roman"/>
    </w:rPr>
  </w:style>
  <w:style w:type="character" w:customStyle="1" w:styleId="Balk1Char">
    <w:name w:val="Başlık 1 Char"/>
    <w:basedOn w:val="VarsaylanParagrafYazTipi"/>
    <w:link w:val="Balk1"/>
    <w:uiPriority w:val="9"/>
    <w:rsid w:val="00F73A4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F73A4A"/>
    <w:pPr>
      <w:outlineLvl w:val="9"/>
    </w:pPr>
  </w:style>
  <w:style w:type="paragraph" w:styleId="BalonMetni">
    <w:name w:val="Balloon Text"/>
    <w:basedOn w:val="Normal"/>
    <w:link w:val="BalonMetniChar"/>
    <w:uiPriority w:val="99"/>
    <w:semiHidden/>
    <w:unhideWhenUsed/>
    <w:rsid w:val="009C60E6"/>
    <w:rPr>
      <w:rFonts w:ascii="Tahoma" w:hAnsi="Tahoma" w:cs="Tahoma"/>
      <w:sz w:val="16"/>
      <w:szCs w:val="16"/>
    </w:rPr>
  </w:style>
  <w:style w:type="character" w:customStyle="1" w:styleId="BalonMetniChar">
    <w:name w:val="Balon Metni Char"/>
    <w:basedOn w:val="VarsaylanParagrafYazTipi"/>
    <w:link w:val="BalonMetni"/>
    <w:uiPriority w:val="99"/>
    <w:semiHidden/>
    <w:rsid w:val="009C60E6"/>
    <w:rPr>
      <w:rFonts w:ascii="Tahoma" w:hAnsi="Tahoma" w:cs="Tahoma"/>
      <w:sz w:val="16"/>
      <w:szCs w:val="16"/>
    </w:rPr>
  </w:style>
  <w:style w:type="table" w:styleId="TabloKlavuzu">
    <w:name w:val="Table Grid"/>
    <w:basedOn w:val="NormalTablo"/>
    <w:uiPriority w:val="59"/>
    <w:rsid w:val="009C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86220"/>
    <w:pPr>
      <w:tabs>
        <w:tab w:val="center" w:pos="4536"/>
        <w:tab w:val="right" w:pos="9072"/>
      </w:tabs>
    </w:pPr>
  </w:style>
  <w:style w:type="character" w:customStyle="1" w:styleId="stbilgiChar">
    <w:name w:val="Üstbilgi Char"/>
    <w:basedOn w:val="VarsaylanParagrafYazTipi"/>
    <w:link w:val="stbilgi"/>
    <w:uiPriority w:val="99"/>
    <w:rsid w:val="00286220"/>
    <w:rPr>
      <w:rFonts w:ascii="Times New Roman" w:hAnsi="Times New Roman"/>
      <w:sz w:val="24"/>
      <w:szCs w:val="24"/>
    </w:rPr>
  </w:style>
  <w:style w:type="paragraph" w:styleId="Altbilgi">
    <w:name w:val="footer"/>
    <w:basedOn w:val="Normal"/>
    <w:link w:val="AltbilgiChar"/>
    <w:uiPriority w:val="99"/>
    <w:unhideWhenUsed/>
    <w:rsid w:val="00286220"/>
    <w:pPr>
      <w:tabs>
        <w:tab w:val="center" w:pos="4536"/>
        <w:tab w:val="right" w:pos="9072"/>
      </w:tabs>
    </w:pPr>
  </w:style>
  <w:style w:type="character" w:customStyle="1" w:styleId="AltbilgiChar">
    <w:name w:val="Altbilgi Char"/>
    <w:basedOn w:val="VarsaylanParagrafYazTipi"/>
    <w:link w:val="Altbilgi"/>
    <w:uiPriority w:val="99"/>
    <w:rsid w:val="00286220"/>
    <w:rPr>
      <w:rFonts w:ascii="Times New Roman" w:hAnsi="Times New Roman"/>
      <w:sz w:val="24"/>
      <w:szCs w:val="24"/>
    </w:rPr>
  </w:style>
  <w:style w:type="table" w:customStyle="1" w:styleId="TabloKlavuzu1">
    <w:name w:val="Tablo Kılavuzu1"/>
    <w:basedOn w:val="NormalTablo"/>
    <w:next w:val="TabloKlavuzu"/>
    <w:uiPriority w:val="59"/>
    <w:rsid w:val="00A12FD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VarsaylanParagrafYazTipi"/>
    <w:rsid w:val="00F02497"/>
  </w:style>
  <w:style w:type="table" w:customStyle="1" w:styleId="TabloKlavuzu2">
    <w:name w:val="Tablo Kılavuzu2"/>
    <w:basedOn w:val="NormalTablo"/>
    <w:next w:val="TabloKlavuzu"/>
    <w:uiPriority w:val="59"/>
    <w:rsid w:val="00F024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3A4A"/>
    <w:pPr>
      <w:spacing w:after="0" w:line="240" w:lineRule="auto"/>
    </w:pPr>
    <w:rPr>
      <w:rFonts w:ascii="Times New Roman" w:hAnsi="Times New Roman"/>
      <w:sz w:val="24"/>
      <w:szCs w:val="24"/>
    </w:rPr>
  </w:style>
  <w:style w:type="paragraph" w:styleId="Balk1">
    <w:name w:val="heading 1"/>
    <w:basedOn w:val="Normal"/>
    <w:next w:val="Normal"/>
    <w:link w:val="Balk1Char"/>
    <w:uiPriority w:val="9"/>
    <w:rsid w:val="00F73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F73A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2">
    <w:name w:val="H2"/>
    <w:basedOn w:val="Normal"/>
    <w:next w:val="paragraph"/>
    <w:qFormat/>
    <w:rsid w:val="00F73A4A"/>
    <w:pPr>
      <w:numPr>
        <w:ilvl w:val="1"/>
        <w:numId w:val="8"/>
      </w:numPr>
      <w:autoSpaceDE w:val="0"/>
      <w:autoSpaceDN w:val="0"/>
      <w:adjustRightInd w:val="0"/>
      <w:spacing w:before="280" w:after="240"/>
    </w:pPr>
    <w:rPr>
      <w:rFonts w:ascii="Palatino Linotype" w:eastAsia="PMingLiU" w:hAnsi="Palatino Linotype" w:cs="Times New Roman"/>
      <w:b/>
      <w:bCs/>
      <w:sz w:val="20"/>
      <w:szCs w:val="20"/>
      <w:lang w:val="en-GB" w:eastAsia="de-AT"/>
    </w:rPr>
  </w:style>
  <w:style w:type="paragraph" w:customStyle="1" w:styleId="H3">
    <w:name w:val="H3"/>
    <w:basedOn w:val="H2"/>
    <w:next w:val="paragraph"/>
    <w:qFormat/>
    <w:rsid w:val="00F73A4A"/>
    <w:pPr>
      <w:numPr>
        <w:ilvl w:val="2"/>
      </w:numPr>
    </w:pPr>
    <w:rPr>
      <w:b w:val="0"/>
      <w:i/>
      <w:lang w:eastAsia="en-US"/>
    </w:rPr>
  </w:style>
  <w:style w:type="paragraph" w:customStyle="1" w:styleId="H4">
    <w:name w:val="H4"/>
    <w:basedOn w:val="Normal"/>
    <w:next w:val="paragraph"/>
    <w:qFormat/>
    <w:rsid w:val="00F73A4A"/>
    <w:pPr>
      <w:numPr>
        <w:ilvl w:val="3"/>
        <w:numId w:val="8"/>
      </w:numPr>
      <w:spacing w:before="120" w:after="120"/>
    </w:pPr>
    <w:rPr>
      <w:rFonts w:ascii="Palatino Linotype" w:eastAsia="Times New Roman" w:hAnsi="Palatino Linotype" w:cs="Times New Roman"/>
      <w:i/>
      <w:iCs/>
      <w:sz w:val="18"/>
      <w:szCs w:val="20"/>
      <w:lang w:val="en-GB" w:eastAsia="de-AT"/>
    </w:rPr>
  </w:style>
  <w:style w:type="paragraph" w:customStyle="1" w:styleId="paragraph">
    <w:name w:val="paragraph"/>
    <w:basedOn w:val="Normal"/>
    <w:link w:val="paragraphChar"/>
    <w:qFormat/>
    <w:rsid w:val="00F73A4A"/>
    <w:pPr>
      <w:spacing w:before="120" w:after="120"/>
    </w:pPr>
    <w:rPr>
      <w:rFonts w:ascii="Palatino Linotype" w:eastAsia="Times New Roman" w:hAnsi="Palatino Linotype" w:cs="Times New Roman"/>
      <w:sz w:val="18"/>
      <w:szCs w:val="20"/>
      <w:lang w:val="en-GB" w:eastAsia="de-AT"/>
    </w:rPr>
  </w:style>
  <w:style w:type="character" w:customStyle="1" w:styleId="paragraphChar">
    <w:name w:val="paragraph Char"/>
    <w:basedOn w:val="VarsaylanParagrafYazTipi"/>
    <w:link w:val="paragraph"/>
    <w:rsid w:val="00F73A4A"/>
    <w:rPr>
      <w:rFonts w:ascii="Palatino Linotype" w:eastAsia="Times New Roman" w:hAnsi="Palatino Linotype" w:cs="Times New Roman"/>
      <w:sz w:val="18"/>
      <w:szCs w:val="20"/>
      <w:lang w:val="en-GB" w:eastAsia="de-AT"/>
    </w:rPr>
  </w:style>
  <w:style w:type="paragraph" w:customStyle="1" w:styleId="H5">
    <w:name w:val="H5+"/>
    <w:basedOn w:val="H4"/>
    <w:next w:val="paragraph"/>
    <w:qFormat/>
    <w:rsid w:val="00F73A4A"/>
    <w:pPr>
      <w:numPr>
        <w:ilvl w:val="4"/>
      </w:numPr>
    </w:pPr>
  </w:style>
  <w:style w:type="character" w:customStyle="1" w:styleId="Balk4Char">
    <w:name w:val="Başlık 4 Char"/>
    <w:basedOn w:val="VarsaylanParagrafYazTipi"/>
    <w:link w:val="Balk4"/>
    <w:uiPriority w:val="9"/>
    <w:rsid w:val="00F73A4A"/>
    <w:rPr>
      <w:rFonts w:asciiTheme="majorHAnsi" w:eastAsiaTheme="majorEastAsia" w:hAnsiTheme="majorHAnsi" w:cstheme="majorBidi"/>
      <w:b/>
      <w:bCs/>
      <w:i/>
      <w:iCs/>
      <w:color w:val="4F81BD" w:themeColor="accent1"/>
      <w:sz w:val="24"/>
      <w:szCs w:val="24"/>
    </w:rPr>
  </w:style>
  <w:style w:type="paragraph" w:styleId="ResimYazs">
    <w:name w:val="caption"/>
    <w:basedOn w:val="Normal"/>
    <w:next w:val="Normal"/>
    <w:uiPriority w:val="35"/>
    <w:unhideWhenUsed/>
    <w:qFormat/>
    <w:rsid w:val="00F73A4A"/>
    <w:rPr>
      <w:rFonts w:eastAsia="Times New Roman" w:cs="Times New Roman"/>
      <w:b/>
      <w:bCs/>
      <w:color w:val="4F81BD" w:themeColor="accent1"/>
      <w:sz w:val="18"/>
      <w:szCs w:val="18"/>
    </w:rPr>
  </w:style>
  <w:style w:type="paragraph" w:styleId="ListeParagraf">
    <w:name w:val="List Paragraph"/>
    <w:basedOn w:val="Normal"/>
    <w:uiPriority w:val="34"/>
    <w:qFormat/>
    <w:rsid w:val="00F73A4A"/>
    <w:pPr>
      <w:ind w:left="720"/>
      <w:contextualSpacing/>
    </w:pPr>
    <w:rPr>
      <w:rFonts w:eastAsia="Times New Roman" w:cs="Times New Roman"/>
    </w:rPr>
  </w:style>
  <w:style w:type="character" w:customStyle="1" w:styleId="Balk1Char">
    <w:name w:val="Başlık 1 Char"/>
    <w:basedOn w:val="VarsaylanParagrafYazTipi"/>
    <w:link w:val="Balk1"/>
    <w:uiPriority w:val="9"/>
    <w:rsid w:val="00F73A4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F73A4A"/>
    <w:pPr>
      <w:outlineLvl w:val="9"/>
    </w:pPr>
  </w:style>
  <w:style w:type="paragraph" w:styleId="BalonMetni">
    <w:name w:val="Balloon Text"/>
    <w:basedOn w:val="Normal"/>
    <w:link w:val="BalonMetniChar"/>
    <w:uiPriority w:val="99"/>
    <w:semiHidden/>
    <w:unhideWhenUsed/>
    <w:rsid w:val="009C60E6"/>
    <w:rPr>
      <w:rFonts w:ascii="Tahoma" w:hAnsi="Tahoma" w:cs="Tahoma"/>
      <w:sz w:val="16"/>
      <w:szCs w:val="16"/>
    </w:rPr>
  </w:style>
  <w:style w:type="character" w:customStyle="1" w:styleId="BalonMetniChar">
    <w:name w:val="Balon Metni Char"/>
    <w:basedOn w:val="VarsaylanParagrafYazTipi"/>
    <w:link w:val="BalonMetni"/>
    <w:uiPriority w:val="99"/>
    <w:semiHidden/>
    <w:rsid w:val="009C60E6"/>
    <w:rPr>
      <w:rFonts w:ascii="Tahoma" w:hAnsi="Tahoma" w:cs="Tahoma"/>
      <w:sz w:val="16"/>
      <w:szCs w:val="16"/>
    </w:rPr>
  </w:style>
  <w:style w:type="table" w:styleId="TabloKlavuzu">
    <w:name w:val="Table Grid"/>
    <w:basedOn w:val="NormalTablo"/>
    <w:uiPriority w:val="59"/>
    <w:rsid w:val="009C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86220"/>
    <w:pPr>
      <w:tabs>
        <w:tab w:val="center" w:pos="4536"/>
        <w:tab w:val="right" w:pos="9072"/>
      </w:tabs>
    </w:pPr>
  </w:style>
  <w:style w:type="character" w:customStyle="1" w:styleId="stbilgiChar">
    <w:name w:val="Üstbilgi Char"/>
    <w:basedOn w:val="VarsaylanParagrafYazTipi"/>
    <w:link w:val="stbilgi"/>
    <w:uiPriority w:val="99"/>
    <w:rsid w:val="00286220"/>
    <w:rPr>
      <w:rFonts w:ascii="Times New Roman" w:hAnsi="Times New Roman"/>
      <w:sz w:val="24"/>
      <w:szCs w:val="24"/>
    </w:rPr>
  </w:style>
  <w:style w:type="paragraph" w:styleId="Altbilgi">
    <w:name w:val="footer"/>
    <w:basedOn w:val="Normal"/>
    <w:link w:val="AltbilgiChar"/>
    <w:uiPriority w:val="99"/>
    <w:unhideWhenUsed/>
    <w:rsid w:val="00286220"/>
    <w:pPr>
      <w:tabs>
        <w:tab w:val="center" w:pos="4536"/>
        <w:tab w:val="right" w:pos="9072"/>
      </w:tabs>
    </w:pPr>
  </w:style>
  <w:style w:type="character" w:customStyle="1" w:styleId="AltbilgiChar">
    <w:name w:val="Altbilgi Char"/>
    <w:basedOn w:val="VarsaylanParagrafYazTipi"/>
    <w:link w:val="Altbilgi"/>
    <w:uiPriority w:val="99"/>
    <w:rsid w:val="0028622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Union_of_Pure_and_Applied_Chemistry" TargetMode="External"/><Relationship Id="rId3" Type="http://schemas.openxmlformats.org/officeDocument/2006/relationships/settings" Target="settings.xml"/><Relationship Id="rId7" Type="http://schemas.openxmlformats.org/officeDocument/2006/relationships/hyperlink" Target="https://en.wikipedia.org/wiki/Schiff_b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n.wikipedia.org/wiki/Compendium_of_Chemical_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1369</Words>
  <Characters>7806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KAST.ÜNİ-2</dc:creator>
  <cp:lastModifiedBy>toshiba</cp:lastModifiedBy>
  <cp:revision>7</cp:revision>
  <dcterms:created xsi:type="dcterms:W3CDTF">2022-08-13T23:49:00Z</dcterms:created>
  <dcterms:modified xsi:type="dcterms:W3CDTF">2022-08-15T16:15:00Z</dcterms:modified>
</cp:coreProperties>
</file>