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3ACC0" w14:textId="048F59E3" w:rsidR="007D32F4" w:rsidRPr="00D53726" w:rsidRDefault="002D3451" w:rsidP="00E80D18">
      <w:pPr>
        <w:jc w:val="center"/>
        <w:rPr>
          <w:b/>
          <w:sz w:val="28"/>
          <w:szCs w:val="28"/>
          <w:lang w:val="en-GB"/>
        </w:rPr>
      </w:pPr>
      <w:r w:rsidRPr="00D53726">
        <w:rPr>
          <w:b/>
          <w:sz w:val="28"/>
          <w:szCs w:val="28"/>
          <w:lang w:val="en-GB"/>
        </w:rPr>
        <w:t xml:space="preserve">A DFT Study of </w:t>
      </w:r>
      <w:r w:rsidR="003D1B2F" w:rsidRPr="00D53726">
        <w:rPr>
          <w:b/>
          <w:sz w:val="28"/>
          <w:szCs w:val="28"/>
          <w:lang w:val="en-GB"/>
        </w:rPr>
        <w:t>(2Z,3Z</w:t>
      </w:r>
      <w:r w:rsidR="007D32F4" w:rsidRPr="00D53726">
        <w:rPr>
          <w:b/>
          <w:sz w:val="28"/>
          <w:szCs w:val="28"/>
          <w:lang w:val="en-GB"/>
        </w:rPr>
        <w:t>)-1,4-dithiane-2,3-dionedioxime</w:t>
      </w:r>
    </w:p>
    <w:p w14:paraId="258FD8F8" w14:textId="6545FF70" w:rsidR="00E25067" w:rsidRPr="00D53726" w:rsidRDefault="00CA7D4F" w:rsidP="00E25067">
      <w:pPr>
        <w:jc w:val="center"/>
        <w:rPr>
          <w:rFonts w:cstheme="minorHAnsi"/>
          <w:b/>
          <w:color w:val="000000" w:themeColor="text1"/>
          <w:vertAlign w:val="superscript"/>
          <w:lang w:val="en-GB"/>
        </w:rPr>
      </w:pPr>
      <w:r w:rsidRPr="00D53726">
        <w:rPr>
          <w:b/>
          <w:i/>
          <w:color w:val="000000" w:themeColor="text1"/>
          <w:sz w:val="22"/>
          <w:szCs w:val="22"/>
          <w:u w:val="single"/>
          <w:lang w:val="en-GB"/>
        </w:rPr>
        <w:t>Berna ÇATIKKAŞ</w:t>
      </w:r>
      <w:r w:rsidR="00243C05" w:rsidRPr="00D53726">
        <w:rPr>
          <w:rStyle w:val="DipnotBavurusu"/>
          <w:lang w:val="en-GB"/>
        </w:rPr>
        <w:footnoteReference w:customMarkFollows="1" w:id="1"/>
        <w:sym w:font="Symbol" w:char="F02A"/>
      </w:r>
      <w:r w:rsidR="00243C05" w:rsidRPr="00D53726">
        <w:rPr>
          <w:b/>
          <w:i/>
          <w:color w:val="000000" w:themeColor="text1"/>
          <w:sz w:val="22"/>
          <w:szCs w:val="22"/>
          <w:vertAlign w:val="superscript"/>
          <w:lang w:val="en-GB"/>
        </w:rPr>
        <w:t xml:space="preserve"> </w:t>
      </w:r>
      <w:r w:rsidR="00243C05" w:rsidRPr="00D53726">
        <w:rPr>
          <w:b/>
          <w:i/>
          <w:noProof/>
          <w:color w:val="000000" w:themeColor="text1"/>
          <w:sz w:val="22"/>
          <w:szCs w:val="22"/>
          <w:lang w:val="en-GB" w:eastAsia="en-GB"/>
        </w:rPr>
        <w:drawing>
          <wp:inline distT="0" distB="0" distL="0" distR="0" wp14:anchorId="66C27B56" wp14:editId="33E12BB9">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D53726">
        <w:rPr>
          <w:rFonts w:cstheme="minorHAnsi"/>
          <w:b/>
          <w:i/>
          <w:color w:val="000000" w:themeColor="text1"/>
          <w:vertAlign w:val="superscript"/>
          <w:lang w:val="en-GB"/>
        </w:rPr>
        <w:t xml:space="preserve"> </w:t>
      </w:r>
    </w:p>
    <w:p w14:paraId="6875F911" w14:textId="59BAC0C8" w:rsidR="00B11128" w:rsidRPr="00D53726" w:rsidRDefault="007057B2" w:rsidP="00B11128">
      <w:pPr>
        <w:autoSpaceDE w:val="0"/>
        <w:autoSpaceDN w:val="0"/>
        <w:spacing w:before="120"/>
        <w:jc w:val="center"/>
        <w:rPr>
          <w:b/>
          <w:i/>
          <w:sz w:val="18"/>
          <w:szCs w:val="18"/>
          <w:lang w:val="en-GB"/>
        </w:rPr>
      </w:pPr>
      <w:r w:rsidRPr="00D53726">
        <w:rPr>
          <w:rFonts w:eastAsia="MS Mincho"/>
          <w:i/>
          <w:iCs/>
          <w:sz w:val="18"/>
          <w:szCs w:val="18"/>
          <w:lang w:val="en-GB"/>
        </w:rPr>
        <w:t xml:space="preserve">Hatay Mustafa Kemal University, Department of Physics, </w:t>
      </w:r>
      <w:proofErr w:type="spellStart"/>
      <w:r w:rsidRPr="00D53726">
        <w:rPr>
          <w:rFonts w:eastAsia="MS Mincho"/>
          <w:i/>
          <w:iCs/>
          <w:sz w:val="18"/>
          <w:szCs w:val="18"/>
          <w:lang w:val="en-GB"/>
        </w:rPr>
        <w:t>Hatay</w:t>
      </w:r>
      <w:proofErr w:type="spellEnd"/>
      <w:r w:rsidRPr="00D53726">
        <w:rPr>
          <w:rFonts w:eastAsia="MS Mincho"/>
          <w:i/>
          <w:iCs/>
          <w:sz w:val="18"/>
          <w:szCs w:val="18"/>
          <w:lang w:val="en-GB"/>
        </w:rPr>
        <w:t>, TÜRKİYE</w:t>
      </w:r>
    </w:p>
    <w:p w14:paraId="2AC125AE" w14:textId="39D879E6" w:rsidR="00890B2E" w:rsidRPr="00D53726" w:rsidRDefault="00890B2E" w:rsidP="0059146B">
      <w:pPr>
        <w:jc w:val="center"/>
        <w:rPr>
          <w:i/>
          <w:color w:val="000000" w:themeColor="text1"/>
          <w:sz w:val="20"/>
          <w:szCs w:val="20"/>
          <w:lang w:val="en-GB"/>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D53726" w14:paraId="4166A5D6" w14:textId="77777777" w:rsidTr="00E76A06">
        <w:trPr>
          <w:trHeight w:val="1796"/>
        </w:trPr>
        <w:tc>
          <w:tcPr>
            <w:tcW w:w="10150" w:type="dxa"/>
            <w:shd w:val="clear" w:color="auto" w:fill="D9D9D9" w:themeFill="background1" w:themeFillShade="D9"/>
          </w:tcPr>
          <w:p w14:paraId="03DC91F4" w14:textId="51AA8AA7" w:rsidR="00A664CE" w:rsidRPr="00D53726" w:rsidRDefault="001558FC" w:rsidP="00A664CE">
            <w:pPr>
              <w:shd w:val="clear" w:color="auto" w:fill="D9D9D9" w:themeFill="background1" w:themeFillShade="D9"/>
              <w:ind w:right="-21"/>
              <w:rPr>
                <w:b/>
                <w:bCs/>
                <w:color w:val="000000" w:themeColor="text1"/>
                <w:lang w:val="en-GB"/>
              </w:rPr>
            </w:pPr>
            <w:r w:rsidRPr="00D53726">
              <w:rPr>
                <w:b/>
                <w:bCs/>
                <w:color w:val="000000" w:themeColor="text1"/>
                <w:lang w:val="en-GB"/>
              </w:rPr>
              <w:t>Abstract</w:t>
            </w:r>
          </w:p>
          <w:p w14:paraId="109F1148" w14:textId="1328D0E5" w:rsidR="00716CEF" w:rsidRPr="00D53726" w:rsidRDefault="00716CEF" w:rsidP="00DB55BD">
            <w:pPr>
              <w:shd w:val="clear" w:color="auto" w:fill="D9D9D9" w:themeFill="background1" w:themeFillShade="D9"/>
              <w:ind w:right="-21"/>
              <w:jc w:val="both"/>
              <w:rPr>
                <w:sz w:val="20"/>
                <w:szCs w:val="20"/>
                <w:lang w:val="en-GB"/>
              </w:rPr>
            </w:pPr>
            <w:r w:rsidRPr="00D53726">
              <w:rPr>
                <w:sz w:val="20"/>
                <w:szCs w:val="20"/>
                <w:lang w:val="en-GB"/>
              </w:rPr>
              <w:t>In</w:t>
            </w:r>
            <w:r w:rsidRPr="00D53726">
              <w:rPr>
                <w:color w:val="000000" w:themeColor="text1"/>
                <w:lang w:val="en-GB"/>
              </w:rPr>
              <w:t xml:space="preserve"> </w:t>
            </w:r>
            <w:r w:rsidRPr="00D53726">
              <w:rPr>
                <w:sz w:val="20"/>
                <w:szCs w:val="20"/>
                <w:lang w:val="en-GB"/>
              </w:rPr>
              <w:t>this study, electronic structures vicina</w:t>
            </w:r>
            <w:r w:rsidR="00D86DEC" w:rsidRPr="00D53726">
              <w:rPr>
                <w:sz w:val="20"/>
                <w:szCs w:val="20"/>
                <w:lang w:val="en-GB"/>
              </w:rPr>
              <w:t xml:space="preserve">l </w:t>
            </w:r>
            <w:proofErr w:type="spellStart"/>
            <w:r w:rsidR="00D86DEC" w:rsidRPr="00D53726">
              <w:rPr>
                <w:sz w:val="20"/>
                <w:szCs w:val="20"/>
                <w:lang w:val="en-GB"/>
              </w:rPr>
              <w:t>dioxime</w:t>
            </w:r>
            <w:proofErr w:type="spellEnd"/>
            <w:r w:rsidRPr="00D53726">
              <w:rPr>
                <w:sz w:val="20"/>
                <w:szCs w:val="20"/>
                <w:lang w:val="en-GB"/>
              </w:rPr>
              <w:t xml:space="preserve"> wer</w:t>
            </w:r>
            <w:r w:rsidR="00DB55BD" w:rsidRPr="00D53726">
              <w:rPr>
                <w:sz w:val="20"/>
                <w:szCs w:val="20"/>
                <w:lang w:val="en-GB"/>
              </w:rPr>
              <w:t>e studied by DFT calculations. S</w:t>
            </w:r>
            <w:r w:rsidRPr="00D53726">
              <w:rPr>
                <w:sz w:val="20"/>
                <w:szCs w:val="20"/>
                <w:lang w:val="en-GB"/>
              </w:rPr>
              <w:t xml:space="preserve">tructural and electronic parameters of the complexes were determined by using Gaussian 09 program. </w:t>
            </w:r>
            <w:r w:rsidR="00195AEE" w:rsidRPr="00D53726">
              <w:rPr>
                <w:sz w:val="20"/>
                <w:szCs w:val="20"/>
                <w:lang w:val="en-GB"/>
              </w:rPr>
              <w:t>First of all,</w:t>
            </w:r>
            <w:r w:rsidRPr="00D53726">
              <w:rPr>
                <w:sz w:val="20"/>
                <w:szCs w:val="20"/>
                <w:lang w:val="en-GB"/>
              </w:rPr>
              <w:t xml:space="preserve"> geometric parameters (bond length, bond angle, torsion angle) of the most stable form of th</w:t>
            </w:r>
            <w:r w:rsidR="003B3393" w:rsidRPr="00D53726">
              <w:rPr>
                <w:sz w:val="20"/>
                <w:szCs w:val="20"/>
                <w:lang w:val="en-GB"/>
              </w:rPr>
              <w:t>e complex were determined with m</w:t>
            </w:r>
            <w:r w:rsidRPr="00D53726">
              <w:rPr>
                <w:sz w:val="20"/>
                <w:szCs w:val="20"/>
                <w:lang w:val="en-GB"/>
              </w:rPr>
              <w:t xml:space="preserve">PW1PW91 </w:t>
            </w:r>
            <w:proofErr w:type="spellStart"/>
            <w:proofErr w:type="gramStart"/>
            <w:r w:rsidRPr="00D53726">
              <w:rPr>
                <w:sz w:val="20"/>
                <w:szCs w:val="20"/>
                <w:lang w:val="en-GB"/>
              </w:rPr>
              <w:t>iop</w:t>
            </w:r>
            <w:proofErr w:type="spellEnd"/>
            <w:r w:rsidRPr="00D53726">
              <w:rPr>
                <w:sz w:val="20"/>
                <w:szCs w:val="20"/>
                <w:lang w:val="en-GB"/>
              </w:rPr>
              <w:t>(</w:t>
            </w:r>
            <w:proofErr w:type="gramEnd"/>
            <w:r w:rsidRPr="00D53726">
              <w:rPr>
                <w:sz w:val="20"/>
                <w:szCs w:val="20"/>
                <w:lang w:val="en-GB"/>
              </w:rPr>
              <w:t>3/76=0572004280) / gen [S: cc-</w:t>
            </w:r>
            <w:proofErr w:type="spellStart"/>
            <w:r w:rsidRPr="00D53726">
              <w:rPr>
                <w:sz w:val="20"/>
                <w:szCs w:val="20"/>
                <w:lang w:val="en-GB"/>
              </w:rPr>
              <w:t>pvqz</w:t>
            </w:r>
            <w:proofErr w:type="spellEnd"/>
            <w:r w:rsidRPr="00D53726">
              <w:rPr>
                <w:sz w:val="20"/>
                <w:szCs w:val="20"/>
                <w:lang w:val="en-GB"/>
              </w:rPr>
              <w:t>, C and H: 6-31+g(</w:t>
            </w:r>
            <w:proofErr w:type="spellStart"/>
            <w:r w:rsidRPr="00D53726">
              <w:rPr>
                <w:sz w:val="20"/>
                <w:szCs w:val="20"/>
                <w:lang w:val="en-GB"/>
              </w:rPr>
              <w:t>d,</w:t>
            </w:r>
            <w:r w:rsidR="00D86DEC" w:rsidRPr="00D53726">
              <w:rPr>
                <w:sz w:val="20"/>
                <w:szCs w:val="20"/>
                <w:lang w:val="en-GB"/>
              </w:rPr>
              <w:t>p</w:t>
            </w:r>
            <w:proofErr w:type="spellEnd"/>
            <w:r w:rsidR="00D86DEC" w:rsidRPr="00D53726">
              <w:rPr>
                <w:sz w:val="20"/>
                <w:szCs w:val="20"/>
                <w:lang w:val="en-GB"/>
              </w:rPr>
              <w:t>), N: 6-31+g(2d),  O: cc-</w:t>
            </w:r>
            <w:proofErr w:type="spellStart"/>
            <w:r w:rsidR="00D86DEC" w:rsidRPr="00D53726">
              <w:rPr>
                <w:sz w:val="20"/>
                <w:szCs w:val="20"/>
                <w:lang w:val="en-GB"/>
              </w:rPr>
              <w:t>pvqz</w:t>
            </w:r>
            <w:proofErr w:type="spellEnd"/>
            <w:r w:rsidRPr="00D53726">
              <w:rPr>
                <w:sz w:val="20"/>
                <w:szCs w:val="20"/>
                <w:lang w:val="en-GB"/>
              </w:rPr>
              <w:t xml:space="preserve">] level. </w:t>
            </w:r>
            <w:r w:rsidR="00546A0F" w:rsidRPr="00D53726">
              <w:rPr>
                <w:sz w:val="20"/>
                <w:szCs w:val="20"/>
                <w:lang w:val="en-GB"/>
              </w:rPr>
              <w:t xml:space="preserve">The theoretical frontier molecular orbital descriptors such as electronegativity, chemical potential, softness, </w:t>
            </w:r>
            <w:proofErr w:type="spellStart"/>
            <w:r w:rsidR="00546A0F" w:rsidRPr="00D53726">
              <w:rPr>
                <w:sz w:val="20"/>
                <w:szCs w:val="20"/>
                <w:lang w:val="en-GB"/>
              </w:rPr>
              <w:t>electrophilicity</w:t>
            </w:r>
            <w:proofErr w:type="spellEnd"/>
            <w:r w:rsidR="00546A0F" w:rsidRPr="00D53726">
              <w:rPr>
                <w:sz w:val="20"/>
                <w:szCs w:val="20"/>
                <w:lang w:val="en-GB"/>
              </w:rPr>
              <w:t xml:space="preserve"> index, </w:t>
            </w:r>
            <w:r w:rsidR="00BC51CE">
              <w:rPr>
                <w:sz w:val="20"/>
                <w:szCs w:val="20"/>
                <w:lang w:val="en-GB"/>
              </w:rPr>
              <w:t xml:space="preserve">and </w:t>
            </w:r>
            <w:r w:rsidR="00546A0F" w:rsidRPr="00D53726">
              <w:rPr>
                <w:sz w:val="20"/>
                <w:szCs w:val="20"/>
                <w:lang w:val="en-GB"/>
              </w:rPr>
              <w:t xml:space="preserve">electron affinity of the title compound were calculated with the same level. In addition, the </w:t>
            </w:r>
            <w:r w:rsidR="00DB55BD" w:rsidRPr="00D53726">
              <w:rPr>
                <w:sz w:val="20"/>
                <w:szCs w:val="20"/>
                <w:lang w:val="en-GB"/>
              </w:rPr>
              <w:t xml:space="preserve">total and </w:t>
            </w:r>
            <w:r w:rsidR="00546A0F" w:rsidRPr="00D53726">
              <w:rPr>
                <w:sz w:val="20"/>
                <w:szCs w:val="20"/>
                <w:lang w:val="en-GB"/>
              </w:rPr>
              <w:t>partial density of state distribution (TDOS, PDOS)</w:t>
            </w:r>
            <w:r w:rsidR="00871C4B" w:rsidRPr="00D53726">
              <w:rPr>
                <w:sz w:val="20"/>
                <w:szCs w:val="20"/>
                <w:lang w:val="en-GB"/>
              </w:rPr>
              <w:t xml:space="preserve"> of the molecular orbitals</w:t>
            </w:r>
            <w:r w:rsidR="00546A0F" w:rsidRPr="00D53726">
              <w:rPr>
                <w:sz w:val="20"/>
                <w:szCs w:val="20"/>
                <w:lang w:val="en-GB"/>
              </w:rPr>
              <w:t>, molecular electronic potential surface map (MEP) and nonlinear optical properties (NLO) of the compound were determined.</w:t>
            </w:r>
          </w:p>
        </w:tc>
      </w:tr>
      <w:tr w:rsidR="0097784A" w:rsidRPr="00D53726" w14:paraId="6A0FB242" w14:textId="77777777" w:rsidTr="00AF3380">
        <w:trPr>
          <w:trHeight w:val="385"/>
        </w:trPr>
        <w:tc>
          <w:tcPr>
            <w:tcW w:w="10150" w:type="dxa"/>
            <w:shd w:val="clear" w:color="auto" w:fill="FFFFFF" w:themeFill="background1"/>
          </w:tcPr>
          <w:p w14:paraId="56C26F03" w14:textId="77777777" w:rsidR="00546A0F" w:rsidRPr="00D53726" w:rsidRDefault="00546A0F" w:rsidP="00AF3380">
            <w:pPr>
              <w:pStyle w:val="keywords"/>
              <w:spacing w:after="0"/>
              <w:ind w:firstLine="0"/>
              <w:rPr>
                <w:rFonts w:eastAsia="MS Mincho"/>
                <w:color w:val="000000" w:themeColor="text1"/>
                <w:sz w:val="20"/>
                <w:szCs w:val="20"/>
                <w:lang w:val="en-GB"/>
              </w:rPr>
            </w:pPr>
          </w:p>
          <w:p w14:paraId="6824E26F" w14:textId="55E599D4" w:rsidR="001558FC" w:rsidRPr="00D53726" w:rsidRDefault="001558FC" w:rsidP="009F60B2">
            <w:pPr>
              <w:pStyle w:val="keywords"/>
              <w:spacing w:after="0"/>
              <w:ind w:firstLine="0"/>
              <w:rPr>
                <w:i w:val="0"/>
                <w:color w:val="000000" w:themeColor="text1"/>
                <w:sz w:val="20"/>
                <w:lang w:val="en-GB"/>
              </w:rPr>
            </w:pPr>
            <w:r w:rsidRPr="00D53726">
              <w:rPr>
                <w:rFonts w:eastAsia="MS Mincho"/>
                <w:color w:val="000000" w:themeColor="text1"/>
                <w:sz w:val="20"/>
                <w:szCs w:val="20"/>
                <w:lang w:val="en-GB"/>
              </w:rPr>
              <w:t>Keywords</w:t>
            </w:r>
            <w:r w:rsidR="007D49B8" w:rsidRPr="00D53726">
              <w:rPr>
                <w:rFonts w:eastAsia="MS Mincho"/>
                <w:color w:val="000000" w:themeColor="text1"/>
                <w:sz w:val="20"/>
                <w:szCs w:val="20"/>
                <w:lang w:val="en-GB"/>
              </w:rPr>
              <w:t xml:space="preserve">: </w:t>
            </w:r>
            <w:r w:rsidR="00AF3380" w:rsidRPr="00D53726">
              <w:rPr>
                <w:rFonts w:eastAsia="MS Mincho"/>
                <w:b w:val="0"/>
                <w:bCs w:val="0"/>
                <w:sz w:val="20"/>
                <w:szCs w:val="20"/>
                <w:lang w:val="en-GB"/>
              </w:rPr>
              <w:t>Vic</w:t>
            </w:r>
            <w:r w:rsidR="00E15FC7" w:rsidRPr="00D53726">
              <w:rPr>
                <w:rFonts w:eastAsia="MS Mincho"/>
                <w:b w:val="0"/>
                <w:bCs w:val="0"/>
                <w:sz w:val="20"/>
                <w:szCs w:val="20"/>
                <w:lang w:val="en-GB"/>
              </w:rPr>
              <w:t>inal d</w:t>
            </w:r>
            <w:r w:rsidR="00AF3380" w:rsidRPr="00D53726">
              <w:rPr>
                <w:rFonts w:eastAsia="MS Mincho"/>
                <w:b w:val="0"/>
                <w:bCs w:val="0"/>
                <w:sz w:val="20"/>
                <w:szCs w:val="20"/>
                <w:lang w:val="en-GB"/>
              </w:rPr>
              <w:t>ioxime, Dens</w:t>
            </w:r>
            <w:r w:rsidR="009F60B2">
              <w:rPr>
                <w:rFonts w:eastAsia="MS Mincho"/>
                <w:b w:val="0"/>
                <w:bCs w:val="0"/>
                <w:sz w:val="20"/>
                <w:szCs w:val="20"/>
                <w:lang w:val="en-GB"/>
              </w:rPr>
              <w:t>ity Fuctional Theory, MEP, Nonlinear o</w:t>
            </w:r>
            <w:r w:rsidR="00AF3380" w:rsidRPr="00D53726">
              <w:rPr>
                <w:rFonts w:eastAsia="MS Mincho"/>
                <w:b w:val="0"/>
                <w:bCs w:val="0"/>
                <w:sz w:val="20"/>
                <w:szCs w:val="20"/>
                <w:lang w:val="en-GB"/>
              </w:rPr>
              <w:t>ptic</w:t>
            </w:r>
            <w:r w:rsidR="00B11981" w:rsidRPr="00D53726">
              <w:rPr>
                <w:rFonts w:eastAsia="MS Mincho"/>
                <w:b w:val="0"/>
                <w:bCs w:val="0"/>
                <w:sz w:val="20"/>
                <w:szCs w:val="20"/>
                <w:lang w:val="en-GB"/>
              </w:rPr>
              <w:t>s</w:t>
            </w:r>
            <w:r w:rsidR="00546A0F" w:rsidRPr="00D53726">
              <w:rPr>
                <w:rFonts w:eastAsia="MS Mincho"/>
                <w:b w:val="0"/>
                <w:bCs w:val="0"/>
                <w:sz w:val="20"/>
                <w:szCs w:val="20"/>
                <w:lang w:val="en-GB"/>
              </w:rPr>
              <w:t>.</w:t>
            </w:r>
          </w:p>
        </w:tc>
      </w:tr>
    </w:tbl>
    <w:p w14:paraId="447BB984" w14:textId="7A5B020B" w:rsidR="003D3818" w:rsidRPr="00D53726" w:rsidRDefault="00B2099A" w:rsidP="00C23695">
      <w:pPr>
        <w:pStyle w:val="ListeParagraf"/>
        <w:numPr>
          <w:ilvl w:val="0"/>
          <w:numId w:val="6"/>
        </w:numPr>
        <w:tabs>
          <w:tab w:val="left" w:pos="284"/>
        </w:tabs>
        <w:autoSpaceDE w:val="0"/>
        <w:autoSpaceDN w:val="0"/>
        <w:adjustRightInd w:val="0"/>
        <w:spacing w:before="120"/>
        <w:ind w:left="0" w:right="-59" w:firstLine="0"/>
        <w:jc w:val="both"/>
        <w:rPr>
          <w:noProof/>
          <w:color w:val="000000" w:themeColor="text1"/>
          <w:sz w:val="22"/>
          <w:szCs w:val="22"/>
          <w:lang w:val="en-GB"/>
        </w:rPr>
      </w:pPr>
      <w:r w:rsidRPr="00D53726">
        <w:rPr>
          <w:b/>
          <w:color w:val="000000" w:themeColor="text1"/>
          <w:sz w:val="22"/>
          <w:szCs w:val="22"/>
          <w:lang w:val="en-GB"/>
        </w:rPr>
        <w:t>Introduction</w:t>
      </w:r>
    </w:p>
    <w:p w14:paraId="4D0861BD" w14:textId="6B7FFCEE" w:rsidR="00F46A97" w:rsidRPr="00D53726" w:rsidRDefault="00E15FC7" w:rsidP="0002035E">
      <w:pPr>
        <w:autoSpaceDE w:val="0"/>
        <w:autoSpaceDN w:val="0"/>
        <w:adjustRightInd w:val="0"/>
        <w:spacing w:before="120" w:after="120"/>
        <w:jc w:val="both"/>
        <w:rPr>
          <w:sz w:val="22"/>
          <w:szCs w:val="22"/>
          <w:shd w:val="clear" w:color="auto" w:fill="FFFFFF"/>
          <w:lang w:val="en-GB"/>
        </w:rPr>
      </w:pPr>
      <w:r w:rsidRPr="00D53726">
        <w:rPr>
          <w:sz w:val="22"/>
          <w:szCs w:val="22"/>
          <w:shd w:val="clear" w:color="auto" w:fill="FFFFFF"/>
          <w:lang w:val="en-GB"/>
        </w:rPr>
        <w:t xml:space="preserve">Vicinal </w:t>
      </w:r>
      <w:proofErr w:type="spellStart"/>
      <w:r w:rsidRPr="00D53726">
        <w:rPr>
          <w:sz w:val="22"/>
          <w:szCs w:val="22"/>
          <w:shd w:val="clear" w:color="auto" w:fill="FFFFFF"/>
          <w:lang w:val="en-GB"/>
        </w:rPr>
        <w:t>dioximes</w:t>
      </w:r>
      <w:proofErr w:type="spellEnd"/>
      <w:r w:rsidRPr="00D53726">
        <w:rPr>
          <w:sz w:val="22"/>
          <w:szCs w:val="22"/>
          <w:shd w:val="clear" w:color="auto" w:fill="FFFFFF"/>
          <w:lang w:val="en-GB"/>
        </w:rPr>
        <w:t xml:space="preserve"> refer to a class of organic compounds that contain two </w:t>
      </w:r>
      <w:proofErr w:type="gramStart"/>
      <w:r w:rsidRPr="00D53726">
        <w:rPr>
          <w:sz w:val="22"/>
          <w:szCs w:val="22"/>
          <w:shd w:val="clear" w:color="auto" w:fill="FFFFFF"/>
          <w:lang w:val="en-GB"/>
        </w:rPr>
        <w:t>oxime</w:t>
      </w:r>
      <w:proofErr w:type="gramEnd"/>
      <w:r w:rsidRPr="00D53726">
        <w:rPr>
          <w:sz w:val="22"/>
          <w:szCs w:val="22"/>
          <w:shd w:val="clear" w:color="auto" w:fill="FFFFFF"/>
          <w:lang w:val="en-GB"/>
        </w:rPr>
        <w:t xml:space="preserve"> (nitrogen-oxygen) functional groups positioned on adjacent carbon atoms in a molecule. The presence of these adjacent oxime groups contributes to the amphoteric nature of vicinal </w:t>
      </w:r>
      <w:proofErr w:type="spellStart"/>
      <w:r w:rsidRPr="00D53726">
        <w:rPr>
          <w:sz w:val="22"/>
          <w:szCs w:val="22"/>
          <w:shd w:val="clear" w:color="auto" w:fill="FFFFFF"/>
          <w:lang w:val="en-GB"/>
        </w:rPr>
        <w:t>dioximes</w:t>
      </w:r>
      <w:proofErr w:type="spellEnd"/>
      <w:r w:rsidRPr="00D53726">
        <w:rPr>
          <w:sz w:val="22"/>
          <w:szCs w:val="22"/>
          <w:shd w:val="clear" w:color="auto" w:fill="FFFFFF"/>
          <w:lang w:val="en-GB"/>
        </w:rPr>
        <w:t xml:space="preserve"> (</w:t>
      </w:r>
      <w:proofErr w:type="spellStart"/>
      <w:r w:rsidRPr="00D53726">
        <w:rPr>
          <w:sz w:val="22"/>
          <w:szCs w:val="22"/>
          <w:shd w:val="clear" w:color="auto" w:fill="FFFFFF"/>
          <w:lang w:val="en-GB"/>
        </w:rPr>
        <w:t>vic-dioximes</w:t>
      </w:r>
      <w:proofErr w:type="spellEnd"/>
      <w:r w:rsidRPr="00D53726">
        <w:rPr>
          <w:sz w:val="22"/>
          <w:szCs w:val="22"/>
          <w:shd w:val="clear" w:color="auto" w:fill="FFFFFF"/>
          <w:lang w:val="en-GB"/>
        </w:rPr>
        <w:t xml:space="preserve">). </w:t>
      </w:r>
      <w:r w:rsidR="00F46A97" w:rsidRPr="00D53726">
        <w:rPr>
          <w:sz w:val="22"/>
          <w:szCs w:val="22"/>
          <w:shd w:val="clear" w:color="auto" w:fill="FFFFFF"/>
          <w:lang w:val="en-GB"/>
        </w:rPr>
        <w:t>Vic-</w:t>
      </w:r>
      <w:proofErr w:type="spellStart"/>
      <w:r w:rsidR="00F46A97" w:rsidRPr="00D53726">
        <w:rPr>
          <w:sz w:val="22"/>
          <w:szCs w:val="22"/>
          <w:shd w:val="clear" w:color="auto" w:fill="FFFFFF"/>
          <w:lang w:val="en-GB"/>
        </w:rPr>
        <w:t>dioximes</w:t>
      </w:r>
      <w:proofErr w:type="spellEnd"/>
      <w:r w:rsidR="00F46A97" w:rsidRPr="00D53726">
        <w:rPr>
          <w:sz w:val="22"/>
          <w:szCs w:val="22"/>
          <w:shd w:val="clear" w:color="auto" w:fill="FFFFFF"/>
          <w:lang w:val="en-GB"/>
        </w:rPr>
        <w:t xml:space="preserve"> have diverse applications across multiple branches of chemistry: coordination chemistry, biological research, analytical, organic and medicinal chemistry. Vic-</w:t>
      </w:r>
      <w:proofErr w:type="spellStart"/>
      <w:r w:rsidR="00F46A97" w:rsidRPr="00D53726">
        <w:rPr>
          <w:sz w:val="22"/>
          <w:szCs w:val="22"/>
          <w:shd w:val="clear" w:color="auto" w:fill="FFFFFF"/>
          <w:lang w:val="en-GB"/>
        </w:rPr>
        <w:t>dioximes</w:t>
      </w:r>
      <w:proofErr w:type="spellEnd"/>
      <w:r w:rsidR="00F46A97" w:rsidRPr="00D53726">
        <w:rPr>
          <w:sz w:val="22"/>
          <w:szCs w:val="22"/>
          <w:shd w:val="clear" w:color="auto" w:fill="FFFFFF"/>
          <w:lang w:val="en-GB"/>
        </w:rPr>
        <w:t xml:space="preserve"> serve as intermediate compounds in organic synthesis, contributing to the construction of various organic molecules. Vic-</w:t>
      </w:r>
      <w:proofErr w:type="spellStart"/>
      <w:r w:rsidR="00F46A97" w:rsidRPr="00D53726">
        <w:rPr>
          <w:sz w:val="22"/>
          <w:szCs w:val="22"/>
          <w:shd w:val="clear" w:color="auto" w:fill="FFFFFF"/>
          <w:lang w:val="en-GB"/>
        </w:rPr>
        <w:t>dioximes</w:t>
      </w:r>
      <w:proofErr w:type="spellEnd"/>
      <w:r w:rsidR="00F46A97" w:rsidRPr="00D53726">
        <w:rPr>
          <w:sz w:val="22"/>
          <w:szCs w:val="22"/>
          <w:shd w:val="clear" w:color="auto" w:fill="FFFFFF"/>
          <w:lang w:val="en-GB"/>
        </w:rPr>
        <w:t xml:space="preserve">, particularly in the form of metal complexes, hold potential applications in medical chemistry </w:t>
      </w:r>
      <w:r w:rsidR="00F46A97" w:rsidRPr="00D53726">
        <w:rPr>
          <w:sz w:val="22"/>
          <w:szCs w:val="22"/>
          <w:shd w:val="clear" w:color="auto" w:fill="FFFFFF"/>
          <w:lang w:val="en-GB"/>
        </w:rPr>
        <w:fldChar w:fldCharType="begin" w:fldLock="1"/>
      </w:r>
      <w:r w:rsidR="00D25BCC" w:rsidRPr="00D53726">
        <w:rPr>
          <w:sz w:val="22"/>
          <w:szCs w:val="22"/>
          <w:shd w:val="clear" w:color="auto" w:fill="FFFFFF"/>
          <w:lang w:val="en-GB"/>
        </w:rPr>
        <w:instrText>ADDIN CSL_CITATION {"citationItems":[{"id":"ITEM-1","itemData":{"DOI":"10.1016/j.bioorg.2013.12.001","ISSN":"00452068","PMID":"24463219","abstract":"Gypsogenin (L1; 3-hydroxy-23-oxoolean-12-en-28-oic acid), a natural saponin, was isolated from the boiling water extract of Gypsophila arrostii roots. In addition, the derivatives gypsogenin thiosemicarbazone (L2; 23-[(aminocarbonothioyl)hydrazono]-3-hydroxolean-12-en-28-oic acid) and gypsogenin thiosemicarbazone glyoxime (L3H2; (3β)-3-hydroxy-23-[({[(1Z,2E)-N-hydroxy-2-(hydroxyimino)ethanimidoyl]amino} carbonothioyl)hydrazono] olean-12-en-28-oic acid) as well as the Cu(II) and Co(II) complexes of L3H2 were prepared. The structures were established on NMR analysis (1H, 13C NMR, HMBC, HMQC, and NOESY), FT-IR and completed by analysis of LC/MS. Furthermore, the antiproliferative effects of the Co(II) and Cu(II) complexes of the gypsogenin derivatives were assayed in human promyelocytic leukemia (HL 60) cells. These complexes were found to be potent anticancer agents with concentrations that inhibited 50% of proliferation (IpC50) between 5 μM and 40 μM. Cell death was distinguished by HO/PI double staining. The Co(II) complex of L3H2 has shown approximately %50 apoptotic effect at 10 μM concentration. Paclitaxel has been used as positive control. © 2013 Elsevier Inc. All rights reserved.","author":[{"dropping-particle":"","family":"Emirdaǧ-Öztürk","given":"Safiye","non-dropping-particle":"","parse-names":false,"suffix":""},{"dropping-particle":"","family":"Babahan","given":"Ilknur","non-dropping-particle":"","parse-names":false,"suffix":""},{"dropping-particle":"","family":"Özmen","given":"Ali","non-dropping-particle":"","parse-names":false,"suffix":""}],"container-title":"Bioorganic Chemistry","id":"ITEM-1","issued":{"date-parts":[["2014"]]},"page":"15-23","title":"Synthesis, characterization and in vitro anti-neoplastic activity of gypsogenin derivatives","type":"article-journal","volume":"53"},"uris":["http://www.mendeley.com/documents/?uuid=02348967-7e46-48ab-aa07-a9aeb465ef3c"]}],"mendeley":{"formattedCitation":"[1]","plainTextFormattedCitation":"[1]","previouslyFormattedCitation":"[1]"},"properties":{"noteIndex":0},"schema":"https://github.com/citation-style-language/schema/raw/master/csl-citation.json"}</w:instrText>
      </w:r>
      <w:r w:rsidR="00F46A97" w:rsidRPr="00D53726">
        <w:rPr>
          <w:sz w:val="22"/>
          <w:szCs w:val="22"/>
          <w:shd w:val="clear" w:color="auto" w:fill="FFFFFF"/>
          <w:lang w:val="en-GB"/>
        </w:rPr>
        <w:fldChar w:fldCharType="separate"/>
      </w:r>
      <w:r w:rsidR="0098173F" w:rsidRPr="00D53726">
        <w:rPr>
          <w:noProof/>
          <w:sz w:val="22"/>
          <w:szCs w:val="22"/>
          <w:shd w:val="clear" w:color="auto" w:fill="FFFFFF"/>
          <w:lang w:val="en-GB"/>
        </w:rPr>
        <w:t>[1]</w:t>
      </w:r>
      <w:r w:rsidR="00F46A97" w:rsidRPr="00D53726">
        <w:rPr>
          <w:sz w:val="22"/>
          <w:szCs w:val="22"/>
          <w:shd w:val="clear" w:color="auto" w:fill="FFFFFF"/>
          <w:lang w:val="en-GB"/>
        </w:rPr>
        <w:fldChar w:fldCharType="end"/>
      </w:r>
      <w:r w:rsidR="00F46A97" w:rsidRPr="00D53726">
        <w:rPr>
          <w:sz w:val="22"/>
          <w:szCs w:val="22"/>
          <w:shd w:val="clear" w:color="auto" w:fill="FFFFFF"/>
          <w:lang w:val="en-GB"/>
        </w:rPr>
        <w:t>. They could be used as drug carriers or contrast agents. Due to their ability to mimic specific biological functions</w:t>
      </w:r>
      <w:r w:rsidR="00417ED9" w:rsidRPr="00D53726">
        <w:rPr>
          <w:sz w:val="22"/>
          <w:szCs w:val="22"/>
          <w:shd w:val="clear" w:color="auto" w:fill="FFFFFF"/>
          <w:lang w:val="en-GB"/>
        </w:rPr>
        <w:t xml:space="preserve"> </w:t>
      </w:r>
      <w:r w:rsidR="00417ED9" w:rsidRPr="00D53726">
        <w:rPr>
          <w:sz w:val="22"/>
          <w:szCs w:val="22"/>
          <w:shd w:val="clear" w:color="auto" w:fill="FFFFFF"/>
          <w:lang w:val="en-GB"/>
        </w:rPr>
        <w:fldChar w:fldCharType="begin" w:fldLock="1"/>
      </w:r>
      <w:r w:rsidR="003B3393" w:rsidRPr="00D53726">
        <w:rPr>
          <w:sz w:val="22"/>
          <w:szCs w:val="22"/>
          <w:shd w:val="clear" w:color="auto" w:fill="FFFFFF"/>
          <w:lang w:val="en-GB"/>
        </w:rPr>
        <w:instrText>ADDIN CSL_CITATION {"citationItems":[{"id":"ITEM-1","itemData":{"author":[{"dropping-particle":"","family":"Canpolat","given":"Erdal","non-dropping-particle":"","parse-names":false,"suffix":""},{"dropping-particle":"","family":"Kaya","given":"Mehmet","non-dropping-particle":"","parse-names":false,"suffix":""}],"id":"ITEM-1","issued":{"date-parts":[["2004"]]},"page":"235-242","title":"Synthesis , Characterization of Some Co ( III ) Complexes with vic-Dioxime Ligands and Their Antimicrobial Properties","type":"article-journal","volume":"28"},"uris":["http://www.mendeley.com/documents/?uuid=a4c1c109-4131-49f3-814b-9aa5afb2443f"]}],"mendeley":{"formattedCitation":"[2]","plainTextFormattedCitation":"[2]","previouslyFormattedCitation":"[2]"},"properties":{"noteIndex":0},"schema":"https://github.com/citation-style-language/schema/raw/master/csl-citation.json"}</w:instrText>
      </w:r>
      <w:r w:rsidR="00417ED9" w:rsidRPr="00D53726">
        <w:rPr>
          <w:sz w:val="22"/>
          <w:szCs w:val="22"/>
          <w:shd w:val="clear" w:color="auto" w:fill="FFFFFF"/>
          <w:lang w:val="en-GB"/>
        </w:rPr>
        <w:fldChar w:fldCharType="separate"/>
      </w:r>
      <w:r w:rsidR="00417ED9" w:rsidRPr="00D53726">
        <w:rPr>
          <w:noProof/>
          <w:sz w:val="22"/>
          <w:szCs w:val="22"/>
          <w:shd w:val="clear" w:color="auto" w:fill="FFFFFF"/>
          <w:lang w:val="en-GB"/>
        </w:rPr>
        <w:t>[2]</w:t>
      </w:r>
      <w:r w:rsidR="00417ED9" w:rsidRPr="00D53726">
        <w:rPr>
          <w:sz w:val="22"/>
          <w:szCs w:val="22"/>
          <w:shd w:val="clear" w:color="auto" w:fill="FFFFFF"/>
          <w:lang w:val="en-GB"/>
        </w:rPr>
        <w:fldChar w:fldCharType="end"/>
      </w:r>
      <w:r w:rsidR="00F46A97" w:rsidRPr="00D53726">
        <w:rPr>
          <w:sz w:val="22"/>
          <w:szCs w:val="22"/>
          <w:shd w:val="clear" w:color="auto" w:fill="FFFFFF"/>
          <w:lang w:val="en-GB"/>
        </w:rPr>
        <w:t xml:space="preserve">, </w:t>
      </w:r>
      <w:proofErr w:type="spellStart"/>
      <w:r w:rsidR="00F46A97" w:rsidRPr="00D53726">
        <w:rPr>
          <w:sz w:val="22"/>
          <w:szCs w:val="22"/>
          <w:shd w:val="clear" w:color="auto" w:fill="FFFFFF"/>
          <w:lang w:val="en-GB"/>
        </w:rPr>
        <w:t>vic-dioximes</w:t>
      </w:r>
      <w:proofErr w:type="spellEnd"/>
      <w:r w:rsidR="00F46A97" w:rsidRPr="00D53726">
        <w:rPr>
          <w:sz w:val="22"/>
          <w:szCs w:val="22"/>
          <w:shd w:val="clear" w:color="auto" w:fill="FFFFFF"/>
          <w:lang w:val="en-GB"/>
        </w:rPr>
        <w:t xml:space="preserve"> are employed in biological research</w:t>
      </w:r>
      <w:r w:rsidR="0098173F" w:rsidRPr="00D53726">
        <w:rPr>
          <w:sz w:val="22"/>
          <w:szCs w:val="22"/>
          <w:shd w:val="clear" w:color="auto" w:fill="FFFFFF"/>
          <w:lang w:val="en-GB"/>
        </w:rPr>
        <w:t xml:space="preserve"> </w:t>
      </w:r>
      <w:r w:rsidR="00AE6DF4" w:rsidRPr="00D53726">
        <w:rPr>
          <w:sz w:val="22"/>
          <w:szCs w:val="22"/>
          <w:shd w:val="clear" w:color="auto" w:fill="FFFFFF"/>
          <w:lang w:val="en-GB"/>
        </w:rPr>
        <w:fldChar w:fldCharType="begin" w:fldLock="1"/>
      </w:r>
      <w:r w:rsidR="003B3393" w:rsidRPr="00D53726">
        <w:rPr>
          <w:sz w:val="22"/>
          <w:szCs w:val="22"/>
          <w:shd w:val="clear" w:color="auto" w:fill="FFFFFF"/>
          <w:lang w:val="en-GB"/>
        </w:rPr>
        <w:instrText>ADDIN CSL_CITATION {"citationItems":[{"id":"ITEM-1","itemData":{"ISSN":"0010-8545","author":[{"dropping-particle":"","family":"Chakravorty","given":"A","non-dropping-particle":"","parse-names":false,"suffix":""}],"container-title":"Coordination Chemistry Reviews","id":"ITEM-1","issue":"1","issued":{"date-parts":[["1974"]]},"page":"1-46","publisher":"Elsevier","title":"Structural chemistry of transition metal complexes of oximes","type":"article-journal","volume":"13"},"uris":["http://www.mendeley.com/documents/?uuid=d464bada-4e43-4a67-864b-a5f30cf6ec01"]},{"id":"ITEM-2","itemData":{"author":[{"dropping-particle":"","family":"Serin","given":"Selahattin","non-dropping-particle":"","parse-names":false,"suffix":""}],"id":"ITEM-2","issue":"2","issued":{"date-parts":[["2001"]]},"page":"300-306","title":"New vic -dioxime transition metal complexes","type":"article-journal","volume":"12"},"uris":["http://www.mendeley.com/documents/?uuid=ba8fe3ba-2e11-4134-bfc0-248cd5c52e47"]}],"mendeley":{"formattedCitation":"[3, 4]","plainTextFormattedCitation":"[3, 4]","previouslyFormattedCitation":"[3, 4]"},"properties":{"noteIndex":0},"schema":"https://github.com/citation-style-language/schema/raw/master/csl-citation.json"}</w:instrText>
      </w:r>
      <w:r w:rsidR="00AE6DF4" w:rsidRPr="00D53726">
        <w:rPr>
          <w:sz w:val="22"/>
          <w:szCs w:val="22"/>
          <w:shd w:val="clear" w:color="auto" w:fill="FFFFFF"/>
          <w:lang w:val="en-GB"/>
        </w:rPr>
        <w:fldChar w:fldCharType="separate"/>
      </w:r>
      <w:r w:rsidR="00417ED9" w:rsidRPr="00D53726">
        <w:rPr>
          <w:noProof/>
          <w:sz w:val="22"/>
          <w:szCs w:val="22"/>
          <w:shd w:val="clear" w:color="auto" w:fill="FFFFFF"/>
          <w:lang w:val="en-GB"/>
        </w:rPr>
        <w:t>[3, 4]</w:t>
      </w:r>
      <w:r w:rsidR="00AE6DF4" w:rsidRPr="00D53726">
        <w:rPr>
          <w:sz w:val="22"/>
          <w:szCs w:val="22"/>
          <w:shd w:val="clear" w:color="auto" w:fill="FFFFFF"/>
          <w:lang w:val="en-GB"/>
        </w:rPr>
        <w:fldChar w:fldCharType="end"/>
      </w:r>
      <w:r w:rsidR="00F46A97" w:rsidRPr="00D53726">
        <w:rPr>
          <w:sz w:val="22"/>
          <w:szCs w:val="22"/>
          <w:shd w:val="clear" w:color="auto" w:fill="FFFFFF"/>
          <w:lang w:val="en-GB"/>
        </w:rPr>
        <w:t>. They can model reactions found in biological systems, such as the reduction of vitamin B12</w:t>
      </w:r>
      <w:r w:rsidR="0098173F" w:rsidRPr="00D53726">
        <w:rPr>
          <w:sz w:val="22"/>
          <w:szCs w:val="22"/>
          <w:shd w:val="clear" w:color="auto" w:fill="FFFFFF"/>
          <w:lang w:val="en-GB"/>
        </w:rPr>
        <w:t xml:space="preserve"> </w:t>
      </w:r>
      <w:r w:rsidR="0098173F" w:rsidRPr="00D53726">
        <w:rPr>
          <w:sz w:val="22"/>
          <w:szCs w:val="22"/>
          <w:shd w:val="clear" w:color="auto" w:fill="FFFFFF"/>
          <w:lang w:val="en-GB"/>
        </w:rPr>
        <w:fldChar w:fldCharType="begin" w:fldLock="1"/>
      </w:r>
      <w:r w:rsidR="003B3393" w:rsidRPr="00D53726">
        <w:rPr>
          <w:sz w:val="22"/>
          <w:szCs w:val="22"/>
          <w:shd w:val="clear" w:color="auto" w:fill="FFFFFF"/>
          <w:lang w:val="en-GB"/>
        </w:rPr>
        <w:instrText>ADDIN CSL_CITATION {"citationItems":[{"id":"ITEM-1","itemData":{"ISSN":"0009-2940","author":[{"dropping-particle":"","family":"Schrauzer","given":"Gerhard N","non-dropping-particle":"","parse-names":false,"suffix":""},{"dropping-particle":"","family":"Windgassen","given":"Richard J","non-dropping-particle":"","parse-names":false,"suffix":""},{"dropping-particle":"","family":"Kohnle","given":"Josef","non-dropping-particle":"","parse-names":false,"suffix":""}],"container-title":"Chemische Berichte","id":"ITEM-1","issue":"10","issued":{"date-parts":[["1965"]]},"page":"3324-3333","publisher":"Wiley Online Library","title":"Die konstitution von vitamin B12s","type":"article-journal","volume":"98"},"uris":["http://www.mendeley.com/documents/?uuid=14e48709-6a0f-498f-8e56-b4575483f3d3"]}],"mendeley":{"formattedCitation":"[5]","plainTextFormattedCitation":"[5]","previouslyFormattedCitation":"[5]"},"properties":{"noteIndex":0},"schema":"https://github.com/citation-style-language/schema/raw/master/csl-citation.json"}</w:instrText>
      </w:r>
      <w:r w:rsidR="0098173F" w:rsidRPr="00D53726">
        <w:rPr>
          <w:sz w:val="22"/>
          <w:szCs w:val="22"/>
          <w:shd w:val="clear" w:color="auto" w:fill="FFFFFF"/>
          <w:lang w:val="en-GB"/>
        </w:rPr>
        <w:fldChar w:fldCharType="separate"/>
      </w:r>
      <w:r w:rsidR="00417ED9" w:rsidRPr="00D53726">
        <w:rPr>
          <w:noProof/>
          <w:sz w:val="22"/>
          <w:szCs w:val="22"/>
          <w:shd w:val="clear" w:color="auto" w:fill="FFFFFF"/>
          <w:lang w:val="en-GB"/>
        </w:rPr>
        <w:t>[5]</w:t>
      </w:r>
      <w:r w:rsidR="0098173F" w:rsidRPr="00D53726">
        <w:rPr>
          <w:sz w:val="22"/>
          <w:szCs w:val="22"/>
          <w:shd w:val="clear" w:color="auto" w:fill="FFFFFF"/>
          <w:lang w:val="en-GB"/>
        </w:rPr>
        <w:fldChar w:fldCharType="end"/>
      </w:r>
      <w:r w:rsidR="00F46A97" w:rsidRPr="00D53726">
        <w:rPr>
          <w:sz w:val="22"/>
          <w:szCs w:val="22"/>
          <w:shd w:val="clear" w:color="auto" w:fill="FFFFFF"/>
          <w:lang w:val="en-GB"/>
        </w:rPr>
        <w:t xml:space="preserve">. Coordination compounds, including those involving </w:t>
      </w:r>
      <w:proofErr w:type="spellStart"/>
      <w:r w:rsidR="00F46A97" w:rsidRPr="00D53726">
        <w:rPr>
          <w:sz w:val="22"/>
          <w:szCs w:val="22"/>
          <w:shd w:val="clear" w:color="auto" w:fill="FFFFFF"/>
          <w:lang w:val="en-GB"/>
        </w:rPr>
        <w:t>vic-dioximes</w:t>
      </w:r>
      <w:proofErr w:type="spellEnd"/>
      <w:r w:rsidR="00F46A97" w:rsidRPr="00D53726">
        <w:rPr>
          <w:sz w:val="22"/>
          <w:szCs w:val="22"/>
          <w:shd w:val="clear" w:color="auto" w:fill="FFFFFF"/>
          <w:lang w:val="en-GB"/>
        </w:rPr>
        <w:t>, can be utilized in analytical chemistry</w:t>
      </w:r>
      <w:r w:rsidR="00417ED9" w:rsidRPr="00D53726">
        <w:rPr>
          <w:sz w:val="22"/>
          <w:szCs w:val="22"/>
          <w:shd w:val="clear" w:color="auto" w:fill="FFFFFF"/>
          <w:lang w:val="en-GB"/>
        </w:rPr>
        <w:t xml:space="preserve"> </w:t>
      </w:r>
      <w:r w:rsidR="00417ED9" w:rsidRPr="00D53726">
        <w:rPr>
          <w:sz w:val="22"/>
          <w:szCs w:val="22"/>
          <w:shd w:val="clear" w:color="auto" w:fill="FFFFFF"/>
          <w:lang w:val="en-GB"/>
        </w:rPr>
        <w:fldChar w:fldCharType="begin" w:fldLock="1"/>
      </w:r>
      <w:r w:rsidR="003B3393" w:rsidRPr="00D53726">
        <w:rPr>
          <w:sz w:val="22"/>
          <w:szCs w:val="22"/>
          <w:shd w:val="clear" w:color="auto" w:fill="FFFFFF"/>
          <w:lang w:val="en-GB"/>
        </w:rPr>
        <w:instrText>ADDIN CSL_CITATION {"citationItems":[{"id":"ITEM-1","itemData":{"DOI":"10.1039/CS9720100099","ISSN":"0306-0012","abstract":"No abstract available","author":[{"dropping-particle":"","family":"Thomas","given":"T. W.","non-dropping-particle":"","parse-names":false,"suffix":""},{"dropping-particle":"","family":"Underhill","given":"A. E.","non-dropping-particle":"","parse-names":false,"suffix":""}],"container-title":"Chem. Soc. Rev.","id":"ITEM-1","issue":"1","issued":{"date-parts":[["1972","1","1"]]},"language":"en","page":"99-120","publisher":"The Royal Society of Chemistry","title":"Metal–metal interactions in transition-metal complexes containing infinite chains of metal atoms","type":"article-journal","volume":"1"},"uris":["http://www.mendeley.com/documents/?uuid=25fb2f18-8e8f-44fc-aa8c-c5f780366f31"]}],"mendeley":{"formattedCitation":"[6]","plainTextFormattedCitation":"[6]","previouslyFormattedCitation":"[6]"},"properties":{"noteIndex":0},"schema":"https://github.com/citation-style-language/schema/raw/master/csl-citation.json"}</w:instrText>
      </w:r>
      <w:r w:rsidR="00417ED9" w:rsidRPr="00D53726">
        <w:rPr>
          <w:sz w:val="22"/>
          <w:szCs w:val="22"/>
          <w:shd w:val="clear" w:color="auto" w:fill="FFFFFF"/>
          <w:lang w:val="en-GB"/>
        </w:rPr>
        <w:fldChar w:fldCharType="separate"/>
      </w:r>
      <w:r w:rsidR="00417ED9" w:rsidRPr="00D53726">
        <w:rPr>
          <w:noProof/>
          <w:sz w:val="22"/>
          <w:szCs w:val="22"/>
          <w:shd w:val="clear" w:color="auto" w:fill="FFFFFF"/>
          <w:lang w:val="en-GB"/>
        </w:rPr>
        <w:t>[6]</w:t>
      </w:r>
      <w:r w:rsidR="00417ED9" w:rsidRPr="00D53726">
        <w:rPr>
          <w:sz w:val="22"/>
          <w:szCs w:val="22"/>
          <w:shd w:val="clear" w:color="auto" w:fill="FFFFFF"/>
          <w:lang w:val="en-GB"/>
        </w:rPr>
        <w:fldChar w:fldCharType="end"/>
      </w:r>
      <w:r w:rsidR="00F46A97" w:rsidRPr="00D53726">
        <w:rPr>
          <w:sz w:val="22"/>
          <w:szCs w:val="22"/>
          <w:shd w:val="clear" w:color="auto" w:fill="FFFFFF"/>
          <w:lang w:val="en-GB"/>
        </w:rPr>
        <w:t>. They may serve in sensors designed to detect or identify specific metals</w:t>
      </w:r>
      <w:r w:rsidR="00417ED9" w:rsidRPr="00D53726">
        <w:rPr>
          <w:sz w:val="22"/>
          <w:szCs w:val="22"/>
          <w:shd w:val="clear" w:color="auto" w:fill="FFFFFF"/>
          <w:lang w:val="en-GB"/>
        </w:rPr>
        <w:t xml:space="preserve"> </w:t>
      </w:r>
      <w:r w:rsidR="00417ED9" w:rsidRPr="00D53726">
        <w:rPr>
          <w:sz w:val="22"/>
          <w:szCs w:val="22"/>
          <w:shd w:val="clear" w:color="auto" w:fill="FFFFFF"/>
          <w:lang w:val="en-GB"/>
        </w:rPr>
        <w:fldChar w:fldCharType="begin" w:fldLock="1"/>
      </w:r>
      <w:r w:rsidR="003B3393" w:rsidRPr="00D53726">
        <w:rPr>
          <w:sz w:val="22"/>
          <w:szCs w:val="22"/>
          <w:shd w:val="clear" w:color="auto" w:fill="FFFFFF"/>
          <w:lang w:val="en-GB"/>
        </w:rPr>
        <w:instrText>ADDIN CSL_CITATION {"citationItems":[{"id":"ITEM-1","itemData":{"DOI":"10.1016/j.snb.2013.08.014","ISSN":"09254005","abstract":"Vic-dioximes and their nickel and palladium complexes were customized with fluorinated substituents including moieties capable of hydrogen bonding to improve selectivity in chemical sensing of polar analytes. Many analytes of interest in applications as diverse as food stuff or air quality analysis are of polar chemical nature. Such compounds, e.g., ketones, esters or alcohols contribute to the aroma of fruits and food products, but are also in industrial use as solvents in paints or in the production of plastic products. The gas sensing properties of the new compounds are demonstrated using the quartz crystal microbalance and selected volatile organic compounds as analytes. The results illustrate that fluorinated alkylamino and arylamino substituents efficiently enhance and direct the sorption preferences of vic-dioxime metal complexes toward polar analytes. High sensor responses to polar analytes including high vapor pressure analytes like acetone and methanol were observed, whereas the responses to aromatic hydrocarbons are low. Besides, the individual sensor responses were only little affected by water vapor. H bonding activities of the NH group are identified as the source for the observed selectivity patterns. The vic-dioximes are considered excellent sensing materials for practical use in chemical gas sensor arrays for sensing of polar compounds.","author":[{"dropping-particle":"","family":"Harbeck","given":"Mika","non-dropping-particle":"","parse-names":false,"suffix":""},{"dropping-particle":"","family":"Şen","given":"Zafer","non-dropping-particle":"","parse-names":false,"suffix":""},{"dropping-particle":"","family":"Gümüş","given":"Gülay","non-dropping-particle":"","parse-names":false,"suffix":""},{"dropping-particle":"","family":"Gürol","given":"Ilke","non-dropping-particle":"","parse-names":false,"suffix":""},{"dropping-particle":"","family":"Musluoğlu","given":"Emel","non-dropping-particle":"","parse-names":false,"suffix":""},{"dropping-particle":"","family":"Öztürk","given":"Zafer Ziya","non-dropping-particle":"","parse-names":false,"suffix":""},{"dropping-particle":"","family":"Ahsen","given":"Vefa","non-dropping-particle":"","parse-names":false,"suffix":""}],"container-title":"Sensors and Actuators B: Chemical","id":"ITEM-1","issued":{"date-parts":[["2013","11"]]},"page":"1004-1011","title":"Customized vic-dioximes and their metal complexes for enhanced chemical sensing of polar organic molecules","type":"article-journal","volume":"188"},"uris":["http://www.mendeley.com/documents/?uuid=9226d2c0-d0eb-4132-8949-52e4dbe4ad2f"]}],"mendeley":{"formattedCitation":"[7]","plainTextFormattedCitation":"[7]","previouslyFormattedCitation":"[7]"},"properties":{"noteIndex":0},"schema":"https://github.com/citation-style-language/schema/raw/master/csl-citation.json"}</w:instrText>
      </w:r>
      <w:r w:rsidR="00417ED9" w:rsidRPr="00D53726">
        <w:rPr>
          <w:sz w:val="22"/>
          <w:szCs w:val="22"/>
          <w:shd w:val="clear" w:color="auto" w:fill="FFFFFF"/>
          <w:lang w:val="en-GB"/>
        </w:rPr>
        <w:fldChar w:fldCharType="separate"/>
      </w:r>
      <w:r w:rsidR="00417ED9" w:rsidRPr="00D53726">
        <w:rPr>
          <w:noProof/>
          <w:sz w:val="22"/>
          <w:szCs w:val="22"/>
          <w:shd w:val="clear" w:color="auto" w:fill="FFFFFF"/>
          <w:lang w:val="en-GB"/>
        </w:rPr>
        <w:t>[7]</w:t>
      </w:r>
      <w:r w:rsidR="00417ED9" w:rsidRPr="00D53726">
        <w:rPr>
          <w:sz w:val="22"/>
          <w:szCs w:val="22"/>
          <w:shd w:val="clear" w:color="auto" w:fill="FFFFFF"/>
          <w:lang w:val="en-GB"/>
        </w:rPr>
        <w:fldChar w:fldCharType="end"/>
      </w:r>
      <w:r w:rsidR="00F46A97" w:rsidRPr="00D53726">
        <w:rPr>
          <w:sz w:val="22"/>
          <w:szCs w:val="22"/>
          <w:shd w:val="clear" w:color="auto" w:fill="FFFFFF"/>
          <w:lang w:val="en-GB"/>
        </w:rPr>
        <w:t>.</w:t>
      </w:r>
    </w:p>
    <w:p w14:paraId="56D21397" w14:textId="6B2E7540" w:rsidR="00B11981" w:rsidRPr="00D53726" w:rsidRDefault="007D6210" w:rsidP="007D6210">
      <w:pPr>
        <w:autoSpaceDE w:val="0"/>
        <w:autoSpaceDN w:val="0"/>
        <w:adjustRightInd w:val="0"/>
        <w:spacing w:beforeLines="120" w:before="288" w:afterLines="120" w:after="288"/>
        <w:jc w:val="both"/>
        <w:rPr>
          <w:sz w:val="22"/>
          <w:szCs w:val="22"/>
          <w:shd w:val="clear" w:color="auto" w:fill="FFFFFF"/>
          <w:lang w:val="en-GB"/>
        </w:rPr>
      </w:pPr>
      <w:r w:rsidRPr="00D53726">
        <w:rPr>
          <w:sz w:val="22"/>
          <w:szCs w:val="22"/>
          <w:shd w:val="clear" w:color="auto" w:fill="FFFFFF"/>
          <w:lang w:val="en-GB"/>
        </w:rPr>
        <w:t>However, the detailed Density Functional Theoretical (DFT) studies on the complete structural and electronic studies of the title compound have not appeared yet in the literature</w:t>
      </w:r>
      <w:r w:rsidR="00920771" w:rsidRPr="00D53726">
        <w:rPr>
          <w:sz w:val="22"/>
          <w:szCs w:val="22"/>
          <w:shd w:val="clear" w:color="auto" w:fill="FFFFFF"/>
          <w:lang w:val="en-GB"/>
        </w:rPr>
        <w:t xml:space="preserve"> for a derivative of </w:t>
      </w:r>
      <w:proofErr w:type="spellStart"/>
      <w:r w:rsidR="00920771" w:rsidRPr="00D53726">
        <w:rPr>
          <w:sz w:val="22"/>
          <w:szCs w:val="22"/>
          <w:shd w:val="clear" w:color="auto" w:fill="FFFFFF"/>
          <w:lang w:val="en-GB"/>
        </w:rPr>
        <w:t>vic-dioxime</w:t>
      </w:r>
      <w:proofErr w:type="spellEnd"/>
      <w:r w:rsidR="00920771" w:rsidRPr="00D53726">
        <w:rPr>
          <w:sz w:val="22"/>
          <w:szCs w:val="22"/>
          <w:shd w:val="clear" w:color="auto" w:fill="FFFFFF"/>
          <w:lang w:val="en-GB"/>
        </w:rPr>
        <w:t xml:space="preserve"> molecule, (2Z,3Z)-1,4-dithiane-2,3-dionedioxime (Fig.1.)</w:t>
      </w:r>
      <w:r w:rsidRPr="00D53726">
        <w:rPr>
          <w:sz w:val="22"/>
          <w:szCs w:val="22"/>
          <w:shd w:val="clear" w:color="auto" w:fill="FFFFFF"/>
          <w:lang w:val="en-GB"/>
        </w:rPr>
        <w:t xml:space="preserve">. Determination of the structural and electronic characteristics of a small molecule derivative of </w:t>
      </w:r>
      <w:proofErr w:type="spellStart"/>
      <w:r w:rsidRPr="00D53726">
        <w:rPr>
          <w:sz w:val="22"/>
          <w:szCs w:val="22"/>
          <w:shd w:val="clear" w:color="auto" w:fill="FFFFFF"/>
          <w:lang w:val="en-GB"/>
        </w:rPr>
        <w:t>vic-dioximes</w:t>
      </w:r>
      <w:proofErr w:type="spellEnd"/>
      <w:r w:rsidRPr="00D53726">
        <w:rPr>
          <w:sz w:val="22"/>
          <w:szCs w:val="22"/>
          <w:shd w:val="clear" w:color="auto" w:fill="FFFFFF"/>
          <w:lang w:val="en-GB"/>
        </w:rPr>
        <w:t xml:space="preserve"> will serve as an introductory study for the ongoing complexes with this molecule. Therefore, in this study, DFT investigations of </w:t>
      </w:r>
      <w:proofErr w:type="spellStart"/>
      <w:r w:rsidRPr="00D53726">
        <w:rPr>
          <w:sz w:val="22"/>
          <w:szCs w:val="22"/>
          <w:shd w:val="clear" w:color="auto" w:fill="FFFFFF"/>
          <w:lang w:val="en-GB"/>
        </w:rPr>
        <w:t>vic-dioxime</w:t>
      </w:r>
      <w:proofErr w:type="spellEnd"/>
      <w:r w:rsidRPr="00D53726">
        <w:rPr>
          <w:sz w:val="22"/>
          <w:szCs w:val="22"/>
          <w:shd w:val="clear" w:color="auto" w:fill="FFFFFF"/>
          <w:lang w:val="en-GB"/>
        </w:rPr>
        <w:t xml:space="preserve"> molecules have been conducted. </w:t>
      </w:r>
      <w:r w:rsidR="001D16F9" w:rsidRPr="00D53726">
        <w:rPr>
          <w:sz w:val="22"/>
          <w:szCs w:val="22"/>
          <w:shd w:val="clear" w:color="auto" w:fill="FFFFFF"/>
          <w:lang w:val="en-GB"/>
        </w:rPr>
        <w:t xml:space="preserve">DFT </w:t>
      </w:r>
      <w:r w:rsidR="00017DEB" w:rsidRPr="00D53726">
        <w:rPr>
          <w:sz w:val="22"/>
          <w:szCs w:val="22"/>
          <w:shd w:val="clear" w:color="auto" w:fill="FFFFFF"/>
          <w:lang w:val="en-GB"/>
        </w:rPr>
        <w:t xml:space="preserve">calculations were performed in order to clarify molecular structures, frontier molecular orbitals (FMOs), </w:t>
      </w:r>
      <w:r w:rsidR="00FE4B6F" w:rsidRPr="00D53726">
        <w:rPr>
          <w:sz w:val="22"/>
          <w:szCs w:val="22"/>
          <w:shd w:val="clear" w:color="auto" w:fill="FFFFFF"/>
          <w:lang w:val="en-GB"/>
        </w:rPr>
        <w:t xml:space="preserve">map of molecular electrostatic potential (MEP) and </w:t>
      </w:r>
      <w:r w:rsidR="00B11981" w:rsidRPr="00D53726">
        <w:rPr>
          <w:sz w:val="22"/>
          <w:szCs w:val="22"/>
          <w:shd w:val="clear" w:color="auto" w:fill="FFFFFF"/>
          <w:lang w:val="en-GB"/>
        </w:rPr>
        <w:t xml:space="preserve">nonlinear optical properties (NLO) </w:t>
      </w:r>
      <w:r w:rsidR="00DB4785" w:rsidRPr="00D53726">
        <w:rPr>
          <w:sz w:val="22"/>
          <w:szCs w:val="22"/>
          <w:shd w:val="clear" w:color="auto" w:fill="FFFFFF"/>
          <w:lang w:val="en-GB"/>
        </w:rPr>
        <w:t>of the title molecules.</w:t>
      </w:r>
    </w:p>
    <w:p w14:paraId="7B5E7CA4" w14:textId="4E2A57A4" w:rsidR="007D49B8" w:rsidRPr="00D53726" w:rsidRDefault="007F545A" w:rsidP="00C23695">
      <w:pPr>
        <w:pStyle w:val="ListeParagraf"/>
        <w:numPr>
          <w:ilvl w:val="0"/>
          <w:numId w:val="6"/>
        </w:numPr>
        <w:tabs>
          <w:tab w:val="left" w:pos="284"/>
        </w:tabs>
        <w:autoSpaceDE w:val="0"/>
        <w:autoSpaceDN w:val="0"/>
        <w:adjustRightInd w:val="0"/>
        <w:spacing w:beforeLines="120" w:before="288" w:afterLines="120" w:after="288"/>
        <w:ind w:left="0" w:firstLine="0"/>
        <w:jc w:val="both"/>
        <w:rPr>
          <w:b/>
          <w:color w:val="000000" w:themeColor="text1"/>
          <w:sz w:val="22"/>
          <w:szCs w:val="22"/>
          <w:lang w:val="en-GB"/>
        </w:rPr>
      </w:pPr>
      <w:r w:rsidRPr="00D53726">
        <w:rPr>
          <w:b/>
          <w:color w:val="000000" w:themeColor="text1"/>
          <w:sz w:val="22"/>
          <w:szCs w:val="22"/>
          <w:lang w:val="en-GB"/>
        </w:rPr>
        <w:t>Calculation</w:t>
      </w:r>
      <w:r w:rsidR="00EF68D7" w:rsidRPr="00D53726">
        <w:rPr>
          <w:b/>
          <w:color w:val="000000" w:themeColor="text1"/>
          <w:sz w:val="22"/>
          <w:szCs w:val="22"/>
          <w:lang w:val="en-GB"/>
        </w:rPr>
        <w:t>s</w:t>
      </w:r>
      <w:r w:rsidR="00A664CE" w:rsidRPr="00D53726">
        <w:rPr>
          <w:b/>
          <w:color w:val="000000" w:themeColor="text1"/>
          <w:sz w:val="22"/>
          <w:szCs w:val="22"/>
          <w:lang w:val="en-GB"/>
        </w:rPr>
        <w:t xml:space="preserve"> </w:t>
      </w:r>
    </w:p>
    <w:p w14:paraId="0B5C417D" w14:textId="5FA8E34F" w:rsidR="000174A3" w:rsidRPr="00D53726" w:rsidRDefault="003B3393" w:rsidP="000174A3">
      <w:pPr>
        <w:spacing w:beforeLines="120" w:before="288" w:afterLines="120" w:after="288"/>
        <w:jc w:val="both"/>
        <w:rPr>
          <w:sz w:val="22"/>
          <w:szCs w:val="22"/>
          <w:lang w:val="en-GB"/>
        </w:rPr>
      </w:pPr>
      <w:r w:rsidRPr="00D53726">
        <w:rPr>
          <w:sz w:val="22"/>
          <w:szCs w:val="22"/>
          <w:lang w:val="en-GB"/>
        </w:rPr>
        <w:t>The quantum chemical calculations were performed using Gaussian 09 software</w:t>
      </w:r>
      <w:r w:rsidR="00467724" w:rsidRPr="00D53726">
        <w:rPr>
          <w:sz w:val="22"/>
          <w:szCs w:val="22"/>
          <w:lang w:val="en-GB"/>
        </w:rPr>
        <w:t xml:space="preserve"> </w:t>
      </w:r>
      <w:r w:rsidR="00E75D5E">
        <w:rPr>
          <w:sz w:val="22"/>
          <w:szCs w:val="22"/>
          <w:lang w:val="en-GB"/>
        </w:rPr>
        <w:fldChar w:fldCharType="begin" w:fldLock="1"/>
      </w:r>
      <w:r w:rsidR="00E75D5E">
        <w:rPr>
          <w:sz w:val="22"/>
          <w:szCs w:val="22"/>
          <w:lang w:val="en-GB"/>
        </w:rPr>
        <w:instrText>ADDIN CSL_CITATION {"citationItems":[{"id":"ITEM-1","itemData":{"author":[{"dropping-particle":"","family":"Frish","given":"M J","non-dropping-particle":"","parse-names":false,"suffix":""},{"dropping-particle":"","family":"Trucks","given":"G W","non-dropping-particle":"","parse-names":false,"suffix":""},{"dropping-particle":"","family":"Schlegel","given":"H B","non-dropping-particle":"","parse-names":false,"suffix":""},{"dropping-particle":"","family":"Scuseria","given":"G E","non-dropping-particle":"","parse-names":false,"suffix":""},{"dropping-particle":"","family":"Robb","given":"M A","non-dropping-particle":"","parse-names":false,"suffix":""},{"dropping-particle":"","family":"Cheeseman","given":"J R","non-dropping-particle":"","parse-names":false,"suffix":""},{"dropping-particle":"","family":"Scalmani","given":"G","non-dropping-particle":"","parse-names":false,"suffix":""},{"dropping-particle":"","family":"Barone","given":"V","non-dropping-particle":"","parse-names":false,"suffix":""},{"dropping-particle":"","family":"Mennucci","given":"B","non-dropping-particle":"","parse-names":false,"suffix":""},{"dropping-particle":"","family":"Paterson","given":"G A","non-dropping-particle":"","parse-names":false,"suffix":""}],"container-title":"Gaussian Inc, Wallingford CT","id":"ITEM-1","issued":{"date-parts":[["2009"]]},"title":"Gaussian 09, revision A. 02","type":"article-journal"},"uris":["http://www.mendeley.com/documents/?uuid=6dde4e33-a0c6-4d33-9c25-d0ff3b99b96b"]}],"mendeley":{"formattedCitation":"[8]","plainTextFormattedCitation":"[8]"},"properties":{"noteIndex":0},"schema":"https://github.com/citation-style-language/schema/raw/master/csl-citation.json"}</w:instrText>
      </w:r>
      <w:r w:rsidR="00E75D5E">
        <w:rPr>
          <w:sz w:val="22"/>
          <w:szCs w:val="22"/>
          <w:lang w:val="en-GB"/>
        </w:rPr>
        <w:fldChar w:fldCharType="separate"/>
      </w:r>
      <w:r w:rsidR="00E75D5E" w:rsidRPr="00E75D5E">
        <w:rPr>
          <w:noProof/>
          <w:sz w:val="22"/>
          <w:szCs w:val="22"/>
          <w:lang w:val="en-GB"/>
        </w:rPr>
        <w:t>[8]</w:t>
      </w:r>
      <w:r w:rsidR="00E75D5E">
        <w:rPr>
          <w:sz w:val="22"/>
          <w:szCs w:val="22"/>
          <w:lang w:val="en-GB"/>
        </w:rPr>
        <w:fldChar w:fldCharType="end"/>
      </w:r>
      <w:r w:rsidRPr="00D53726">
        <w:rPr>
          <w:sz w:val="22"/>
          <w:szCs w:val="22"/>
          <w:lang w:val="en-GB"/>
        </w:rPr>
        <w:t xml:space="preserve">  by DFT level using the Lee-Yang-Parr correlation functional mPW1PW91 methods </w:t>
      </w:r>
      <w:r w:rsidRPr="00D53726">
        <w:rPr>
          <w:sz w:val="22"/>
          <w:szCs w:val="22"/>
          <w:lang w:val="en-GB"/>
        </w:rPr>
        <w:fldChar w:fldCharType="begin" w:fldLock="1"/>
      </w:r>
      <w:r w:rsidR="0086115E">
        <w:rPr>
          <w:sz w:val="22"/>
          <w:szCs w:val="22"/>
          <w:lang w:val="en-GB"/>
        </w:rPr>
        <w:instrText>ADDIN CSL_CITATION {"citationItems":[{"id":"ITEM-1","itemData":{"ISSN":"0021-9606","author":[{"dropping-particle":"","family":"Adamo","given":"Carlo","non-dropping-particle":"","parse-names":false,"suffix":""},{"dropping-particle":"","family":"Barone","given":"Vincenzo","non-dropping-particle":"","parse-names":false,"suffix":""}],"container-title":"The Journal of chemical physics","id":"ITEM-1","issue":"2","issued":{"date-parts":[["1998"]]},"page":"664-675","publisher":"American Institute of Physics","title":"Exchange functionals with improved long-range behavior and adiabatic connection methods without adjustable parameters: The m PW and m PW1PW models","type":"article-journal","volume":"108"},"uris":["http://www.mendeley.com/documents/?uuid=98b143ec-59fe-4b65-8cc6-f9f7b9da4182"]}],"mendeley":{"formattedCitation":"[9]","plainTextFormattedCitation":"[9]","previouslyFormattedCitation":"[9]"},"properties":{"noteIndex":0},"schema":"https://github.com/citation-style-language/schema/raw/master/csl-citation.json"}</w:instrText>
      </w:r>
      <w:r w:rsidRPr="00D53726">
        <w:rPr>
          <w:sz w:val="22"/>
          <w:szCs w:val="22"/>
          <w:lang w:val="en-GB"/>
        </w:rPr>
        <w:fldChar w:fldCharType="separate"/>
      </w:r>
      <w:r w:rsidR="00467724" w:rsidRPr="00D53726">
        <w:rPr>
          <w:noProof/>
          <w:sz w:val="22"/>
          <w:szCs w:val="22"/>
          <w:lang w:val="en-GB"/>
        </w:rPr>
        <w:t>[9]</w:t>
      </w:r>
      <w:r w:rsidRPr="00D53726">
        <w:rPr>
          <w:sz w:val="22"/>
          <w:szCs w:val="22"/>
          <w:lang w:val="en-GB"/>
        </w:rPr>
        <w:fldChar w:fldCharType="end"/>
      </w:r>
      <w:r w:rsidR="00467724" w:rsidRPr="00D53726">
        <w:rPr>
          <w:sz w:val="22"/>
          <w:szCs w:val="22"/>
          <w:lang w:val="en-GB"/>
        </w:rPr>
        <w:t xml:space="preserve"> with </w:t>
      </w:r>
      <w:proofErr w:type="spellStart"/>
      <w:r w:rsidR="00467724" w:rsidRPr="00D53726">
        <w:rPr>
          <w:sz w:val="22"/>
          <w:szCs w:val="22"/>
          <w:lang w:val="en-GB"/>
        </w:rPr>
        <w:t>iop</w:t>
      </w:r>
      <w:proofErr w:type="spellEnd"/>
      <w:r w:rsidR="00467724" w:rsidRPr="00D53726">
        <w:rPr>
          <w:sz w:val="22"/>
          <w:szCs w:val="22"/>
          <w:lang w:val="en-GB"/>
        </w:rPr>
        <w:t>(3/76=0572004280) / gen [S: cc-</w:t>
      </w:r>
      <w:proofErr w:type="spellStart"/>
      <w:r w:rsidR="00467724" w:rsidRPr="00D53726">
        <w:rPr>
          <w:sz w:val="22"/>
          <w:szCs w:val="22"/>
          <w:lang w:val="en-GB"/>
        </w:rPr>
        <w:t>pvqz</w:t>
      </w:r>
      <w:proofErr w:type="spellEnd"/>
      <w:r w:rsidR="00467724" w:rsidRPr="00D53726">
        <w:rPr>
          <w:sz w:val="22"/>
          <w:szCs w:val="22"/>
          <w:lang w:val="en-GB"/>
        </w:rPr>
        <w:t>, C and H: 6-31+g(</w:t>
      </w:r>
      <w:proofErr w:type="spellStart"/>
      <w:r w:rsidR="00467724" w:rsidRPr="00D53726">
        <w:rPr>
          <w:sz w:val="22"/>
          <w:szCs w:val="22"/>
          <w:lang w:val="en-GB"/>
        </w:rPr>
        <w:t>d,p</w:t>
      </w:r>
      <w:proofErr w:type="spellEnd"/>
      <w:r w:rsidR="00467724" w:rsidRPr="00D53726">
        <w:rPr>
          <w:sz w:val="22"/>
          <w:szCs w:val="22"/>
          <w:lang w:val="en-GB"/>
        </w:rPr>
        <w:t xml:space="preserve">), N: </w:t>
      </w:r>
      <w:r w:rsidR="008A56BF">
        <w:rPr>
          <w:sz w:val="22"/>
          <w:szCs w:val="22"/>
          <w:lang w:val="en-GB"/>
        </w:rPr>
        <w:t>6-31+g(2d),</w:t>
      </w:r>
      <w:r w:rsidR="00467724" w:rsidRPr="00D53726">
        <w:rPr>
          <w:sz w:val="22"/>
          <w:szCs w:val="22"/>
          <w:lang w:val="en-GB"/>
        </w:rPr>
        <w:t xml:space="preserve"> O: cc-</w:t>
      </w:r>
      <w:proofErr w:type="spellStart"/>
      <w:r w:rsidR="00467724" w:rsidRPr="00D53726">
        <w:rPr>
          <w:sz w:val="22"/>
          <w:szCs w:val="22"/>
          <w:lang w:val="en-GB"/>
        </w:rPr>
        <w:t>pvqz</w:t>
      </w:r>
      <w:proofErr w:type="spellEnd"/>
      <w:r w:rsidR="00467724" w:rsidRPr="00D53726">
        <w:rPr>
          <w:sz w:val="22"/>
          <w:szCs w:val="22"/>
          <w:lang w:val="en-GB"/>
        </w:rPr>
        <w:t>] level.</w:t>
      </w:r>
      <w:r w:rsidR="00D53726" w:rsidRPr="00D53726">
        <w:rPr>
          <w:sz w:val="22"/>
          <w:szCs w:val="22"/>
          <w:lang w:val="en-GB"/>
        </w:rPr>
        <w:t xml:space="preserve"> Superior basis sets yielding better results for each atom have been selected based on the informati</w:t>
      </w:r>
      <w:r w:rsidR="000174A3">
        <w:rPr>
          <w:sz w:val="22"/>
          <w:szCs w:val="22"/>
          <w:lang w:val="en-GB"/>
        </w:rPr>
        <w:t xml:space="preserve">on available in the literature. </w:t>
      </w:r>
      <w:r w:rsidR="000174A3" w:rsidRPr="00D53726">
        <w:rPr>
          <w:sz w:val="22"/>
          <w:szCs w:val="22"/>
          <w:lang w:val="en-GB"/>
        </w:rPr>
        <w:t xml:space="preserve">Computed molecular structures of the conformers were drawn with the </w:t>
      </w:r>
      <w:proofErr w:type="spellStart"/>
      <w:r w:rsidR="000174A3" w:rsidRPr="00D53726">
        <w:rPr>
          <w:sz w:val="22"/>
          <w:szCs w:val="22"/>
          <w:lang w:val="en-GB"/>
        </w:rPr>
        <w:t>CYLview</w:t>
      </w:r>
      <w:proofErr w:type="spellEnd"/>
      <w:r w:rsidR="000174A3" w:rsidRPr="00D53726">
        <w:rPr>
          <w:sz w:val="22"/>
          <w:szCs w:val="22"/>
          <w:lang w:val="en-GB"/>
        </w:rPr>
        <w:t xml:space="preserve"> program</w:t>
      </w:r>
      <w:r w:rsidR="000174A3">
        <w:rPr>
          <w:sz w:val="22"/>
          <w:szCs w:val="22"/>
          <w:lang w:val="en-GB"/>
        </w:rPr>
        <w:t xml:space="preserve"> </w:t>
      </w:r>
      <w:r w:rsidR="000174A3">
        <w:rPr>
          <w:sz w:val="22"/>
          <w:szCs w:val="22"/>
          <w:lang w:val="en-GB"/>
        </w:rPr>
        <w:fldChar w:fldCharType="begin" w:fldLock="1"/>
      </w:r>
      <w:r w:rsidR="00774F53">
        <w:rPr>
          <w:sz w:val="22"/>
          <w:szCs w:val="22"/>
          <w:lang w:val="en-GB"/>
        </w:rPr>
        <w:instrText>ADDIN CSL_CITATION {"citationItems":[{"id":"ITEM-1","itemData":{"abstract":"Legault, C. Y.CYLview, 1.0b; Université de Sherbrooke: Quebec, Canada, 2009; http://www.cylview.org.","author":[{"dropping-particle":"","family":"Legault","given":"C Y","non-dropping-particle":"","parse-names":false,"suffix":""}],"container-title":"Université de Sherbrooke","id":"ITEM-1","issued":{"date-parts":[["2009"]]},"page":"http://www.cylview.org","title":"CYLview, 1.0b","type":"article-journal"},"uris":["http://www.mendeley.com/documents/?uuid=995b8c1d-17d4-4589-9e42-85776541e078"]}],"mendeley":{"formattedCitation":"[10]","plainTextFormattedCitation":"[10]","previouslyFormattedCitation":"[10]"},"properties":{"noteIndex":0},"schema":"https://github.com/citation-style-language/schema/raw/master/csl-citation.json"}</w:instrText>
      </w:r>
      <w:r w:rsidR="000174A3">
        <w:rPr>
          <w:sz w:val="22"/>
          <w:szCs w:val="22"/>
          <w:lang w:val="en-GB"/>
        </w:rPr>
        <w:fldChar w:fldCharType="separate"/>
      </w:r>
      <w:r w:rsidR="000174A3" w:rsidRPr="000174A3">
        <w:rPr>
          <w:noProof/>
          <w:sz w:val="22"/>
          <w:szCs w:val="22"/>
          <w:lang w:val="en-GB"/>
        </w:rPr>
        <w:t>[10]</w:t>
      </w:r>
      <w:r w:rsidR="000174A3">
        <w:rPr>
          <w:sz w:val="22"/>
          <w:szCs w:val="22"/>
          <w:lang w:val="en-GB"/>
        </w:rPr>
        <w:fldChar w:fldCharType="end"/>
      </w:r>
      <w:r w:rsidR="000174A3" w:rsidRPr="00D53726">
        <w:rPr>
          <w:sz w:val="22"/>
          <w:szCs w:val="22"/>
          <w:lang w:val="en-GB"/>
        </w:rPr>
        <w:t>.</w:t>
      </w:r>
    </w:p>
    <w:p w14:paraId="59DBBCFF" w14:textId="426DC48B" w:rsidR="00C36DA1" w:rsidRDefault="00C36DA1" w:rsidP="00713C3B">
      <w:pPr>
        <w:spacing w:beforeLines="120" w:before="288" w:afterLines="120" w:after="288"/>
        <w:jc w:val="both"/>
        <w:rPr>
          <w:sz w:val="22"/>
          <w:szCs w:val="22"/>
          <w:lang w:val="en-GB"/>
        </w:rPr>
      </w:pPr>
      <w:r w:rsidRPr="00C36DA1">
        <w:rPr>
          <w:sz w:val="22"/>
          <w:szCs w:val="22"/>
          <w:lang w:val="en-GB"/>
        </w:rPr>
        <w:t>Electronic parameters, along with the distribution of partial and total density of states, were computed and illustrated on the molecular electronic surface map at an equivalent level.</w:t>
      </w:r>
      <w:r>
        <w:rPr>
          <w:sz w:val="22"/>
          <w:szCs w:val="22"/>
          <w:lang w:val="en-GB"/>
        </w:rPr>
        <w:t xml:space="preserve"> </w:t>
      </w:r>
      <w:r w:rsidRPr="00C36DA1">
        <w:rPr>
          <w:sz w:val="22"/>
          <w:szCs w:val="22"/>
          <w:lang w:val="en-GB"/>
        </w:rPr>
        <w:t>To assess the contributions of the moieties to frontier orbitals, calculations have been performed for both total and partial density of states (</w:t>
      </w:r>
      <w:r w:rsidR="000E5B5C">
        <w:rPr>
          <w:sz w:val="22"/>
          <w:szCs w:val="22"/>
          <w:lang w:val="en-GB"/>
        </w:rPr>
        <w:t xml:space="preserve">TDOS and </w:t>
      </w:r>
      <w:r w:rsidRPr="00C36DA1">
        <w:rPr>
          <w:sz w:val="22"/>
          <w:szCs w:val="22"/>
          <w:lang w:val="en-GB"/>
        </w:rPr>
        <w:t>PDOS).</w:t>
      </w:r>
      <w:r w:rsidR="000E5B5C">
        <w:rPr>
          <w:sz w:val="22"/>
          <w:szCs w:val="22"/>
          <w:lang w:val="en-GB"/>
        </w:rPr>
        <w:t xml:space="preserve"> </w:t>
      </w:r>
      <w:r w:rsidR="003B3393" w:rsidRPr="00D53726">
        <w:rPr>
          <w:sz w:val="22"/>
          <w:szCs w:val="22"/>
          <w:lang w:val="en-GB"/>
        </w:rPr>
        <w:t xml:space="preserve">To quantify the contributions of the moieties to frontier orbitals, the total and partial density of states </w:t>
      </w:r>
      <w:r w:rsidR="003B3393" w:rsidRPr="00D53726">
        <w:rPr>
          <w:sz w:val="22"/>
          <w:szCs w:val="22"/>
          <w:lang w:val="en-GB"/>
        </w:rPr>
        <w:lastRenderedPageBreak/>
        <w:t xml:space="preserve">have been calculated. </w:t>
      </w:r>
      <w:r w:rsidR="000E5B5C" w:rsidRPr="000E5B5C">
        <w:rPr>
          <w:sz w:val="22"/>
          <w:szCs w:val="22"/>
          <w:lang w:val="en-GB"/>
        </w:rPr>
        <w:t>The determination of the contribution of groups to molecular orbitals, along with the calculated percentage contribution</w:t>
      </w:r>
      <w:r w:rsidR="00713C3B">
        <w:rPr>
          <w:sz w:val="22"/>
          <w:szCs w:val="22"/>
          <w:lang w:val="en-GB"/>
        </w:rPr>
        <w:t xml:space="preserve">s, is achieved by analysing TDOS and PDOS </w:t>
      </w:r>
      <w:r w:rsidR="000E5B5C" w:rsidRPr="000E5B5C">
        <w:rPr>
          <w:sz w:val="22"/>
          <w:szCs w:val="22"/>
          <w:lang w:val="en-GB"/>
        </w:rPr>
        <w:t xml:space="preserve">graphs generated using the </w:t>
      </w:r>
      <w:proofErr w:type="spellStart"/>
      <w:r w:rsidR="000E5B5C" w:rsidRPr="000E5B5C">
        <w:rPr>
          <w:sz w:val="22"/>
          <w:szCs w:val="22"/>
          <w:lang w:val="en-GB"/>
        </w:rPr>
        <w:t>GaussSum</w:t>
      </w:r>
      <w:proofErr w:type="spellEnd"/>
      <w:r w:rsidR="000E5B5C" w:rsidRPr="000E5B5C">
        <w:rPr>
          <w:sz w:val="22"/>
          <w:szCs w:val="22"/>
          <w:lang w:val="en-GB"/>
        </w:rPr>
        <w:t xml:space="preserve"> program</w:t>
      </w:r>
      <w:r w:rsidR="00713C3B">
        <w:rPr>
          <w:sz w:val="22"/>
          <w:szCs w:val="22"/>
          <w:lang w:val="en-GB"/>
        </w:rPr>
        <w:t xml:space="preserve"> </w:t>
      </w:r>
      <w:r w:rsidR="00713C3B">
        <w:rPr>
          <w:sz w:val="22"/>
          <w:szCs w:val="22"/>
          <w:lang w:val="en-GB"/>
        </w:rPr>
        <w:fldChar w:fldCharType="begin" w:fldLock="1"/>
      </w:r>
      <w:r w:rsidR="00774F53">
        <w:rPr>
          <w:sz w:val="22"/>
          <w:szCs w:val="22"/>
          <w:lang w:val="en-GB"/>
        </w:rPr>
        <w:instrText>ADDIN CSL_CITATION {"citationItems":[{"id":"ITEM-1","itemData":{"DOI":"https://doi.org/10.1002/jcc.20823","ISSN":"0192-8651","abstract":"Abstract There are now a wide variety of packages for electronic structure calculations, each of which differs in the algorithms implemented and the output format. Many computational chemistry algorithms are only available to users of a particular package despite being generally applicable to the results of calculations by any package. Here we present cclib, a platform for the development of package-independent computational chemistry algorithms. Files from several versions of multiple electronic structure packages are automatically detected, parsed, and the extracted information converted to a standard internal representation. A number of population analysis algorithms have been implemented as a proof of principle. In addition, cclib is currently used as an input filter for two GUI applications that analyze output files: PyMOlyze and GaussSum. ? 2007 Wiley Periodicals, Inc. J Comput Chem, 2008","author":[{"dropping-particle":"","family":"O'boyle","given":"Noel M","non-dropping-particle":"","parse-names":false,"suffix":""},{"dropping-particle":"","family":"Tenderholt","given":"Adam L","non-dropping-particle":"","parse-names":false,"suffix":""},{"dropping-particle":"","family":"Langner","given":"Karol M","non-dropping-particle":"","parse-names":false,"suffix":""}],"container-title":"Journal of Computational Chemistry","id":"ITEM-1","issue":"5","issued":{"date-parts":[["2008","4","15"]]},"note":"https://doi.org/10.1002/jcc.20823","page":"839-845","publisher":"John Wiley &amp; Sons, Ltd","title":"cclib: A library for package-independent computational chemistry algorithms","type":"article-journal","volume":"29"},"uris":["http://www.mendeley.com/documents/?uuid=4cd196a7-856e-4506-bad9-699cb9305832"]}],"mendeley":{"formattedCitation":"[11]","plainTextFormattedCitation":"[11]","previouslyFormattedCitation":"[11]"},"properties":{"noteIndex":0},"schema":"https://github.com/citation-style-language/schema/raw/master/csl-citation.json"}</w:instrText>
      </w:r>
      <w:r w:rsidR="00713C3B">
        <w:rPr>
          <w:sz w:val="22"/>
          <w:szCs w:val="22"/>
          <w:lang w:val="en-GB"/>
        </w:rPr>
        <w:fldChar w:fldCharType="separate"/>
      </w:r>
      <w:r w:rsidR="000174A3" w:rsidRPr="000174A3">
        <w:rPr>
          <w:noProof/>
          <w:sz w:val="22"/>
          <w:szCs w:val="22"/>
          <w:lang w:val="en-GB"/>
        </w:rPr>
        <w:t>[11]</w:t>
      </w:r>
      <w:r w:rsidR="00713C3B">
        <w:rPr>
          <w:sz w:val="22"/>
          <w:szCs w:val="22"/>
          <w:lang w:val="en-GB"/>
        </w:rPr>
        <w:fldChar w:fldCharType="end"/>
      </w:r>
      <w:r w:rsidR="000E5B5C" w:rsidRPr="000E5B5C">
        <w:rPr>
          <w:sz w:val="22"/>
          <w:szCs w:val="22"/>
          <w:lang w:val="en-GB"/>
        </w:rPr>
        <w:t>.</w:t>
      </w:r>
      <w:r w:rsidR="00713C3B">
        <w:rPr>
          <w:sz w:val="22"/>
          <w:szCs w:val="22"/>
          <w:lang w:val="en-GB"/>
        </w:rPr>
        <w:t xml:space="preserve"> </w:t>
      </w:r>
      <w:r w:rsidR="0030630A" w:rsidRPr="0030630A">
        <w:rPr>
          <w:sz w:val="22"/>
          <w:szCs w:val="22"/>
          <w:lang w:val="en-GB"/>
        </w:rPr>
        <w:t>The groups of C=N, O-H, and other atoms have been partitioned.</w:t>
      </w:r>
    </w:p>
    <w:p w14:paraId="0B9DC8F1" w14:textId="36F5A012" w:rsidR="00574F38" w:rsidRPr="00574F38" w:rsidRDefault="00574F38" w:rsidP="00574F38">
      <w:pPr>
        <w:pStyle w:val="Displayedequation"/>
        <w:spacing w:before="0" w:after="0" w:line="240" w:lineRule="auto"/>
        <w:jc w:val="both"/>
        <w:rPr>
          <w:sz w:val="22"/>
          <w:szCs w:val="22"/>
        </w:rPr>
      </w:pPr>
      <w:r w:rsidRPr="00574F38">
        <w:rPr>
          <w:sz w:val="22"/>
          <w:szCs w:val="22"/>
        </w:rPr>
        <w:t xml:space="preserve">Molecular electrostatic potential V(r) is defined </w:t>
      </w:r>
      <w:r w:rsidRPr="00574F38">
        <w:rPr>
          <w:noProof/>
          <w:sz w:val="22"/>
          <w:szCs w:val="22"/>
        </w:rPr>
        <w:t>by</w:t>
      </w:r>
      <w:r w:rsidRPr="00574F38">
        <w:rPr>
          <w:sz w:val="22"/>
          <w:szCs w:val="22"/>
        </w:rPr>
        <w:t xml:space="preserve"> the electronic density function: </w:t>
      </w:r>
      <m:oMath>
        <m:sSup>
          <m:sSupPr>
            <m:ctrlPr>
              <w:rPr>
                <w:rFonts w:ascii="Cambria Math" w:eastAsia="Calibri" w:hAnsi="Cambria Math"/>
                <w:i/>
                <w:sz w:val="22"/>
                <w:szCs w:val="22"/>
                <w:lang w:eastAsia="tr-TR"/>
              </w:rPr>
            </m:ctrlPr>
          </m:sSupPr>
          <m:e>
            <m:r>
              <w:rPr>
                <w:rFonts w:ascii="Cambria Math" w:eastAsia="Calibri" w:hAnsi="Cambria Math"/>
                <w:sz w:val="22"/>
                <w:szCs w:val="22"/>
                <w:lang w:eastAsia="tr-TR"/>
              </w:rPr>
              <m:t>ρ(r</m:t>
            </m:r>
          </m:e>
          <m:sup>
            <m:r>
              <w:rPr>
                <w:rFonts w:ascii="Cambria Math" w:eastAsia="Calibri" w:hAnsi="Cambria Math"/>
                <w:sz w:val="22"/>
                <w:szCs w:val="22"/>
                <w:lang w:eastAsia="tr-TR"/>
              </w:rPr>
              <m:t>'</m:t>
            </m:r>
          </m:sup>
        </m:sSup>
        <m:r>
          <w:rPr>
            <w:rFonts w:ascii="Cambria Math" w:eastAsia="Calibri" w:hAnsi="Cambria Math"/>
            <w:sz w:val="22"/>
            <w:szCs w:val="22"/>
            <w:lang w:eastAsia="tr-TR"/>
          </w:rPr>
          <m:t>)</m:t>
        </m:r>
      </m:oMath>
      <w:r w:rsidRPr="00574F38">
        <w:rPr>
          <w:sz w:val="22"/>
          <w:szCs w:val="22"/>
          <w:lang w:eastAsia="tr-TR"/>
        </w:rPr>
        <w:t xml:space="preserve"> </w:t>
      </w:r>
      <w:r w:rsidRPr="00574F38">
        <w:rPr>
          <w:noProof/>
          <w:sz w:val="22"/>
          <w:szCs w:val="22"/>
        </w:rPr>
        <w:t>and Z</w:t>
      </w:r>
      <w:r w:rsidRPr="00574F38">
        <w:rPr>
          <w:noProof/>
          <w:sz w:val="22"/>
          <w:szCs w:val="22"/>
          <w:vertAlign w:val="subscript"/>
        </w:rPr>
        <w:t>A</w:t>
      </w:r>
      <w:r w:rsidRPr="00574F38">
        <w:rPr>
          <w:sz w:val="22"/>
          <w:szCs w:val="22"/>
        </w:rPr>
        <w:t xml:space="preserve"> is the charge on the </w:t>
      </w:r>
      <w:r w:rsidRPr="00574F38">
        <w:rPr>
          <w:noProof/>
          <w:sz w:val="22"/>
          <w:szCs w:val="22"/>
        </w:rPr>
        <w:t>nucleus A</w:t>
      </w:r>
      <w:r w:rsidRPr="00574F38">
        <w:rPr>
          <w:sz w:val="22"/>
          <w:szCs w:val="22"/>
        </w:rPr>
        <w:t xml:space="preserve">, located at </w:t>
      </w:r>
      <w:r w:rsidRPr="00574F38">
        <w:rPr>
          <w:noProof/>
          <w:sz w:val="22"/>
          <w:szCs w:val="22"/>
        </w:rPr>
        <w:t>R</w:t>
      </w:r>
      <w:r w:rsidRPr="00574F38">
        <w:rPr>
          <w:noProof/>
          <w:sz w:val="22"/>
          <w:szCs w:val="22"/>
          <w:vertAlign w:val="subscript"/>
        </w:rPr>
        <w:t>A</w:t>
      </w:r>
      <w:r w:rsidR="0086115E">
        <w:rPr>
          <w:noProof/>
          <w:sz w:val="22"/>
          <w:szCs w:val="22"/>
          <w:vertAlign w:val="subscript"/>
        </w:rPr>
        <w:t xml:space="preserve"> </w:t>
      </w:r>
      <w:r w:rsidRPr="00574F38">
        <w:rPr>
          <w:sz w:val="22"/>
          <w:szCs w:val="22"/>
        </w:rPr>
        <w:fldChar w:fldCharType="begin" w:fldLock="1"/>
      </w:r>
      <w:r w:rsidR="00774F53">
        <w:rPr>
          <w:sz w:val="22"/>
          <w:szCs w:val="22"/>
        </w:rPr>
        <w:instrText>ADDIN CSL_CITATION {"citationItems":[{"id":"ITEM-1","itemData":{"DOI":"10.1289/ehp.8561191","ISSN":"00916765","PMID":"2866089","abstract":"The electrostatic potential V(r) that is created in the space around a molecule by its nuclei and electrons (treated as static distributions of charge) is a very useful property for analyzing and predicting molecular reactive behavior. It is rigorously defined and can be determined experimentally as well as computationally. The potential has been particularly useful as an indicator of the sites or regions of a molecule to which an approaching electrophile is initially attracted, and it has also been applied successfully to the study of interactions that involve a certain optimum relative orientation of the reactants, such as between a drug and its cellular receptor. A variety of methods for calculating V(r) is available, at different levels of rigor. For large biologically active molecules, multipole expansions and superposition of potentials computed for subunits have been found to be effective. A large number of chemical and biochemical systems and processes have now been studied in terms of electrostatic potentials. Three examples of such applications are surveyed in this paper. These deal with: (a) reactive properties of nucleic acids, including their component bases; (b) biological recognition processes, including drug-receptors and enzyme-substrate interactions; and (c) chemical carcinogenesis, referring specifically to the polycyclic aromatic hydrocarbons and halogenated olefins and their epoxides. For each of these areas, examples of the use of electrostatic potentials in elucidating structure-activity patterns are given.","author":[{"dropping-particle":"","family":"Politzer","given":"P.","non-dropping-particle":"","parse-names":false,"suffix":""},{"dropping-particle":"","family":"Laurence","given":"P. R.","non-dropping-particle":"","parse-names":false,"suffix":""},{"dropping-particle":"","family":"Jayasuriya","given":"K.","non-dropping-particle":"","parse-names":false,"suffix":""}],"container-title":"Environmental Health Perspectives","id":"ITEM-1","issue":"1","issued":{"date-parts":[["1985"]]},"page":"191-202","title":"Molecular electrostatic potentials: An effective tool for the elucidation of biochemical phenomena","type":"article-journal","volume":"VOL. 61"},"uris":["http://www.mendeley.com/documents/?uuid=7149c490-0a6f-47aa-ba24-a8b60315250f"]},{"id":"ITEM-2","itemData":{"DOI":"10.1007/s00214-002-0363-9","ISSN":"1432881X","PMID":"3514","abstract":"A variety of atomic and molecular properties can be expressed in terms of the electrostatic potential. These include energies, covalent and anionic radii, electronegativities (chemical potentials) and a variety of properties that depend upon noncovalent interactons. We present a survey of such relationships, which may be exact or approximate; they may involve the potential in three-dimensional space, along the axes between bonded atoms, at nuclei or on molecular surfaces. Thus, the electrostatic potential, which is rigorously related to the electronic density by Poisson's equation, can be regarded as, effectively, another fundamental determinant of atomic and molecular properties","author":[{"dropping-particle":"","family":"Politzer","given":"Peter","non-dropping-particle":"","parse-names":false,"suffix":""},{"dropping-particle":"","family":"Murray","given":"Jane S.","non-dropping-particle":"","parse-names":false,"suffix":""}],"container-title":"Theoretical Chemistry Accounts","id":"ITEM-2","issued":{"date-parts":[["2002"]]},"page":"134-142","title":"The fundamental nature and role of the electrostatic potential in atoms and molecules","type":"article-journal","volume":"108"},"uris":["http://www.mendeley.com/documents/?uuid=da8087ff-0886-4a74-8050-584750ec3969"]},{"id":"ITEM-3","itemData":{"DOI":"10.1002/bbpc.19820860925","ISBN":"978-1-4757-9634-6","ISSN":"00059021","author":[{"dropping-particle":"","family":"Hofacker","given":"G. L.","non-dropping-particle":"","parse-names":false,"suffix":""}],"container-title":"Berichte der Bunsengesellschaft für physikalische Chemie","id":"ITEM-3","issue":"9","issued":{"date-parts":[["1982","9"]]},"page":"872-873","title":"Peter Politzer und Donald G. Truhlar: Chemical Applications of Atomic and Molecular Electrostatic Potentials, Plenum Press, New York und London 1981. 472 Seiten, Preis: $ 55.-","type":"article-journal","volume":"86"},"uris":["http://www.mendeley.com/documents/?uuid=abd69cd4-6fed-4d00-aeb0-f778fcacd999"]}],"mendeley":{"formattedCitation":"[12–14]","plainTextFormattedCitation":"[12–14]","previouslyFormattedCitation":"[12–14]"},"properties":{"noteIndex":0},"schema":"https://github.com/citation-style-language/schema/raw/master/csl-citation.json"}</w:instrText>
      </w:r>
      <w:r w:rsidRPr="00574F38">
        <w:rPr>
          <w:sz w:val="22"/>
          <w:szCs w:val="22"/>
        </w:rPr>
        <w:fldChar w:fldCharType="separate"/>
      </w:r>
      <w:r w:rsidR="000174A3" w:rsidRPr="000174A3">
        <w:rPr>
          <w:noProof/>
          <w:sz w:val="22"/>
          <w:szCs w:val="22"/>
        </w:rPr>
        <w:t>[12–14]</w:t>
      </w:r>
      <w:r w:rsidRPr="00574F38">
        <w:rPr>
          <w:sz w:val="22"/>
          <w:szCs w:val="22"/>
        </w:rPr>
        <w:fldChar w:fldCharType="end"/>
      </w:r>
      <w:r w:rsidRPr="00574F38">
        <w:rPr>
          <w:sz w:val="22"/>
          <w:szCs w:val="22"/>
        </w:rPr>
        <w:t>.</w:t>
      </w:r>
    </w:p>
    <w:p w14:paraId="3F328551" w14:textId="77777777" w:rsidR="00574F38" w:rsidRPr="00574F38" w:rsidRDefault="00574F38" w:rsidP="00574F38">
      <w:pPr>
        <w:rPr>
          <w:sz w:val="22"/>
          <w:szCs w:val="22"/>
          <w:lang w:val="en-GB"/>
        </w:rPr>
      </w:pPr>
    </w:p>
    <w:p w14:paraId="10313E02" w14:textId="7DE315C5" w:rsidR="00574F38" w:rsidRPr="00574F38" w:rsidRDefault="00574F38" w:rsidP="0086115E">
      <w:pPr>
        <w:tabs>
          <w:tab w:val="right" w:pos="9781"/>
        </w:tabs>
        <w:jc w:val="both"/>
        <w:rPr>
          <w:sz w:val="22"/>
          <w:szCs w:val="22"/>
          <w:lang w:val="en-GB"/>
        </w:rPr>
      </w:pPr>
      <m:oMath>
        <m:r>
          <m:rPr>
            <m:sty m:val="p"/>
          </m:rPr>
          <w:rPr>
            <w:rFonts w:ascii="Cambria Math" w:eastAsia="Calibri" w:hAnsi="Cambria Math"/>
            <w:sz w:val="22"/>
            <w:szCs w:val="22"/>
            <w:lang w:val="en-GB"/>
          </w:rPr>
          <m:t>V(r)=</m:t>
        </m:r>
        <m:nary>
          <m:naryPr>
            <m:chr m:val="∑"/>
            <m:limLoc m:val="undOvr"/>
            <m:supHide m:val="1"/>
            <m:ctrlPr>
              <w:rPr>
                <w:rFonts w:ascii="Cambria Math" w:eastAsia="Calibri" w:hAnsi="Cambria Math"/>
                <w:i/>
                <w:sz w:val="22"/>
                <w:szCs w:val="22"/>
                <w:lang w:val="en-GB"/>
              </w:rPr>
            </m:ctrlPr>
          </m:naryPr>
          <m:sub>
            <m:r>
              <w:rPr>
                <w:rFonts w:ascii="Cambria Math" w:eastAsia="Calibri" w:hAnsi="Cambria Math"/>
                <w:sz w:val="22"/>
                <w:szCs w:val="22"/>
                <w:lang w:val="en-GB"/>
              </w:rPr>
              <m:t>A</m:t>
            </m:r>
          </m:sub>
          <m:sup/>
          <m:e>
            <m:f>
              <m:fPr>
                <m:ctrlPr>
                  <w:rPr>
                    <w:rFonts w:ascii="Cambria Math" w:eastAsia="Calibri" w:hAnsi="Cambria Math"/>
                    <w:i/>
                    <w:sz w:val="22"/>
                    <w:szCs w:val="22"/>
                    <w:lang w:val="en-GB"/>
                  </w:rPr>
                </m:ctrlPr>
              </m:fPr>
              <m:num>
                <m:sSub>
                  <m:sSubPr>
                    <m:ctrlPr>
                      <w:rPr>
                        <w:rFonts w:ascii="Cambria Math" w:eastAsia="Calibri" w:hAnsi="Cambria Math"/>
                        <w:i/>
                        <w:sz w:val="22"/>
                        <w:szCs w:val="22"/>
                        <w:lang w:val="en-GB"/>
                      </w:rPr>
                    </m:ctrlPr>
                  </m:sSubPr>
                  <m:e>
                    <m:r>
                      <w:rPr>
                        <w:rFonts w:ascii="Cambria Math" w:eastAsia="Calibri" w:hAnsi="Cambria Math"/>
                        <w:sz w:val="22"/>
                        <w:szCs w:val="22"/>
                        <w:lang w:val="en-GB"/>
                      </w:rPr>
                      <m:t>Z</m:t>
                    </m:r>
                  </m:e>
                  <m:sub>
                    <m:r>
                      <w:rPr>
                        <w:rFonts w:ascii="Cambria Math" w:eastAsia="Calibri" w:hAnsi="Cambria Math"/>
                        <w:sz w:val="22"/>
                        <w:szCs w:val="22"/>
                        <w:lang w:val="en-GB"/>
                      </w:rPr>
                      <m:t>A</m:t>
                    </m:r>
                  </m:sub>
                </m:sSub>
              </m:num>
              <m:den>
                <m:d>
                  <m:dPr>
                    <m:ctrlPr>
                      <w:rPr>
                        <w:rFonts w:ascii="Cambria Math" w:eastAsia="Calibri" w:hAnsi="Cambria Math"/>
                        <w:i/>
                        <w:sz w:val="22"/>
                        <w:szCs w:val="22"/>
                        <w:lang w:val="en-GB"/>
                      </w:rPr>
                    </m:ctrlPr>
                  </m:dPr>
                  <m:e>
                    <m:sSub>
                      <m:sSubPr>
                        <m:ctrlPr>
                          <w:rPr>
                            <w:rFonts w:ascii="Cambria Math" w:eastAsia="Calibri" w:hAnsi="Cambria Math"/>
                            <w:i/>
                            <w:sz w:val="22"/>
                            <w:szCs w:val="22"/>
                            <w:lang w:val="en-GB"/>
                          </w:rPr>
                        </m:ctrlPr>
                      </m:sSubPr>
                      <m:e>
                        <m:r>
                          <w:rPr>
                            <w:rFonts w:ascii="Cambria Math" w:eastAsia="Calibri" w:hAnsi="Cambria Math"/>
                            <w:sz w:val="22"/>
                            <w:szCs w:val="22"/>
                            <w:lang w:val="en-GB"/>
                          </w:rPr>
                          <m:t>R</m:t>
                        </m:r>
                      </m:e>
                      <m:sub>
                        <m:r>
                          <w:rPr>
                            <w:rFonts w:ascii="Cambria Math" w:eastAsia="Calibri" w:hAnsi="Cambria Math"/>
                            <w:sz w:val="22"/>
                            <w:szCs w:val="22"/>
                            <w:lang w:val="en-GB"/>
                          </w:rPr>
                          <m:t>A</m:t>
                        </m:r>
                      </m:sub>
                    </m:sSub>
                    <m:r>
                      <w:rPr>
                        <w:rFonts w:ascii="Cambria Math" w:eastAsia="Calibri" w:hAnsi="Cambria Math"/>
                        <w:sz w:val="22"/>
                        <w:szCs w:val="22"/>
                        <w:lang w:val="en-GB"/>
                      </w:rPr>
                      <m:t>-r</m:t>
                    </m:r>
                  </m:e>
                </m:d>
              </m:den>
            </m:f>
            <m:r>
              <w:rPr>
                <w:rFonts w:ascii="Cambria Math" w:eastAsia="Calibri" w:hAnsi="Cambria Math"/>
                <w:sz w:val="22"/>
                <w:szCs w:val="22"/>
                <w:lang w:val="en-GB"/>
              </w:rPr>
              <m:t>-</m:t>
            </m:r>
          </m:e>
        </m:nary>
        <m:nary>
          <m:naryPr>
            <m:limLoc m:val="undOvr"/>
            <m:subHide m:val="1"/>
            <m:supHide m:val="1"/>
            <m:ctrlPr>
              <w:rPr>
                <w:rFonts w:ascii="Cambria Math" w:eastAsia="Calibri" w:hAnsi="Cambria Math"/>
                <w:i/>
                <w:sz w:val="22"/>
                <w:szCs w:val="22"/>
                <w:lang w:val="en-GB"/>
              </w:rPr>
            </m:ctrlPr>
          </m:naryPr>
          <m:sub/>
          <m:sup/>
          <m:e>
            <m:f>
              <m:fPr>
                <m:ctrlPr>
                  <w:rPr>
                    <w:rFonts w:ascii="Cambria Math" w:eastAsia="Calibri" w:hAnsi="Cambria Math"/>
                    <w:i/>
                    <w:sz w:val="22"/>
                    <w:szCs w:val="22"/>
                    <w:lang w:val="en-GB"/>
                  </w:rPr>
                </m:ctrlPr>
              </m:fPr>
              <m:num>
                <m:sSup>
                  <m:sSupPr>
                    <m:ctrlPr>
                      <w:rPr>
                        <w:rFonts w:ascii="Cambria Math" w:eastAsia="Calibri" w:hAnsi="Cambria Math"/>
                        <w:i/>
                        <w:sz w:val="22"/>
                        <w:szCs w:val="22"/>
                        <w:lang w:val="en-GB"/>
                      </w:rPr>
                    </m:ctrlPr>
                  </m:sSupPr>
                  <m:e>
                    <m:r>
                      <w:rPr>
                        <w:rFonts w:ascii="Cambria Math" w:eastAsia="Calibri" w:hAnsi="Cambria Math"/>
                        <w:sz w:val="22"/>
                        <w:szCs w:val="22"/>
                        <w:lang w:val="en-GB"/>
                      </w:rPr>
                      <m:t>ρ(r</m:t>
                    </m:r>
                  </m:e>
                  <m:sup>
                    <m:r>
                      <w:rPr>
                        <w:rFonts w:ascii="Cambria Math" w:eastAsia="Calibri" w:hAnsi="Cambria Math"/>
                        <w:sz w:val="22"/>
                        <w:szCs w:val="22"/>
                        <w:lang w:val="en-GB"/>
                      </w:rPr>
                      <m:t>'</m:t>
                    </m:r>
                  </m:sup>
                </m:sSup>
                <m:r>
                  <w:rPr>
                    <w:rFonts w:ascii="Cambria Math" w:eastAsia="Calibri" w:hAnsi="Cambria Math"/>
                    <w:sz w:val="22"/>
                    <w:szCs w:val="22"/>
                    <w:lang w:val="en-GB"/>
                  </w:rPr>
                  <m:t>)</m:t>
                </m:r>
              </m:num>
              <m:den>
                <m:sSup>
                  <m:sSupPr>
                    <m:ctrlPr>
                      <w:rPr>
                        <w:rFonts w:ascii="Cambria Math" w:eastAsia="Calibri" w:hAnsi="Cambria Math"/>
                        <w:i/>
                        <w:sz w:val="22"/>
                        <w:szCs w:val="22"/>
                        <w:lang w:val="en-GB"/>
                      </w:rPr>
                    </m:ctrlPr>
                  </m:sSupPr>
                  <m:e>
                    <m:r>
                      <w:rPr>
                        <w:rFonts w:ascii="Cambria Math" w:eastAsia="Calibri" w:hAnsi="Cambria Math"/>
                        <w:sz w:val="22"/>
                        <w:szCs w:val="22"/>
                        <w:lang w:val="en-GB"/>
                      </w:rPr>
                      <m:t>(r</m:t>
                    </m:r>
                  </m:e>
                  <m:sup>
                    <m:r>
                      <w:rPr>
                        <w:rFonts w:ascii="Cambria Math" w:eastAsia="Calibri" w:hAnsi="Cambria Math"/>
                        <w:sz w:val="22"/>
                        <w:szCs w:val="22"/>
                        <w:lang w:val="en-GB"/>
                      </w:rPr>
                      <m:t>'</m:t>
                    </m:r>
                  </m:sup>
                </m:sSup>
                <m:r>
                  <w:rPr>
                    <w:rFonts w:ascii="Cambria Math" w:eastAsia="Calibri" w:hAnsi="Cambria Math"/>
                    <w:sz w:val="22"/>
                    <w:szCs w:val="22"/>
                    <w:lang w:val="en-GB"/>
                  </w:rPr>
                  <m:t>-r)</m:t>
                </m:r>
              </m:den>
            </m:f>
            <m:r>
              <m:rPr>
                <m:sty m:val="p"/>
              </m:rPr>
              <w:rPr>
                <w:rFonts w:ascii="Cambria Math" w:eastAsia="Calibri" w:hAnsi="Cambria Math"/>
                <w:sz w:val="22"/>
                <w:szCs w:val="22"/>
                <w:lang w:val="en-GB"/>
              </w:rPr>
              <m:t>d</m:t>
            </m:r>
            <m:d>
              <m:dPr>
                <m:ctrlPr>
                  <w:rPr>
                    <w:rFonts w:ascii="Cambria Math" w:eastAsia="Calibri" w:hAnsi="Cambria Math"/>
                    <w:sz w:val="22"/>
                    <w:szCs w:val="22"/>
                    <w:lang w:val="en-GB"/>
                  </w:rPr>
                </m:ctrlPr>
              </m:dPr>
              <m:e>
                <m:sSup>
                  <m:sSupPr>
                    <m:ctrlPr>
                      <w:rPr>
                        <w:rFonts w:ascii="Cambria Math" w:eastAsia="Calibri" w:hAnsi="Cambria Math"/>
                        <w:sz w:val="22"/>
                        <w:szCs w:val="22"/>
                        <w:lang w:val="en-GB"/>
                      </w:rPr>
                    </m:ctrlPr>
                  </m:sSupPr>
                  <m:e>
                    <m:r>
                      <w:rPr>
                        <w:rFonts w:ascii="Cambria Math" w:eastAsia="Calibri" w:hAnsi="Cambria Math"/>
                        <w:sz w:val="22"/>
                        <w:szCs w:val="22"/>
                        <w:lang w:val="en-GB"/>
                      </w:rPr>
                      <m:t>r</m:t>
                    </m:r>
                  </m:e>
                  <m:sup>
                    <m:r>
                      <w:rPr>
                        <w:rFonts w:ascii="Cambria Math" w:eastAsia="Calibri" w:hAnsi="Cambria Math"/>
                        <w:sz w:val="22"/>
                        <w:szCs w:val="22"/>
                        <w:lang w:val="en-GB"/>
                      </w:rPr>
                      <m:t>'</m:t>
                    </m:r>
                  </m:sup>
                </m:sSup>
              </m:e>
            </m:d>
          </m:e>
        </m:nary>
      </m:oMath>
      <w:r w:rsidRPr="00574F38">
        <w:rPr>
          <w:sz w:val="22"/>
          <w:szCs w:val="22"/>
          <w:lang w:val="en-GB"/>
        </w:rPr>
        <w:t xml:space="preserve"> </w:t>
      </w:r>
      <w:r w:rsidRPr="00574F38">
        <w:rPr>
          <w:sz w:val="22"/>
          <w:szCs w:val="22"/>
          <w:lang w:val="en-GB"/>
        </w:rPr>
        <w:tab/>
      </w:r>
      <w:r w:rsidR="0086115E">
        <w:rPr>
          <w:sz w:val="22"/>
          <w:szCs w:val="22"/>
          <w:lang w:val="en-GB"/>
        </w:rPr>
        <w:t>(1</w:t>
      </w:r>
      <w:r w:rsidRPr="00574F38">
        <w:rPr>
          <w:sz w:val="22"/>
          <w:szCs w:val="22"/>
          <w:lang w:val="en-GB"/>
        </w:rPr>
        <w:t>)</w:t>
      </w:r>
    </w:p>
    <w:p w14:paraId="1E87845E" w14:textId="77777777" w:rsidR="00C36DA1" w:rsidRDefault="00C36DA1" w:rsidP="00601D9C">
      <w:pPr>
        <w:spacing w:beforeLines="120" w:before="288" w:afterLines="120" w:after="288"/>
        <w:jc w:val="both"/>
        <w:rPr>
          <w:sz w:val="22"/>
          <w:szCs w:val="22"/>
          <w:lang w:val="en-GB"/>
        </w:rPr>
      </w:pPr>
      <w:r w:rsidRPr="00C36DA1">
        <w:rPr>
          <w:sz w:val="22"/>
          <w:szCs w:val="22"/>
          <w:lang w:val="en-GB"/>
        </w:rPr>
        <w:t xml:space="preserve">To examine and gather data regarding regions of varying charge within the molecule, theoretical calculations were employed to </w:t>
      </w:r>
      <w:proofErr w:type="spellStart"/>
      <w:r w:rsidRPr="00C36DA1">
        <w:rPr>
          <w:sz w:val="22"/>
          <w:szCs w:val="22"/>
          <w:lang w:val="en-GB"/>
        </w:rPr>
        <w:t>analyze</w:t>
      </w:r>
      <w:proofErr w:type="spellEnd"/>
      <w:r w:rsidRPr="00C36DA1">
        <w:rPr>
          <w:sz w:val="22"/>
          <w:szCs w:val="22"/>
          <w:lang w:val="en-GB"/>
        </w:rPr>
        <w:t xml:space="preserve"> the map of molecular electrostatic potential.</w:t>
      </w:r>
    </w:p>
    <w:p w14:paraId="78E0F924" w14:textId="205957BC" w:rsidR="00553889" w:rsidRPr="00601D9C" w:rsidRDefault="00553889" w:rsidP="00601D9C">
      <w:pPr>
        <w:spacing w:beforeLines="120" w:before="288" w:afterLines="120" w:after="288"/>
        <w:jc w:val="both"/>
        <w:rPr>
          <w:sz w:val="22"/>
          <w:szCs w:val="22"/>
          <w:lang w:val="en-GB"/>
        </w:rPr>
      </w:pPr>
      <w:r w:rsidRPr="00574F38">
        <w:rPr>
          <w:sz w:val="22"/>
          <w:szCs w:val="22"/>
          <w:lang w:val="en-GB"/>
        </w:rPr>
        <w:t>The parameters determining the nonlinear optical properties have been calculate</w:t>
      </w:r>
      <w:r w:rsidR="00601D9C" w:rsidRPr="00574F38">
        <w:rPr>
          <w:sz w:val="22"/>
          <w:szCs w:val="22"/>
          <w:lang w:val="en-GB"/>
        </w:rPr>
        <w:t xml:space="preserve">d </w:t>
      </w:r>
      <w:r w:rsidR="00601D9C">
        <w:rPr>
          <w:sz w:val="22"/>
          <w:szCs w:val="22"/>
          <w:lang w:val="en-GB"/>
        </w:rPr>
        <w:t xml:space="preserve">using the following equations: </w:t>
      </w:r>
      <w:r w:rsidR="00601D9C">
        <w:rPr>
          <w:color w:val="000000"/>
          <w:sz w:val="22"/>
          <w:szCs w:val="22"/>
          <w:lang w:val="en-GB"/>
        </w:rPr>
        <w:t>t</w:t>
      </w:r>
      <w:r w:rsidRPr="00D53726">
        <w:rPr>
          <w:color w:val="000000"/>
          <w:sz w:val="22"/>
          <w:szCs w:val="22"/>
          <w:lang w:val="en-GB"/>
        </w:rPr>
        <w:t>he dipole moment (</w:t>
      </w:r>
      <w:bookmarkStart w:id="0" w:name="OLE_LINK76"/>
      <w:bookmarkStart w:id="1" w:name="OLE_LINK77"/>
      <w:r w:rsidRPr="00D53726">
        <w:rPr>
          <w:color w:val="000000"/>
          <w:sz w:val="22"/>
          <w:szCs w:val="22"/>
          <w:lang w:val="en-GB"/>
        </w:rPr>
        <w:t>µ</w:t>
      </w:r>
      <w:bookmarkEnd w:id="0"/>
      <w:bookmarkEnd w:id="1"/>
      <w:r w:rsidRPr="00D53726">
        <w:rPr>
          <w:color w:val="000000"/>
          <w:sz w:val="22"/>
          <w:szCs w:val="22"/>
          <w:lang w:val="en-GB"/>
        </w:rPr>
        <w:t>), the polarizability (α</w:t>
      </w:r>
      <w:r w:rsidRPr="00D53726">
        <w:rPr>
          <w:color w:val="000000"/>
          <w:sz w:val="22"/>
          <w:szCs w:val="22"/>
          <w:vertAlign w:val="subscript"/>
          <w:lang w:val="en-GB"/>
        </w:rPr>
        <w:t>tot</w:t>
      </w:r>
      <w:r w:rsidRPr="00D53726">
        <w:rPr>
          <w:color w:val="000000"/>
          <w:sz w:val="22"/>
          <w:szCs w:val="22"/>
          <w:lang w:val="en-GB"/>
        </w:rPr>
        <w:t xml:space="preserve">) and the first </w:t>
      </w:r>
      <w:proofErr w:type="spellStart"/>
      <w:r w:rsidRPr="00D53726">
        <w:rPr>
          <w:color w:val="000000"/>
          <w:sz w:val="22"/>
          <w:szCs w:val="22"/>
          <w:lang w:val="en-GB"/>
        </w:rPr>
        <w:t>hyperpolarizability</w:t>
      </w:r>
      <w:proofErr w:type="spellEnd"/>
      <w:r w:rsidRPr="00D53726">
        <w:rPr>
          <w:color w:val="000000"/>
          <w:sz w:val="22"/>
          <w:szCs w:val="22"/>
          <w:lang w:val="en-GB"/>
        </w:rPr>
        <w:t xml:space="preserve"> (β</w:t>
      </w:r>
      <w:r w:rsidRPr="00D53726">
        <w:rPr>
          <w:color w:val="000000"/>
          <w:sz w:val="22"/>
          <w:szCs w:val="22"/>
          <w:vertAlign w:val="subscript"/>
          <w:lang w:val="en-GB"/>
        </w:rPr>
        <w:t>tot</w:t>
      </w:r>
      <w:r w:rsidRPr="00D53726">
        <w:rPr>
          <w:color w:val="000000"/>
          <w:sz w:val="22"/>
          <w:szCs w:val="22"/>
          <w:lang w:val="en-GB"/>
        </w:rPr>
        <w:t xml:space="preserve">) </w:t>
      </w:r>
    </w:p>
    <w:p w14:paraId="69C2C9A5" w14:textId="62122AA6" w:rsidR="00553889" w:rsidRPr="00D53726" w:rsidRDefault="00553889" w:rsidP="0086115E">
      <w:pPr>
        <w:tabs>
          <w:tab w:val="right" w:pos="9781"/>
        </w:tabs>
        <w:autoSpaceDE w:val="0"/>
        <w:autoSpaceDN w:val="0"/>
        <w:adjustRightInd w:val="0"/>
        <w:spacing w:before="120" w:after="120"/>
        <w:jc w:val="both"/>
        <w:rPr>
          <w:color w:val="000000"/>
          <w:sz w:val="22"/>
          <w:szCs w:val="22"/>
          <w:lang w:val="en-GB"/>
        </w:rPr>
      </w:pPr>
      <w:r w:rsidRPr="00D53726">
        <w:rPr>
          <w:color w:val="000000"/>
          <w:sz w:val="22"/>
          <w:szCs w:val="22"/>
          <w:lang w:val="en-GB"/>
        </w:rPr>
        <w:t>µ = (µ</w:t>
      </w:r>
      <w:r w:rsidRPr="00D53726">
        <w:rPr>
          <w:color w:val="000000"/>
          <w:sz w:val="22"/>
          <w:szCs w:val="22"/>
          <w:vertAlign w:val="subscript"/>
          <w:lang w:val="en-GB"/>
        </w:rPr>
        <w:t>x</w:t>
      </w:r>
      <w:r w:rsidRPr="00D53726">
        <w:rPr>
          <w:color w:val="000000"/>
          <w:sz w:val="22"/>
          <w:szCs w:val="22"/>
          <w:vertAlign w:val="superscript"/>
          <w:lang w:val="en-GB"/>
        </w:rPr>
        <w:t>2</w:t>
      </w:r>
      <w:r w:rsidRPr="00D53726">
        <w:rPr>
          <w:color w:val="000000"/>
          <w:sz w:val="22"/>
          <w:szCs w:val="22"/>
          <w:lang w:val="en-GB"/>
        </w:rPr>
        <w:t>+ µ</w:t>
      </w:r>
      <w:r w:rsidRPr="00D53726">
        <w:rPr>
          <w:color w:val="000000"/>
          <w:sz w:val="22"/>
          <w:szCs w:val="22"/>
          <w:vertAlign w:val="subscript"/>
          <w:lang w:val="en-GB"/>
        </w:rPr>
        <w:t>y</w:t>
      </w:r>
      <w:r w:rsidRPr="00D53726">
        <w:rPr>
          <w:color w:val="000000"/>
          <w:sz w:val="22"/>
          <w:szCs w:val="22"/>
          <w:vertAlign w:val="superscript"/>
          <w:lang w:val="en-GB"/>
        </w:rPr>
        <w:t>2</w:t>
      </w:r>
      <w:r w:rsidRPr="00D53726">
        <w:rPr>
          <w:color w:val="000000"/>
          <w:sz w:val="22"/>
          <w:szCs w:val="22"/>
          <w:lang w:val="en-GB"/>
        </w:rPr>
        <w:t xml:space="preserve"> + µ</w:t>
      </w:r>
      <w:r w:rsidRPr="00D53726">
        <w:rPr>
          <w:color w:val="000000"/>
          <w:sz w:val="22"/>
          <w:szCs w:val="22"/>
          <w:vertAlign w:val="subscript"/>
          <w:lang w:val="en-GB"/>
        </w:rPr>
        <w:t>z</w:t>
      </w:r>
      <w:r w:rsidRPr="00D53726">
        <w:rPr>
          <w:color w:val="000000"/>
          <w:sz w:val="22"/>
          <w:szCs w:val="22"/>
          <w:vertAlign w:val="superscript"/>
          <w:lang w:val="en-GB"/>
        </w:rPr>
        <w:t>2</w:t>
      </w:r>
      <w:r w:rsidRPr="00D53726">
        <w:rPr>
          <w:color w:val="000000"/>
          <w:sz w:val="22"/>
          <w:szCs w:val="22"/>
          <w:lang w:val="en-GB"/>
        </w:rPr>
        <w:t>)</w:t>
      </w:r>
      <w:r w:rsidRPr="00D53726">
        <w:rPr>
          <w:color w:val="000000"/>
          <w:sz w:val="22"/>
          <w:szCs w:val="22"/>
          <w:vertAlign w:val="superscript"/>
          <w:lang w:val="en-GB"/>
        </w:rPr>
        <w:t>1/2</w:t>
      </w:r>
      <w:r w:rsidR="0086115E" w:rsidRPr="00574F38">
        <w:rPr>
          <w:sz w:val="22"/>
          <w:szCs w:val="22"/>
          <w:lang w:val="en-GB"/>
        </w:rPr>
        <w:tab/>
      </w:r>
      <w:r w:rsidR="0086115E">
        <w:rPr>
          <w:sz w:val="22"/>
          <w:szCs w:val="22"/>
          <w:lang w:val="en-GB"/>
        </w:rPr>
        <w:t>(2</w:t>
      </w:r>
      <w:r w:rsidR="0086115E" w:rsidRPr="00574F38">
        <w:rPr>
          <w:sz w:val="22"/>
          <w:szCs w:val="22"/>
          <w:lang w:val="en-GB"/>
        </w:rPr>
        <w:t>)</w:t>
      </w:r>
    </w:p>
    <w:p w14:paraId="70BEAA9C" w14:textId="63201CD7" w:rsidR="00553889" w:rsidRPr="00D53726" w:rsidRDefault="00553889" w:rsidP="0086115E">
      <w:pPr>
        <w:tabs>
          <w:tab w:val="right" w:pos="9781"/>
        </w:tabs>
        <w:autoSpaceDE w:val="0"/>
        <w:autoSpaceDN w:val="0"/>
        <w:adjustRightInd w:val="0"/>
        <w:spacing w:before="120" w:after="120"/>
        <w:jc w:val="both"/>
        <w:rPr>
          <w:color w:val="000000"/>
          <w:sz w:val="22"/>
          <w:szCs w:val="22"/>
          <w:lang w:val="en-GB"/>
        </w:rPr>
      </w:pPr>
      <w:r w:rsidRPr="00D53726">
        <w:rPr>
          <w:color w:val="000000"/>
          <w:sz w:val="22"/>
          <w:szCs w:val="22"/>
          <w:lang w:val="en-GB"/>
        </w:rPr>
        <w:t>α</w:t>
      </w:r>
      <w:r w:rsidRPr="00D53726">
        <w:rPr>
          <w:color w:val="000000"/>
          <w:sz w:val="22"/>
          <w:szCs w:val="22"/>
          <w:vertAlign w:val="subscript"/>
          <w:lang w:val="en-GB"/>
        </w:rPr>
        <w:t>tot</w:t>
      </w:r>
      <w:r w:rsidRPr="00D53726">
        <w:rPr>
          <w:color w:val="000000"/>
          <w:sz w:val="22"/>
          <w:szCs w:val="22"/>
          <w:lang w:val="en-GB"/>
        </w:rPr>
        <w:t xml:space="preserve"> = 1/3 (α</w:t>
      </w:r>
      <w:r w:rsidRPr="00D53726">
        <w:rPr>
          <w:color w:val="000000"/>
          <w:sz w:val="22"/>
          <w:szCs w:val="22"/>
          <w:vertAlign w:val="subscript"/>
          <w:lang w:val="en-GB"/>
        </w:rPr>
        <w:t>xx</w:t>
      </w:r>
      <w:r w:rsidRPr="00D53726">
        <w:rPr>
          <w:color w:val="000000"/>
          <w:sz w:val="22"/>
          <w:szCs w:val="22"/>
          <w:lang w:val="en-GB"/>
        </w:rPr>
        <w:t xml:space="preserve"> + α</w:t>
      </w:r>
      <w:proofErr w:type="spellStart"/>
      <w:r w:rsidRPr="00D53726">
        <w:rPr>
          <w:color w:val="000000"/>
          <w:sz w:val="22"/>
          <w:szCs w:val="22"/>
          <w:vertAlign w:val="subscript"/>
          <w:lang w:val="en-GB"/>
        </w:rPr>
        <w:t>yy</w:t>
      </w:r>
      <w:proofErr w:type="spellEnd"/>
      <w:r w:rsidRPr="00D53726">
        <w:rPr>
          <w:color w:val="000000"/>
          <w:sz w:val="22"/>
          <w:szCs w:val="22"/>
          <w:lang w:val="en-GB"/>
        </w:rPr>
        <w:t xml:space="preserve"> + α</w:t>
      </w:r>
      <w:proofErr w:type="spellStart"/>
      <w:r w:rsidRPr="00D53726">
        <w:rPr>
          <w:color w:val="000000"/>
          <w:sz w:val="22"/>
          <w:szCs w:val="22"/>
          <w:vertAlign w:val="subscript"/>
          <w:lang w:val="en-GB"/>
        </w:rPr>
        <w:t>zz</w:t>
      </w:r>
      <w:proofErr w:type="spellEnd"/>
      <w:r w:rsidR="0086115E">
        <w:rPr>
          <w:color w:val="000000"/>
          <w:sz w:val="22"/>
          <w:szCs w:val="22"/>
          <w:lang w:val="en-GB"/>
        </w:rPr>
        <w:t>)</w:t>
      </w:r>
      <w:r w:rsidR="0086115E" w:rsidRPr="0086115E">
        <w:rPr>
          <w:sz w:val="22"/>
          <w:szCs w:val="22"/>
          <w:lang w:val="en-GB"/>
        </w:rPr>
        <w:t xml:space="preserve"> </w:t>
      </w:r>
      <w:r w:rsidR="0086115E">
        <w:rPr>
          <w:sz w:val="22"/>
          <w:szCs w:val="22"/>
          <w:lang w:val="en-GB"/>
        </w:rPr>
        <w:tab/>
        <w:t>(3</w:t>
      </w:r>
      <w:r w:rsidR="0086115E" w:rsidRPr="00574F38">
        <w:rPr>
          <w:sz w:val="22"/>
          <w:szCs w:val="22"/>
          <w:lang w:val="en-GB"/>
        </w:rPr>
        <w:t>)</w:t>
      </w:r>
      <w:r w:rsidR="0086115E">
        <w:rPr>
          <w:sz w:val="22"/>
          <w:szCs w:val="22"/>
          <w:lang w:val="en-GB"/>
        </w:rPr>
        <w:t xml:space="preserve"> </w:t>
      </w:r>
    </w:p>
    <w:p w14:paraId="5DA4238C" w14:textId="61FF5C84" w:rsidR="00553889" w:rsidRPr="00D53726" w:rsidRDefault="00553889" w:rsidP="0086115E">
      <w:pPr>
        <w:tabs>
          <w:tab w:val="right" w:pos="9781"/>
        </w:tabs>
        <w:autoSpaceDE w:val="0"/>
        <w:autoSpaceDN w:val="0"/>
        <w:adjustRightInd w:val="0"/>
        <w:spacing w:before="120" w:after="120"/>
        <w:rPr>
          <w:sz w:val="22"/>
          <w:szCs w:val="22"/>
          <w:lang w:val="en-GB"/>
        </w:rPr>
      </w:pPr>
      <w:r w:rsidRPr="00D53726">
        <w:rPr>
          <w:sz w:val="22"/>
          <w:szCs w:val="22"/>
          <w:lang w:val="en-GB"/>
        </w:rPr>
        <w:t>β</w:t>
      </w:r>
      <w:r w:rsidRPr="00D53726">
        <w:rPr>
          <w:sz w:val="22"/>
          <w:szCs w:val="22"/>
          <w:vertAlign w:val="subscript"/>
          <w:lang w:val="en-GB"/>
        </w:rPr>
        <w:t xml:space="preserve">tot </w:t>
      </w:r>
      <w:r w:rsidRPr="00D53726">
        <w:rPr>
          <w:sz w:val="22"/>
          <w:szCs w:val="22"/>
          <w:lang w:val="en-GB"/>
        </w:rPr>
        <w:t>= (β</w:t>
      </w:r>
      <w:r w:rsidRPr="00D53726">
        <w:rPr>
          <w:sz w:val="22"/>
          <w:szCs w:val="22"/>
          <w:vertAlign w:val="subscript"/>
          <w:lang w:val="en-GB"/>
        </w:rPr>
        <w:t>x</w:t>
      </w:r>
      <w:r w:rsidRPr="00D53726">
        <w:rPr>
          <w:sz w:val="22"/>
          <w:szCs w:val="22"/>
          <w:lang w:val="en-GB"/>
        </w:rPr>
        <w:t>+β</w:t>
      </w:r>
      <w:r w:rsidRPr="00D53726">
        <w:rPr>
          <w:sz w:val="22"/>
          <w:szCs w:val="22"/>
          <w:vertAlign w:val="subscript"/>
          <w:lang w:val="en-GB"/>
        </w:rPr>
        <w:t>y</w:t>
      </w:r>
      <w:r w:rsidRPr="00D53726">
        <w:rPr>
          <w:sz w:val="22"/>
          <w:szCs w:val="22"/>
          <w:lang w:val="en-GB"/>
        </w:rPr>
        <w:t>+β</w:t>
      </w:r>
      <w:r w:rsidRPr="00D53726">
        <w:rPr>
          <w:sz w:val="22"/>
          <w:szCs w:val="22"/>
          <w:vertAlign w:val="subscript"/>
          <w:lang w:val="en-GB"/>
        </w:rPr>
        <w:t>z</w:t>
      </w:r>
      <w:r w:rsidRPr="00D53726">
        <w:rPr>
          <w:sz w:val="22"/>
          <w:szCs w:val="22"/>
          <w:lang w:val="en-GB"/>
        </w:rPr>
        <w:t>)</w:t>
      </w:r>
      <w:r w:rsidRPr="00D53726">
        <w:rPr>
          <w:sz w:val="22"/>
          <w:szCs w:val="22"/>
          <w:vertAlign w:val="superscript"/>
          <w:lang w:val="en-GB"/>
        </w:rPr>
        <w:t>1/2</w:t>
      </w:r>
      <w:r w:rsidR="0086115E">
        <w:rPr>
          <w:sz w:val="22"/>
          <w:szCs w:val="22"/>
          <w:vertAlign w:val="superscript"/>
          <w:lang w:val="en-GB"/>
        </w:rPr>
        <w:tab/>
      </w:r>
      <w:r w:rsidR="0086115E">
        <w:rPr>
          <w:sz w:val="22"/>
          <w:szCs w:val="22"/>
          <w:lang w:val="en-GB"/>
        </w:rPr>
        <w:t>(4</w:t>
      </w:r>
      <w:r w:rsidR="0086115E" w:rsidRPr="00574F38">
        <w:rPr>
          <w:sz w:val="22"/>
          <w:szCs w:val="22"/>
          <w:lang w:val="en-GB"/>
        </w:rPr>
        <w:t>)</w:t>
      </w:r>
    </w:p>
    <w:p w14:paraId="7CF49BE1" w14:textId="2DA21E2C" w:rsidR="00553889" w:rsidRPr="00D53726" w:rsidRDefault="00FC5FD0" w:rsidP="00553889">
      <w:pPr>
        <w:autoSpaceDE w:val="0"/>
        <w:autoSpaceDN w:val="0"/>
        <w:adjustRightInd w:val="0"/>
        <w:spacing w:before="120" w:after="120"/>
        <w:rPr>
          <w:color w:val="000000"/>
          <w:sz w:val="22"/>
          <w:szCs w:val="22"/>
          <w:lang w:val="en-GB"/>
        </w:rPr>
      </w:pPr>
      <w:r w:rsidRPr="00FC5FD0">
        <w:rPr>
          <w:color w:val="000000"/>
          <w:sz w:val="22"/>
          <w:szCs w:val="22"/>
          <w:lang w:val="en-GB"/>
        </w:rPr>
        <w:t>In the context, β</w:t>
      </w:r>
      <w:proofErr w:type="spellStart"/>
      <w:r w:rsidRPr="00FC5FD0">
        <w:rPr>
          <w:color w:val="000000"/>
          <w:sz w:val="22"/>
          <w:szCs w:val="22"/>
          <w:lang w:val="en-GB"/>
        </w:rPr>
        <w:t>i</w:t>
      </w:r>
      <w:proofErr w:type="spellEnd"/>
      <w:r w:rsidRPr="00FC5FD0">
        <w:rPr>
          <w:color w:val="000000"/>
          <w:sz w:val="22"/>
          <w:szCs w:val="22"/>
          <w:lang w:val="en-GB"/>
        </w:rPr>
        <w:t xml:space="preserve"> is characterized as</w:t>
      </w:r>
    </w:p>
    <w:p w14:paraId="4F0D07C4" w14:textId="21284882" w:rsidR="00553889" w:rsidRPr="00D53726" w:rsidRDefault="00553889" w:rsidP="0086115E">
      <w:pPr>
        <w:tabs>
          <w:tab w:val="right" w:pos="9781"/>
        </w:tabs>
        <w:autoSpaceDE w:val="0"/>
        <w:autoSpaceDN w:val="0"/>
        <w:adjustRightInd w:val="0"/>
        <w:spacing w:before="120" w:after="120"/>
        <w:rPr>
          <w:color w:val="000000"/>
          <w:sz w:val="22"/>
          <w:szCs w:val="22"/>
          <w:lang w:val="en-GB"/>
        </w:rPr>
      </w:pPr>
      <w:r w:rsidRPr="00D53726">
        <w:rPr>
          <w:color w:val="000000"/>
          <w:sz w:val="22"/>
          <w:szCs w:val="22"/>
          <w:lang w:val="en-GB"/>
        </w:rPr>
        <w:t>β</w:t>
      </w:r>
      <w:proofErr w:type="spellStart"/>
      <w:r w:rsidRPr="00D53726">
        <w:rPr>
          <w:color w:val="000000"/>
          <w:sz w:val="22"/>
          <w:szCs w:val="22"/>
          <w:vertAlign w:val="subscript"/>
          <w:lang w:val="en-GB"/>
        </w:rPr>
        <w:t>i</w:t>
      </w:r>
      <w:proofErr w:type="spellEnd"/>
      <w:r w:rsidRPr="00D53726">
        <w:rPr>
          <w:color w:val="000000"/>
          <w:sz w:val="22"/>
          <w:szCs w:val="22"/>
          <w:vertAlign w:val="subscript"/>
          <w:lang w:val="en-GB"/>
        </w:rPr>
        <w:t xml:space="preserve"> </w:t>
      </w:r>
      <w:r w:rsidRPr="00D53726">
        <w:rPr>
          <w:color w:val="000000"/>
          <w:sz w:val="22"/>
          <w:szCs w:val="22"/>
          <w:lang w:val="en-GB"/>
        </w:rPr>
        <w:t>= (β</w:t>
      </w:r>
      <w:r w:rsidRPr="00D53726">
        <w:rPr>
          <w:color w:val="000000"/>
          <w:sz w:val="22"/>
          <w:szCs w:val="22"/>
          <w:vertAlign w:val="subscript"/>
          <w:lang w:val="en-GB"/>
        </w:rPr>
        <w:t>iii</w:t>
      </w:r>
      <w:r w:rsidRPr="00D53726">
        <w:rPr>
          <w:color w:val="000000"/>
          <w:sz w:val="22"/>
          <w:szCs w:val="22"/>
          <w:lang w:val="en-GB"/>
        </w:rPr>
        <w:t>+ β</w:t>
      </w:r>
      <w:proofErr w:type="spellStart"/>
      <w:r w:rsidRPr="00D53726">
        <w:rPr>
          <w:color w:val="000000"/>
          <w:sz w:val="22"/>
          <w:szCs w:val="22"/>
          <w:vertAlign w:val="subscript"/>
          <w:lang w:val="en-GB"/>
        </w:rPr>
        <w:t>ijj</w:t>
      </w:r>
      <w:proofErr w:type="spellEnd"/>
      <w:r w:rsidRPr="00D53726">
        <w:rPr>
          <w:color w:val="000000"/>
          <w:sz w:val="22"/>
          <w:szCs w:val="22"/>
          <w:lang w:val="en-GB"/>
        </w:rPr>
        <w:t>+ β</w:t>
      </w:r>
      <w:proofErr w:type="spellStart"/>
      <w:r w:rsidRPr="00D53726">
        <w:rPr>
          <w:color w:val="000000"/>
          <w:sz w:val="22"/>
          <w:szCs w:val="22"/>
          <w:vertAlign w:val="subscript"/>
          <w:lang w:val="en-GB"/>
        </w:rPr>
        <w:t>ikk</w:t>
      </w:r>
      <w:proofErr w:type="spellEnd"/>
      <w:r w:rsidRPr="00D53726">
        <w:rPr>
          <w:color w:val="000000"/>
          <w:sz w:val="22"/>
          <w:szCs w:val="22"/>
          <w:lang w:val="en-GB"/>
        </w:rPr>
        <w:t xml:space="preserve">) </w:t>
      </w:r>
      <w:proofErr w:type="spellStart"/>
      <w:r w:rsidRPr="00D53726">
        <w:rPr>
          <w:color w:val="000000"/>
          <w:sz w:val="22"/>
          <w:szCs w:val="22"/>
          <w:lang w:val="en-GB"/>
        </w:rPr>
        <w:t>i</w:t>
      </w:r>
      <w:proofErr w:type="spellEnd"/>
      <w:r w:rsidRPr="00D53726">
        <w:rPr>
          <w:color w:val="000000"/>
          <w:sz w:val="22"/>
          <w:szCs w:val="22"/>
          <w:lang w:val="en-GB"/>
        </w:rPr>
        <w:t>, j, k = x, y, z.</w:t>
      </w:r>
      <w:r w:rsidR="0086115E" w:rsidRPr="0086115E">
        <w:rPr>
          <w:sz w:val="22"/>
          <w:szCs w:val="22"/>
          <w:lang w:val="en-GB"/>
        </w:rPr>
        <w:t xml:space="preserve"> </w:t>
      </w:r>
      <w:r w:rsidR="0086115E">
        <w:rPr>
          <w:sz w:val="22"/>
          <w:szCs w:val="22"/>
          <w:lang w:val="en-GB"/>
        </w:rPr>
        <w:tab/>
        <w:t>(5</w:t>
      </w:r>
      <w:r w:rsidR="0086115E" w:rsidRPr="00574F38">
        <w:rPr>
          <w:sz w:val="22"/>
          <w:szCs w:val="22"/>
          <w:lang w:val="en-GB"/>
        </w:rPr>
        <w:t>)</w:t>
      </w:r>
    </w:p>
    <w:p w14:paraId="41EFBBF3" w14:textId="28D9CB45" w:rsidR="00553889" w:rsidRDefault="00553889" w:rsidP="00553889">
      <w:pPr>
        <w:autoSpaceDE w:val="0"/>
        <w:autoSpaceDN w:val="0"/>
        <w:adjustRightInd w:val="0"/>
        <w:spacing w:before="120" w:after="120"/>
        <w:rPr>
          <w:color w:val="000000"/>
          <w:sz w:val="22"/>
          <w:szCs w:val="22"/>
          <w:lang w:val="en-GB"/>
        </w:rPr>
      </w:pPr>
      <w:r w:rsidRPr="00D53726">
        <w:rPr>
          <w:color w:val="000000"/>
          <w:sz w:val="22"/>
          <w:szCs w:val="22"/>
          <w:lang w:val="en-GB"/>
        </w:rPr>
        <w:t>where the x, y, and z components of came from the output of a Gaussian 09.</w:t>
      </w:r>
    </w:p>
    <w:p w14:paraId="4657EF9B" w14:textId="77777777" w:rsidR="000174A3" w:rsidRPr="00D53726" w:rsidRDefault="000174A3" w:rsidP="00553889">
      <w:pPr>
        <w:autoSpaceDE w:val="0"/>
        <w:autoSpaceDN w:val="0"/>
        <w:adjustRightInd w:val="0"/>
        <w:spacing w:before="120" w:after="120"/>
        <w:rPr>
          <w:color w:val="000000"/>
          <w:sz w:val="22"/>
          <w:szCs w:val="22"/>
          <w:lang w:val="en-GB"/>
        </w:rPr>
      </w:pPr>
    </w:p>
    <w:p w14:paraId="4A0C6CD6" w14:textId="38C18BB0" w:rsidR="00CA318B" w:rsidRPr="000174A3" w:rsidRDefault="00CA318B" w:rsidP="000174A3">
      <w:pPr>
        <w:pStyle w:val="ListeParagraf"/>
        <w:numPr>
          <w:ilvl w:val="0"/>
          <w:numId w:val="6"/>
        </w:numPr>
        <w:tabs>
          <w:tab w:val="left" w:pos="284"/>
        </w:tabs>
        <w:autoSpaceDE w:val="0"/>
        <w:autoSpaceDN w:val="0"/>
        <w:adjustRightInd w:val="0"/>
        <w:spacing w:before="120" w:after="120" w:line="276" w:lineRule="auto"/>
        <w:ind w:left="0" w:firstLine="0"/>
        <w:jc w:val="both"/>
        <w:rPr>
          <w:b/>
          <w:color w:val="000000" w:themeColor="text1"/>
          <w:sz w:val="22"/>
          <w:szCs w:val="22"/>
          <w:lang w:val="en-GB"/>
        </w:rPr>
      </w:pPr>
      <w:r w:rsidRPr="000174A3">
        <w:rPr>
          <w:b/>
          <w:sz w:val="22"/>
          <w:szCs w:val="22"/>
          <w:lang w:val="en-GB"/>
        </w:rPr>
        <w:t>Results and Discussion</w:t>
      </w:r>
    </w:p>
    <w:p w14:paraId="5E27C015" w14:textId="4969D650" w:rsidR="001031C5" w:rsidRPr="00D53726" w:rsidRDefault="00CA318B" w:rsidP="00021365">
      <w:pPr>
        <w:pStyle w:val="ListeParagraf"/>
        <w:numPr>
          <w:ilvl w:val="1"/>
          <w:numId w:val="6"/>
        </w:numPr>
        <w:tabs>
          <w:tab w:val="left" w:pos="426"/>
        </w:tabs>
        <w:autoSpaceDE w:val="0"/>
        <w:autoSpaceDN w:val="0"/>
        <w:adjustRightInd w:val="0"/>
        <w:spacing w:before="120" w:after="120" w:line="276" w:lineRule="auto"/>
        <w:ind w:left="0" w:firstLine="0"/>
        <w:jc w:val="both"/>
        <w:rPr>
          <w:b/>
          <w:color w:val="000000" w:themeColor="text1"/>
          <w:sz w:val="22"/>
          <w:szCs w:val="22"/>
          <w:lang w:val="en-GB"/>
        </w:rPr>
      </w:pPr>
      <w:r w:rsidRPr="00D53726">
        <w:rPr>
          <w:b/>
          <w:sz w:val="22"/>
          <w:szCs w:val="22"/>
          <w:lang w:val="en-GB"/>
        </w:rPr>
        <w:t>S</w:t>
      </w:r>
      <w:r w:rsidR="00410BC3" w:rsidRPr="00D53726">
        <w:rPr>
          <w:b/>
          <w:sz w:val="22"/>
          <w:szCs w:val="22"/>
          <w:lang w:val="en-GB"/>
        </w:rPr>
        <w:t>tructural properties</w:t>
      </w:r>
    </w:p>
    <w:p w14:paraId="02B176CD" w14:textId="7C3A6580" w:rsidR="00325CB1" w:rsidRDefault="00B422C3" w:rsidP="00116424">
      <w:pPr>
        <w:autoSpaceDE w:val="0"/>
        <w:autoSpaceDN w:val="0"/>
        <w:adjustRightInd w:val="0"/>
        <w:spacing w:before="120" w:after="120"/>
        <w:jc w:val="both"/>
        <w:rPr>
          <w:sz w:val="22"/>
          <w:szCs w:val="22"/>
          <w:lang w:val="en-GB"/>
        </w:rPr>
      </w:pPr>
      <w:r w:rsidRPr="00D53726">
        <w:rPr>
          <w:sz w:val="22"/>
          <w:szCs w:val="22"/>
          <w:shd w:val="clear" w:color="auto" w:fill="FFFFFF"/>
          <w:lang w:val="en-GB"/>
        </w:rPr>
        <w:t xml:space="preserve">In order to determine the possible conformations of </w:t>
      </w:r>
      <w:r w:rsidR="00526FBE" w:rsidRPr="00D53726">
        <w:rPr>
          <w:sz w:val="22"/>
          <w:szCs w:val="22"/>
          <w:shd w:val="clear" w:color="auto" w:fill="FFFFFF"/>
          <w:lang w:val="en-GB"/>
        </w:rPr>
        <w:t>(2Z,3Z)-1,4-dithiane-2,3-dionedioxime</w:t>
      </w:r>
      <w:r w:rsidRPr="00D53726">
        <w:rPr>
          <w:sz w:val="22"/>
          <w:szCs w:val="22"/>
          <w:shd w:val="clear" w:color="auto" w:fill="FFFFFF"/>
          <w:lang w:val="en-GB"/>
        </w:rPr>
        <w:t xml:space="preserve">, </w:t>
      </w:r>
      <w:r w:rsidR="00017DEB" w:rsidRPr="00D53726">
        <w:rPr>
          <w:sz w:val="22"/>
          <w:szCs w:val="22"/>
          <w:shd w:val="clear" w:color="auto" w:fill="FFFFFF"/>
          <w:lang w:val="en-GB"/>
        </w:rPr>
        <w:t>a</w:t>
      </w:r>
      <w:r w:rsidRPr="00D53726">
        <w:rPr>
          <w:sz w:val="22"/>
          <w:szCs w:val="22"/>
          <w:shd w:val="clear" w:color="auto" w:fill="FFFFFF"/>
          <w:lang w:val="en-GB"/>
        </w:rPr>
        <w:t>ll possible conformers of t</w:t>
      </w:r>
      <w:r w:rsidR="00017DEB" w:rsidRPr="00D53726">
        <w:rPr>
          <w:sz w:val="22"/>
          <w:szCs w:val="22"/>
          <w:shd w:val="clear" w:color="auto" w:fill="FFFFFF"/>
          <w:lang w:val="en-GB"/>
        </w:rPr>
        <w:t>he three tautomeric forms of the title compound</w:t>
      </w:r>
      <w:r w:rsidRPr="00D53726">
        <w:rPr>
          <w:sz w:val="22"/>
          <w:szCs w:val="22"/>
          <w:shd w:val="clear" w:color="auto" w:fill="FFFFFF"/>
          <w:lang w:val="en-GB"/>
        </w:rPr>
        <w:t xml:space="preserve"> were fully optimized at the </w:t>
      </w:r>
      <w:r w:rsidR="00017DEB" w:rsidRPr="00D53726">
        <w:rPr>
          <w:sz w:val="22"/>
          <w:szCs w:val="22"/>
          <w:shd w:val="clear" w:color="auto" w:fill="FFFFFF"/>
          <w:lang w:val="en-GB"/>
        </w:rPr>
        <w:t xml:space="preserve">MPW1PW91 </w:t>
      </w:r>
      <w:proofErr w:type="spellStart"/>
      <w:proofErr w:type="gramStart"/>
      <w:r w:rsidR="00017DEB" w:rsidRPr="00D53726">
        <w:rPr>
          <w:sz w:val="22"/>
          <w:szCs w:val="22"/>
          <w:shd w:val="clear" w:color="auto" w:fill="FFFFFF"/>
          <w:lang w:val="en-GB"/>
        </w:rPr>
        <w:t>iop</w:t>
      </w:r>
      <w:proofErr w:type="spellEnd"/>
      <w:r w:rsidR="00017DEB" w:rsidRPr="00D53726">
        <w:rPr>
          <w:sz w:val="22"/>
          <w:szCs w:val="22"/>
          <w:shd w:val="clear" w:color="auto" w:fill="FFFFFF"/>
          <w:lang w:val="en-GB"/>
        </w:rPr>
        <w:t>(</w:t>
      </w:r>
      <w:proofErr w:type="gramEnd"/>
      <w:r w:rsidR="00017DEB" w:rsidRPr="00D53726">
        <w:rPr>
          <w:sz w:val="22"/>
          <w:szCs w:val="22"/>
          <w:shd w:val="clear" w:color="auto" w:fill="FFFFFF"/>
          <w:lang w:val="en-GB"/>
        </w:rPr>
        <w:t>3/76=0572004280) / gen [S: cc-</w:t>
      </w:r>
      <w:proofErr w:type="spellStart"/>
      <w:r w:rsidR="00017DEB" w:rsidRPr="00D53726">
        <w:rPr>
          <w:sz w:val="22"/>
          <w:szCs w:val="22"/>
          <w:shd w:val="clear" w:color="auto" w:fill="FFFFFF"/>
          <w:lang w:val="en-GB"/>
        </w:rPr>
        <w:t>pvqz</w:t>
      </w:r>
      <w:proofErr w:type="spellEnd"/>
      <w:r w:rsidR="00017DEB" w:rsidRPr="00D53726">
        <w:rPr>
          <w:sz w:val="22"/>
          <w:szCs w:val="22"/>
          <w:shd w:val="clear" w:color="auto" w:fill="FFFFFF"/>
          <w:lang w:val="en-GB"/>
        </w:rPr>
        <w:t>, C and H: 6-31+g(</w:t>
      </w:r>
      <w:proofErr w:type="spellStart"/>
      <w:r w:rsidR="00017DEB" w:rsidRPr="00D53726">
        <w:rPr>
          <w:sz w:val="22"/>
          <w:szCs w:val="22"/>
          <w:shd w:val="clear" w:color="auto" w:fill="FFFFFF"/>
          <w:lang w:val="en-GB"/>
        </w:rPr>
        <w:t>d,p</w:t>
      </w:r>
      <w:proofErr w:type="spellEnd"/>
      <w:r w:rsidR="00017DEB" w:rsidRPr="00D53726">
        <w:rPr>
          <w:sz w:val="22"/>
          <w:szCs w:val="22"/>
          <w:shd w:val="clear" w:color="auto" w:fill="FFFFFF"/>
          <w:lang w:val="en-GB"/>
        </w:rPr>
        <w:t>), N: 6-31+g(2d),  O: cc-</w:t>
      </w:r>
      <w:proofErr w:type="spellStart"/>
      <w:r w:rsidR="00017DEB" w:rsidRPr="00D53726">
        <w:rPr>
          <w:sz w:val="22"/>
          <w:szCs w:val="22"/>
          <w:shd w:val="clear" w:color="auto" w:fill="FFFFFF"/>
          <w:lang w:val="en-GB"/>
        </w:rPr>
        <w:t>pvqz</w:t>
      </w:r>
      <w:proofErr w:type="spellEnd"/>
      <w:r w:rsidR="00017DEB" w:rsidRPr="00D53726">
        <w:rPr>
          <w:sz w:val="22"/>
          <w:szCs w:val="22"/>
          <w:shd w:val="clear" w:color="auto" w:fill="FFFFFF"/>
          <w:lang w:val="en-GB"/>
        </w:rPr>
        <w:t xml:space="preserve">] level. </w:t>
      </w:r>
      <w:r w:rsidRPr="00D53726">
        <w:rPr>
          <w:sz w:val="22"/>
          <w:szCs w:val="22"/>
          <w:shd w:val="clear" w:color="auto" w:fill="FFFFFF"/>
          <w:lang w:val="en-GB"/>
        </w:rPr>
        <w:t xml:space="preserve">The relative abundances (the population of the different conformers) of the possible conformers were calculated using the </w:t>
      </w:r>
    </w:p>
    <w:p w14:paraId="45DA3662" w14:textId="77777777" w:rsidR="00464314" w:rsidRPr="00464314" w:rsidRDefault="00464314" w:rsidP="00464314">
      <w:pPr>
        <w:tabs>
          <w:tab w:val="right" w:pos="9781"/>
        </w:tabs>
        <w:autoSpaceDE w:val="0"/>
        <w:autoSpaceDN w:val="0"/>
        <w:adjustRightInd w:val="0"/>
        <w:spacing w:before="120" w:after="120"/>
        <w:jc w:val="both"/>
        <w:rPr>
          <w:sz w:val="22"/>
          <w:szCs w:val="22"/>
          <w:shd w:val="clear" w:color="auto" w:fill="FFFFFF"/>
          <w:lang w:val="en-GB"/>
        </w:rPr>
      </w:pPr>
    </w:p>
    <w:p w14:paraId="0D7A7BF1" w14:textId="77777777" w:rsidR="00FB31C2" w:rsidRPr="00D53726" w:rsidRDefault="001031C5" w:rsidP="00FB31C2">
      <w:pPr>
        <w:tabs>
          <w:tab w:val="left" w:pos="426"/>
        </w:tabs>
        <w:autoSpaceDE w:val="0"/>
        <w:autoSpaceDN w:val="0"/>
        <w:adjustRightInd w:val="0"/>
        <w:spacing w:after="120" w:line="276" w:lineRule="auto"/>
        <w:jc w:val="both"/>
        <w:rPr>
          <w:noProof/>
          <w:lang w:val="en-GB"/>
        </w:rPr>
      </w:pPr>
      <w:r w:rsidRPr="00D53726">
        <w:rPr>
          <w:noProof/>
          <w:lang w:val="en-GB"/>
        </w:rPr>
        <w:t xml:space="preserve"> </w:t>
      </w:r>
      <w:r w:rsidR="006C2436" w:rsidRPr="00D53726">
        <w:rPr>
          <w:noProof/>
          <w:lang w:val="en-GB"/>
        </w:rPr>
        <w:t xml:space="preserve"> </w:t>
      </w:r>
      <w:r w:rsidR="00FB31C2" w:rsidRPr="00D53726">
        <w:rPr>
          <w:noProof/>
          <w:lang w:val="en-GB" w:eastAsia="en-GB"/>
        </w:rPr>
        <w:drawing>
          <wp:inline distT="0" distB="0" distL="0" distR="0" wp14:anchorId="0F3DB0B5" wp14:editId="4CB0D151">
            <wp:extent cx="3889230" cy="1192378"/>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5381" cy="1203461"/>
                    </a:xfrm>
                    <a:prstGeom prst="rect">
                      <a:avLst/>
                    </a:prstGeom>
                    <a:noFill/>
                  </pic:spPr>
                </pic:pic>
              </a:graphicData>
            </a:graphic>
          </wp:inline>
        </w:drawing>
      </w:r>
    </w:p>
    <w:p w14:paraId="66E813C8" w14:textId="0C18E2CB" w:rsidR="001031C5" w:rsidRPr="00D53726" w:rsidRDefault="00775B01" w:rsidP="00FB31C2">
      <w:pPr>
        <w:tabs>
          <w:tab w:val="left" w:pos="426"/>
        </w:tabs>
        <w:autoSpaceDE w:val="0"/>
        <w:autoSpaceDN w:val="0"/>
        <w:adjustRightInd w:val="0"/>
        <w:spacing w:after="120" w:line="276" w:lineRule="auto"/>
        <w:jc w:val="both"/>
        <w:rPr>
          <w:bCs/>
          <w:sz w:val="20"/>
          <w:szCs w:val="20"/>
          <w:lang w:val="en-GB"/>
        </w:rPr>
      </w:pPr>
      <w:r w:rsidRPr="00D53726">
        <w:rPr>
          <w:b/>
          <w:sz w:val="20"/>
          <w:szCs w:val="20"/>
          <w:lang w:val="en-GB"/>
        </w:rPr>
        <w:t xml:space="preserve">Figure 1. </w:t>
      </w:r>
      <w:r w:rsidR="00FE0436" w:rsidRPr="00D53726">
        <w:rPr>
          <w:bCs/>
          <w:sz w:val="20"/>
          <w:szCs w:val="20"/>
          <w:lang w:val="en-GB"/>
        </w:rPr>
        <w:t>The geometric structures of three different conformers of the title molecule</w:t>
      </w:r>
      <w:r w:rsidR="00277AED" w:rsidRPr="00D53726">
        <w:rPr>
          <w:bCs/>
          <w:sz w:val="20"/>
          <w:szCs w:val="20"/>
          <w:lang w:val="en-GB"/>
        </w:rPr>
        <w:t xml:space="preserve">. </w:t>
      </w:r>
      <w:r w:rsidR="002133BC" w:rsidRPr="00D53726">
        <w:rPr>
          <w:bCs/>
          <w:sz w:val="20"/>
          <w:szCs w:val="20"/>
          <w:lang w:val="en-GB"/>
        </w:rPr>
        <w:t xml:space="preserve">The structure were drawn using </w:t>
      </w:r>
      <w:proofErr w:type="spellStart"/>
      <w:r w:rsidR="002133BC" w:rsidRPr="00D53726">
        <w:rPr>
          <w:bCs/>
          <w:sz w:val="20"/>
          <w:szCs w:val="20"/>
          <w:lang w:val="en-GB"/>
        </w:rPr>
        <w:t>CYLview</w:t>
      </w:r>
      <w:proofErr w:type="spellEnd"/>
      <w:r w:rsidR="002133BC" w:rsidRPr="00D53726">
        <w:rPr>
          <w:bCs/>
          <w:sz w:val="20"/>
          <w:szCs w:val="20"/>
          <w:lang w:val="en-GB"/>
        </w:rPr>
        <w:t xml:space="preserve"> 1.0b</w:t>
      </w:r>
      <w:r w:rsidR="00D15624" w:rsidRPr="00D53726">
        <w:rPr>
          <w:bCs/>
          <w:sz w:val="20"/>
          <w:szCs w:val="20"/>
          <w:lang w:val="en-GB"/>
        </w:rPr>
        <w:t xml:space="preserve"> </w:t>
      </w:r>
      <w:r w:rsidR="00FE0436" w:rsidRPr="00D53726">
        <w:rPr>
          <w:bCs/>
          <w:sz w:val="20"/>
          <w:szCs w:val="20"/>
          <w:lang w:val="en-GB"/>
        </w:rPr>
        <w:fldChar w:fldCharType="begin" w:fldLock="1"/>
      </w:r>
      <w:r w:rsidR="00774F53">
        <w:rPr>
          <w:bCs/>
          <w:sz w:val="20"/>
          <w:szCs w:val="20"/>
          <w:lang w:val="en-GB"/>
        </w:rPr>
        <w:instrText>ADDIN CSL_CITATION {"citationItems":[{"id":"ITEM-1","itemData":{"abstract":"Legault, C. Y.CYLview, 1.0b; Université de Sherbrooke: Quebec, Canada, 2009; http://www.cylview.org.","author":[{"dropping-particle":"","family":"Legault","given":"C Y","non-dropping-particle":"","parse-names":false,"suffix":""}],"container-title":"Université de Sherbrooke","id":"ITEM-1","issued":{"date-parts":[["2009"]]},"page":"http://www.cylview.org","title":"CYLview, 1.0b","type":"article-journal"},"uris":["http://www.mendeley.com/documents/?uuid=aeff8745-e33c-4cf4-ac11-720504d6bce6"]}],"mendeley":{"formattedCitation":"[10]","plainTextFormattedCitation":"[10]","previouslyFormattedCitation":"[10]"},"properties":{"noteIndex":0},"schema":"https://github.com/citation-style-language/schema/raw/master/csl-citation.json"}</w:instrText>
      </w:r>
      <w:r w:rsidR="00FE0436" w:rsidRPr="00D53726">
        <w:rPr>
          <w:bCs/>
          <w:sz w:val="20"/>
          <w:szCs w:val="20"/>
          <w:lang w:val="en-GB"/>
        </w:rPr>
        <w:fldChar w:fldCharType="separate"/>
      </w:r>
      <w:r w:rsidR="000174A3" w:rsidRPr="000174A3">
        <w:rPr>
          <w:bCs/>
          <w:noProof/>
          <w:sz w:val="20"/>
          <w:szCs w:val="20"/>
          <w:lang w:val="en-GB"/>
        </w:rPr>
        <w:t>[10]</w:t>
      </w:r>
      <w:r w:rsidR="00FE0436" w:rsidRPr="00D53726">
        <w:rPr>
          <w:bCs/>
          <w:sz w:val="20"/>
          <w:szCs w:val="20"/>
          <w:lang w:val="en-GB"/>
        </w:rPr>
        <w:fldChar w:fldCharType="end"/>
      </w:r>
      <w:r w:rsidR="00D15624" w:rsidRPr="00D53726">
        <w:rPr>
          <w:bCs/>
          <w:sz w:val="20"/>
          <w:szCs w:val="20"/>
          <w:lang w:val="en-GB"/>
        </w:rPr>
        <w:t>.</w:t>
      </w:r>
    </w:p>
    <w:p w14:paraId="6754CB18" w14:textId="7B856DC4" w:rsidR="00116424" w:rsidRPr="00116424" w:rsidRDefault="00116424" w:rsidP="00116424">
      <w:pPr>
        <w:autoSpaceDE w:val="0"/>
        <w:autoSpaceDN w:val="0"/>
        <w:adjustRightInd w:val="0"/>
        <w:spacing w:before="120" w:after="120"/>
        <w:jc w:val="both"/>
        <w:rPr>
          <w:sz w:val="22"/>
          <w:szCs w:val="22"/>
          <w:shd w:val="clear" w:color="auto" w:fill="FFFFFF"/>
          <w:lang w:val="en-GB"/>
        </w:rPr>
      </w:pPr>
      <w:r w:rsidRPr="00116424">
        <w:rPr>
          <w:sz w:val="22"/>
          <w:szCs w:val="22"/>
          <w:shd w:val="clear" w:color="auto" w:fill="FFFFFF"/>
          <w:lang w:val="en-GB"/>
        </w:rPr>
        <w:t>Boltzmann distribution equation:</w:t>
      </w:r>
    </w:p>
    <w:p w14:paraId="48D0EF90" w14:textId="77777777" w:rsidR="00116424" w:rsidRPr="00116424" w:rsidRDefault="00116424" w:rsidP="00116424">
      <w:pPr>
        <w:autoSpaceDE w:val="0"/>
        <w:autoSpaceDN w:val="0"/>
        <w:adjustRightInd w:val="0"/>
        <w:spacing w:before="120" w:after="120"/>
        <w:jc w:val="both"/>
        <w:rPr>
          <w:sz w:val="22"/>
          <w:szCs w:val="22"/>
          <w:shd w:val="clear" w:color="auto" w:fill="FFFFFF"/>
          <w:lang w:val="en-GB"/>
        </w:rPr>
      </w:pPr>
    </w:p>
    <w:p w14:paraId="16485546" w14:textId="12834ECB" w:rsidR="00116424" w:rsidRPr="00116424" w:rsidRDefault="00377927" w:rsidP="00116424">
      <w:pPr>
        <w:tabs>
          <w:tab w:val="right" w:pos="9781"/>
        </w:tabs>
        <w:autoSpaceDE w:val="0"/>
        <w:autoSpaceDN w:val="0"/>
        <w:adjustRightInd w:val="0"/>
        <w:spacing w:before="120" w:after="120"/>
        <w:jc w:val="both"/>
        <w:rPr>
          <w:sz w:val="22"/>
          <w:szCs w:val="22"/>
          <w:lang w:val="en-GB"/>
        </w:rPr>
      </w:pPr>
      <m:oMath>
        <m:f>
          <m:fPr>
            <m:ctrlPr>
              <w:rPr>
                <w:rFonts w:ascii="Cambria Math" w:hAnsi="Cambria Math"/>
                <w:i/>
                <w:sz w:val="22"/>
                <w:szCs w:val="22"/>
                <w:shd w:val="clear" w:color="auto" w:fill="FFFFFF"/>
                <w:lang w:val="en-GB"/>
              </w:rPr>
            </m:ctrlPr>
          </m:fPr>
          <m:num>
            <m:sSub>
              <m:sSubPr>
                <m:ctrlPr>
                  <w:rPr>
                    <w:rFonts w:ascii="Cambria Math" w:hAnsi="Cambria Math"/>
                    <w:sz w:val="22"/>
                    <w:szCs w:val="22"/>
                    <w:shd w:val="clear" w:color="auto" w:fill="FFFFFF"/>
                    <w:lang w:val="en-GB"/>
                  </w:rPr>
                </m:ctrlPr>
              </m:sSubPr>
              <m:e>
                <m:r>
                  <m:rPr>
                    <m:sty m:val="p"/>
                  </m:rPr>
                  <w:rPr>
                    <w:rFonts w:ascii="Cambria Math" w:hAnsi="Cambria Math"/>
                    <w:sz w:val="22"/>
                    <w:szCs w:val="22"/>
                    <w:shd w:val="clear" w:color="auto" w:fill="FFFFFF"/>
                    <w:lang w:val="en-GB"/>
                  </w:rPr>
                  <m:t>N</m:t>
                </m:r>
              </m:e>
              <m:sub>
                <m:r>
                  <w:rPr>
                    <w:rFonts w:ascii="Cambria Math" w:hAnsi="Cambria Math"/>
                    <w:sz w:val="22"/>
                    <w:szCs w:val="22"/>
                    <w:shd w:val="clear" w:color="auto" w:fill="FFFFFF"/>
                    <w:lang w:val="en-GB"/>
                  </w:rPr>
                  <m:t>i</m:t>
                </m:r>
              </m:sub>
            </m:sSub>
          </m:num>
          <m:den>
            <m:sSub>
              <m:sSubPr>
                <m:ctrlPr>
                  <w:rPr>
                    <w:rFonts w:ascii="Cambria Math" w:hAnsi="Cambria Math"/>
                    <w:sz w:val="22"/>
                    <w:szCs w:val="22"/>
                    <w:shd w:val="clear" w:color="auto" w:fill="FFFFFF"/>
                    <w:lang w:val="en-GB"/>
                  </w:rPr>
                </m:ctrlPr>
              </m:sSubPr>
              <m:e>
                <m:r>
                  <m:rPr>
                    <m:sty m:val="p"/>
                  </m:rPr>
                  <w:rPr>
                    <w:rFonts w:ascii="Cambria Math" w:hAnsi="Cambria Math"/>
                    <w:sz w:val="22"/>
                    <w:szCs w:val="22"/>
                    <w:shd w:val="clear" w:color="auto" w:fill="FFFFFF"/>
                    <w:lang w:val="en-GB"/>
                  </w:rPr>
                  <m:t>N</m:t>
                </m:r>
              </m:e>
              <m:sub>
                <m:r>
                  <w:rPr>
                    <w:rFonts w:ascii="Cambria Math" w:hAnsi="Cambria Math"/>
                    <w:sz w:val="22"/>
                    <w:szCs w:val="22"/>
                    <w:shd w:val="clear" w:color="auto" w:fill="FFFFFF"/>
                    <w:lang w:val="en-GB"/>
                  </w:rPr>
                  <m:t>j</m:t>
                </m:r>
              </m:sub>
            </m:sSub>
          </m:den>
        </m:f>
        <m:r>
          <w:rPr>
            <w:rFonts w:ascii="Cambria Math" w:hAnsi="Cambria Math"/>
            <w:sz w:val="22"/>
            <w:szCs w:val="22"/>
            <w:shd w:val="clear" w:color="auto" w:fill="FFFFFF"/>
            <w:lang w:val="en-GB"/>
          </w:rPr>
          <m:t>=(</m:t>
        </m:r>
        <m:f>
          <m:fPr>
            <m:ctrlPr>
              <w:rPr>
                <w:rFonts w:ascii="Cambria Math" w:hAnsi="Cambria Math"/>
                <w:i/>
                <w:sz w:val="22"/>
                <w:szCs w:val="22"/>
                <w:shd w:val="clear" w:color="auto" w:fill="FFFFFF"/>
                <w:lang w:val="en-GB"/>
              </w:rPr>
            </m:ctrlPr>
          </m:fPr>
          <m:num>
            <m:sSub>
              <m:sSubPr>
                <m:ctrlPr>
                  <w:rPr>
                    <w:rFonts w:ascii="Cambria Math" w:hAnsi="Cambria Math"/>
                    <w:sz w:val="22"/>
                    <w:szCs w:val="22"/>
                    <w:shd w:val="clear" w:color="auto" w:fill="FFFFFF"/>
                    <w:lang w:val="en-GB"/>
                  </w:rPr>
                </m:ctrlPr>
              </m:sSubPr>
              <m:e>
                <m:r>
                  <m:rPr>
                    <m:sty m:val="p"/>
                  </m:rPr>
                  <w:rPr>
                    <w:rFonts w:ascii="Cambria Math" w:hAnsi="Cambria Math"/>
                    <w:sz w:val="22"/>
                    <w:szCs w:val="22"/>
                    <w:shd w:val="clear" w:color="auto" w:fill="FFFFFF"/>
                    <w:lang w:val="en-GB"/>
                  </w:rPr>
                  <m:t>g</m:t>
                </m:r>
              </m:e>
              <m:sub>
                <m:r>
                  <w:rPr>
                    <w:rFonts w:ascii="Cambria Math" w:hAnsi="Cambria Math"/>
                    <w:sz w:val="22"/>
                    <w:szCs w:val="22"/>
                    <w:shd w:val="clear" w:color="auto" w:fill="FFFFFF"/>
                    <w:lang w:val="en-GB"/>
                  </w:rPr>
                  <m:t>i</m:t>
                </m:r>
              </m:sub>
            </m:sSub>
          </m:num>
          <m:den>
            <m:sSub>
              <m:sSubPr>
                <m:ctrlPr>
                  <w:rPr>
                    <w:rFonts w:ascii="Cambria Math" w:hAnsi="Cambria Math"/>
                    <w:sz w:val="22"/>
                    <w:szCs w:val="22"/>
                    <w:shd w:val="clear" w:color="auto" w:fill="FFFFFF"/>
                    <w:lang w:val="en-GB"/>
                  </w:rPr>
                </m:ctrlPr>
              </m:sSubPr>
              <m:e>
                <m:r>
                  <m:rPr>
                    <m:sty m:val="p"/>
                  </m:rPr>
                  <w:rPr>
                    <w:rFonts w:ascii="Cambria Math" w:hAnsi="Cambria Math"/>
                    <w:sz w:val="22"/>
                    <w:szCs w:val="22"/>
                    <w:shd w:val="clear" w:color="auto" w:fill="FFFFFF"/>
                    <w:lang w:val="en-GB"/>
                  </w:rPr>
                  <m:t>g</m:t>
                </m:r>
              </m:e>
              <m:sub>
                <m:r>
                  <w:rPr>
                    <w:rFonts w:ascii="Cambria Math" w:hAnsi="Cambria Math"/>
                    <w:sz w:val="22"/>
                    <w:szCs w:val="22"/>
                    <w:shd w:val="clear" w:color="auto" w:fill="FFFFFF"/>
                    <w:lang w:val="en-GB"/>
                  </w:rPr>
                  <m:t>j</m:t>
                </m:r>
              </m:sub>
            </m:sSub>
          </m:den>
        </m:f>
        <m:r>
          <w:rPr>
            <w:rFonts w:ascii="Cambria Math" w:hAnsi="Cambria Math"/>
            <w:sz w:val="22"/>
            <w:szCs w:val="22"/>
            <w:shd w:val="clear" w:color="auto" w:fill="FFFFFF"/>
            <w:lang w:val="en-GB"/>
          </w:rPr>
          <m:t>)</m:t>
        </m:r>
        <m:sSup>
          <m:sSupPr>
            <m:ctrlPr>
              <w:rPr>
                <w:rFonts w:ascii="Cambria Math" w:hAnsi="Cambria Math"/>
                <w:i/>
                <w:sz w:val="22"/>
                <w:szCs w:val="22"/>
                <w:shd w:val="clear" w:color="auto" w:fill="FFFFFF"/>
                <w:lang w:val="en-GB"/>
              </w:rPr>
            </m:ctrlPr>
          </m:sSupPr>
          <m:e>
            <m:r>
              <w:rPr>
                <w:rFonts w:ascii="Cambria Math" w:hAnsi="Cambria Math"/>
                <w:sz w:val="22"/>
                <w:szCs w:val="22"/>
                <w:shd w:val="clear" w:color="auto" w:fill="FFFFFF"/>
                <w:lang w:val="en-GB"/>
              </w:rPr>
              <m:t>e</m:t>
            </m:r>
          </m:e>
          <m:sup>
            <m:d>
              <m:dPr>
                <m:begChr m:val="["/>
                <m:endChr m:val="]"/>
                <m:ctrlPr>
                  <w:rPr>
                    <w:rFonts w:ascii="Cambria Math" w:hAnsi="Cambria Math"/>
                    <w:i/>
                    <w:sz w:val="22"/>
                    <w:szCs w:val="22"/>
                    <w:shd w:val="clear" w:color="auto" w:fill="FFFFFF"/>
                    <w:lang w:val="en-GB"/>
                  </w:rPr>
                </m:ctrlPr>
              </m:dPr>
              <m:e>
                <m:r>
                  <w:rPr>
                    <w:rFonts w:ascii="Cambria Math" w:hAnsi="Cambria Math"/>
                    <w:sz w:val="22"/>
                    <w:szCs w:val="22"/>
                    <w:shd w:val="clear" w:color="auto" w:fill="FFFFFF"/>
                    <w:lang w:val="en-GB"/>
                  </w:rPr>
                  <m:t>-</m:t>
                </m:r>
                <m:d>
                  <m:dPr>
                    <m:ctrlPr>
                      <w:rPr>
                        <w:rFonts w:ascii="Cambria Math" w:hAnsi="Cambria Math"/>
                        <w:i/>
                        <w:sz w:val="22"/>
                        <w:szCs w:val="22"/>
                        <w:shd w:val="clear" w:color="auto" w:fill="FFFFFF"/>
                        <w:lang w:val="en-GB"/>
                      </w:rPr>
                    </m:ctrlPr>
                  </m:dPr>
                  <m:e>
                    <m:sSub>
                      <m:sSubPr>
                        <m:ctrlPr>
                          <w:rPr>
                            <w:rFonts w:ascii="Cambria Math" w:hAnsi="Cambria Math"/>
                            <w:i/>
                            <w:sz w:val="22"/>
                            <w:szCs w:val="22"/>
                            <w:shd w:val="clear" w:color="auto" w:fill="FFFFFF"/>
                            <w:lang w:val="en-GB"/>
                          </w:rPr>
                        </m:ctrlPr>
                      </m:sSubPr>
                      <m:e>
                        <m:r>
                          <w:rPr>
                            <w:rFonts w:ascii="Cambria Math" w:hAnsi="Cambria Math"/>
                            <w:sz w:val="22"/>
                            <w:szCs w:val="22"/>
                            <w:shd w:val="clear" w:color="auto" w:fill="FFFFFF"/>
                            <w:lang w:val="en-GB"/>
                          </w:rPr>
                          <m:t>E</m:t>
                        </m:r>
                      </m:e>
                      <m:sub>
                        <m:r>
                          <w:rPr>
                            <w:rFonts w:ascii="Cambria Math" w:hAnsi="Cambria Math"/>
                            <w:sz w:val="22"/>
                            <w:szCs w:val="22"/>
                            <w:shd w:val="clear" w:color="auto" w:fill="FFFFFF"/>
                            <w:lang w:val="en-GB"/>
                          </w:rPr>
                          <m:t>i</m:t>
                        </m:r>
                      </m:sub>
                    </m:sSub>
                    <m:r>
                      <w:rPr>
                        <w:rFonts w:ascii="Cambria Math" w:hAnsi="Cambria Math"/>
                        <w:sz w:val="22"/>
                        <w:szCs w:val="22"/>
                        <w:shd w:val="clear" w:color="auto" w:fill="FFFFFF"/>
                        <w:lang w:val="en-GB"/>
                      </w:rPr>
                      <m:t>-</m:t>
                    </m:r>
                    <m:sSub>
                      <m:sSubPr>
                        <m:ctrlPr>
                          <w:rPr>
                            <w:rFonts w:ascii="Cambria Math" w:hAnsi="Cambria Math"/>
                            <w:i/>
                            <w:sz w:val="22"/>
                            <w:szCs w:val="22"/>
                            <w:shd w:val="clear" w:color="auto" w:fill="FFFFFF"/>
                            <w:lang w:val="en-GB"/>
                          </w:rPr>
                        </m:ctrlPr>
                      </m:sSubPr>
                      <m:e>
                        <m:r>
                          <w:rPr>
                            <w:rFonts w:ascii="Cambria Math" w:hAnsi="Cambria Math"/>
                            <w:sz w:val="22"/>
                            <w:szCs w:val="22"/>
                            <w:shd w:val="clear" w:color="auto" w:fill="FFFFFF"/>
                            <w:lang w:val="en-GB"/>
                          </w:rPr>
                          <m:t>E</m:t>
                        </m:r>
                      </m:e>
                      <m:sub>
                        <m:r>
                          <w:rPr>
                            <w:rFonts w:ascii="Cambria Math" w:hAnsi="Cambria Math"/>
                            <w:sz w:val="22"/>
                            <w:szCs w:val="22"/>
                            <w:shd w:val="clear" w:color="auto" w:fill="FFFFFF"/>
                            <w:lang w:val="en-GB"/>
                          </w:rPr>
                          <m:t>j</m:t>
                        </m:r>
                      </m:sub>
                    </m:sSub>
                  </m:e>
                </m:d>
                <m:r>
                  <w:rPr>
                    <w:rFonts w:ascii="Cambria Math" w:hAnsi="Cambria Math"/>
                    <w:sz w:val="22"/>
                    <w:szCs w:val="22"/>
                    <w:shd w:val="clear" w:color="auto" w:fill="FFFFFF"/>
                    <w:lang w:val="en-GB"/>
                  </w:rPr>
                  <m:t>/RT</m:t>
                </m:r>
              </m:e>
            </m:d>
          </m:sup>
        </m:sSup>
      </m:oMath>
      <w:r w:rsidR="00116424" w:rsidRPr="00116424">
        <w:rPr>
          <w:sz w:val="22"/>
          <w:szCs w:val="22"/>
          <w:shd w:val="clear" w:color="auto" w:fill="FFFFFF"/>
          <w:lang w:val="en-GB"/>
        </w:rPr>
        <w:t xml:space="preserve"> </w:t>
      </w:r>
      <w:r w:rsidR="00116424" w:rsidRPr="00116424">
        <w:rPr>
          <w:sz w:val="22"/>
          <w:szCs w:val="22"/>
          <w:lang w:val="en-GB"/>
        </w:rPr>
        <w:tab/>
        <w:t>(5)</w:t>
      </w:r>
    </w:p>
    <w:p w14:paraId="52726F4D" w14:textId="77777777" w:rsidR="00116424" w:rsidRPr="00116424" w:rsidRDefault="00116424" w:rsidP="00116424">
      <w:pPr>
        <w:tabs>
          <w:tab w:val="right" w:pos="9781"/>
        </w:tabs>
        <w:autoSpaceDE w:val="0"/>
        <w:autoSpaceDN w:val="0"/>
        <w:adjustRightInd w:val="0"/>
        <w:spacing w:before="120" w:after="120"/>
        <w:jc w:val="both"/>
        <w:rPr>
          <w:sz w:val="22"/>
          <w:szCs w:val="22"/>
          <w:lang w:val="en-GB"/>
        </w:rPr>
      </w:pPr>
    </w:p>
    <w:p w14:paraId="2AA26752" w14:textId="54139391" w:rsidR="00116424" w:rsidRPr="00116424" w:rsidRDefault="00116424" w:rsidP="001031C5">
      <w:pPr>
        <w:tabs>
          <w:tab w:val="left" w:pos="426"/>
        </w:tabs>
        <w:autoSpaceDE w:val="0"/>
        <w:autoSpaceDN w:val="0"/>
        <w:adjustRightInd w:val="0"/>
        <w:spacing w:after="120" w:line="276" w:lineRule="auto"/>
        <w:jc w:val="both"/>
        <w:rPr>
          <w:sz w:val="22"/>
          <w:szCs w:val="22"/>
          <w:lang w:val="en-GB"/>
        </w:rPr>
      </w:pPr>
      <w:r w:rsidRPr="00116424">
        <w:rPr>
          <w:sz w:val="22"/>
          <w:szCs w:val="22"/>
          <w:lang w:val="en-GB"/>
        </w:rPr>
        <w:t xml:space="preserve">According to the </w:t>
      </w:r>
      <w:proofErr w:type="spellStart"/>
      <w:r w:rsidRPr="00116424">
        <w:rPr>
          <w:sz w:val="22"/>
          <w:szCs w:val="22"/>
          <w:lang w:val="en-GB"/>
        </w:rPr>
        <w:t>Boltzman</w:t>
      </w:r>
      <w:proofErr w:type="spellEnd"/>
      <w:r w:rsidRPr="00116424">
        <w:rPr>
          <w:sz w:val="22"/>
          <w:szCs w:val="22"/>
          <w:lang w:val="en-GB"/>
        </w:rPr>
        <w:t xml:space="preserve"> distribution, conformer number </w:t>
      </w:r>
      <w:r w:rsidRPr="00116424">
        <w:rPr>
          <w:b/>
          <w:sz w:val="22"/>
          <w:szCs w:val="22"/>
          <w:lang w:val="en-GB"/>
        </w:rPr>
        <w:t>1</w:t>
      </w:r>
      <w:r w:rsidRPr="00116424">
        <w:rPr>
          <w:sz w:val="22"/>
          <w:szCs w:val="22"/>
          <w:lang w:val="en-GB"/>
        </w:rPr>
        <w:t xml:space="preserve"> is the 99 percent most stable conformer (Table 1.)</w:t>
      </w:r>
    </w:p>
    <w:p w14:paraId="78DA2DFE" w14:textId="05E12DB0" w:rsidR="00FB31C2" w:rsidRPr="00D53726" w:rsidRDefault="00FB31C2" w:rsidP="001031C5">
      <w:pPr>
        <w:tabs>
          <w:tab w:val="left" w:pos="426"/>
        </w:tabs>
        <w:autoSpaceDE w:val="0"/>
        <w:autoSpaceDN w:val="0"/>
        <w:adjustRightInd w:val="0"/>
        <w:spacing w:after="120" w:line="276" w:lineRule="auto"/>
        <w:jc w:val="both"/>
        <w:rPr>
          <w:bCs/>
          <w:sz w:val="20"/>
          <w:szCs w:val="20"/>
          <w:lang w:val="en-GB"/>
        </w:rPr>
      </w:pPr>
      <w:r w:rsidRPr="00D53726">
        <w:rPr>
          <w:b/>
          <w:sz w:val="20"/>
          <w:szCs w:val="20"/>
          <w:lang w:val="en-GB"/>
        </w:rPr>
        <w:lastRenderedPageBreak/>
        <w:t>Table 1.</w:t>
      </w:r>
      <w:r w:rsidRPr="00D53726">
        <w:rPr>
          <w:sz w:val="20"/>
          <w:szCs w:val="20"/>
          <w:lang w:val="en-GB"/>
        </w:rPr>
        <w:t xml:space="preserve"> Calculated lattice parameters, bulk modulus (B), pressure derivatives of bulk modulus (B’) formation for </w:t>
      </w:r>
      <w:proofErr w:type="spellStart"/>
      <w:r w:rsidRPr="00D53726">
        <w:rPr>
          <w:sz w:val="20"/>
          <w:szCs w:val="20"/>
          <w:lang w:val="en-GB"/>
        </w:rPr>
        <w:t>DyAg</w:t>
      </w:r>
      <w:proofErr w:type="spellEnd"/>
      <w:r w:rsidRPr="00D53726">
        <w:rPr>
          <w:sz w:val="20"/>
          <w:szCs w:val="20"/>
          <w:lang w:val="en-GB"/>
        </w:rPr>
        <w:t xml:space="preserve"> compound.</w:t>
      </w:r>
    </w:p>
    <w:tbl>
      <w:tblPr>
        <w:tblW w:w="5542" w:type="dxa"/>
        <w:tblBorders>
          <w:bottom w:val="single" w:sz="4" w:space="0" w:color="auto"/>
        </w:tblBorders>
        <w:tblCellMar>
          <w:left w:w="70" w:type="dxa"/>
          <w:right w:w="70" w:type="dxa"/>
        </w:tblCellMar>
        <w:tblLook w:val="04A0" w:firstRow="1" w:lastRow="0" w:firstColumn="1" w:lastColumn="0" w:noHBand="0" w:noVBand="1"/>
      </w:tblPr>
      <w:tblGrid>
        <w:gridCol w:w="1398"/>
        <w:gridCol w:w="2288"/>
        <w:gridCol w:w="1856"/>
      </w:tblGrid>
      <w:tr w:rsidR="00FB31C2" w:rsidRPr="00D53726" w14:paraId="323A874F" w14:textId="77777777" w:rsidTr="009373DA">
        <w:trPr>
          <w:trHeight w:val="277"/>
        </w:trPr>
        <w:tc>
          <w:tcPr>
            <w:tcW w:w="1398" w:type="dxa"/>
            <w:tcBorders>
              <w:top w:val="single" w:sz="4" w:space="0" w:color="auto"/>
              <w:bottom w:val="single" w:sz="4" w:space="0" w:color="auto"/>
            </w:tcBorders>
            <w:shd w:val="clear" w:color="auto" w:fill="auto"/>
            <w:hideMark/>
          </w:tcPr>
          <w:p w14:paraId="6A0F41B1" w14:textId="77777777" w:rsidR="00FB31C2" w:rsidRPr="00116424" w:rsidRDefault="00FB31C2" w:rsidP="008E6825">
            <w:pPr>
              <w:rPr>
                <w:b/>
                <w:bCs/>
                <w:color w:val="000000"/>
                <w:sz w:val="22"/>
                <w:szCs w:val="22"/>
                <w:lang w:val="en-GB"/>
              </w:rPr>
            </w:pPr>
            <w:r w:rsidRPr="00116424">
              <w:rPr>
                <w:b/>
                <w:bCs/>
                <w:color w:val="000000"/>
                <w:sz w:val="22"/>
                <w:szCs w:val="22"/>
                <w:lang w:val="en-GB"/>
              </w:rPr>
              <w:t>Conformers</w:t>
            </w:r>
          </w:p>
        </w:tc>
        <w:tc>
          <w:tcPr>
            <w:tcW w:w="2288" w:type="dxa"/>
            <w:tcBorders>
              <w:top w:val="single" w:sz="4" w:space="0" w:color="auto"/>
              <w:bottom w:val="single" w:sz="4" w:space="0" w:color="auto"/>
            </w:tcBorders>
            <w:shd w:val="clear" w:color="auto" w:fill="auto"/>
            <w:hideMark/>
          </w:tcPr>
          <w:p w14:paraId="66581244" w14:textId="77777777" w:rsidR="00FB31C2" w:rsidRPr="00116424" w:rsidRDefault="00FB31C2" w:rsidP="008E6825">
            <w:pPr>
              <w:rPr>
                <w:b/>
                <w:bCs/>
                <w:color w:val="000000"/>
                <w:sz w:val="22"/>
                <w:szCs w:val="22"/>
                <w:lang w:val="en-GB"/>
              </w:rPr>
            </w:pPr>
            <w:r w:rsidRPr="00116424">
              <w:rPr>
                <w:b/>
                <w:bCs/>
                <w:color w:val="000000"/>
                <w:sz w:val="22"/>
                <w:szCs w:val="22"/>
                <w:lang w:val="en-GB"/>
              </w:rPr>
              <w:t>Total Energy (</w:t>
            </w:r>
            <w:proofErr w:type="spellStart"/>
            <w:r w:rsidRPr="00116424">
              <w:rPr>
                <w:b/>
                <w:bCs/>
                <w:color w:val="000000"/>
                <w:sz w:val="22"/>
                <w:szCs w:val="22"/>
                <w:lang w:val="en-GB"/>
              </w:rPr>
              <w:t>a.u</w:t>
            </w:r>
            <w:proofErr w:type="spellEnd"/>
            <w:r w:rsidRPr="00116424">
              <w:rPr>
                <w:b/>
                <w:bCs/>
                <w:color w:val="000000"/>
                <w:sz w:val="22"/>
                <w:szCs w:val="22"/>
                <w:lang w:val="en-GB"/>
              </w:rPr>
              <w:t>.)</w:t>
            </w:r>
          </w:p>
        </w:tc>
        <w:tc>
          <w:tcPr>
            <w:tcW w:w="1856" w:type="dxa"/>
            <w:tcBorders>
              <w:top w:val="single" w:sz="4" w:space="0" w:color="auto"/>
              <w:bottom w:val="single" w:sz="4" w:space="0" w:color="auto"/>
            </w:tcBorders>
            <w:shd w:val="clear" w:color="auto" w:fill="auto"/>
            <w:hideMark/>
          </w:tcPr>
          <w:p w14:paraId="5BC1BB47" w14:textId="77777777" w:rsidR="00FB31C2" w:rsidRPr="00116424" w:rsidRDefault="00FB31C2" w:rsidP="008E6825">
            <w:pPr>
              <w:rPr>
                <w:b/>
                <w:bCs/>
                <w:color w:val="000000"/>
                <w:sz w:val="22"/>
                <w:szCs w:val="22"/>
                <w:lang w:val="en-GB"/>
              </w:rPr>
            </w:pPr>
            <w:r w:rsidRPr="00116424">
              <w:rPr>
                <w:b/>
                <w:bCs/>
                <w:color w:val="000000"/>
                <w:sz w:val="22"/>
                <w:szCs w:val="22"/>
                <w:lang w:val="en-GB"/>
              </w:rPr>
              <w:t>Percentage %</w:t>
            </w:r>
          </w:p>
        </w:tc>
      </w:tr>
      <w:tr w:rsidR="00877EE8" w:rsidRPr="00D53726" w14:paraId="70A7AC51" w14:textId="77777777" w:rsidTr="009373DA">
        <w:trPr>
          <w:trHeight w:val="277"/>
        </w:trPr>
        <w:tc>
          <w:tcPr>
            <w:tcW w:w="1398" w:type="dxa"/>
            <w:tcBorders>
              <w:top w:val="single" w:sz="4" w:space="0" w:color="auto"/>
            </w:tcBorders>
            <w:shd w:val="clear" w:color="auto" w:fill="auto"/>
            <w:hideMark/>
          </w:tcPr>
          <w:p w14:paraId="0A65A67D" w14:textId="77777777" w:rsidR="00877EE8" w:rsidRPr="00116424" w:rsidRDefault="00877EE8" w:rsidP="00877EE8">
            <w:pPr>
              <w:rPr>
                <w:b/>
                <w:bCs/>
                <w:color w:val="000000"/>
                <w:sz w:val="22"/>
                <w:szCs w:val="22"/>
                <w:lang w:val="en-GB"/>
              </w:rPr>
            </w:pPr>
            <w:r w:rsidRPr="00116424">
              <w:rPr>
                <w:b/>
                <w:bCs/>
                <w:color w:val="000000"/>
                <w:sz w:val="22"/>
                <w:szCs w:val="22"/>
                <w:lang w:val="en-GB"/>
              </w:rPr>
              <w:t>1</w:t>
            </w:r>
          </w:p>
        </w:tc>
        <w:tc>
          <w:tcPr>
            <w:tcW w:w="2288" w:type="dxa"/>
            <w:tcBorders>
              <w:top w:val="single" w:sz="4" w:space="0" w:color="auto"/>
            </w:tcBorders>
            <w:shd w:val="clear" w:color="auto" w:fill="auto"/>
            <w:noWrap/>
            <w:hideMark/>
          </w:tcPr>
          <w:p w14:paraId="78B0B324" w14:textId="1E8F3334" w:rsidR="00877EE8" w:rsidRPr="00116424" w:rsidRDefault="00877EE8" w:rsidP="00877EE8">
            <w:pPr>
              <w:rPr>
                <w:color w:val="000000"/>
                <w:sz w:val="22"/>
                <w:szCs w:val="22"/>
                <w:lang w:val="en-GB"/>
              </w:rPr>
            </w:pPr>
            <w:r w:rsidRPr="00116424">
              <w:rPr>
                <w:sz w:val="22"/>
                <w:szCs w:val="22"/>
              </w:rPr>
              <w:t>-1212.266634</w:t>
            </w:r>
          </w:p>
        </w:tc>
        <w:tc>
          <w:tcPr>
            <w:tcW w:w="1856" w:type="dxa"/>
            <w:tcBorders>
              <w:top w:val="single" w:sz="4" w:space="0" w:color="auto"/>
            </w:tcBorders>
            <w:shd w:val="clear" w:color="auto" w:fill="auto"/>
            <w:noWrap/>
            <w:hideMark/>
          </w:tcPr>
          <w:p w14:paraId="2DD572F3" w14:textId="4093161B" w:rsidR="00877EE8" w:rsidRPr="00116424" w:rsidRDefault="00877EE8" w:rsidP="00877EE8">
            <w:pPr>
              <w:rPr>
                <w:color w:val="000000"/>
                <w:sz w:val="22"/>
                <w:szCs w:val="22"/>
                <w:lang w:val="en-GB"/>
              </w:rPr>
            </w:pPr>
            <w:r w:rsidRPr="00116424">
              <w:rPr>
                <w:sz w:val="22"/>
                <w:szCs w:val="22"/>
              </w:rPr>
              <w:t>0.99</w:t>
            </w:r>
          </w:p>
        </w:tc>
      </w:tr>
      <w:tr w:rsidR="00877EE8" w:rsidRPr="00D53726" w14:paraId="708309FC" w14:textId="77777777" w:rsidTr="009373DA">
        <w:trPr>
          <w:trHeight w:val="277"/>
        </w:trPr>
        <w:tc>
          <w:tcPr>
            <w:tcW w:w="1398" w:type="dxa"/>
            <w:shd w:val="clear" w:color="auto" w:fill="auto"/>
            <w:hideMark/>
          </w:tcPr>
          <w:p w14:paraId="6B8A89AC" w14:textId="77777777" w:rsidR="00877EE8" w:rsidRPr="00116424" w:rsidRDefault="00877EE8" w:rsidP="00877EE8">
            <w:pPr>
              <w:rPr>
                <w:b/>
                <w:bCs/>
                <w:color w:val="000000"/>
                <w:sz w:val="22"/>
                <w:szCs w:val="22"/>
                <w:lang w:val="en-GB"/>
              </w:rPr>
            </w:pPr>
            <w:r w:rsidRPr="00116424">
              <w:rPr>
                <w:b/>
                <w:bCs/>
                <w:color w:val="000000"/>
                <w:sz w:val="22"/>
                <w:szCs w:val="22"/>
                <w:lang w:val="en-GB"/>
              </w:rPr>
              <w:t>2</w:t>
            </w:r>
          </w:p>
        </w:tc>
        <w:tc>
          <w:tcPr>
            <w:tcW w:w="2288" w:type="dxa"/>
            <w:shd w:val="clear" w:color="auto" w:fill="auto"/>
            <w:noWrap/>
            <w:hideMark/>
          </w:tcPr>
          <w:p w14:paraId="3CD07B34" w14:textId="257A3A91" w:rsidR="00877EE8" w:rsidRPr="00116424" w:rsidRDefault="00877EE8" w:rsidP="00877EE8">
            <w:pPr>
              <w:rPr>
                <w:color w:val="000000"/>
                <w:sz w:val="22"/>
                <w:szCs w:val="22"/>
                <w:lang w:val="en-GB"/>
              </w:rPr>
            </w:pPr>
            <w:r w:rsidRPr="00116424">
              <w:rPr>
                <w:sz w:val="22"/>
                <w:szCs w:val="22"/>
              </w:rPr>
              <w:t>-1212.266743</w:t>
            </w:r>
          </w:p>
        </w:tc>
        <w:tc>
          <w:tcPr>
            <w:tcW w:w="1856" w:type="dxa"/>
            <w:shd w:val="clear" w:color="auto" w:fill="auto"/>
            <w:noWrap/>
            <w:hideMark/>
          </w:tcPr>
          <w:p w14:paraId="25134D23" w14:textId="0621C245" w:rsidR="00877EE8" w:rsidRPr="00116424" w:rsidRDefault="00877EE8" w:rsidP="00877EE8">
            <w:pPr>
              <w:rPr>
                <w:color w:val="000000"/>
                <w:sz w:val="22"/>
                <w:szCs w:val="22"/>
                <w:lang w:val="en-GB"/>
              </w:rPr>
            </w:pPr>
            <w:r w:rsidRPr="00116424">
              <w:rPr>
                <w:sz w:val="22"/>
                <w:szCs w:val="22"/>
              </w:rPr>
              <w:t>0.01</w:t>
            </w:r>
          </w:p>
        </w:tc>
      </w:tr>
      <w:tr w:rsidR="00877EE8" w:rsidRPr="00D53726" w14:paraId="50FA171F" w14:textId="77777777" w:rsidTr="009373DA">
        <w:trPr>
          <w:trHeight w:val="277"/>
        </w:trPr>
        <w:tc>
          <w:tcPr>
            <w:tcW w:w="1398" w:type="dxa"/>
            <w:shd w:val="clear" w:color="auto" w:fill="auto"/>
            <w:hideMark/>
          </w:tcPr>
          <w:p w14:paraId="6E22F351" w14:textId="77777777" w:rsidR="00877EE8" w:rsidRPr="00116424" w:rsidRDefault="00877EE8" w:rsidP="00877EE8">
            <w:pPr>
              <w:rPr>
                <w:b/>
                <w:bCs/>
                <w:color w:val="000000"/>
                <w:sz w:val="22"/>
                <w:szCs w:val="22"/>
                <w:lang w:val="en-GB"/>
              </w:rPr>
            </w:pPr>
            <w:r w:rsidRPr="00116424">
              <w:rPr>
                <w:b/>
                <w:bCs/>
                <w:color w:val="000000"/>
                <w:sz w:val="22"/>
                <w:szCs w:val="22"/>
                <w:lang w:val="en-GB"/>
              </w:rPr>
              <w:t>3</w:t>
            </w:r>
          </w:p>
        </w:tc>
        <w:tc>
          <w:tcPr>
            <w:tcW w:w="2288" w:type="dxa"/>
            <w:shd w:val="clear" w:color="auto" w:fill="auto"/>
            <w:noWrap/>
            <w:hideMark/>
          </w:tcPr>
          <w:p w14:paraId="4DDD647C" w14:textId="59641268" w:rsidR="00877EE8" w:rsidRPr="00116424" w:rsidRDefault="00877EE8" w:rsidP="00877EE8">
            <w:pPr>
              <w:rPr>
                <w:color w:val="000000"/>
                <w:sz w:val="22"/>
                <w:szCs w:val="22"/>
                <w:lang w:val="en-GB"/>
              </w:rPr>
            </w:pPr>
            <w:r w:rsidRPr="00116424">
              <w:rPr>
                <w:sz w:val="22"/>
                <w:szCs w:val="22"/>
              </w:rPr>
              <w:t>-1212.271549</w:t>
            </w:r>
          </w:p>
        </w:tc>
        <w:tc>
          <w:tcPr>
            <w:tcW w:w="1856" w:type="dxa"/>
            <w:shd w:val="clear" w:color="auto" w:fill="auto"/>
            <w:noWrap/>
            <w:hideMark/>
          </w:tcPr>
          <w:p w14:paraId="4164BED7" w14:textId="2EEE367B" w:rsidR="00877EE8" w:rsidRPr="00116424" w:rsidRDefault="00877EE8" w:rsidP="00877EE8">
            <w:pPr>
              <w:rPr>
                <w:color w:val="000000"/>
                <w:sz w:val="22"/>
                <w:szCs w:val="22"/>
                <w:lang w:val="en-GB"/>
              </w:rPr>
            </w:pPr>
            <w:r w:rsidRPr="00116424">
              <w:rPr>
                <w:sz w:val="22"/>
                <w:szCs w:val="22"/>
              </w:rPr>
              <w:t>0.01</w:t>
            </w:r>
          </w:p>
        </w:tc>
      </w:tr>
    </w:tbl>
    <w:p w14:paraId="6574DC48" w14:textId="77777777" w:rsidR="00FB31C2" w:rsidRPr="00D53726" w:rsidRDefault="00FB31C2" w:rsidP="001031C5">
      <w:pPr>
        <w:tabs>
          <w:tab w:val="left" w:pos="426"/>
        </w:tabs>
        <w:autoSpaceDE w:val="0"/>
        <w:autoSpaceDN w:val="0"/>
        <w:adjustRightInd w:val="0"/>
        <w:spacing w:after="120" w:line="276" w:lineRule="auto"/>
        <w:jc w:val="both"/>
        <w:rPr>
          <w:bCs/>
          <w:sz w:val="20"/>
          <w:szCs w:val="20"/>
          <w:lang w:val="en-GB"/>
        </w:rPr>
      </w:pPr>
    </w:p>
    <w:p w14:paraId="4243A7CE" w14:textId="70EADECF" w:rsidR="00C23695" w:rsidRPr="0070719A" w:rsidRDefault="00C23695" w:rsidP="00C23695">
      <w:pPr>
        <w:pStyle w:val="ListeParagraf"/>
        <w:numPr>
          <w:ilvl w:val="1"/>
          <w:numId w:val="6"/>
        </w:numPr>
        <w:tabs>
          <w:tab w:val="left" w:pos="426"/>
        </w:tabs>
        <w:autoSpaceDE w:val="0"/>
        <w:autoSpaceDN w:val="0"/>
        <w:adjustRightInd w:val="0"/>
        <w:spacing w:before="120" w:after="120" w:line="276" w:lineRule="auto"/>
        <w:ind w:left="0" w:firstLine="0"/>
        <w:jc w:val="both"/>
        <w:rPr>
          <w:b/>
          <w:color w:val="000000" w:themeColor="text1"/>
          <w:sz w:val="22"/>
          <w:szCs w:val="22"/>
          <w:lang w:val="en-GB"/>
        </w:rPr>
      </w:pPr>
      <w:r w:rsidRPr="00D53726">
        <w:rPr>
          <w:b/>
          <w:sz w:val="22"/>
          <w:szCs w:val="22"/>
          <w:lang w:val="en-GB"/>
        </w:rPr>
        <w:t>Molecular orbital studies</w:t>
      </w:r>
    </w:p>
    <w:p w14:paraId="50D53F33" w14:textId="3E42F70C" w:rsidR="00774F53" w:rsidRPr="002976C1" w:rsidRDefault="00774F53" w:rsidP="0070719A">
      <w:pPr>
        <w:tabs>
          <w:tab w:val="left" w:pos="426"/>
        </w:tabs>
        <w:autoSpaceDE w:val="0"/>
        <w:autoSpaceDN w:val="0"/>
        <w:adjustRightInd w:val="0"/>
        <w:spacing w:before="120" w:after="120" w:line="276" w:lineRule="auto"/>
        <w:jc w:val="both"/>
        <w:rPr>
          <w:color w:val="000000" w:themeColor="text1"/>
          <w:sz w:val="22"/>
          <w:szCs w:val="22"/>
          <w:lang w:val="en-GB"/>
        </w:rPr>
      </w:pPr>
      <w:r w:rsidRPr="002976C1">
        <w:rPr>
          <w:color w:val="000000" w:themeColor="text1"/>
          <w:sz w:val="22"/>
          <w:szCs w:val="22"/>
          <w:lang w:val="en-GB"/>
        </w:rPr>
        <w:t>The molecular characteristics of the specified compound were determined by calculating frontier molecular orbital descriptors using Koopmans equations</w:t>
      </w:r>
      <w:r w:rsidR="00ED073B" w:rsidRPr="002976C1">
        <w:rPr>
          <w:color w:val="000000" w:themeColor="text1"/>
          <w:sz w:val="22"/>
          <w:szCs w:val="22"/>
          <w:lang w:val="en-GB"/>
        </w:rPr>
        <w:t xml:space="preserve"> </w:t>
      </w:r>
      <w:r w:rsidR="00ED073B" w:rsidRPr="002976C1">
        <w:rPr>
          <w:color w:val="000000" w:themeColor="text1"/>
          <w:sz w:val="22"/>
          <w:szCs w:val="22"/>
          <w:lang w:val="en-GB"/>
        </w:rPr>
        <w:fldChar w:fldCharType="begin" w:fldLock="1"/>
      </w:r>
      <w:r w:rsidR="00E75D5E">
        <w:rPr>
          <w:color w:val="000000" w:themeColor="text1"/>
          <w:sz w:val="22"/>
          <w:szCs w:val="22"/>
          <w:lang w:val="en-GB"/>
        </w:rPr>
        <w:instrText>ADDIN CSL_CITATION {"citationItems":[{"id":"ITEM-1","itemData":{"DOI":"10.1016/S0031-8914(34)90011-2","ISBN":"0031-8914","ISSN":"00318914","PMID":"1098","abstract":"Die von Fock im Rahmen seiner Näherungsmethode zur Behandlung des quantenmechanischen Mehrelektronenproblems aufgestellten Gleichungen werden auf etwas allgemeinerer Grundlage diskutiert. Es wird angegeben, wie man in eindeutiger Weise den einzelnen Elektronen bestimmte Wellenfunktionen und Eigenwerte zuordnen kann. Diese Eigenfunktionen genügen einer Gleichung, die in einem etwas anderen Zusammenhang von Fock abgeleitet wurde. Die Eigenwerte sind bis auf kleinen Korrektionen den Ablösungsarbeiten der einzelnen Elektronen entgegengesetzt gleich. Das erreichte Ergebnis hat nur Bedeutung in denjenigen Fällen, wo der Ansatz einer einzigen Slaterschen Determinante für die Wellenfunktion sinnvoll ist.","author":[{"dropping-particle":"","family":"Koopmans","given":"T","non-dropping-particle":"","parse-names":false,"suffix":""}],"container-title":"Physica","id":"ITEM-1","issue":"1-6","issued":{"date-parts":[["1934"]]},"page":"104-113","title":"Über die Zuordnung von Wellenfunktionen und Eigenwerten zu den Einzelnen Elektronen Eines Atoms","type":"article-journal","volume":"1"},"uris":["http://www.mendeley.com/documents/?uuid=fdb51a1f-9c9a-4918-8ff4-8658ff6df0b6"]},{"id":"ITEM-2","itemData":{"ISSN":"0002-7863","author":[{"dropping-particle":"","family":"Parr","given":"Robert G","non-dropping-particle":"","parse-names":false,"suffix":""},{"dropping-particle":"v","family":"Szentpály","given":"László","non-dropping-particle":"","parse-names":false,"suffix":""},{"dropping-particle":"","family":"Liu","given":"Shubin","non-dropping-particle":"","parse-names":false,"suffix":""}],"container-title":"Journal of the American Chemical Society","id":"ITEM-2","issue":"9","issued":{"date-parts":[["1999"]]},"page":"1922-1924","publisher":"ACS Publications","title":"Electrophilicity index","type":"article-journal","volume":"121"},"uris":["http://www.mendeley.com/documents/?uuid=a94273cd-1f71-4446-bdd9-9c378c6e2014"]}],"mendeley":{"formattedCitation":"[15, 16]","plainTextFormattedCitation":"[15, 16]","previouslyFormattedCitation":"[15, 16]"},"properties":{"noteIndex":0},"schema":"https://github.com/citation-style-language/schema/raw/master/csl-citation.json"}</w:instrText>
      </w:r>
      <w:r w:rsidR="00ED073B" w:rsidRPr="002976C1">
        <w:rPr>
          <w:color w:val="000000" w:themeColor="text1"/>
          <w:sz w:val="22"/>
          <w:szCs w:val="22"/>
          <w:lang w:val="en-GB"/>
        </w:rPr>
        <w:fldChar w:fldCharType="separate"/>
      </w:r>
      <w:r w:rsidR="00ED073B" w:rsidRPr="002976C1">
        <w:rPr>
          <w:noProof/>
          <w:color w:val="000000" w:themeColor="text1"/>
          <w:sz w:val="22"/>
          <w:szCs w:val="22"/>
          <w:lang w:val="en-GB"/>
        </w:rPr>
        <w:t>[15, 16]</w:t>
      </w:r>
      <w:r w:rsidR="00ED073B" w:rsidRPr="002976C1">
        <w:rPr>
          <w:color w:val="000000" w:themeColor="text1"/>
          <w:sz w:val="22"/>
          <w:szCs w:val="22"/>
          <w:lang w:val="en-GB"/>
        </w:rPr>
        <w:fldChar w:fldCharType="end"/>
      </w:r>
      <w:r w:rsidRPr="002976C1">
        <w:rPr>
          <w:color w:val="000000" w:themeColor="text1"/>
          <w:sz w:val="22"/>
          <w:szCs w:val="22"/>
          <w:lang w:val="en-GB"/>
        </w:rPr>
        <w:t xml:space="preserve">. These equations involve parameters such as chemical potential (μ), chemical hardness (η), global softness (S), and </w:t>
      </w:r>
      <w:proofErr w:type="spellStart"/>
      <w:r w:rsidRPr="002976C1">
        <w:rPr>
          <w:color w:val="000000" w:themeColor="text1"/>
          <w:sz w:val="22"/>
          <w:szCs w:val="22"/>
          <w:lang w:val="en-GB"/>
        </w:rPr>
        <w:t>electrophilicity</w:t>
      </w:r>
      <w:proofErr w:type="spellEnd"/>
      <w:r w:rsidRPr="002976C1">
        <w:rPr>
          <w:color w:val="000000" w:themeColor="text1"/>
          <w:sz w:val="22"/>
          <w:szCs w:val="22"/>
          <w:lang w:val="en-GB"/>
        </w:rPr>
        <w:t xml:space="preserve"> index (</w:t>
      </w:r>
      <w:r w:rsidRPr="002976C1">
        <w:rPr>
          <w:rFonts w:ascii="Symbol" w:hAnsi="Symbol"/>
          <w:color w:val="000000" w:themeColor="text1"/>
          <w:sz w:val="22"/>
          <w:szCs w:val="22"/>
          <w:lang w:val="en-GB" w:eastAsia="en-GB"/>
        </w:rPr>
        <w:t></w:t>
      </w:r>
      <w:r w:rsidRPr="002976C1">
        <w:rPr>
          <w:color w:val="000000" w:themeColor="text1"/>
          <w:sz w:val="22"/>
          <w:szCs w:val="22"/>
          <w:lang w:val="en-GB"/>
        </w:rPr>
        <w:t>) to assess the reactivity and stability of the complexes. A comprehensive list of these descriptors for the compound can be found in Table 2.</w:t>
      </w:r>
      <w:r w:rsidR="00C50DB4" w:rsidRPr="002976C1">
        <w:rPr>
          <w:color w:val="000000" w:themeColor="text1"/>
          <w:sz w:val="22"/>
          <w:szCs w:val="22"/>
          <w:lang w:val="en-GB" w:eastAsia="en-GB"/>
        </w:rPr>
        <w:t xml:space="preserve"> (</w:t>
      </w:r>
      <w:r w:rsidRPr="002976C1">
        <w:rPr>
          <w:color w:val="000000" w:themeColor="text1"/>
          <w:sz w:val="22"/>
          <w:szCs w:val="22"/>
          <w:lang w:val="en-GB" w:eastAsia="en-GB"/>
        </w:rPr>
        <w:t>μ=(E</w:t>
      </w:r>
      <w:r w:rsidRPr="002976C1">
        <w:rPr>
          <w:color w:val="000000" w:themeColor="text1"/>
          <w:sz w:val="22"/>
          <w:szCs w:val="22"/>
          <w:vertAlign w:val="subscript"/>
          <w:lang w:val="en-GB" w:eastAsia="en-GB"/>
        </w:rPr>
        <w:t>HOMO</w:t>
      </w:r>
      <w:r w:rsidRPr="002976C1">
        <w:rPr>
          <w:color w:val="000000" w:themeColor="text1"/>
          <w:sz w:val="22"/>
          <w:szCs w:val="22"/>
          <w:lang w:val="en-GB" w:eastAsia="en-GB"/>
        </w:rPr>
        <w:t>+E</w:t>
      </w:r>
      <w:r w:rsidRPr="002976C1">
        <w:rPr>
          <w:color w:val="000000" w:themeColor="text1"/>
          <w:sz w:val="22"/>
          <w:szCs w:val="22"/>
          <w:vertAlign w:val="subscript"/>
          <w:lang w:val="en-GB" w:eastAsia="en-GB"/>
        </w:rPr>
        <w:t>LUMO</w:t>
      </w:r>
      <w:r w:rsidRPr="002976C1">
        <w:rPr>
          <w:color w:val="000000" w:themeColor="text1"/>
          <w:sz w:val="22"/>
          <w:szCs w:val="22"/>
          <w:lang w:val="en-GB" w:eastAsia="en-GB"/>
        </w:rPr>
        <w:t>)/2</w:t>
      </w:r>
      <w:r w:rsidRPr="002976C1">
        <w:rPr>
          <w:color w:val="000000" w:themeColor="text1"/>
          <w:sz w:val="22"/>
          <w:szCs w:val="22"/>
          <w:lang w:val="en-GB"/>
        </w:rPr>
        <w:t xml:space="preserve">, </w:t>
      </w:r>
      <w:r w:rsidRPr="002976C1">
        <w:rPr>
          <w:color w:val="000000" w:themeColor="text1"/>
          <w:sz w:val="22"/>
          <w:szCs w:val="22"/>
          <w:lang w:val="en-GB" w:eastAsia="en-GB"/>
        </w:rPr>
        <w:t>η=(E</w:t>
      </w:r>
      <w:r w:rsidRPr="002976C1">
        <w:rPr>
          <w:color w:val="000000" w:themeColor="text1"/>
          <w:sz w:val="22"/>
          <w:szCs w:val="22"/>
          <w:vertAlign w:val="subscript"/>
          <w:lang w:val="en-GB" w:eastAsia="en-GB"/>
        </w:rPr>
        <w:t>HOMO</w:t>
      </w:r>
      <w:r w:rsidRPr="002976C1">
        <w:rPr>
          <w:color w:val="000000" w:themeColor="text1"/>
          <w:sz w:val="22"/>
          <w:szCs w:val="22"/>
          <w:lang w:val="en-GB" w:eastAsia="en-GB"/>
        </w:rPr>
        <w:t>-E</w:t>
      </w:r>
      <w:r w:rsidRPr="002976C1">
        <w:rPr>
          <w:color w:val="000000" w:themeColor="text1"/>
          <w:sz w:val="22"/>
          <w:szCs w:val="22"/>
          <w:vertAlign w:val="subscript"/>
          <w:lang w:val="en-GB" w:eastAsia="en-GB"/>
        </w:rPr>
        <w:t>LUMO</w:t>
      </w:r>
      <w:r w:rsidRPr="002976C1">
        <w:rPr>
          <w:color w:val="000000" w:themeColor="text1"/>
          <w:sz w:val="22"/>
          <w:szCs w:val="22"/>
          <w:lang w:val="en-GB" w:eastAsia="en-GB"/>
        </w:rPr>
        <w:t xml:space="preserve">)/2, S=1/η </w:t>
      </w:r>
      <w:r w:rsidRPr="002976C1">
        <w:rPr>
          <w:color w:val="000000" w:themeColor="text1"/>
          <w:sz w:val="22"/>
          <w:szCs w:val="22"/>
          <w:lang w:val="en-GB"/>
        </w:rPr>
        <w:t xml:space="preserve">and </w:t>
      </w:r>
      <w:r w:rsidRPr="002976C1">
        <w:rPr>
          <w:rFonts w:ascii="Symbol" w:hAnsi="Symbol"/>
          <w:color w:val="000000" w:themeColor="text1"/>
          <w:sz w:val="22"/>
          <w:szCs w:val="22"/>
          <w:lang w:val="en-GB" w:eastAsia="en-GB"/>
        </w:rPr>
        <w:t></w:t>
      </w:r>
      <w:r w:rsidRPr="002976C1">
        <w:rPr>
          <w:color w:val="000000" w:themeColor="text1"/>
          <w:sz w:val="22"/>
          <w:szCs w:val="22"/>
          <w:lang w:val="en-GB" w:eastAsia="en-GB"/>
        </w:rPr>
        <w:t>= μ</w:t>
      </w:r>
      <w:r w:rsidRPr="002976C1">
        <w:rPr>
          <w:color w:val="000000" w:themeColor="text1"/>
          <w:sz w:val="22"/>
          <w:szCs w:val="22"/>
          <w:vertAlign w:val="superscript"/>
          <w:lang w:val="en-GB" w:eastAsia="en-GB"/>
        </w:rPr>
        <w:t>2</w:t>
      </w:r>
      <w:r w:rsidRPr="002976C1">
        <w:rPr>
          <w:color w:val="000000" w:themeColor="text1"/>
          <w:sz w:val="22"/>
          <w:szCs w:val="22"/>
          <w:lang w:val="en-GB" w:eastAsia="en-GB"/>
        </w:rPr>
        <w:t>/2η</w:t>
      </w:r>
      <w:r w:rsidR="00C50DB4" w:rsidRPr="002976C1">
        <w:rPr>
          <w:color w:val="000000" w:themeColor="text1"/>
          <w:sz w:val="22"/>
          <w:szCs w:val="22"/>
          <w:lang w:val="en-GB" w:eastAsia="en-GB"/>
        </w:rPr>
        <w:t>)</w:t>
      </w:r>
      <w:r w:rsidR="002976C1" w:rsidRPr="002976C1">
        <w:rPr>
          <w:color w:val="000000" w:themeColor="text1"/>
          <w:sz w:val="22"/>
          <w:szCs w:val="22"/>
          <w:lang w:val="en-GB"/>
        </w:rPr>
        <w:t>.</w:t>
      </w:r>
    </w:p>
    <w:p w14:paraId="7D72A075" w14:textId="69C3F249" w:rsidR="0070719A" w:rsidRDefault="00774F53" w:rsidP="0070719A">
      <w:pPr>
        <w:tabs>
          <w:tab w:val="left" w:pos="426"/>
        </w:tabs>
        <w:autoSpaceDE w:val="0"/>
        <w:autoSpaceDN w:val="0"/>
        <w:adjustRightInd w:val="0"/>
        <w:spacing w:before="120" w:after="120" w:line="276" w:lineRule="auto"/>
        <w:jc w:val="both"/>
        <w:rPr>
          <w:color w:val="000000" w:themeColor="text1"/>
          <w:sz w:val="22"/>
          <w:szCs w:val="22"/>
          <w:lang w:val="en-GB"/>
        </w:rPr>
      </w:pPr>
      <w:r w:rsidRPr="002976C1">
        <w:rPr>
          <w:color w:val="000000" w:themeColor="text1"/>
          <w:sz w:val="22"/>
          <w:szCs w:val="22"/>
          <w:lang w:val="en-GB"/>
        </w:rPr>
        <w:t>As seen,</w:t>
      </w:r>
      <w:r w:rsidR="003B537A">
        <w:rPr>
          <w:color w:val="000000" w:themeColor="text1"/>
          <w:sz w:val="22"/>
          <w:szCs w:val="22"/>
          <w:lang w:val="en-GB"/>
        </w:rPr>
        <w:t xml:space="preserve"> a</w:t>
      </w:r>
      <w:r w:rsidR="003B537A" w:rsidRPr="003B537A">
        <w:rPr>
          <w:color w:val="000000" w:themeColor="text1"/>
          <w:sz w:val="22"/>
          <w:szCs w:val="22"/>
          <w:lang w:val="en-GB"/>
        </w:rPr>
        <w:t>lthough IP is 6.10</w:t>
      </w:r>
      <w:r w:rsidR="003B537A">
        <w:rPr>
          <w:color w:val="000000" w:themeColor="text1"/>
          <w:sz w:val="22"/>
          <w:szCs w:val="22"/>
          <w:lang w:val="en-GB"/>
        </w:rPr>
        <w:t xml:space="preserve"> </w:t>
      </w:r>
      <w:proofErr w:type="spellStart"/>
      <w:r w:rsidR="003B537A" w:rsidRPr="003B537A">
        <w:rPr>
          <w:color w:val="000000" w:themeColor="text1"/>
          <w:sz w:val="22"/>
          <w:szCs w:val="22"/>
          <w:lang w:val="en-GB"/>
        </w:rPr>
        <w:t>ev</w:t>
      </w:r>
      <w:proofErr w:type="spellEnd"/>
      <w:r w:rsidR="003B537A" w:rsidRPr="003B537A">
        <w:rPr>
          <w:color w:val="000000" w:themeColor="text1"/>
          <w:sz w:val="22"/>
          <w:szCs w:val="22"/>
          <w:lang w:val="en-GB"/>
        </w:rPr>
        <w:t xml:space="preserve">, </w:t>
      </w:r>
      <w:r w:rsidR="003B537A" w:rsidRPr="002976C1">
        <w:rPr>
          <w:color w:val="000000" w:themeColor="text1"/>
          <w:sz w:val="22"/>
          <w:szCs w:val="22"/>
          <w:lang w:val="en-GB"/>
        </w:rPr>
        <w:t>softness</w:t>
      </w:r>
      <w:r w:rsidR="003B537A" w:rsidRPr="003B537A">
        <w:rPr>
          <w:color w:val="000000" w:themeColor="text1"/>
          <w:sz w:val="22"/>
          <w:szCs w:val="22"/>
          <w:lang w:val="en-GB"/>
        </w:rPr>
        <w:t xml:space="preserve"> is 0.22</w:t>
      </w:r>
      <w:r w:rsidR="003B537A">
        <w:rPr>
          <w:color w:val="000000" w:themeColor="text1"/>
          <w:sz w:val="22"/>
          <w:szCs w:val="22"/>
          <w:lang w:val="en-GB"/>
        </w:rPr>
        <w:t xml:space="preserve"> </w:t>
      </w:r>
      <w:r w:rsidR="003B537A" w:rsidRPr="003B537A">
        <w:rPr>
          <w:color w:val="000000" w:themeColor="text1"/>
          <w:sz w:val="22"/>
          <w:szCs w:val="22"/>
          <w:lang w:val="en-GB"/>
        </w:rPr>
        <w:t>ev</w:t>
      </w:r>
      <w:r w:rsidR="003B537A" w:rsidRPr="003B537A">
        <w:rPr>
          <w:color w:val="000000" w:themeColor="text1"/>
          <w:sz w:val="22"/>
          <w:szCs w:val="22"/>
          <w:vertAlign w:val="superscript"/>
          <w:lang w:val="en-GB"/>
        </w:rPr>
        <w:t>-1</w:t>
      </w:r>
      <w:r w:rsidR="003B537A">
        <w:rPr>
          <w:color w:val="000000" w:themeColor="text1"/>
          <w:sz w:val="22"/>
          <w:szCs w:val="22"/>
          <w:lang w:val="en-GB"/>
        </w:rPr>
        <w:t>,</w:t>
      </w:r>
      <w:r w:rsidR="003B537A" w:rsidRPr="003B537A">
        <w:rPr>
          <w:color w:val="000000" w:themeColor="text1"/>
          <w:sz w:val="22"/>
          <w:szCs w:val="22"/>
          <w:lang w:val="en-GB"/>
        </w:rPr>
        <w:t xml:space="preserve"> ΔE</w:t>
      </w:r>
      <w:r w:rsidR="003B537A" w:rsidRPr="003B537A">
        <w:rPr>
          <w:color w:val="000000" w:themeColor="text1"/>
          <w:sz w:val="22"/>
          <w:szCs w:val="22"/>
          <w:vertAlign w:val="subscript"/>
          <w:lang w:val="en-GB"/>
        </w:rPr>
        <w:t>HOMO-LUMO</w:t>
      </w:r>
      <w:r w:rsidR="003B537A" w:rsidRPr="003B537A">
        <w:rPr>
          <w:color w:val="000000" w:themeColor="text1"/>
          <w:sz w:val="22"/>
          <w:szCs w:val="22"/>
          <w:lang w:val="en-GB"/>
        </w:rPr>
        <w:t xml:space="preserve"> was calculated as -4.52eV</w:t>
      </w:r>
      <w:r w:rsidR="003B537A">
        <w:rPr>
          <w:color w:val="000000" w:themeColor="text1"/>
          <w:sz w:val="22"/>
          <w:szCs w:val="22"/>
          <w:lang w:val="en-GB"/>
        </w:rPr>
        <w:t>.</w:t>
      </w:r>
    </w:p>
    <w:p w14:paraId="1D32CC0A" w14:textId="77777777" w:rsidR="003A71D3" w:rsidRPr="002976C1" w:rsidRDefault="003A71D3" w:rsidP="0070719A">
      <w:pPr>
        <w:tabs>
          <w:tab w:val="left" w:pos="426"/>
        </w:tabs>
        <w:autoSpaceDE w:val="0"/>
        <w:autoSpaceDN w:val="0"/>
        <w:adjustRightInd w:val="0"/>
        <w:spacing w:before="120" w:after="120" w:line="276" w:lineRule="auto"/>
        <w:jc w:val="both"/>
        <w:rPr>
          <w:color w:val="000000" w:themeColor="text1"/>
          <w:sz w:val="22"/>
          <w:szCs w:val="22"/>
          <w:lang w:val="en-GB"/>
        </w:rPr>
      </w:pPr>
    </w:p>
    <w:p w14:paraId="2E476A25" w14:textId="239299F9" w:rsidR="0070719A" w:rsidRPr="0070719A" w:rsidRDefault="00BA1754" w:rsidP="0070719A">
      <w:pPr>
        <w:tabs>
          <w:tab w:val="left" w:pos="426"/>
        </w:tabs>
        <w:autoSpaceDE w:val="0"/>
        <w:autoSpaceDN w:val="0"/>
        <w:adjustRightInd w:val="0"/>
        <w:spacing w:before="120" w:after="120" w:line="276" w:lineRule="auto"/>
        <w:jc w:val="both"/>
        <w:rPr>
          <w:b/>
          <w:color w:val="000000" w:themeColor="text1"/>
          <w:sz w:val="22"/>
          <w:szCs w:val="22"/>
          <w:lang w:val="en-GB"/>
        </w:rPr>
      </w:pPr>
      <w:r>
        <w:rPr>
          <w:b/>
          <w:sz w:val="20"/>
          <w:szCs w:val="20"/>
          <w:lang w:val="en-GB"/>
        </w:rPr>
        <w:t>Table 2</w:t>
      </w:r>
      <w:r w:rsidR="0070719A" w:rsidRPr="00D53726">
        <w:rPr>
          <w:b/>
          <w:sz w:val="20"/>
          <w:szCs w:val="20"/>
          <w:lang w:val="en-GB"/>
        </w:rPr>
        <w:t>.</w:t>
      </w:r>
      <w:r w:rsidR="0070719A" w:rsidRPr="00D53726">
        <w:rPr>
          <w:sz w:val="20"/>
          <w:szCs w:val="20"/>
          <w:lang w:val="en-GB"/>
        </w:rPr>
        <w:t xml:space="preserve"> Calculated</w:t>
      </w:r>
      <w:r w:rsidR="0070719A">
        <w:rPr>
          <w:sz w:val="20"/>
          <w:szCs w:val="20"/>
          <w:lang w:val="en-GB"/>
        </w:rPr>
        <w:t xml:space="preserve"> molecular orbital </w:t>
      </w:r>
      <w:proofErr w:type="spellStart"/>
      <w:r w:rsidR="0070719A">
        <w:rPr>
          <w:sz w:val="20"/>
          <w:szCs w:val="20"/>
          <w:lang w:val="en-GB"/>
        </w:rPr>
        <w:t>discriptors</w:t>
      </w:r>
      <w:proofErr w:type="spellEnd"/>
      <w:r w:rsidR="0070719A">
        <w:rPr>
          <w:sz w:val="20"/>
          <w:szCs w:val="20"/>
          <w:lang w:val="en-GB"/>
        </w:rPr>
        <w:t xml:space="preserve"> of the compound.</w:t>
      </w:r>
    </w:p>
    <w:tbl>
      <w:tblPr>
        <w:tblW w:w="4070" w:type="dxa"/>
        <w:tblLook w:val="04A0" w:firstRow="1" w:lastRow="0" w:firstColumn="1" w:lastColumn="0" w:noHBand="0" w:noVBand="1"/>
      </w:tblPr>
      <w:tblGrid>
        <w:gridCol w:w="3062"/>
        <w:gridCol w:w="1008"/>
      </w:tblGrid>
      <w:tr w:rsidR="00C3483C" w:rsidRPr="00D53726" w14:paraId="1BAB836D" w14:textId="77777777" w:rsidTr="007E0C81">
        <w:trPr>
          <w:trHeight w:val="306"/>
        </w:trPr>
        <w:tc>
          <w:tcPr>
            <w:tcW w:w="3062" w:type="dxa"/>
            <w:tcBorders>
              <w:top w:val="single" w:sz="4" w:space="0" w:color="auto"/>
              <w:left w:val="nil"/>
              <w:bottom w:val="single" w:sz="4" w:space="0" w:color="auto"/>
              <w:right w:val="nil"/>
            </w:tcBorders>
            <w:shd w:val="clear" w:color="auto" w:fill="auto"/>
            <w:noWrap/>
            <w:vAlign w:val="center"/>
            <w:hideMark/>
          </w:tcPr>
          <w:p w14:paraId="788E119D" w14:textId="77777777" w:rsidR="00C3483C" w:rsidRPr="00D53726" w:rsidRDefault="00C3483C" w:rsidP="00C3483C">
            <w:pPr>
              <w:rPr>
                <w:b/>
                <w:bCs/>
                <w:color w:val="000000"/>
                <w:sz w:val="22"/>
                <w:szCs w:val="22"/>
                <w:lang w:val="en-GB" w:eastAsia="en-GB"/>
              </w:rPr>
            </w:pPr>
            <w:r w:rsidRPr="00D53726">
              <w:rPr>
                <w:b/>
                <w:bCs/>
                <w:color w:val="000000"/>
                <w:sz w:val="22"/>
                <w:szCs w:val="22"/>
                <w:lang w:val="en-GB" w:eastAsia="en-GB"/>
              </w:rPr>
              <w:t>Molecular Properties (eV)</w:t>
            </w:r>
          </w:p>
        </w:tc>
        <w:tc>
          <w:tcPr>
            <w:tcW w:w="1008" w:type="dxa"/>
            <w:tcBorders>
              <w:top w:val="single" w:sz="4" w:space="0" w:color="auto"/>
              <w:left w:val="nil"/>
              <w:bottom w:val="single" w:sz="4" w:space="0" w:color="auto"/>
              <w:right w:val="nil"/>
            </w:tcBorders>
            <w:shd w:val="clear" w:color="auto" w:fill="auto"/>
            <w:noWrap/>
            <w:vAlign w:val="bottom"/>
            <w:hideMark/>
          </w:tcPr>
          <w:p w14:paraId="7D46AEC4" w14:textId="77777777" w:rsidR="00C3483C" w:rsidRPr="00D53726" w:rsidRDefault="00C3483C" w:rsidP="00C3483C">
            <w:pPr>
              <w:jc w:val="right"/>
              <w:rPr>
                <w:b/>
                <w:bCs/>
                <w:color w:val="000000"/>
                <w:sz w:val="22"/>
                <w:szCs w:val="22"/>
                <w:lang w:val="en-GB" w:eastAsia="en-GB"/>
              </w:rPr>
            </w:pPr>
            <w:r w:rsidRPr="00D53726">
              <w:rPr>
                <w:b/>
                <w:bCs/>
                <w:color w:val="000000"/>
                <w:sz w:val="22"/>
                <w:szCs w:val="22"/>
                <w:lang w:val="en-GB" w:eastAsia="en-GB"/>
              </w:rPr>
              <w:t>Ligand</w:t>
            </w:r>
          </w:p>
        </w:tc>
      </w:tr>
      <w:tr w:rsidR="00C3483C" w:rsidRPr="00D53726" w14:paraId="48B39FDC" w14:textId="77777777" w:rsidTr="007E0C81">
        <w:trPr>
          <w:trHeight w:val="337"/>
        </w:trPr>
        <w:tc>
          <w:tcPr>
            <w:tcW w:w="3062" w:type="dxa"/>
            <w:tcBorders>
              <w:top w:val="nil"/>
              <w:left w:val="nil"/>
              <w:bottom w:val="nil"/>
              <w:right w:val="nil"/>
            </w:tcBorders>
            <w:shd w:val="clear" w:color="auto" w:fill="auto"/>
            <w:noWrap/>
            <w:vAlign w:val="center"/>
            <w:hideMark/>
          </w:tcPr>
          <w:p w14:paraId="1DDDA792" w14:textId="77777777" w:rsidR="00C3483C" w:rsidRPr="00D53726" w:rsidRDefault="00C3483C" w:rsidP="00C3483C">
            <w:pPr>
              <w:rPr>
                <w:sz w:val="22"/>
                <w:szCs w:val="22"/>
                <w:lang w:val="en-GB" w:eastAsia="en-GB"/>
              </w:rPr>
            </w:pPr>
            <w:r w:rsidRPr="00D53726">
              <w:rPr>
                <w:sz w:val="22"/>
                <w:szCs w:val="22"/>
                <w:lang w:val="en-GB" w:eastAsia="en-GB"/>
              </w:rPr>
              <w:t>E</w:t>
            </w:r>
            <w:r w:rsidRPr="00D53726">
              <w:rPr>
                <w:sz w:val="22"/>
                <w:szCs w:val="22"/>
                <w:vertAlign w:val="subscript"/>
                <w:lang w:val="en-GB" w:eastAsia="en-GB"/>
              </w:rPr>
              <w:t>LUMO</w:t>
            </w:r>
          </w:p>
        </w:tc>
        <w:tc>
          <w:tcPr>
            <w:tcW w:w="1008" w:type="dxa"/>
            <w:tcBorders>
              <w:top w:val="nil"/>
              <w:left w:val="nil"/>
              <w:bottom w:val="nil"/>
              <w:right w:val="nil"/>
            </w:tcBorders>
            <w:shd w:val="clear" w:color="auto" w:fill="auto"/>
            <w:noWrap/>
            <w:vAlign w:val="bottom"/>
            <w:hideMark/>
          </w:tcPr>
          <w:p w14:paraId="5B723DA4"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-1.58</w:t>
            </w:r>
          </w:p>
        </w:tc>
      </w:tr>
      <w:tr w:rsidR="00C3483C" w:rsidRPr="00D53726" w14:paraId="2CF33D3D" w14:textId="77777777" w:rsidTr="007E0C81">
        <w:trPr>
          <w:trHeight w:val="337"/>
        </w:trPr>
        <w:tc>
          <w:tcPr>
            <w:tcW w:w="3062" w:type="dxa"/>
            <w:tcBorders>
              <w:top w:val="nil"/>
              <w:left w:val="nil"/>
              <w:bottom w:val="nil"/>
              <w:right w:val="nil"/>
            </w:tcBorders>
            <w:shd w:val="clear" w:color="auto" w:fill="auto"/>
            <w:noWrap/>
            <w:vAlign w:val="center"/>
            <w:hideMark/>
          </w:tcPr>
          <w:p w14:paraId="2E088840" w14:textId="77777777" w:rsidR="00C3483C" w:rsidRPr="00D53726" w:rsidRDefault="00C3483C" w:rsidP="00C3483C">
            <w:pPr>
              <w:rPr>
                <w:sz w:val="22"/>
                <w:szCs w:val="22"/>
                <w:lang w:val="en-GB" w:eastAsia="en-GB"/>
              </w:rPr>
            </w:pPr>
            <w:r w:rsidRPr="00D53726">
              <w:rPr>
                <w:sz w:val="22"/>
                <w:szCs w:val="22"/>
                <w:lang w:val="en-GB" w:eastAsia="en-GB"/>
              </w:rPr>
              <w:t>E</w:t>
            </w:r>
            <w:r w:rsidRPr="00D53726">
              <w:rPr>
                <w:sz w:val="22"/>
                <w:szCs w:val="22"/>
                <w:vertAlign w:val="subscript"/>
                <w:lang w:val="en-GB" w:eastAsia="en-GB"/>
              </w:rPr>
              <w:t>HOMO</w:t>
            </w:r>
          </w:p>
        </w:tc>
        <w:tc>
          <w:tcPr>
            <w:tcW w:w="1008" w:type="dxa"/>
            <w:tcBorders>
              <w:top w:val="nil"/>
              <w:left w:val="nil"/>
              <w:bottom w:val="nil"/>
              <w:right w:val="nil"/>
            </w:tcBorders>
            <w:shd w:val="clear" w:color="auto" w:fill="auto"/>
            <w:noWrap/>
            <w:vAlign w:val="bottom"/>
            <w:hideMark/>
          </w:tcPr>
          <w:p w14:paraId="185FC41D"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-6.10</w:t>
            </w:r>
          </w:p>
        </w:tc>
      </w:tr>
      <w:tr w:rsidR="00C3483C" w:rsidRPr="00D53726" w14:paraId="2D613C28" w14:textId="77777777" w:rsidTr="007E0C81">
        <w:trPr>
          <w:trHeight w:val="337"/>
        </w:trPr>
        <w:tc>
          <w:tcPr>
            <w:tcW w:w="3062" w:type="dxa"/>
            <w:tcBorders>
              <w:top w:val="nil"/>
              <w:left w:val="nil"/>
              <w:bottom w:val="nil"/>
              <w:right w:val="nil"/>
            </w:tcBorders>
            <w:shd w:val="clear" w:color="auto" w:fill="auto"/>
            <w:noWrap/>
            <w:vAlign w:val="center"/>
            <w:hideMark/>
          </w:tcPr>
          <w:p w14:paraId="0A81298D" w14:textId="77777777" w:rsidR="00C3483C" w:rsidRPr="00D53726" w:rsidRDefault="00C3483C" w:rsidP="00C3483C">
            <w:pPr>
              <w:rPr>
                <w:sz w:val="22"/>
                <w:szCs w:val="22"/>
                <w:lang w:val="en-GB" w:eastAsia="en-GB"/>
              </w:rPr>
            </w:pPr>
            <w:r w:rsidRPr="00D53726">
              <w:rPr>
                <w:sz w:val="22"/>
                <w:szCs w:val="22"/>
                <w:lang w:val="en-GB" w:eastAsia="en-GB"/>
              </w:rPr>
              <w:t>ΔE</w:t>
            </w:r>
            <w:r w:rsidRPr="00D53726">
              <w:rPr>
                <w:sz w:val="22"/>
                <w:szCs w:val="22"/>
                <w:vertAlign w:val="subscript"/>
                <w:lang w:val="en-GB" w:eastAsia="en-GB"/>
              </w:rPr>
              <w:t>HOMO-LUMO</w:t>
            </w:r>
          </w:p>
        </w:tc>
        <w:tc>
          <w:tcPr>
            <w:tcW w:w="1008" w:type="dxa"/>
            <w:tcBorders>
              <w:top w:val="nil"/>
              <w:left w:val="nil"/>
              <w:bottom w:val="nil"/>
              <w:right w:val="nil"/>
            </w:tcBorders>
            <w:shd w:val="clear" w:color="auto" w:fill="auto"/>
            <w:noWrap/>
            <w:vAlign w:val="bottom"/>
            <w:hideMark/>
          </w:tcPr>
          <w:p w14:paraId="1823B847"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-4.52</w:t>
            </w:r>
          </w:p>
        </w:tc>
      </w:tr>
      <w:tr w:rsidR="00C3483C" w:rsidRPr="00D53726" w14:paraId="0F25F2D4" w14:textId="77777777" w:rsidTr="007E0C81">
        <w:trPr>
          <w:trHeight w:val="306"/>
        </w:trPr>
        <w:tc>
          <w:tcPr>
            <w:tcW w:w="3062" w:type="dxa"/>
            <w:tcBorders>
              <w:top w:val="nil"/>
              <w:left w:val="nil"/>
              <w:bottom w:val="nil"/>
              <w:right w:val="nil"/>
            </w:tcBorders>
            <w:shd w:val="clear" w:color="auto" w:fill="auto"/>
            <w:noWrap/>
            <w:vAlign w:val="center"/>
            <w:hideMark/>
          </w:tcPr>
          <w:p w14:paraId="064DA57F" w14:textId="77777777" w:rsidR="00C3483C" w:rsidRPr="00D53726" w:rsidRDefault="00C3483C" w:rsidP="00C3483C">
            <w:pPr>
              <w:rPr>
                <w:color w:val="000000"/>
                <w:sz w:val="22"/>
                <w:szCs w:val="22"/>
                <w:lang w:val="en-GB" w:eastAsia="en-GB"/>
              </w:rPr>
            </w:pPr>
            <w:r w:rsidRPr="00D53726">
              <w:rPr>
                <w:color w:val="000000"/>
                <w:sz w:val="22"/>
                <w:szCs w:val="22"/>
                <w:lang w:val="en-GB" w:eastAsia="en-GB"/>
              </w:rPr>
              <w:t>Ionisation Potential (IP)</w:t>
            </w:r>
          </w:p>
        </w:tc>
        <w:tc>
          <w:tcPr>
            <w:tcW w:w="1008" w:type="dxa"/>
            <w:tcBorders>
              <w:top w:val="nil"/>
              <w:left w:val="nil"/>
              <w:bottom w:val="nil"/>
              <w:right w:val="nil"/>
            </w:tcBorders>
            <w:shd w:val="clear" w:color="auto" w:fill="auto"/>
            <w:noWrap/>
            <w:vAlign w:val="bottom"/>
            <w:hideMark/>
          </w:tcPr>
          <w:p w14:paraId="6BD2C03E"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6.10</w:t>
            </w:r>
          </w:p>
        </w:tc>
      </w:tr>
      <w:tr w:rsidR="00C3483C" w:rsidRPr="00D53726" w14:paraId="4D82D08D" w14:textId="77777777" w:rsidTr="007E0C81">
        <w:trPr>
          <w:trHeight w:val="306"/>
        </w:trPr>
        <w:tc>
          <w:tcPr>
            <w:tcW w:w="3062" w:type="dxa"/>
            <w:tcBorders>
              <w:top w:val="nil"/>
              <w:left w:val="nil"/>
              <w:bottom w:val="nil"/>
              <w:right w:val="nil"/>
            </w:tcBorders>
            <w:shd w:val="clear" w:color="auto" w:fill="auto"/>
            <w:noWrap/>
            <w:vAlign w:val="center"/>
            <w:hideMark/>
          </w:tcPr>
          <w:p w14:paraId="3DE15C7F" w14:textId="77777777" w:rsidR="00C3483C" w:rsidRPr="00D53726" w:rsidRDefault="00C3483C" w:rsidP="00C3483C">
            <w:pPr>
              <w:rPr>
                <w:color w:val="000000"/>
                <w:sz w:val="22"/>
                <w:szCs w:val="22"/>
                <w:lang w:val="en-GB" w:eastAsia="en-GB"/>
              </w:rPr>
            </w:pPr>
            <w:r w:rsidRPr="00D53726">
              <w:rPr>
                <w:color w:val="000000"/>
                <w:sz w:val="22"/>
                <w:szCs w:val="22"/>
                <w:lang w:val="en-GB" w:eastAsia="en-GB"/>
              </w:rPr>
              <w:t>Electron Affinity (EA)</w:t>
            </w:r>
          </w:p>
        </w:tc>
        <w:tc>
          <w:tcPr>
            <w:tcW w:w="1008" w:type="dxa"/>
            <w:tcBorders>
              <w:top w:val="nil"/>
              <w:left w:val="nil"/>
              <w:bottom w:val="nil"/>
              <w:right w:val="nil"/>
            </w:tcBorders>
            <w:shd w:val="clear" w:color="auto" w:fill="auto"/>
            <w:noWrap/>
            <w:vAlign w:val="bottom"/>
            <w:hideMark/>
          </w:tcPr>
          <w:p w14:paraId="09A657CC"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1.58</w:t>
            </w:r>
          </w:p>
        </w:tc>
      </w:tr>
      <w:tr w:rsidR="00C3483C" w:rsidRPr="00D53726" w14:paraId="7B07C322" w14:textId="77777777" w:rsidTr="007E0C81">
        <w:trPr>
          <w:trHeight w:val="306"/>
        </w:trPr>
        <w:tc>
          <w:tcPr>
            <w:tcW w:w="3062" w:type="dxa"/>
            <w:tcBorders>
              <w:top w:val="nil"/>
              <w:left w:val="nil"/>
              <w:bottom w:val="nil"/>
              <w:right w:val="nil"/>
            </w:tcBorders>
            <w:shd w:val="clear" w:color="auto" w:fill="auto"/>
            <w:noWrap/>
            <w:vAlign w:val="center"/>
            <w:hideMark/>
          </w:tcPr>
          <w:p w14:paraId="2E8787D7" w14:textId="77777777" w:rsidR="00C3483C" w:rsidRPr="00D53726" w:rsidRDefault="00C3483C" w:rsidP="00C3483C">
            <w:pPr>
              <w:rPr>
                <w:color w:val="000000"/>
                <w:sz w:val="22"/>
                <w:szCs w:val="22"/>
                <w:lang w:val="en-GB" w:eastAsia="en-GB"/>
              </w:rPr>
            </w:pPr>
            <w:r w:rsidRPr="00D53726">
              <w:rPr>
                <w:color w:val="000000"/>
                <w:sz w:val="22"/>
                <w:szCs w:val="22"/>
                <w:lang w:val="en-GB" w:eastAsia="en-GB"/>
              </w:rPr>
              <w:t>Chemical Hardness (η)</w:t>
            </w:r>
          </w:p>
        </w:tc>
        <w:tc>
          <w:tcPr>
            <w:tcW w:w="1008" w:type="dxa"/>
            <w:tcBorders>
              <w:top w:val="nil"/>
              <w:left w:val="nil"/>
              <w:bottom w:val="nil"/>
              <w:right w:val="nil"/>
            </w:tcBorders>
            <w:shd w:val="clear" w:color="auto" w:fill="auto"/>
            <w:noWrap/>
            <w:vAlign w:val="bottom"/>
            <w:hideMark/>
          </w:tcPr>
          <w:p w14:paraId="20731C0C"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2.26</w:t>
            </w:r>
          </w:p>
        </w:tc>
      </w:tr>
      <w:tr w:rsidR="00C3483C" w:rsidRPr="00D53726" w14:paraId="66AD15C9" w14:textId="77777777" w:rsidTr="007E0C81">
        <w:trPr>
          <w:trHeight w:val="306"/>
        </w:trPr>
        <w:tc>
          <w:tcPr>
            <w:tcW w:w="3062" w:type="dxa"/>
            <w:tcBorders>
              <w:top w:val="nil"/>
              <w:left w:val="nil"/>
              <w:bottom w:val="nil"/>
              <w:right w:val="nil"/>
            </w:tcBorders>
            <w:shd w:val="clear" w:color="auto" w:fill="auto"/>
            <w:noWrap/>
            <w:vAlign w:val="center"/>
            <w:hideMark/>
          </w:tcPr>
          <w:p w14:paraId="73D5FA31" w14:textId="77777777" w:rsidR="00C3483C" w:rsidRPr="00D53726" w:rsidRDefault="00C3483C" w:rsidP="00C3483C">
            <w:pPr>
              <w:rPr>
                <w:color w:val="000000"/>
                <w:sz w:val="22"/>
                <w:szCs w:val="22"/>
                <w:lang w:val="en-GB" w:eastAsia="en-GB"/>
              </w:rPr>
            </w:pPr>
            <w:r w:rsidRPr="00D53726">
              <w:rPr>
                <w:color w:val="000000"/>
                <w:sz w:val="22"/>
                <w:szCs w:val="22"/>
                <w:lang w:val="en-GB" w:eastAsia="en-GB"/>
              </w:rPr>
              <w:t>Electronegativity (χ)</w:t>
            </w:r>
          </w:p>
        </w:tc>
        <w:tc>
          <w:tcPr>
            <w:tcW w:w="1008" w:type="dxa"/>
            <w:tcBorders>
              <w:top w:val="nil"/>
              <w:left w:val="nil"/>
              <w:bottom w:val="nil"/>
              <w:right w:val="nil"/>
            </w:tcBorders>
            <w:shd w:val="clear" w:color="auto" w:fill="auto"/>
            <w:noWrap/>
            <w:vAlign w:val="bottom"/>
            <w:hideMark/>
          </w:tcPr>
          <w:p w14:paraId="72EC19F7"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3.84</w:t>
            </w:r>
          </w:p>
        </w:tc>
      </w:tr>
      <w:tr w:rsidR="00C3483C" w:rsidRPr="00D53726" w14:paraId="37C7B1A5" w14:textId="77777777" w:rsidTr="007E0C81">
        <w:trPr>
          <w:trHeight w:val="306"/>
        </w:trPr>
        <w:tc>
          <w:tcPr>
            <w:tcW w:w="3062" w:type="dxa"/>
            <w:tcBorders>
              <w:top w:val="nil"/>
              <w:left w:val="nil"/>
              <w:bottom w:val="nil"/>
              <w:right w:val="nil"/>
            </w:tcBorders>
            <w:shd w:val="clear" w:color="auto" w:fill="auto"/>
            <w:noWrap/>
            <w:vAlign w:val="center"/>
            <w:hideMark/>
          </w:tcPr>
          <w:p w14:paraId="1929A001" w14:textId="77777777" w:rsidR="00C3483C" w:rsidRPr="00D53726" w:rsidRDefault="00C3483C" w:rsidP="00C3483C">
            <w:pPr>
              <w:rPr>
                <w:color w:val="000000"/>
                <w:sz w:val="22"/>
                <w:szCs w:val="22"/>
                <w:lang w:val="en-GB" w:eastAsia="en-GB"/>
              </w:rPr>
            </w:pPr>
            <w:r w:rsidRPr="00D53726">
              <w:rPr>
                <w:color w:val="000000"/>
                <w:sz w:val="22"/>
                <w:szCs w:val="22"/>
                <w:lang w:val="en-GB" w:eastAsia="en-GB"/>
              </w:rPr>
              <w:t>Chemical Potential (μ)</w:t>
            </w:r>
          </w:p>
        </w:tc>
        <w:tc>
          <w:tcPr>
            <w:tcW w:w="1008" w:type="dxa"/>
            <w:tcBorders>
              <w:top w:val="nil"/>
              <w:left w:val="nil"/>
              <w:bottom w:val="nil"/>
              <w:right w:val="nil"/>
            </w:tcBorders>
            <w:shd w:val="clear" w:color="auto" w:fill="auto"/>
            <w:noWrap/>
            <w:vAlign w:val="bottom"/>
            <w:hideMark/>
          </w:tcPr>
          <w:p w14:paraId="6CEC13FD"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-3.84</w:t>
            </w:r>
          </w:p>
        </w:tc>
      </w:tr>
      <w:tr w:rsidR="00C3483C" w:rsidRPr="00D53726" w14:paraId="446CCDE6" w14:textId="77777777" w:rsidTr="007E0C81">
        <w:trPr>
          <w:trHeight w:val="367"/>
        </w:trPr>
        <w:tc>
          <w:tcPr>
            <w:tcW w:w="3062" w:type="dxa"/>
            <w:tcBorders>
              <w:top w:val="nil"/>
              <w:left w:val="nil"/>
              <w:bottom w:val="nil"/>
              <w:right w:val="nil"/>
            </w:tcBorders>
            <w:shd w:val="clear" w:color="auto" w:fill="auto"/>
            <w:noWrap/>
            <w:vAlign w:val="center"/>
            <w:hideMark/>
          </w:tcPr>
          <w:p w14:paraId="02F6CD9A" w14:textId="77777777" w:rsidR="00C3483C" w:rsidRPr="00D53726" w:rsidRDefault="00C3483C" w:rsidP="00C3483C">
            <w:pPr>
              <w:rPr>
                <w:color w:val="000000"/>
                <w:sz w:val="22"/>
                <w:szCs w:val="22"/>
                <w:lang w:val="en-GB" w:eastAsia="en-GB"/>
              </w:rPr>
            </w:pPr>
            <w:r w:rsidRPr="00D53726">
              <w:rPr>
                <w:color w:val="000000"/>
                <w:sz w:val="22"/>
                <w:szCs w:val="22"/>
                <w:lang w:val="en-GB" w:eastAsia="en-GB"/>
              </w:rPr>
              <w:t>Softness (S) ev</w:t>
            </w:r>
            <w:r w:rsidRPr="00D53726">
              <w:rPr>
                <w:color w:val="000000"/>
                <w:sz w:val="22"/>
                <w:szCs w:val="22"/>
                <w:vertAlign w:val="superscript"/>
                <w:lang w:val="en-GB" w:eastAsia="en-GB"/>
              </w:rPr>
              <w:t>-1</w:t>
            </w:r>
          </w:p>
        </w:tc>
        <w:tc>
          <w:tcPr>
            <w:tcW w:w="1008" w:type="dxa"/>
            <w:tcBorders>
              <w:top w:val="nil"/>
              <w:left w:val="nil"/>
              <w:bottom w:val="nil"/>
              <w:right w:val="nil"/>
            </w:tcBorders>
            <w:shd w:val="clear" w:color="auto" w:fill="auto"/>
            <w:noWrap/>
            <w:vAlign w:val="bottom"/>
            <w:hideMark/>
          </w:tcPr>
          <w:p w14:paraId="513A4B6F"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0.22</w:t>
            </w:r>
          </w:p>
        </w:tc>
      </w:tr>
      <w:tr w:rsidR="00C3483C" w:rsidRPr="00D53726" w14:paraId="511B028C" w14:textId="77777777" w:rsidTr="007E0C81">
        <w:trPr>
          <w:trHeight w:val="306"/>
        </w:trPr>
        <w:tc>
          <w:tcPr>
            <w:tcW w:w="3062" w:type="dxa"/>
            <w:tcBorders>
              <w:top w:val="nil"/>
              <w:left w:val="nil"/>
              <w:bottom w:val="single" w:sz="4" w:space="0" w:color="auto"/>
              <w:right w:val="nil"/>
            </w:tcBorders>
            <w:shd w:val="clear" w:color="auto" w:fill="auto"/>
            <w:noWrap/>
            <w:vAlign w:val="center"/>
            <w:hideMark/>
          </w:tcPr>
          <w:p w14:paraId="1D23C29B" w14:textId="77777777" w:rsidR="00C3483C" w:rsidRPr="00D53726" w:rsidRDefault="00C3483C" w:rsidP="00C3483C">
            <w:pPr>
              <w:rPr>
                <w:color w:val="000000"/>
                <w:sz w:val="22"/>
                <w:szCs w:val="22"/>
                <w:lang w:val="en-GB" w:eastAsia="en-GB"/>
              </w:rPr>
            </w:pPr>
            <w:proofErr w:type="spellStart"/>
            <w:r w:rsidRPr="00D53726">
              <w:rPr>
                <w:color w:val="000000"/>
                <w:sz w:val="22"/>
                <w:szCs w:val="22"/>
                <w:lang w:val="en-GB" w:eastAsia="en-GB"/>
              </w:rPr>
              <w:t>Electrophilicity</w:t>
            </w:r>
            <w:proofErr w:type="spellEnd"/>
            <w:r w:rsidRPr="00D53726">
              <w:rPr>
                <w:color w:val="000000"/>
                <w:sz w:val="22"/>
                <w:szCs w:val="22"/>
                <w:lang w:val="en-GB" w:eastAsia="en-GB"/>
              </w:rPr>
              <w:t xml:space="preserve"> index (ω)</w:t>
            </w:r>
          </w:p>
        </w:tc>
        <w:tc>
          <w:tcPr>
            <w:tcW w:w="1008" w:type="dxa"/>
            <w:tcBorders>
              <w:top w:val="nil"/>
              <w:left w:val="nil"/>
              <w:bottom w:val="single" w:sz="4" w:space="0" w:color="auto"/>
              <w:right w:val="nil"/>
            </w:tcBorders>
            <w:shd w:val="clear" w:color="auto" w:fill="auto"/>
            <w:noWrap/>
            <w:vAlign w:val="center"/>
            <w:hideMark/>
          </w:tcPr>
          <w:p w14:paraId="7FED63CF" w14:textId="77777777" w:rsidR="00C3483C" w:rsidRPr="00D53726" w:rsidRDefault="00C3483C" w:rsidP="00C3483C">
            <w:pPr>
              <w:jc w:val="right"/>
              <w:rPr>
                <w:color w:val="000000"/>
                <w:sz w:val="22"/>
                <w:szCs w:val="22"/>
                <w:lang w:val="en-GB" w:eastAsia="en-GB"/>
              </w:rPr>
            </w:pPr>
            <w:r w:rsidRPr="00D53726">
              <w:rPr>
                <w:color w:val="000000"/>
                <w:sz w:val="22"/>
                <w:szCs w:val="22"/>
                <w:lang w:val="en-GB" w:eastAsia="en-GB"/>
              </w:rPr>
              <w:t>3.26</w:t>
            </w:r>
          </w:p>
        </w:tc>
      </w:tr>
    </w:tbl>
    <w:p w14:paraId="45E7BE9F" w14:textId="40CA563A" w:rsidR="00C3483C" w:rsidRDefault="00C3483C" w:rsidP="009F7965">
      <w:pPr>
        <w:tabs>
          <w:tab w:val="left" w:pos="426"/>
        </w:tabs>
        <w:autoSpaceDE w:val="0"/>
        <w:autoSpaceDN w:val="0"/>
        <w:adjustRightInd w:val="0"/>
        <w:spacing w:after="120" w:line="276" w:lineRule="auto"/>
        <w:jc w:val="both"/>
        <w:rPr>
          <w:color w:val="000000" w:themeColor="text1"/>
          <w:sz w:val="22"/>
          <w:szCs w:val="22"/>
          <w:lang w:val="en-GB"/>
        </w:rPr>
      </w:pPr>
    </w:p>
    <w:p w14:paraId="4CC8CB37" w14:textId="076CD6FA" w:rsidR="00731B7D" w:rsidRPr="00D53726" w:rsidRDefault="00BA1754" w:rsidP="00731B7D">
      <w:pPr>
        <w:tabs>
          <w:tab w:val="left" w:pos="426"/>
        </w:tabs>
        <w:autoSpaceDE w:val="0"/>
        <w:autoSpaceDN w:val="0"/>
        <w:adjustRightInd w:val="0"/>
        <w:spacing w:after="120" w:line="276" w:lineRule="auto"/>
        <w:jc w:val="both"/>
        <w:rPr>
          <w:bCs/>
          <w:sz w:val="20"/>
          <w:szCs w:val="20"/>
          <w:lang w:val="en-GB"/>
        </w:rPr>
      </w:pPr>
      <w:r>
        <w:rPr>
          <w:b/>
          <w:sz w:val="20"/>
          <w:szCs w:val="20"/>
          <w:lang w:val="en-GB"/>
        </w:rPr>
        <w:t>Table 3</w:t>
      </w:r>
      <w:r w:rsidR="00731B7D" w:rsidRPr="00D53726">
        <w:rPr>
          <w:b/>
          <w:sz w:val="20"/>
          <w:szCs w:val="20"/>
          <w:lang w:val="en-GB"/>
        </w:rPr>
        <w:t>.</w:t>
      </w:r>
      <w:r w:rsidR="00731B7D" w:rsidRPr="00D53726">
        <w:rPr>
          <w:sz w:val="20"/>
          <w:szCs w:val="20"/>
          <w:lang w:val="en-GB"/>
        </w:rPr>
        <w:t xml:space="preserve"> </w:t>
      </w:r>
      <w:r>
        <w:rPr>
          <w:sz w:val="20"/>
          <w:szCs w:val="20"/>
          <w:lang w:val="en-GB"/>
        </w:rPr>
        <w:t>The c</w:t>
      </w:r>
      <w:r w:rsidR="00731B7D" w:rsidRPr="00D53726">
        <w:rPr>
          <w:sz w:val="20"/>
          <w:szCs w:val="20"/>
          <w:lang w:val="en-GB"/>
        </w:rPr>
        <w:t xml:space="preserve">alculated </w:t>
      </w:r>
      <w:r w:rsidR="0070719A">
        <w:rPr>
          <w:sz w:val="20"/>
          <w:szCs w:val="20"/>
          <w:lang w:val="en-GB"/>
        </w:rPr>
        <w:t>contributions percentage</w:t>
      </w:r>
      <w:r>
        <w:rPr>
          <w:sz w:val="20"/>
          <w:szCs w:val="20"/>
          <w:lang w:val="en-GB"/>
        </w:rPr>
        <w:t xml:space="preserve"> of molecular orbitals HOMO-LUMO</w:t>
      </w:r>
      <w:r w:rsidR="0070719A">
        <w:rPr>
          <w:sz w:val="20"/>
          <w:szCs w:val="20"/>
          <w:lang w:val="en-GB"/>
        </w:rPr>
        <w:t xml:space="preserve"> </w:t>
      </w:r>
    </w:p>
    <w:tbl>
      <w:tblPr>
        <w:tblW w:w="3811" w:type="dxa"/>
        <w:tblLook w:val="04A0" w:firstRow="1" w:lastRow="0" w:firstColumn="1" w:lastColumn="0" w:noHBand="0" w:noVBand="1"/>
      </w:tblPr>
      <w:tblGrid>
        <w:gridCol w:w="960"/>
        <w:gridCol w:w="880"/>
        <w:gridCol w:w="960"/>
        <w:gridCol w:w="1011"/>
      </w:tblGrid>
      <w:tr w:rsidR="0070719A" w:rsidRPr="00D53726" w14:paraId="6809B080" w14:textId="77777777" w:rsidTr="0070719A">
        <w:trPr>
          <w:trHeight w:val="300"/>
        </w:trPr>
        <w:tc>
          <w:tcPr>
            <w:tcW w:w="960" w:type="dxa"/>
            <w:tcBorders>
              <w:top w:val="single" w:sz="4" w:space="0" w:color="auto"/>
              <w:left w:val="nil"/>
              <w:bottom w:val="single" w:sz="4" w:space="0" w:color="auto"/>
              <w:right w:val="nil"/>
            </w:tcBorders>
            <w:shd w:val="clear" w:color="auto" w:fill="auto"/>
            <w:noWrap/>
            <w:vAlign w:val="center"/>
            <w:hideMark/>
          </w:tcPr>
          <w:p w14:paraId="187979A9" w14:textId="77777777" w:rsidR="0070719A" w:rsidRPr="00DF4BA2" w:rsidRDefault="0070719A" w:rsidP="00731B7D">
            <w:pPr>
              <w:jc w:val="right"/>
              <w:rPr>
                <w:b/>
                <w:color w:val="000000"/>
                <w:sz w:val="22"/>
                <w:szCs w:val="22"/>
                <w:lang w:val="en-GB" w:eastAsia="en-GB"/>
              </w:rPr>
            </w:pPr>
            <w:r w:rsidRPr="00DF4BA2">
              <w:rPr>
                <w:b/>
                <w:color w:val="000000"/>
                <w:sz w:val="22"/>
                <w:szCs w:val="22"/>
                <w:lang w:val="en-GB" w:eastAsia="en-GB"/>
              </w:rPr>
              <w:t> </w:t>
            </w:r>
          </w:p>
        </w:tc>
        <w:tc>
          <w:tcPr>
            <w:tcW w:w="880" w:type="dxa"/>
            <w:tcBorders>
              <w:top w:val="single" w:sz="4" w:space="0" w:color="auto"/>
              <w:left w:val="nil"/>
              <w:bottom w:val="single" w:sz="4" w:space="0" w:color="auto"/>
              <w:right w:val="nil"/>
            </w:tcBorders>
            <w:shd w:val="clear" w:color="auto" w:fill="auto"/>
            <w:noWrap/>
            <w:vAlign w:val="center"/>
            <w:hideMark/>
          </w:tcPr>
          <w:p w14:paraId="4A0A742A" w14:textId="77777777" w:rsidR="0070719A" w:rsidRPr="00DF4BA2" w:rsidRDefault="0070719A" w:rsidP="00731B7D">
            <w:pPr>
              <w:jc w:val="right"/>
              <w:rPr>
                <w:b/>
                <w:color w:val="000000"/>
                <w:sz w:val="22"/>
                <w:szCs w:val="22"/>
                <w:lang w:val="en-GB" w:eastAsia="en-GB"/>
              </w:rPr>
            </w:pPr>
            <w:r w:rsidRPr="00DF4BA2">
              <w:rPr>
                <w:b/>
                <w:color w:val="000000"/>
                <w:sz w:val="22"/>
                <w:szCs w:val="22"/>
                <w:lang w:val="en-GB" w:eastAsia="en-GB"/>
              </w:rPr>
              <w:t>OH</w:t>
            </w:r>
          </w:p>
        </w:tc>
        <w:tc>
          <w:tcPr>
            <w:tcW w:w="960" w:type="dxa"/>
            <w:tcBorders>
              <w:top w:val="single" w:sz="4" w:space="0" w:color="auto"/>
              <w:left w:val="nil"/>
              <w:bottom w:val="single" w:sz="4" w:space="0" w:color="auto"/>
              <w:right w:val="nil"/>
            </w:tcBorders>
            <w:shd w:val="clear" w:color="auto" w:fill="auto"/>
            <w:noWrap/>
            <w:vAlign w:val="center"/>
            <w:hideMark/>
          </w:tcPr>
          <w:p w14:paraId="0E175E06" w14:textId="77777777" w:rsidR="0070719A" w:rsidRPr="00DF4BA2" w:rsidRDefault="0070719A" w:rsidP="00731B7D">
            <w:pPr>
              <w:jc w:val="right"/>
              <w:rPr>
                <w:b/>
                <w:color w:val="000000"/>
                <w:sz w:val="22"/>
                <w:szCs w:val="22"/>
                <w:lang w:val="en-GB" w:eastAsia="en-GB"/>
              </w:rPr>
            </w:pPr>
            <w:r w:rsidRPr="00DF4BA2">
              <w:rPr>
                <w:b/>
                <w:color w:val="000000"/>
                <w:sz w:val="22"/>
                <w:szCs w:val="22"/>
                <w:lang w:val="en-GB" w:eastAsia="en-GB"/>
              </w:rPr>
              <w:t>C=N</w:t>
            </w:r>
          </w:p>
        </w:tc>
        <w:tc>
          <w:tcPr>
            <w:tcW w:w="1011" w:type="dxa"/>
            <w:tcBorders>
              <w:top w:val="single" w:sz="4" w:space="0" w:color="auto"/>
              <w:left w:val="nil"/>
              <w:bottom w:val="single" w:sz="4" w:space="0" w:color="auto"/>
              <w:right w:val="nil"/>
            </w:tcBorders>
            <w:shd w:val="clear" w:color="auto" w:fill="auto"/>
            <w:noWrap/>
            <w:vAlign w:val="center"/>
            <w:hideMark/>
          </w:tcPr>
          <w:p w14:paraId="317EC99F" w14:textId="77777777" w:rsidR="0070719A" w:rsidRPr="00DF4BA2" w:rsidRDefault="0070719A" w:rsidP="00731B7D">
            <w:pPr>
              <w:jc w:val="right"/>
              <w:rPr>
                <w:b/>
                <w:color w:val="000000"/>
                <w:sz w:val="22"/>
                <w:szCs w:val="22"/>
                <w:lang w:val="en-GB" w:eastAsia="en-GB"/>
              </w:rPr>
            </w:pPr>
            <w:r w:rsidRPr="00DF4BA2">
              <w:rPr>
                <w:b/>
                <w:color w:val="000000"/>
                <w:sz w:val="22"/>
                <w:szCs w:val="22"/>
                <w:lang w:val="en-GB" w:eastAsia="en-GB"/>
              </w:rPr>
              <w:t>OTHER</w:t>
            </w:r>
          </w:p>
        </w:tc>
      </w:tr>
      <w:tr w:rsidR="0070719A" w:rsidRPr="00D53726" w14:paraId="419FABF7" w14:textId="77777777" w:rsidTr="0070719A">
        <w:trPr>
          <w:trHeight w:val="300"/>
        </w:trPr>
        <w:tc>
          <w:tcPr>
            <w:tcW w:w="960" w:type="dxa"/>
            <w:tcBorders>
              <w:top w:val="nil"/>
              <w:left w:val="nil"/>
              <w:bottom w:val="nil"/>
              <w:right w:val="nil"/>
            </w:tcBorders>
            <w:shd w:val="clear" w:color="auto" w:fill="auto"/>
            <w:noWrap/>
            <w:vAlign w:val="center"/>
            <w:hideMark/>
          </w:tcPr>
          <w:p w14:paraId="56C5133D" w14:textId="77777777" w:rsidR="0070719A" w:rsidRPr="00D53726" w:rsidRDefault="0070719A" w:rsidP="00731B7D">
            <w:pPr>
              <w:jc w:val="right"/>
              <w:rPr>
                <w:color w:val="000000"/>
                <w:sz w:val="22"/>
                <w:szCs w:val="22"/>
                <w:lang w:val="en-GB" w:eastAsia="en-GB"/>
              </w:rPr>
            </w:pPr>
            <w:r w:rsidRPr="00D53726">
              <w:rPr>
                <w:color w:val="000000"/>
                <w:sz w:val="22"/>
                <w:szCs w:val="22"/>
                <w:lang w:val="en-GB" w:eastAsia="en-GB"/>
              </w:rPr>
              <w:t>LUMO</w:t>
            </w:r>
          </w:p>
        </w:tc>
        <w:tc>
          <w:tcPr>
            <w:tcW w:w="880" w:type="dxa"/>
            <w:tcBorders>
              <w:top w:val="nil"/>
              <w:left w:val="nil"/>
              <w:bottom w:val="nil"/>
              <w:right w:val="nil"/>
            </w:tcBorders>
            <w:shd w:val="clear" w:color="auto" w:fill="auto"/>
            <w:noWrap/>
            <w:vAlign w:val="center"/>
            <w:hideMark/>
          </w:tcPr>
          <w:p w14:paraId="027B42EF" w14:textId="77777777" w:rsidR="0070719A" w:rsidRPr="00D53726" w:rsidRDefault="0070719A" w:rsidP="00731B7D">
            <w:pPr>
              <w:jc w:val="right"/>
              <w:rPr>
                <w:color w:val="000000"/>
                <w:sz w:val="22"/>
                <w:szCs w:val="22"/>
                <w:lang w:val="en-GB" w:eastAsia="en-GB"/>
              </w:rPr>
            </w:pPr>
            <w:r w:rsidRPr="00D53726">
              <w:rPr>
                <w:color w:val="000000"/>
                <w:sz w:val="22"/>
                <w:szCs w:val="22"/>
                <w:lang w:val="en-GB" w:eastAsia="en-GB"/>
              </w:rPr>
              <w:t>12</w:t>
            </w:r>
          </w:p>
        </w:tc>
        <w:tc>
          <w:tcPr>
            <w:tcW w:w="960" w:type="dxa"/>
            <w:tcBorders>
              <w:top w:val="nil"/>
              <w:left w:val="nil"/>
              <w:bottom w:val="nil"/>
              <w:right w:val="nil"/>
            </w:tcBorders>
            <w:shd w:val="clear" w:color="auto" w:fill="auto"/>
            <w:noWrap/>
            <w:vAlign w:val="center"/>
            <w:hideMark/>
          </w:tcPr>
          <w:p w14:paraId="4DC38618" w14:textId="77777777" w:rsidR="0070719A" w:rsidRPr="00D53726" w:rsidRDefault="0070719A" w:rsidP="00731B7D">
            <w:pPr>
              <w:jc w:val="right"/>
              <w:rPr>
                <w:color w:val="000000"/>
                <w:sz w:val="22"/>
                <w:szCs w:val="22"/>
                <w:lang w:val="en-GB" w:eastAsia="en-GB"/>
              </w:rPr>
            </w:pPr>
            <w:r w:rsidRPr="00D53726">
              <w:rPr>
                <w:color w:val="000000"/>
                <w:sz w:val="22"/>
                <w:szCs w:val="22"/>
                <w:lang w:val="en-GB" w:eastAsia="en-GB"/>
              </w:rPr>
              <w:t>79</w:t>
            </w:r>
          </w:p>
        </w:tc>
        <w:tc>
          <w:tcPr>
            <w:tcW w:w="1011" w:type="dxa"/>
            <w:tcBorders>
              <w:top w:val="nil"/>
              <w:left w:val="nil"/>
              <w:bottom w:val="nil"/>
              <w:right w:val="nil"/>
            </w:tcBorders>
            <w:shd w:val="clear" w:color="auto" w:fill="auto"/>
            <w:noWrap/>
            <w:vAlign w:val="center"/>
            <w:hideMark/>
          </w:tcPr>
          <w:p w14:paraId="60FC1432" w14:textId="77777777" w:rsidR="0070719A" w:rsidRPr="00D53726" w:rsidRDefault="0070719A" w:rsidP="00731B7D">
            <w:pPr>
              <w:jc w:val="right"/>
              <w:rPr>
                <w:color w:val="000000"/>
                <w:sz w:val="22"/>
                <w:szCs w:val="22"/>
                <w:lang w:val="en-GB" w:eastAsia="en-GB"/>
              </w:rPr>
            </w:pPr>
            <w:r w:rsidRPr="00D53726">
              <w:rPr>
                <w:color w:val="000000"/>
                <w:sz w:val="22"/>
                <w:szCs w:val="22"/>
                <w:lang w:val="en-GB" w:eastAsia="en-GB"/>
              </w:rPr>
              <w:t>9</w:t>
            </w:r>
          </w:p>
        </w:tc>
      </w:tr>
      <w:tr w:rsidR="0070719A" w:rsidRPr="00D53726" w14:paraId="03F2F53F" w14:textId="77777777" w:rsidTr="0070719A">
        <w:trPr>
          <w:trHeight w:val="300"/>
        </w:trPr>
        <w:tc>
          <w:tcPr>
            <w:tcW w:w="960" w:type="dxa"/>
            <w:tcBorders>
              <w:top w:val="nil"/>
              <w:left w:val="nil"/>
              <w:bottom w:val="single" w:sz="4" w:space="0" w:color="auto"/>
              <w:right w:val="nil"/>
            </w:tcBorders>
            <w:shd w:val="clear" w:color="auto" w:fill="auto"/>
            <w:noWrap/>
            <w:vAlign w:val="center"/>
            <w:hideMark/>
          </w:tcPr>
          <w:p w14:paraId="2594E87E" w14:textId="77777777" w:rsidR="0070719A" w:rsidRPr="00D53726" w:rsidRDefault="0070719A" w:rsidP="00731B7D">
            <w:pPr>
              <w:jc w:val="right"/>
              <w:rPr>
                <w:color w:val="000000"/>
                <w:sz w:val="22"/>
                <w:szCs w:val="22"/>
                <w:lang w:val="en-GB" w:eastAsia="en-GB"/>
              </w:rPr>
            </w:pPr>
            <w:r w:rsidRPr="00D53726">
              <w:rPr>
                <w:color w:val="000000"/>
                <w:sz w:val="22"/>
                <w:szCs w:val="22"/>
                <w:lang w:val="en-GB" w:eastAsia="en-GB"/>
              </w:rPr>
              <w:t>HOMO</w:t>
            </w:r>
          </w:p>
        </w:tc>
        <w:tc>
          <w:tcPr>
            <w:tcW w:w="880" w:type="dxa"/>
            <w:tcBorders>
              <w:top w:val="nil"/>
              <w:left w:val="nil"/>
              <w:bottom w:val="single" w:sz="4" w:space="0" w:color="auto"/>
              <w:right w:val="nil"/>
            </w:tcBorders>
            <w:shd w:val="clear" w:color="auto" w:fill="auto"/>
            <w:noWrap/>
            <w:vAlign w:val="center"/>
            <w:hideMark/>
          </w:tcPr>
          <w:p w14:paraId="2F7DCACF" w14:textId="77777777" w:rsidR="0070719A" w:rsidRPr="00D53726" w:rsidRDefault="0070719A" w:rsidP="00731B7D">
            <w:pPr>
              <w:jc w:val="right"/>
              <w:rPr>
                <w:color w:val="000000"/>
                <w:sz w:val="22"/>
                <w:szCs w:val="22"/>
                <w:lang w:val="en-GB" w:eastAsia="en-GB"/>
              </w:rPr>
            </w:pPr>
            <w:r w:rsidRPr="00D53726">
              <w:rPr>
                <w:color w:val="000000"/>
                <w:sz w:val="22"/>
                <w:szCs w:val="22"/>
                <w:lang w:val="en-GB" w:eastAsia="en-GB"/>
              </w:rPr>
              <w:t>19</w:t>
            </w:r>
          </w:p>
        </w:tc>
        <w:tc>
          <w:tcPr>
            <w:tcW w:w="960" w:type="dxa"/>
            <w:tcBorders>
              <w:top w:val="nil"/>
              <w:left w:val="nil"/>
              <w:bottom w:val="single" w:sz="4" w:space="0" w:color="auto"/>
              <w:right w:val="nil"/>
            </w:tcBorders>
            <w:shd w:val="clear" w:color="auto" w:fill="auto"/>
            <w:noWrap/>
            <w:vAlign w:val="center"/>
            <w:hideMark/>
          </w:tcPr>
          <w:p w14:paraId="07DA441D" w14:textId="77777777" w:rsidR="0070719A" w:rsidRPr="00D53726" w:rsidRDefault="0070719A" w:rsidP="00731B7D">
            <w:pPr>
              <w:jc w:val="right"/>
              <w:rPr>
                <w:color w:val="000000"/>
                <w:sz w:val="22"/>
                <w:szCs w:val="22"/>
                <w:lang w:val="en-GB" w:eastAsia="en-GB"/>
              </w:rPr>
            </w:pPr>
            <w:r w:rsidRPr="00D53726">
              <w:rPr>
                <w:color w:val="000000"/>
                <w:sz w:val="22"/>
                <w:szCs w:val="22"/>
                <w:lang w:val="en-GB" w:eastAsia="en-GB"/>
              </w:rPr>
              <w:t>29</w:t>
            </w:r>
          </w:p>
        </w:tc>
        <w:tc>
          <w:tcPr>
            <w:tcW w:w="1011" w:type="dxa"/>
            <w:tcBorders>
              <w:top w:val="nil"/>
              <w:left w:val="nil"/>
              <w:bottom w:val="single" w:sz="4" w:space="0" w:color="auto"/>
              <w:right w:val="nil"/>
            </w:tcBorders>
            <w:shd w:val="clear" w:color="auto" w:fill="auto"/>
            <w:noWrap/>
            <w:vAlign w:val="center"/>
            <w:hideMark/>
          </w:tcPr>
          <w:p w14:paraId="5B73C900" w14:textId="77777777" w:rsidR="0070719A" w:rsidRPr="00D53726" w:rsidRDefault="0070719A" w:rsidP="00731B7D">
            <w:pPr>
              <w:jc w:val="right"/>
              <w:rPr>
                <w:color w:val="000000"/>
                <w:sz w:val="22"/>
                <w:szCs w:val="22"/>
                <w:lang w:val="en-GB" w:eastAsia="en-GB"/>
              </w:rPr>
            </w:pPr>
            <w:r w:rsidRPr="00D53726">
              <w:rPr>
                <w:color w:val="000000"/>
                <w:sz w:val="22"/>
                <w:szCs w:val="22"/>
                <w:lang w:val="en-GB" w:eastAsia="en-GB"/>
              </w:rPr>
              <w:t>51</w:t>
            </w:r>
          </w:p>
        </w:tc>
      </w:tr>
    </w:tbl>
    <w:p w14:paraId="049DD03E" w14:textId="77777777" w:rsidR="00917F21" w:rsidRDefault="00917F21" w:rsidP="00A664CE">
      <w:pPr>
        <w:autoSpaceDE w:val="0"/>
        <w:autoSpaceDN w:val="0"/>
        <w:adjustRightInd w:val="0"/>
        <w:jc w:val="both"/>
        <w:rPr>
          <w:rFonts w:cs="Calibri"/>
          <w:sz w:val="22"/>
          <w:szCs w:val="22"/>
          <w:lang w:val="en-GB"/>
        </w:rPr>
      </w:pPr>
    </w:p>
    <w:p w14:paraId="5AB0B7D7" w14:textId="7992824E" w:rsidR="00E12976" w:rsidRPr="00996D17" w:rsidRDefault="00996D17" w:rsidP="00A664CE">
      <w:pPr>
        <w:autoSpaceDE w:val="0"/>
        <w:autoSpaceDN w:val="0"/>
        <w:adjustRightInd w:val="0"/>
        <w:jc w:val="both"/>
        <w:rPr>
          <w:rFonts w:cs="Calibri"/>
          <w:sz w:val="22"/>
          <w:szCs w:val="22"/>
          <w:lang w:val="en-GB"/>
        </w:rPr>
      </w:pPr>
      <w:r w:rsidRPr="00996D17">
        <w:rPr>
          <w:rFonts w:cs="Calibri"/>
          <w:sz w:val="22"/>
          <w:szCs w:val="22"/>
          <w:lang w:val="en-GB"/>
        </w:rPr>
        <w:t>It ca</w:t>
      </w:r>
      <w:r>
        <w:rPr>
          <w:rFonts w:cs="Calibri"/>
          <w:sz w:val="22"/>
          <w:szCs w:val="22"/>
          <w:lang w:val="en-GB"/>
        </w:rPr>
        <w:t>n be seen in Table 3. and Fig.</w:t>
      </w:r>
      <w:r w:rsidRPr="00996D17">
        <w:rPr>
          <w:rFonts w:cs="Calibri"/>
          <w:sz w:val="22"/>
          <w:szCs w:val="22"/>
          <w:lang w:val="en-GB"/>
        </w:rPr>
        <w:t xml:space="preserve"> 2. that while LUMO is on C=N, HOMO is on the ring.</w:t>
      </w:r>
    </w:p>
    <w:p w14:paraId="6C20A655" w14:textId="359A9B23" w:rsidR="0030630A" w:rsidRDefault="0030630A" w:rsidP="00A664CE">
      <w:pPr>
        <w:autoSpaceDE w:val="0"/>
        <w:autoSpaceDN w:val="0"/>
        <w:adjustRightInd w:val="0"/>
        <w:jc w:val="both"/>
        <w:rPr>
          <w:rFonts w:cs="Calibri"/>
          <w:lang w:val="en-GB"/>
        </w:rPr>
      </w:pPr>
      <w:r>
        <w:object w:dxaOrig="6873" w:dyaOrig="4812" w14:anchorId="48A3CC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201.75pt" o:ole="">
            <v:imagedata r:id="rId11" o:title="" croptop="6737f" cropbottom="3879f" cropleft="6153f" cropright="8299f"/>
          </v:shape>
          <o:OLEObject Type="Embed" ProgID="Origin50.Graph" ShapeID="_x0000_i1025" DrawAspect="Content" ObjectID="_1764533774" r:id="rId12"/>
        </w:object>
      </w:r>
    </w:p>
    <w:p w14:paraId="1F3ABB4B" w14:textId="77777777" w:rsidR="0030630A" w:rsidRPr="00D53726" w:rsidRDefault="0030630A" w:rsidP="00A664CE">
      <w:pPr>
        <w:autoSpaceDE w:val="0"/>
        <w:autoSpaceDN w:val="0"/>
        <w:adjustRightInd w:val="0"/>
        <w:jc w:val="both"/>
        <w:rPr>
          <w:rFonts w:cs="Calibri"/>
          <w:lang w:val="en-GB"/>
        </w:rPr>
      </w:pPr>
    </w:p>
    <w:p w14:paraId="7594810D" w14:textId="5EB930C0" w:rsidR="00771144" w:rsidRPr="00D53726" w:rsidRDefault="00BA1754" w:rsidP="0030630A">
      <w:pPr>
        <w:autoSpaceDE w:val="0"/>
        <w:autoSpaceDN w:val="0"/>
        <w:adjustRightInd w:val="0"/>
        <w:jc w:val="both"/>
        <w:rPr>
          <w:rFonts w:cs="Calibri"/>
          <w:lang w:val="en-GB"/>
        </w:rPr>
      </w:pPr>
      <w:r>
        <w:rPr>
          <w:b/>
          <w:sz w:val="20"/>
          <w:szCs w:val="20"/>
          <w:lang w:val="en-GB"/>
        </w:rPr>
        <w:t>Figure 2</w:t>
      </w:r>
      <w:r w:rsidR="0030630A" w:rsidRPr="00D53726">
        <w:rPr>
          <w:b/>
          <w:sz w:val="20"/>
          <w:szCs w:val="20"/>
          <w:lang w:val="en-GB"/>
        </w:rPr>
        <w:t>.</w:t>
      </w:r>
      <w:r w:rsidR="0070719A" w:rsidRPr="0070719A">
        <w:t xml:space="preserve"> </w:t>
      </w:r>
      <w:r w:rsidR="0070719A" w:rsidRPr="0070719A">
        <w:rPr>
          <w:bCs/>
          <w:sz w:val="20"/>
          <w:szCs w:val="20"/>
          <w:lang w:val="en-GB"/>
        </w:rPr>
        <w:t>The distribution of both partial and total density of states</w:t>
      </w:r>
      <w:r w:rsidR="0070719A">
        <w:rPr>
          <w:bCs/>
          <w:sz w:val="20"/>
          <w:szCs w:val="20"/>
          <w:lang w:val="en-GB"/>
        </w:rPr>
        <w:t xml:space="preserve"> </w:t>
      </w:r>
      <w:r w:rsidR="0070719A" w:rsidRPr="0070719A">
        <w:rPr>
          <w:bCs/>
          <w:sz w:val="20"/>
          <w:szCs w:val="20"/>
          <w:lang w:val="en-GB"/>
        </w:rPr>
        <w:t>PDOS and TDOS</w:t>
      </w:r>
      <w:r w:rsidR="0070719A">
        <w:rPr>
          <w:bCs/>
          <w:sz w:val="20"/>
          <w:szCs w:val="20"/>
          <w:lang w:val="en-GB"/>
        </w:rPr>
        <w:t xml:space="preserve"> for the compound.</w:t>
      </w:r>
    </w:p>
    <w:p w14:paraId="5C0D0115" w14:textId="79EF7843" w:rsidR="00771144" w:rsidRPr="00D53726" w:rsidRDefault="00771144" w:rsidP="00A664CE">
      <w:pPr>
        <w:autoSpaceDE w:val="0"/>
        <w:autoSpaceDN w:val="0"/>
        <w:adjustRightInd w:val="0"/>
        <w:jc w:val="both"/>
        <w:rPr>
          <w:rFonts w:cs="Calibri"/>
          <w:lang w:val="en-GB"/>
        </w:rPr>
      </w:pPr>
    </w:p>
    <w:p w14:paraId="72E5A948" w14:textId="3E1D0349" w:rsidR="00771144" w:rsidRPr="00D53726" w:rsidRDefault="00771144" w:rsidP="00A664CE">
      <w:pPr>
        <w:autoSpaceDE w:val="0"/>
        <w:autoSpaceDN w:val="0"/>
        <w:adjustRightInd w:val="0"/>
        <w:jc w:val="both"/>
        <w:rPr>
          <w:rFonts w:cs="Calibri"/>
          <w:lang w:val="en-GB"/>
        </w:rPr>
      </w:pPr>
    </w:p>
    <w:p w14:paraId="3FE1FA19" w14:textId="7EDF9A03" w:rsidR="005441C9" w:rsidRDefault="005114DD" w:rsidP="00325CB1">
      <w:pPr>
        <w:pStyle w:val="ListeParagraf"/>
        <w:numPr>
          <w:ilvl w:val="1"/>
          <w:numId w:val="6"/>
        </w:numPr>
        <w:tabs>
          <w:tab w:val="left" w:pos="426"/>
        </w:tabs>
        <w:autoSpaceDE w:val="0"/>
        <w:autoSpaceDN w:val="0"/>
        <w:adjustRightInd w:val="0"/>
        <w:spacing w:after="120" w:line="276" w:lineRule="auto"/>
        <w:ind w:left="0" w:firstLine="0"/>
        <w:jc w:val="both"/>
        <w:rPr>
          <w:b/>
          <w:lang w:val="en-GB"/>
        </w:rPr>
      </w:pPr>
      <w:r w:rsidRPr="00D53726">
        <w:rPr>
          <w:b/>
          <w:lang w:val="en-GB"/>
        </w:rPr>
        <w:t>Molecular electronic potential surface map</w:t>
      </w:r>
    </w:p>
    <w:p w14:paraId="63245E19" w14:textId="535A4FF2" w:rsidR="00325CB1" w:rsidRPr="001002AC" w:rsidRDefault="00325CB1" w:rsidP="001F1A89">
      <w:pPr>
        <w:pStyle w:val="ListeParagraf"/>
        <w:spacing w:line="360" w:lineRule="auto"/>
        <w:ind w:left="0"/>
        <w:jc w:val="both"/>
        <w:rPr>
          <w:sz w:val="22"/>
          <w:szCs w:val="22"/>
          <w:lang w:val="en-US"/>
        </w:rPr>
      </w:pPr>
      <w:r w:rsidRPr="00325CB1">
        <w:rPr>
          <w:sz w:val="22"/>
          <w:szCs w:val="22"/>
          <w:lang w:val="en-US"/>
        </w:rPr>
        <w:t>T</w:t>
      </w:r>
      <w:r w:rsidR="00D34D92">
        <w:rPr>
          <w:sz w:val="22"/>
          <w:szCs w:val="22"/>
          <w:lang w:val="en-US"/>
        </w:rPr>
        <w:t xml:space="preserve">o explore the nucleophilic characteristics of the </w:t>
      </w:r>
      <w:proofErr w:type="spellStart"/>
      <w:r w:rsidR="00D34D92">
        <w:rPr>
          <w:sz w:val="22"/>
          <w:szCs w:val="22"/>
          <w:lang w:val="en-US"/>
        </w:rPr>
        <w:t>moleculein</w:t>
      </w:r>
      <w:proofErr w:type="spellEnd"/>
      <w:r w:rsidR="00D34D92">
        <w:rPr>
          <w:sz w:val="22"/>
          <w:szCs w:val="22"/>
          <w:lang w:val="en-US"/>
        </w:rPr>
        <w:t xml:space="preserve"> question, map of m</w:t>
      </w:r>
      <w:r w:rsidR="00D34D92" w:rsidRPr="00D34D92">
        <w:rPr>
          <w:sz w:val="22"/>
          <w:szCs w:val="22"/>
          <w:lang w:val="en-US"/>
        </w:rPr>
        <w:t xml:space="preserve">olecular </w:t>
      </w:r>
      <w:r w:rsidR="00D34D92">
        <w:rPr>
          <w:sz w:val="22"/>
          <w:szCs w:val="22"/>
          <w:lang w:val="en-US"/>
        </w:rPr>
        <w:t>electronic potential</w:t>
      </w:r>
      <w:r w:rsidR="00F07E99">
        <w:rPr>
          <w:sz w:val="22"/>
          <w:szCs w:val="22"/>
          <w:lang w:val="en-US"/>
        </w:rPr>
        <w:t xml:space="preserve"> (MEP)</w:t>
      </w:r>
      <w:r w:rsidR="00D34D92">
        <w:rPr>
          <w:sz w:val="22"/>
          <w:szCs w:val="22"/>
          <w:lang w:val="en-US"/>
        </w:rPr>
        <w:t xml:space="preserve"> surface was obtained for its ground state geometry using the same level. Map illustrates negative and positive charge contributions, with varying colors indicating different electrostatic potential values. The color scale, ranging from red(negative) to blue (positive), highlights the transition from negative</w:t>
      </w:r>
      <w:r w:rsidR="00F07E99">
        <w:rPr>
          <w:sz w:val="22"/>
          <w:szCs w:val="22"/>
          <w:lang w:val="en-US"/>
        </w:rPr>
        <w:t xml:space="preserve"> to positive potential regions.</w:t>
      </w:r>
      <w:r w:rsidR="00FB3D6B">
        <w:rPr>
          <w:sz w:val="22"/>
          <w:szCs w:val="22"/>
          <w:lang w:val="en-US"/>
        </w:rPr>
        <w:t xml:space="preserve"> </w:t>
      </w:r>
      <w:r w:rsidR="00D34D92">
        <w:rPr>
          <w:sz w:val="22"/>
          <w:szCs w:val="22"/>
          <w:lang w:val="en-US"/>
        </w:rPr>
        <w:t>T</w:t>
      </w:r>
      <w:r w:rsidRPr="00325CB1">
        <w:rPr>
          <w:sz w:val="22"/>
          <w:szCs w:val="22"/>
          <w:lang w:val="en-US"/>
        </w:rPr>
        <w:t>he map of MEP shows that the negative potential sites are on electronegative atoms as well as the positive potential sites around the hydrogen atoms. The negative regions of the studied molecule are found around the</w:t>
      </w:r>
      <w:r w:rsidR="00F07E99">
        <w:rPr>
          <w:sz w:val="22"/>
          <w:szCs w:val="22"/>
          <w:lang w:val="en-US"/>
        </w:rPr>
        <w:t xml:space="preserve"> O</w:t>
      </w:r>
      <w:r w:rsidR="00F07E99" w:rsidRPr="00F07E99">
        <w:rPr>
          <w:sz w:val="22"/>
          <w:szCs w:val="22"/>
          <w:vertAlign w:val="subscript"/>
          <w:lang w:val="en-US"/>
        </w:rPr>
        <w:t>11</w:t>
      </w:r>
      <w:r w:rsidR="00760544">
        <w:rPr>
          <w:sz w:val="22"/>
          <w:szCs w:val="22"/>
          <w:lang w:val="en-US"/>
        </w:rPr>
        <w:t>,</w:t>
      </w:r>
      <w:r w:rsidR="00F07E99">
        <w:rPr>
          <w:sz w:val="22"/>
          <w:szCs w:val="22"/>
          <w:lang w:val="en-US"/>
        </w:rPr>
        <w:t xml:space="preserve"> O</w:t>
      </w:r>
      <w:r w:rsidR="00F07E99" w:rsidRPr="00F07E99">
        <w:rPr>
          <w:sz w:val="22"/>
          <w:szCs w:val="22"/>
          <w:vertAlign w:val="subscript"/>
          <w:lang w:val="en-US"/>
        </w:rPr>
        <w:t>13</w:t>
      </w:r>
      <w:r w:rsidR="00F07E99">
        <w:rPr>
          <w:sz w:val="22"/>
          <w:szCs w:val="22"/>
          <w:lang w:val="en-US"/>
        </w:rPr>
        <w:t>,</w:t>
      </w:r>
      <w:r w:rsidRPr="00325CB1">
        <w:rPr>
          <w:sz w:val="22"/>
          <w:szCs w:val="22"/>
          <w:lang w:val="en-US"/>
        </w:rPr>
        <w:t xml:space="preserve"> N</w:t>
      </w:r>
      <w:r w:rsidR="008D12D1">
        <w:rPr>
          <w:sz w:val="22"/>
          <w:szCs w:val="22"/>
          <w:vertAlign w:val="subscript"/>
          <w:lang w:val="en-US"/>
        </w:rPr>
        <w:t>9</w:t>
      </w:r>
      <w:r w:rsidRPr="00325CB1">
        <w:rPr>
          <w:sz w:val="22"/>
          <w:szCs w:val="22"/>
          <w:lang w:val="en-US"/>
        </w:rPr>
        <w:t xml:space="preserve"> and N</w:t>
      </w:r>
      <w:r w:rsidR="008D12D1">
        <w:rPr>
          <w:sz w:val="22"/>
          <w:szCs w:val="22"/>
          <w:vertAlign w:val="subscript"/>
          <w:lang w:val="en-US"/>
        </w:rPr>
        <w:t>10</w:t>
      </w:r>
      <w:r w:rsidRPr="00325CB1">
        <w:rPr>
          <w:sz w:val="22"/>
          <w:szCs w:val="22"/>
          <w:lang w:val="en-US"/>
        </w:rPr>
        <w:t xml:space="preserve"> atoms (Fig. </w:t>
      </w:r>
      <w:r w:rsidR="008D12D1">
        <w:rPr>
          <w:sz w:val="22"/>
          <w:szCs w:val="22"/>
          <w:lang w:val="en-US"/>
        </w:rPr>
        <w:t>3</w:t>
      </w:r>
      <w:r w:rsidR="001F1A89">
        <w:rPr>
          <w:sz w:val="22"/>
          <w:szCs w:val="22"/>
          <w:lang w:val="en-US"/>
        </w:rPr>
        <w:t>a</w:t>
      </w:r>
      <w:r w:rsidRPr="00325CB1">
        <w:rPr>
          <w:sz w:val="22"/>
          <w:szCs w:val="22"/>
          <w:lang w:val="en-US"/>
        </w:rPr>
        <w:t xml:space="preserve">), therefore electrophilic attack can happen to </w:t>
      </w:r>
      <w:r w:rsidR="00760544" w:rsidRPr="00760544">
        <w:rPr>
          <w:sz w:val="22"/>
          <w:szCs w:val="22"/>
          <w:lang w:val="en-US"/>
        </w:rPr>
        <w:t>oxygen</w:t>
      </w:r>
      <w:r w:rsidR="00760544">
        <w:rPr>
          <w:sz w:val="22"/>
          <w:szCs w:val="22"/>
          <w:lang w:val="en-US"/>
        </w:rPr>
        <w:t xml:space="preserve"> and </w:t>
      </w:r>
      <w:r w:rsidR="005265A5" w:rsidRPr="005265A5">
        <w:rPr>
          <w:sz w:val="22"/>
          <w:szCs w:val="22"/>
          <w:lang w:val="en-US"/>
        </w:rPr>
        <w:t>nitrogen</w:t>
      </w:r>
      <w:r w:rsidR="005265A5">
        <w:rPr>
          <w:sz w:val="22"/>
          <w:szCs w:val="22"/>
          <w:lang w:val="en-US"/>
        </w:rPr>
        <w:t xml:space="preserve"> </w:t>
      </w:r>
      <w:r w:rsidRPr="00325CB1">
        <w:rPr>
          <w:sz w:val="22"/>
          <w:szCs w:val="22"/>
          <w:lang w:val="en-US"/>
        </w:rPr>
        <w:t>atoms.</w:t>
      </w:r>
      <w:r w:rsidR="00892B8A">
        <w:rPr>
          <w:sz w:val="22"/>
          <w:szCs w:val="22"/>
          <w:lang w:val="en-US"/>
        </w:rPr>
        <w:t xml:space="preserve"> </w:t>
      </w:r>
      <w:r w:rsidR="00892B8A" w:rsidRPr="00892B8A">
        <w:rPr>
          <w:sz w:val="22"/>
          <w:szCs w:val="22"/>
          <w:lang w:val="en-US"/>
        </w:rPr>
        <w:t>As can be seen from the contour picture, the potential line is in the form of denser</w:t>
      </w:r>
      <w:r w:rsidR="001F1A89">
        <w:rPr>
          <w:sz w:val="22"/>
          <w:szCs w:val="22"/>
          <w:lang w:val="en-US"/>
        </w:rPr>
        <w:t xml:space="preserve"> lines in this region </w:t>
      </w:r>
      <w:r w:rsidR="001F1A89" w:rsidRPr="00325CB1">
        <w:rPr>
          <w:sz w:val="22"/>
          <w:szCs w:val="22"/>
          <w:lang w:val="en-US"/>
        </w:rPr>
        <w:t xml:space="preserve">(Fig. </w:t>
      </w:r>
      <w:r w:rsidR="001F1A89">
        <w:rPr>
          <w:sz w:val="22"/>
          <w:szCs w:val="22"/>
          <w:lang w:val="en-US"/>
        </w:rPr>
        <w:t>3b).</w:t>
      </w:r>
    </w:p>
    <w:p w14:paraId="56AA33FD" w14:textId="4E982947" w:rsidR="003F0626" w:rsidRPr="00D53726" w:rsidRDefault="003F0626" w:rsidP="00ED0085">
      <w:pPr>
        <w:spacing w:before="100" w:beforeAutospacing="1" w:after="100" w:afterAutospacing="1"/>
        <w:jc w:val="center"/>
        <w:rPr>
          <w:lang w:val="en-GB" w:eastAsia="en-GB"/>
        </w:rPr>
      </w:pPr>
      <w:r w:rsidRPr="00D53726">
        <w:rPr>
          <w:noProof/>
          <w:lang w:val="en-GB" w:eastAsia="en-GB"/>
        </w:rPr>
        <w:drawing>
          <wp:inline distT="0" distB="0" distL="0" distR="0" wp14:anchorId="5351AD71" wp14:editId="6FE735BF">
            <wp:extent cx="6198363" cy="498505"/>
            <wp:effectExtent l="0" t="0" r="0" b="0"/>
            <wp:docPr id="1" name="Resim 1" descr="C:\Users\berna\AppData\Local\Packages\Microsoft.Windows.Photos_8wekyb3d8bbwe\TempState\ShareServiceTempFolder\mep-ligan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na\AppData\Local\Packages\Microsoft.Windows.Photos_8wekyb3d8bbwe\TempState\ShareServiceTempFolder\mep-ligant.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l="1664" t="17907" r="4226" b="-7"/>
                    <a:stretch/>
                  </pic:blipFill>
                  <pic:spPr bwMode="auto">
                    <a:xfrm>
                      <a:off x="0" y="0"/>
                      <a:ext cx="6765731" cy="544136"/>
                    </a:xfrm>
                    <a:prstGeom prst="rect">
                      <a:avLst/>
                    </a:prstGeom>
                    <a:noFill/>
                    <a:ln>
                      <a:noFill/>
                    </a:ln>
                    <a:extLst>
                      <a:ext uri="{53640926-AAD7-44D8-BBD7-CCE9431645EC}">
                        <a14:shadowObscured xmlns:a14="http://schemas.microsoft.com/office/drawing/2010/main"/>
                      </a:ext>
                    </a:extLst>
                  </pic:spPr>
                </pic:pic>
              </a:graphicData>
            </a:graphic>
          </wp:inline>
        </w:drawing>
      </w:r>
    </w:p>
    <w:p w14:paraId="1C11B457" w14:textId="46BBA343" w:rsidR="000558DA" w:rsidRPr="002A5038" w:rsidRDefault="000558DA" w:rsidP="00ED0085">
      <w:pPr>
        <w:pStyle w:val="ListeParagraf"/>
        <w:numPr>
          <w:ilvl w:val="0"/>
          <w:numId w:val="42"/>
        </w:numPr>
        <w:tabs>
          <w:tab w:val="left" w:pos="426"/>
        </w:tabs>
        <w:autoSpaceDE w:val="0"/>
        <w:autoSpaceDN w:val="0"/>
        <w:adjustRightInd w:val="0"/>
        <w:spacing w:after="120" w:line="276" w:lineRule="auto"/>
        <w:jc w:val="both"/>
        <w:rPr>
          <w:b/>
          <w:lang w:val="en-GB"/>
        </w:rPr>
      </w:pPr>
      <w:r w:rsidRPr="00D53726">
        <w:rPr>
          <w:noProof/>
          <w:lang w:val="en-GB" w:eastAsia="en-GB"/>
        </w:rPr>
        <w:drawing>
          <wp:inline distT="0" distB="0" distL="0" distR="0" wp14:anchorId="2D4A93EA" wp14:editId="67ACA975">
            <wp:extent cx="2617496" cy="2313412"/>
            <wp:effectExtent l="0" t="0" r="0" b="0"/>
            <wp:docPr id="4" name="Resim 4" descr="C:\Users\berna\Dropbox\Kilis\Gaussian-Kilis\Ligant\6-31-2d2p\MEP-Ligant-9-551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erna\Dropbox\Kilis\Gaussian-Kilis\Ligant\6-31-2d2p\MEP-Ligant-9-551e-2.tif"/>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026" t="6474" r="13613" b="6897"/>
                    <a:stretch/>
                  </pic:blipFill>
                  <pic:spPr bwMode="auto">
                    <a:xfrm>
                      <a:off x="0" y="0"/>
                      <a:ext cx="2636619" cy="2330314"/>
                    </a:xfrm>
                    <a:prstGeom prst="rect">
                      <a:avLst/>
                    </a:prstGeom>
                    <a:noFill/>
                    <a:ln>
                      <a:noFill/>
                    </a:ln>
                    <a:extLst>
                      <a:ext uri="{53640926-AAD7-44D8-BBD7-CCE9431645EC}">
                        <a14:shadowObscured xmlns:a14="http://schemas.microsoft.com/office/drawing/2010/main"/>
                      </a:ext>
                    </a:extLst>
                  </pic:spPr>
                </pic:pic>
              </a:graphicData>
            </a:graphic>
          </wp:inline>
        </w:drawing>
      </w:r>
      <w:r w:rsidR="002A5038">
        <w:rPr>
          <w:b/>
          <w:lang w:val="en-GB"/>
        </w:rPr>
        <w:t xml:space="preserve">b) </w:t>
      </w:r>
      <w:r w:rsidR="00ED0085" w:rsidRPr="00ED0085">
        <w:rPr>
          <w:b/>
          <w:noProof/>
          <w:lang w:val="en-GB" w:eastAsia="en-GB"/>
        </w:rPr>
        <w:drawing>
          <wp:inline distT="0" distB="0" distL="0" distR="0" wp14:anchorId="5E5E7517" wp14:editId="7AF72C2F">
            <wp:extent cx="2608692" cy="2223158"/>
            <wp:effectExtent l="0" t="0" r="1270" b="5715"/>
            <wp:docPr id="2" name="Resim 2" descr="C:\Users\berna\Dropbox\Kilis\Gaussian-Kilis\Ligant\Contour-ligan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rna\Dropbox\Kilis\Gaussian-Kilis\Ligant\Contour-ligand.tif"/>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9468" t="7458" r="24406" b="7348"/>
                    <a:stretch/>
                  </pic:blipFill>
                  <pic:spPr bwMode="auto">
                    <a:xfrm>
                      <a:off x="0" y="0"/>
                      <a:ext cx="2614240" cy="2227886"/>
                    </a:xfrm>
                    <a:prstGeom prst="rect">
                      <a:avLst/>
                    </a:prstGeom>
                    <a:noFill/>
                    <a:ln>
                      <a:noFill/>
                    </a:ln>
                    <a:extLst>
                      <a:ext uri="{53640926-AAD7-44D8-BBD7-CCE9431645EC}">
                        <a14:shadowObscured xmlns:a14="http://schemas.microsoft.com/office/drawing/2010/main"/>
                      </a:ext>
                    </a:extLst>
                  </pic:spPr>
                </pic:pic>
              </a:graphicData>
            </a:graphic>
          </wp:inline>
        </w:drawing>
      </w:r>
    </w:p>
    <w:p w14:paraId="4063CC54" w14:textId="5C49B8A7" w:rsidR="000558DA" w:rsidRPr="00D53726" w:rsidRDefault="00BA1754" w:rsidP="00F16374">
      <w:pPr>
        <w:autoSpaceDE w:val="0"/>
        <w:autoSpaceDN w:val="0"/>
        <w:adjustRightInd w:val="0"/>
        <w:spacing w:after="120" w:line="276" w:lineRule="auto"/>
        <w:jc w:val="both"/>
        <w:rPr>
          <w:b/>
          <w:lang w:val="en-GB"/>
        </w:rPr>
      </w:pPr>
      <w:r>
        <w:rPr>
          <w:b/>
          <w:sz w:val="20"/>
          <w:szCs w:val="20"/>
          <w:lang w:val="en-GB"/>
        </w:rPr>
        <w:t>Figure 3</w:t>
      </w:r>
      <w:r w:rsidR="00E220ED" w:rsidRPr="00D53726">
        <w:rPr>
          <w:b/>
          <w:sz w:val="20"/>
          <w:szCs w:val="20"/>
          <w:lang w:val="en-GB"/>
        </w:rPr>
        <w:t xml:space="preserve">. </w:t>
      </w:r>
      <w:r w:rsidR="00E220ED" w:rsidRPr="00D53726">
        <w:rPr>
          <w:bCs/>
          <w:sz w:val="20"/>
          <w:szCs w:val="20"/>
          <w:lang w:val="en-GB"/>
        </w:rPr>
        <w:t>Molecular el</w:t>
      </w:r>
      <w:r w:rsidR="00772E2D">
        <w:rPr>
          <w:bCs/>
          <w:sz w:val="20"/>
          <w:szCs w:val="20"/>
          <w:lang w:val="en-GB"/>
        </w:rPr>
        <w:t>ectrostatic potential</w:t>
      </w:r>
      <w:r w:rsidR="004500CC">
        <w:rPr>
          <w:bCs/>
          <w:sz w:val="20"/>
          <w:szCs w:val="20"/>
          <w:lang w:val="en-GB"/>
        </w:rPr>
        <w:t xml:space="preserve"> of the title </w:t>
      </w:r>
      <w:proofErr w:type="gramStart"/>
      <w:r w:rsidR="004500CC">
        <w:rPr>
          <w:bCs/>
          <w:sz w:val="20"/>
          <w:szCs w:val="20"/>
          <w:lang w:val="en-GB"/>
        </w:rPr>
        <w:t>compound</w:t>
      </w:r>
      <w:proofErr w:type="gramEnd"/>
      <w:r w:rsidR="00772E2D">
        <w:rPr>
          <w:bCs/>
          <w:sz w:val="20"/>
          <w:szCs w:val="20"/>
          <w:lang w:val="en-GB"/>
        </w:rPr>
        <w:t xml:space="preserve"> a) map and b) contour</w:t>
      </w:r>
    </w:p>
    <w:p w14:paraId="368C2AFF" w14:textId="7B923899" w:rsidR="00542D89" w:rsidRPr="00917F21" w:rsidRDefault="005114DD" w:rsidP="005114DD">
      <w:pPr>
        <w:pStyle w:val="ListeParagraf"/>
        <w:numPr>
          <w:ilvl w:val="1"/>
          <w:numId w:val="6"/>
        </w:numPr>
        <w:tabs>
          <w:tab w:val="left" w:pos="426"/>
        </w:tabs>
        <w:autoSpaceDE w:val="0"/>
        <w:autoSpaceDN w:val="0"/>
        <w:adjustRightInd w:val="0"/>
        <w:spacing w:before="120" w:after="120" w:line="276" w:lineRule="auto"/>
        <w:ind w:left="0" w:firstLine="0"/>
        <w:jc w:val="both"/>
        <w:rPr>
          <w:b/>
          <w:color w:val="000000" w:themeColor="text1"/>
          <w:sz w:val="22"/>
          <w:szCs w:val="22"/>
          <w:lang w:val="en-GB"/>
        </w:rPr>
      </w:pPr>
      <w:r w:rsidRPr="00D53726">
        <w:rPr>
          <w:b/>
          <w:bCs/>
          <w:sz w:val="22"/>
          <w:szCs w:val="22"/>
          <w:lang w:val="en-GB"/>
        </w:rPr>
        <w:lastRenderedPageBreak/>
        <w:t>Nonlinear optical properties</w:t>
      </w:r>
    </w:p>
    <w:p w14:paraId="339242CA" w14:textId="665A3FBB" w:rsidR="00917F21" w:rsidRPr="00917F21" w:rsidRDefault="00792B4F" w:rsidP="00917F21">
      <w:pPr>
        <w:pStyle w:val="ListeParagraf"/>
        <w:tabs>
          <w:tab w:val="left" w:pos="426"/>
        </w:tabs>
        <w:autoSpaceDE w:val="0"/>
        <w:autoSpaceDN w:val="0"/>
        <w:adjustRightInd w:val="0"/>
        <w:spacing w:before="120" w:after="120" w:line="276" w:lineRule="auto"/>
        <w:ind w:left="0"/>
        <w:jc w:val="both"/>
        <w:rPr>
          <w:color w:val="000000" w:themeColor="text1"/>
          <w:sz w:val="22"/>
          <w:szCs w:val="22"/>
          <w:lang w:val="en-GB"/>
        </w:rPr>
      </w:pPr>
      <w:r w:rsidRPr="00792B4F">
        <w:rPr>
          <w:color w:val="000000" w:themeColor="text1"/>
          <w:sz w:val="22"/>
          <w:szCs w:val="22"/>
          <w:lang w:val="en-GB"/>
        </w:rPr>
        <w:t xml:space="preserve">To assess nonlinear optical effects in the </w:t>
      </w:r>
      <w:r>
        <w:rPr>
          <w:color w:val="000000" w:themeColor="text1"/>
          <w:sz w:val="22"/>
          <w:szCs w:val="22"/>
          <w:lang w:val="en-GB"/>
        </w:rPr>
        <w:t xml:space="preserve">compound, the electric dipole </w:t>
      </w:r>
      <w:r w:rsidRPr="002602B4">
        <w:rPr>
          <w:color w:val="000000" w:themeColor="text1"/>
          <w:sz w:val="22"/>
          <w:szCs w:val="22"/>
          <w:lang w:val="en-GB"/>
        </w:rPr>
        <w:t>moment</w:t>
      </w:r>
      <w:r w:rsidR="002602B4" w:rsidRPr="002602B4">
        <w:rPr>
          <w:color w:val="000000" w:themeColor="text1"/>
          <w:sz w:val="22"/>
          <w:szCs w:val="22"/>
          <w:lang w:val="en-GB"/>
        </w:rPr>
        <w:t xml:space="preserve"> </w:t>
      </w:r>
      <w:r w:rsidR="002602B4" w:rsidRPr="002602B4">
        <w:rPr>
          <w:rFonts w:ascii="Symbol" w:hAnsi="Symbol"/>
          <w:sz w:val="22"/>
          <w:szCs w:val="22"/>
          <w:lang w:val="en-GB"/>
        </w:rPr>
        <w:t></w:t>
      </w:r>
      <w:r w:rsidRPr="002602B4">
        <w:rPr>
          <w:color w:val="000000" w:themeColor="text1"/>
          <w:sz w:val="22"/>
          <w:szCs w:val="22"/>
          <w:lang w:val="en-GB"/>
        </w:rPr>
        <w:t>, average</w:t>
      </w:r>
      <w:r>
        <w:rPr>
          <w:color w:val="000000" w:themeColor="text1"/>
          <w:sz w:val="22"/>
          <w:szCs w:val="22"/>
          <w:lang w:val="en-GB"/>
        </w:rPr>
        <w:t xml:space="preserve"> polarizability Δα</w:t>
      </w:r>
      <w:r w:rsidRPr="00792B4F">
        <w:rPr>
          <w:color w:val="000000" w:themeColor="text1"/>
          <w:sz w:val="22"/>
          <w:szCs w:val="22"/>
          <w:vertAlign w:val="subscript"/>
          <w:lang w:val="en-GB"/>
        </w:rPr>
        <w:t>tot</w:t>
      </w:r>
      <w:r>
        <w:rPr>
          <w:color w:val="000000" w:themeColor="text1"/>
          <w:sz w:val="22"/>
          <w:szCs w:val="22"/>
          <w:lang w:val="en-GB"/>
        </w:rPr>
        <w:t xml:space="preserve">, </w:t>
      </w:r>
      <w:r w:rsidRPr="00792B4F">
        <w:rPr>
          <w:color w:val="000000" w:themeColor="text1"/>
          <w:sz w:val="22"/>
          <w:szCs w:val="22"/>
          <w:lang w:val="en-GB"/>
        </w:rPr>
        <w:t xml:space="preserve">and first </w:t>
      </w:r>
      <w:proofErr w:type="spellStart"/>
      <w:r w:rsidRPr="00792B4F">
        <w:rPr>
          <w:color w:val="000000" w:themeColor="text1"/>
          <w:sz w:val="22"/>
          <w:szCs w:val="22"/>
          <w:lang w:val="en-GB"/>
        </w:rPr>
        <w:t>hyperpolar</w:t>
      </w:r>
      <w:r>
        <w:rPr>
          <w:color w:val="000000" w:themeColor="text1"/>
          <w:sz w:val="22"/>
          <w:szCs w:val="22"/>
          <w:lang w:val="en-GB"/>
        </w:rPr>
        <w:t>izability</w:t>
      </w:r>
      <w:proofErr w:type="spellEnd"/>
      <w:r>
        <w:rPr>
          <w:color w:val="000000" w:themeColor="text1"/>
          <w:sz w:val="22"/>
          <w:szCs w:val="22"/>
          <w:lang w:val="en-GB"/>
        </w:rPr>
        <w:t xml:space="preserve"> β</w:t>
      </w:r>
      <w:r w:rsidRPr="005B24B6">
        <w:rPr>
          <w:color w:val="000000" w:themeColor="text1"/>
          <w:sz w:val="22"/>
          <w:szCs w:val="22"/>
          <w:vertAlign w:val="subscript"/>
          <w:lang w:val="en-GB"/>
        </w:rPr>
        <w:t>tot</w:t>
      </w:r>
      <w:r w:rsidRPr="00792B4F">
        <w:rPr>
          <w:color w:val="000000" w:themeColor="text1"/>
          <w:sz w:val="22"/>
          <w:szCs w:val="22"/>
          <w:lang w:val="en-GB"/>
        </w:rPr>
        <w:t xml:space="preserve"> were </w:t>
      </w:r>
      <w:r w:rsidRPr="002602B4">
        <w:rPr>
          <w:color w:val="000000" w:themeColor="text1"/>
          <w:sz w:val="22"/>
          <w:szCs w:val="22"/>
          <w:lang w:val="en-GB"/>
        </w:rPr>
        <w:t>determined using the</w:t>
      </w:r>
      <w:r w:rsidR="002602B4" w:rsidRPr="002602B4">
        <w:rPr>
          <w:color w:val="000000" w:themeColor="text1"/>
          <w:sz w:val="22"/>
          <w:szCs w:val="22"/>
          <w:lang w:val="en-GB"/>
        </w:rPr>
        <w:t xml:space="preserve"> </w:t>
      </w:r>
      <w:r w:rsidR="002602B4" w:rsidRPr="002602B4">
        <w:rPr>
          <w:sz w:val="22"/>
          <w:szCs w:val="22"/>
          <w:lang w:val="en-GB"/>
        </w:rPr>
        <w:t xml:space="preserve">mPW1PW91 </w:t>
      </w:r>
      <w:proofErr w:type="spellStart"/>
      <w:proofErr w:type="gramStart"/>
      <w:r w:rsidR="002602B4" w:rsidRPr="002602B4">
        <w:rPr>
          <w:sz w:val="22"/>
          <w:szCs w:val="22"/>
          <w:lang w:val="en-GB"/>
        </w:rPr>
        <w:t>iop</w:t>
      </w:r>
      <w:proofErr w:type="spellEnd"/>
      <w:r w:rsidR="002602B4" w:rsidRPr="002602B4">
        <w:rPr>
          <w:sz w:val="22"/>
          <w:szCs w:val="22"/>
          <w:lang w:val="en-GB"/>
        </w:rPr>
        <w:t>(</w:t>
      </w:r>
      <w:proofErr w:type="gramEnd"/>
      <w:r w:rsidR="002602B4" w:rsidRPr="002602B4">
        <w:rPr>
          <w:sz w:val="22"/>
          <w:szCs w:val="22"/>
          <w:lang w:val="en-GB"/>
        </w:rPr>
        <w:t>3/76=0572004280) / gen [S: cc-</w:t>
      </w:r>
      <w:proofErr w:type="spellStart"/>
      <w:r w:rsidR="002602B4" w:rsidRPr="002602B4">
        <w:rPr>
          <w:sz w:val="22"/>
          <w:szCs w:val="22"/>
          <w:lang w:val="en-GB"/>
        </w:rPr>
        <w:t>pvqz</w:t>
      </w:r>
      <w:proofErr w:type="spellEnd"/>
      <w:r w:rsidR="002602B4" w:rsidRPr="002602B4">
        <w:rPr>
          <w:sz w:val="22"/>
          <w:szCs w:val="22"/>
          <w:lang w:val="en-GB"/>
        </w:rPr>
        <w:t>, C and H: 6-31+g(</w:t>
      </w:r>
      <w:proofErr w:type="spellStart"/>
      <w:r w:rsidR="002602B4" w:rsidRPr="002602B4">
        <w:rPr>
          <w:sz w:val="22"/>
          <w:szCs w:val="22"/>
          <w:lang w:val="en-GB"/>
        </w:rPr>
        <w:t>d,p</w:t>
      </w:r>
      <w:proofErr w:type="spellEnd"/>
      <w:r w:rsidR="002602B4" w:rsidRPr="002602B4">
        <w:rPr>
          <w:sz w:val="22"/>
          <w:szCs w:val="22"/>
          <w:lang w:val="en-GB"/>
        </w:rPr>
        <w:t>), N: 6-31+g(2d),  O: cc-</w:t>
      </w:r>
      <w:proofErr w:type="spellStart"/>
      <w:r w:rsidR="002602B4" w:rsidRPr="002602B4">
        <w:rPr>
          <w:sz w:val="22"/>
          <w:szCs w:val="22"/>
          <w:lang w:val="en-GB"/>
        </w:rPr>
        <w:t>pvqz</w:t>
      </w:r>
      <w:proofErr w:type="spellEnd"/>
      <w:r w:rsidR="002602B4">
        <w:rPr>
          <w:sz w:val="22"/>
          <w:szCs w:val="22"/>
          <w:lang w:val="en-GB"/>
        </w:rPr>
        <w:t>] level</w:t>
      </w:r>
      <w:r w:rsidRPr="00792B4F">
        <w:rPr>
          <w:color w:val="000000" w:themeColor="text1"/>
          <w:sz w:val="22"/>
          <w:szCs w:val="22"/>
          <w:lang w:val="en-GB"/>
        </w:rPr>
        <w:t xml:space="preserve"> computational method. The components of these properties, as theoretically c</w:t>
      </w:r>
      <w:r w:rsidR="002602B4">
        <w:rPr>
          <w:color w:val="000000" w:themeColor="text1"/>
          <w:sz w:val="22"/>
          <w:szCs w:val="22"/>
          <w:lang w:val="en-GB"/>
        </w:rPr>
        <w:t>omputed, are detailed in Table 3</w:t>
      </w:r>
      <w:r w:rsidRPr="00792B4F">
        <w:rPr>
          <w:color w:val="000000" w:themeColor="text1"/>
          <w:sz w:val="22"/>
          <w:szCs w:val="22"/>
          <w:lang w:val="en-GB"/>
        </w:rPr>
        <w:t>.</w:t>
      </w:r>
      <w:r w:rsidR="006F07A6">
        <w:rPr>
          <w:color w:val="000000" w:themeColor="text1"/>
          <w:sz w:val="22"/>
          <w:szCs w:val="22"/>
          <w:lang w:val="en-GB"/>
        </w:rPr>
        <w:t xml:space="preserve"> </w:t>
      </w:r>
      <w:r w:rsidR="00944C64" w:rsidRPr="00944C64">
        <w:rPr>
          <w:color w:val="000000" w:themeColor="text1"/>
          <w:sz w:val="22"/>
          <w:szCs w:val="22"/>
          <w:lang w:val="en-GB"/>
        </w:rPr>
        <w:t xml:space="preserve">Average polarizability was calculated as 5, and hyperpolarizability was found to be 24. Average polarizability was calculated as </w:t>
      </w:r>
      <w:r w:rsidR="00944C64" w:rsidRPr="00944C64">
        <w:rPr>
          <w:bCs/>
          <w:sz w:val="22"/>
          <w:szCs w:val="22"/>
          <w:lang w:val="en-GB" w:eastAsia="en-GB"/>
        </w:rPr>
        <w:t>Δα = 244.71 (</w:t>
      </w:r>
      <w:proofErr w:type="spellStart"/>
      <w:r w:rsidR="00944C64" w:rsidRPr="00944C64">
        <w:rPr>
          <w:bCs/>
          <w:sz w:val="22"/>
          <w:szCs w:val="22"/>
          <w:lang w:val="en-GB" w:eastAsia="en-GB"/>
        </w:rPr>
        <w:t>a.u</w:t>
      </w:r>
      <w:proofErr w:type="spellEnd"/>
      <w:r w:rsidR="00944C64" w:rsidRPr="00944C64">
        <w:rPr>
          <w:bCs/>
          <w:sz w:val="22"/>
          <w:szCs w:val="22"/>
          <w:lang w:val="en-GB" w:eastAsia="en-GB"/>
        </w:rPr>
        <w:t>.), Δα= 3.63×10</w:t>
      </w:r>
      <w:r w:rsidR="00944C64" w:rsidRPr="00944C64">
        <w:rPr>
          <w:bCs/>
          <w:sz w:val="22"/>
          <w:szCs w:val="22"/>
          <w:vertAlign w:val="superscript"/>
          <w:lang w:val="en-GB" w:eastAsia="en-GB"/>
        </w:rPr>
        <w:t>−23</w:t>
      </w:r>
      <w:r w:rsidR="00944C64" w:rsidRPr="00944C64">
        <w:rPr>
          <w:bCs/>
          <w:sz w:val="22"/>
          <w:szCs w:val="22"/>
          <w:lang w:val="en-GB" w:eastAsia="en-GB"/>
        </w:rPr>
        <w:t xml:space="preserve"> </w:t>
      </w:r>
      <w:proofErr w:type="spellStart"/>
      <w:r w:rsidR="00944C64" w:rsidRPr="00944C64">
        <w:rPr>
          <w:bCs/>
          <w:sz w:val="22"/>
          <w:szCs w:val="22"/>
          <w:lang w:val="en-GB" w:eastAsia="en-GB"/>
        </w:rPr>
        <w:t>esu</w:t>
      </w:r>
      <w:proofErr w:type="spellEnd"/>
      <w:r w:rsidR="00944C64" w:rsidRPr="00944C64">
        <w:rPr>
          <w:color w:val="000000" w:themeColor="text1"/>
          <w:sz w:val="22"/>
          <w:szCs w:val="22"/>
          <w:lang w:val="en-GB"/>
        </w:rPr>
        <w:t xml:space="preserve"> and </w:t>
      </w:r>
      <w:proofErr w:type="spellStart"/>
      <w:r w:rsidR="00944C64" w:rsidRPr="00944C64">
        <w:rPr>
          <w:color w:val="000000" w:themeColor="text1"/>
          <w:sz w:val="22"/>
          <w:szCs w:val="22"/>
          <w:lang w:val="en-GB"/>
        </w:rPr>
        <w:t>hyperpolarizability</w:t>
      </w:r>
      <w:proofErr w:type="spellEnd"/>
      <w:r w:rsidR="00944C64" w:rsidRPr="00944C64">
        <w:rPr>
          <w:color w:val="000000" w:themeColor="text1"/>
          <w:sz w:val="22"/>
          <w:szCs w:val="22"/>
          <w:lang w:val="en-GB"/>
        </w:rPr>
        <w:t xml:space="preserve"> was found to be</w:t>
      </w:r>
      <w:r w:rsidR="00944C64" w:rsidRPr="00944C64">
        <w:rPr>
          <w:bCs/>
          <w:sz w:val="22"/>
          <w:szCs w:val="22"/>
          <w:lang w:val="en-GB" w:eastAsia="en-GB"/>
        </w:rPr>
        <w:t xml:space="preserve"> </w:t>
      </w:r>
      <w:r w:rsidR="00944C64" w:rsidRPr="00944C64">
        <w:rPr>
          <w:bCs/>
          <w:color w:val="000000"/>
          <w:sz w:val="22"/>
          <w:szCs w:val="22"/>
          <w:lang w:val="en-GB" w:eastAsia="en-GB"/>
        </w:rPr>
        <w:t>β</w:t>
      </w:r>
      <w:r w:rsidR="00944C64" w:rsidRPr="00944C64">
        <w:rPr>
          <w:bCs/>
          <w:color w:val="000000"/>
          <w:sz w:val="22"/>
          <w:szCs w:val="22"/>
          <w:vertAlign w:val="subscript"/>
          <w:lang w:val="en-GB" w:eastAsia="en-GB"/>
        </w:rPr>
        <w:t>tot</w:t>
      </w:r>
      <w:r w:rsidR="00944C64" w:rsidRPr="00944C64">
        <w:rPr>
          <w:bCs/>
          <w:color w:val="000000"/>
          <w:sz w:val="22"/>
          <w:szCs w:val="22"/>
          <w:lang w:val="en-GB" w:eastAsia="en-GB"/>
        </w:rPr>
        <w:t>=237.47 (</w:t>
      </w:r>
      <w:proofErr w:type="spellStart"/>
      <w:r w:rsidR="00944C64" w:rsidRPr="00944C64">
        <w:rPr>
          <w:bCs/>
          <w:color w:val="000000"/>
          <w:sz w:val="22"/>
          <w:szCs w:val="22"/>
          <w:lang w:val="en-GB" w:eastAsia="en-GB"/>
        </w:rPr>
        <w:t>a.u</w:t>
      </w:r>
      <w:proofErr w:type="spellEnd"/>
      <w:r w:rsidR="00944C64" w:rsidRPr="00944C64">
        <w:rPr>
          <w:bCs/>
          <w:color w:val="000000"/>
          <w:sz w:val="22"/>
          <w:szCs w:val="22"/>
          <w:lang w:val="en-GB" w:eastAsia="en-GB"/>
        </w:rPr>
        <w:t>.)</w:t>
      </w:r>
      <w:r w:rsidR="00944C64" w:rsidRPr="00944C64">
        <w:rPr>
          <w:bCs/>
          <w:sz w:val="22"/>
          <w:szCs w:val="22"/>
          <w:lang w:val="en-GB" w:eastAsia="en-GB"/>
        </w:rPr>
        <w:t xml:space="preserve"> and </w:t>
      </w:r>
      <w:r w:rsidR="00944C64" w:rsidRPr="00944C64">
        <w:rPr>
          <w:bCs/>
          <w:color w:val="000000"/>
          <w:sz w:val="22"/>
          <w:szCs w:val="22"/>
          <w:lang w:val="en-GB" w:eastAsia="en-GB"/>
        </w:rPr>
        <w:t>β</w:t>
      </w:r>
      <w:r w:rsidR="00944C64" w:rsidRPr="00944C64">
        <w:rPr>
          <w:bCs/>
          <w:color w:val="000000"/>
          <w:sz w:val="22"/>
          <w:szCs w:val="22"/>
          <w:vertAlign w:val="subscript"/>
          <w:lang w:val="en-GB" w:eastAsia="en-GB"/>
        </w:rPr>
        <w:t>tot</w:t>
      </w:r>
      <w:r w:rsidR="00944C64" w:rsidRPr="00944C64">
        <w:rPr>
          <w:bCs/>
          <w:color w:val="000000"/>
          <w:sz w:val="22"/>
          <w:szCs w:val="22"/>
          <w:lang w:val="en-GB" w:eastAsia="en-GB"/>
        </w:rPr>
        <w:t xml:space="preserve"> = 20.52×10</w:t>
      </w:r>
      <w:r w:rsidR="00944C64" w:rsidRPr="00944C64">
        <w:rPr>
          <w:bCs/>
          <w:color w:val="000000"/>
          <w:sz w:val="22"/>
          <w:szCs w:val="22"/>
          <w:vertAlign w:val="superscript"/>
          <w:lang w:val="en-GB" w:eastAsia="en-GB"/>
        </w:rPr>
        <w:t>−31</w:t>
      </w:r>
      <w:r w:rsidR="00944C64" w:rsidRPr="00944C64">
        <w:rPr>
          <w:bCs/>
          <w:color w:val="000000"/>
          <w:sz w:val="22"/>
          <w:szCs w:val="22"/>
          <w:lang w:val="en-GB" w:eastAsia="en-GB"/>
        </w:rPr>
        <w:t xml:space="preserve"> </w:t>
      </w:r>
      <w:proofErr w:type="spellStart"/>
      <w:r w:rsidR="00944C64" w:rsidRPr="00944C64">
        <w:rPr>
          <w:bCs/>
          <w:color w:val="000000"/>
          <w:sz w:val="22"/>
          <w:szCs w:val="22"/>
          <w:lang w:val="en-GB" w:eastAsia="en-GB"/>
        </w:rPr>
        <w:t>esu</w:t>
      </w:r>
      <w:proofErr w:type="spellEnd"/>
      <w:r w:rsidR="00944C64" w:rsidRPr="00944C64">
        <w:rPr>
          <w:bCs/>
          <w:color w:val="000000"/>
          <w:sz w:val="22"/>
          <w:szCs w:val="22"/>
          <w:lang w:val="en-GB" w:eastAsia="en-GB"/>
        </w:rPr>
        <w:t>.</w:t>
      </w:r>
      <w:r w:rsidR="002F3CB4">
        <w:rPr>
          <w:bCs/>
          <w:color w:val="000000"/>
          <w:sz w:val="22"/>
          <w:szCs w:val="22"/>
          <w:lang w:val="en-GB" w:eastAsia="en-GB"/>
        </w:rPr>
        <w:t xml:space="preserve"> </w:t>
      </w:r>
      <w:r w:rsidR="002F3CB4" w:rsidRPr="002F3CB4">
        <w:rPr>
          <w:bCs/>
          <w:color w:val="000000"/>
          <w:sz w:val="22"/>
          <w:szCs w:val="22"/>
          <w:lang w:val="en-GB" w:eastAsia="en-GB"/>
        </w:rPr>
        <w:t xml:space="preserve">Table </w:t>
      </w:r>
      <w:r w:rsidR="002F3CB4">
        <w:rPr>
          <w:bCs/>
          <w:color w:val="000000"/>
          <w:sz w:val="22"/>
          <w:szCs w:val="22"/>
          <w:lang w:val="en-GB" w:eastAsia="en-GB"/>
        </w:rPr>
        <w:t>3</w:t>
      </w:r>
      <w:r w:rsidR="002F3CB4" w:rsidRPr="002F3CB4">
        <w:rPr>
          <w:bCs/>
          <w:color w:val="000000"/>
          <w:sz w:val="22"/>
          <w:szCs w:val="22"/>
          <w:lang w:val="en-GB" w:eastAsia="en-GB"/>
        </w:rPr>
        <w:t xml:space="preserve"> clearly illustrates that the </w:t>
      </w:r>
      <w:proofErr w:type="spellStart"/>
      <w:r w:rsidR="002F3CB4" w:rsidRPr="002F3CB4">
        <w:rPr>
          <w:bCs/>
          <w:color w:val="000000"/>
          <w:sz w:val="22"/>
          <w:szCs w:val="22"/>
          <w:lang w:val="en-GB" w:eastAsia="en-GB"/>
        </w:rPr>
        <w:t>hyperpolarizability</w:t>
      </w:r>
      <w:proofErr w:type="spellEnd"/>
      <w:r w:rsidR="002F3CB4" w:rsidRPr="002F3CB4">
        <w:rPr>
          <w:bCs/>
          <w:color w:val="000000"/>
          <w:sz w:val="22"/>
          <w:szCs w:val="22"/>
          <w:lang w:val="en-GB" w:eastAsia="en-GB"/>
        </w:rPr>
        <w:t xml:space="preserve"> is influenced by the x value.</w:t>
      </w:r>
    </w:p>
    <w:p w14:paraId="5C421C79" w14:textId="5C9F4419" w:rsidR="00106F1A" w:rsidRPr="00BA1754" w:rsidRDefault="00BA1754" w:rsidP="00BA1754">
      <w:pPr>
        <w:tabs>
          <w:tab w:val="left" w:pos="426"/>
        </w:tabs>
        <w:autoSpaceDE w:val="0"/>
        <w:autoSpaceDN w:val="0"/>
        <w:adjustRightInd w:val="0"/>
        <w:spacing w:before="120" w:after="120" w:line="276" w:lineRule="auto"/>
        <w:jc w:val="both"/>
        <w:rPr>
          <w:color w:val="000000" w:themeColor="text1"/>
          <w:sz w:val="22"/>
          <w:szCs w:val="22"/>
          <w:lang w:val="en-GB"/>
        </w:rPr>
      </w:pPr>
      <w:r w:rsidRPr="00BA1754">
        <w:rPr>
          <w:b/>
          <w:sz w:val="20"/>
          <w:szCs w:val="20"/>
          <w:lang w:val="en-GB"/>
        </w:rPr>
        <w:t>Table 3.</w:t>
      </w:r>
      <w:r w:rsidRPr="00BA1754">
        <w:rPr>
          <w:sz w:val="20"/>
          <w:szCs w:val="20"/>
          <w:lang w:val="en-GB"/>
        </w:rPr>
        <w:t xml:space="preserve"> The calculated</w:t>
      </w:r>
      <w:r>
        <w:rPr>
          <w:sz w:val="20"/>
          <w:szCs w:val="20"/>
          <w:lang w:val="en-GB"/>
        </w:rPr>
        <w:t xml:space="preserve"> </w:t>
      </w:r>
      <w:r w:rsidRPr="00BA1754">
        <w:rPr>
          <w:sz w:val="20"/>
          <w:szCs w:val="20"/>
          <w:lang w:val="en-GB"/>
        </w:rPr>
        <w:t>electric dipole moment</w:t>
      </w:r>
      <w:r w:rsidR="00232633">
        <w:rPr>
          <w:sz w:val="20"/>
          <w:szCs w:val="20"/>
          <w:lang w:val="en-GB"/>
        </w:rPr>
        <w:t xml:space="preserve"> (</w:t>
      </w:r>
      <w:r w:rsidR="00232633" w:rsidRPr="00232633">
        <w:rPr>
          <w:rFonts w:ascii="Symbol" w:hAnsi="Symbol"/>
          <w:sz w:val="20"/>
          <w:szCs w:val="20"/>
          <w:lang w:val="en-GB"/>
        </w:rPr>
        <w:t></w:t>
      </w:r>
      <w:r w:rsidR="00232633">
        <w:rPr>
          <w:sz w:val="20"/>
          <w:szCs w:val="20"/>
          <w:lang w:val="en-GB"/>
        </w:rPr>
        <w:t>)</w:t>
      </w:r>
      <w:r w:rsidRPr="00BA1754">
        <w:rPr>
          <w:sz w:val="20"/>
          <w:szCs w:val="20"/>
          <w:lang w:val="en-GB"/>
        </w:rPr>
        <w:t>, the average polarizability</w:t>
      </w:r>
      <w:r w:rsidR="00232633">
        <w:rPr>
          <w:sz w:val="20"/>
          <w:szCs w:val="20"/>
          <w:lang w:val="en-GB"/>
        </w:rPr>
        <w:t xml:space="preserve"> (</w:t>
      </w:r>
      <w:r w:rsidR="00232633" w:rsidRPr="00232633">
        <w:rPr>
          <w:sz w:val="20"/>
          <w:szCs w:val="20"/>
          <w:lang w:val="en-GB"/>
        </w:rPr>
        <w:t>Δα</w:t>
      </w:r>
      <w:r w:rsidR="00232633">
        <w:rPr>
          <w:sz w:val="20"/>
          <w:szCs w:val="20"/>
          <w:lang w:val="en-GB"/>
        </w:rPr>
        <w:t>)</w:t>
      </w:r>
      <w:r w:rsidRPr="00BA1754">
        <w:rPr>
          <w:sz w:val="20"/>
          <w:szCs w:val="20"/>
          <w:lang w:val="en-GB"/>
        </w:rPr>
        <w:t xml:space="preserve"> and </w:t>
      </w:r>
      <w:proofErr w:type="spellStart"/>
      <w:r w:rsidRPr="00BA1754">
        <w:rPr>
          <w:sz w:val="20"/>
          <w:szCs w:val="20"/>
          <w:lang w:val="en-GB"/>
        </w:rPr>
        <w:t>hyperpolarizability</w:t>
      </w:r>
      <w:proofErr w:type="spellEnd"/>
      <w:r w:rsidR="00232633">
        <w:rPr>
          <w:sz w:val="20"/>
          <w:szCs w:val="20"/>
          <w:lang w:val="en-GB"/>
        </w:rPr>
        <w:t xml:space="preserve"> (</w:t>
      </w:r>
      <w:r w:rsidR="00232633" w:rsidRPr="00232633">
        <w:rPr>
          <w:sz w:val="20"/>
          <w:szCs w:val="20"/>
          <w:lang w:val="en-GB"/>
        </w:rPr>
        <w:t>β</w:t>
      </w:r>
      <w:r w:rsidR="00232633">
        <w:rPr>
          <w:sz w:val="20"/>
          <w:szCs w:val="20"/>
          <w:lang w:val="en-GB"/>
        </w:rPr>
        <w:t>)</w:t>
      </w:r>
      <w:r w:rsidRPr="00BA1754">
        <w:rPr>
          <w:sz w:val="20"/>
          <w:szCs w:val="20"/>
          <w:lang w:val="en-GB"/>
        </w:rPr>
        <w:t xml:space="preserve"> of the comp</w:t>
      </w:r>
      <w:r>
        <w:rPr>
          <w:sz w:val="20"/>
          <w:szCs w:val="20"/>
          <w:lang w:val="en-GB"/>
        </w:rPr>
        <w:t>ound.</w:t>
      </w:r>
    </w:p>
    <w:tbl>
      <w:tblPr>
        <w:tblW w:w="5511" w:type="dxa"/>
        <w:tblLook w:val="04A0" w:firstRow="1" w:lastRow="0" w:firstColumn="1" w:lastColumn="0" w:noHBand="0" w:noVBand="1"/>
      </w:tblPr>
      <w:tblGrid>
        <w:gridCol w:w="1660"/>
        <w:gridCol w:w="960"/>
        <w:gridCol w:w="271"/>
        <w:gridCol w:w="1660"/>
        <w:gridCol w:w="960"/>
      </w:tblGrid>
      <w:tr w:rsidR="005D7C6A" w:rsidRPr="005D7C6A" w14:paraId="45704AB8" w14:textId="77777777" w:rsidTr="00BA1754">
        <w:trPr>
          <w:trHeight w:val="300"/>
        </w:trPr>
        <w:tc>
          <w:tcPr>
            <w:tcW w:w="1660" w:type="dxa"/>
            <w:tcBorders>
              <w:top w:val="single" w:sz="4" w:space="0" w:color="auto"/>
              <w:left w:val="nil"/>
              <w:bottom w:val="single" w:sz="4" w:space="0" w:color="auto"/>
              <w:right w:val="nil"/>
            </w:tcBorders>
            <w:shd w:val="clear" w:color="auto" w:fill="auto"/>
            <w:noWrap/>
            <w:vAlign w:val="center"/>
            <w:hideMark/>
          </w:tcPr>
          <w:p w14:paraId="4B483E04"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µ</w:t>
            </w:r>
          </w:p>
        </w:tc>
        <w:tc>
          <w:tcPr>
            <w:tcW w:w="960" w:type="dxa"/>
            <w:tcBorders>
              <w:top w:val="single" w:sz="4" w:space="0" w:color="auto"/>
              <w:left w:val="nil"/>
              <w:bottom w:val="single" w:sz="4" w:space="0" w:color="auto"/>
              <w:right w:val="nil"/>
            </w:tcBorders>
            <w:shd w:val="clear" w:color="auto" w:fill="auto"/>
            <w:noWrap/>
            <w:vAlign w:val="center"/>
            <w:hideMark/>
          </w:tcPr>
          <w:p w14:paraId="2D7FF28D"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 </w:t>
            </w:r>
          </w:p>
        </w:tc>
        <w:tc>
          <w:tcPr>
            <w:tcW w:w="271" w:type="dxa"/>
            <w:tcBorders>
              <w:top w:val="single" w:sz="4" w:space="0" w:color="auto"/>
              <w:left w:val="nil"/>
              <w:bottom w:val="single" w:sz="4" w:space="0" w:color="auto"/>
              <w:right w:val="nil"/>
            </w:tcBorders>
            <w:shd w:val="clear" w:color="auto" w:fill="auto"/>
            <w:noWrap/>
            <w:vAlign w:val="bottom"/>
            <w:hideMark/>
          </w:tcPr>
          <w:p w14:paraId="2088CF8F" w14:textId="77777777" w:rsidR="005D7C6A" w:rsidRPr="005D7C6A" w:rsidRDefault="005D7C6A" w:rsidP="005D7C6A">
            <w:pPr>
              <w:rPr>
                <w:color w:val="000000"/>
                <w:sz w:val="22"/>
                <w:szCs w:val="22"/>
                <w:lang w:val="en-GB" w:eastAsia="en-GB"/>
              </w:rPr>
            </w:pPr>
            <w:r w:rsidRPr="005D7C6A">
              <w:rPr>
                <w:color w:val="000000"/>
                <w:sz w:val="22"/>
                <w:szCs w:val="22"/>
                <w:lang w:val="en-GB" w:eastAsia="en-GB"/>
              </w:rPr>
              <w:t> </w:t>
            </w:r>
          </w:p>
        </w:tc>
        <w:tc>
          <w:tcPr>
            <w:tcW w:w="1660" w:type="dxa"/>
            <w:tcBorders>
              <w:top w:val="single" w:sz="4" w:space="0" w:color="auto"/>
              <w:left w:val="nil"/>
              <w:bottom w:val="single" w:sz="4" w:space="0" w:color="auto"/>
              <w:right w:val="nil"/>
            </w:tcBorders>
            <w:shd w:val="clear" w:color="auto" w:fill="auto"/>
            <w:noWrap/>
            <w:vAlign w:val="center"/>
            <w:hideMark/>
          </w:tcPr>
          <w:p w14:paraId="3B8F6D9A"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β</w:t>
            </w:r>
          </w:p>
        </w:tc>
        <w:tc>
          <w:tcPr>
            <w:tcW w:w="960" w:type="dxa"/>
            <w:tcBorders>
              <w:top w:val="single" w:sz="4" w:space="0" w:color="auto"/>
              <w:left w:val="nil"/>
              <w:bottom w:val="single" w:sz="4" w:space="0" w:color="auto"/>
              <w:right w:val="nil"/>
            </w:tcBorders>
            <w:shd w:val="clear" w:color="auto" w:fill="auto"/>
            <w:noWrap/>
            <w:vAlign w:val="bottom"/>
            <w:hideMark/>
          </w:tcPr>
          <w:p w14:paraId="086C7FD2" w14:textId="77777777" w:rsidR="005D7C6A" w:rsidRPr="005D7C6A" w:rsidRDefault="005D7C6A" w:rsidP="005D7C6A">
            <w:pPr>
              <w:rPr>
                <w:color w:val="000000"/>
                <w:sz w:val="22"/>
                <w:szCs w:val="22"/>
                <w:lang w:val="en-GB" w:eastAsia="en-GB"/>
              </w:rPr>
            </w:pPr>
            <w:r w:rsidRPr="005D7C6A">
              <w:rPr>
                <w:color w:val="000000"/>
                <w:sz w:val="22"/>
                <w:szCs w:val="22"/>
                <w:lang w:val="en-GB" w:eastAsia="en-GB"/>
              </w:rPr>
              <w:t> </w:t>
            </w:r>
          </w:p>
        </w:tc>
      </w:tr>
      <w:tr w:rsidR="005D7C6A" w:rsidRPr="005D7C6A" w14:paraId="5C89C13F" w14:textId="77777777" w:rsidTr="00BA1754">
        <w:trPr>
          <w:trHeight w:val="300"/>
        </w:trPr>
        <w:tc>
          <w:tcPr>
            <w:tcW w:w="1660" w:type="dxa"/>
            <w:tcBorders>
              <w:top w:val="nil"/>
              <w:left w:val="nil"/>
              <w:bottom w:val="nil"/>
              <w:right w:val="nil"/>
            </w:tcBorders>
            <w:shd w:val="clear" w:color="auto" w:fill="auto"/>
            <w:noWrap/>
            <w:vAlign w:val="center"/>
            <w:hideMark/>
          </w:tcPr>
          <w:p w14:paraId="7FEF4DDB"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µx</w:t>
            </w:r>
          </w:p>
        </w:tc>
        <w:tc>
          <w:tcPr>
            <w:tcW w:w="960" w:type="dxa"/>
            <w:tcBorders>
              <w:top w:val="nil"/>
              <w:left w:val="nil"/>
              <w:bottom w:val="nil"/>
              <w:right w:val="nil"/>
            </w:tcBorders>
            <w:shd w:val="clear" w:color="auto" w:fill="auto"/>
            <w:noWrap/>
            <w:vAlign w:val="center"/>
            <w:hideMark/>
          </w:tcPr>
          <w:p w14:paraId="1A8AC2AC"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0.60</w:t>
            </w:r>
          </w:p>
        </w:tc>
        <w:tc>
          <w:tcPr>
            <w:tcW w:w="271" w:type="dxa"/>
            <w:tcBorders>
              <w:top w:val="nil"/>
              <w:left w:val="nil"/>
              <w:bottom w:val="nil"/>
              <w:right w:val="nil"/>
            </w:tcBorders>
            <w:shd w:val="clear" w:color="auto" w:fill="auto"/>
            <w:noWrap/>
            <w:vAlign w:val="bottom"/>
            <w:hideMark/>
          </w:tcPr>
          <w:p w14:paraId="585AFA8D"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354AEAA9"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βxxx</w:t>
            </w:r>
          </w:p>
        </w:tc>
        <w:tc>
          <w:tcPr>
            <w:tcW w:w="960" w:type="dxa"/>
            <w:tcBorders>
              <w:top w:val="nil"/>
              <w:left w:val="nil"/>
              <w:bottom w:val="nil"/>
              <w:right w:val="nil"/>
            </w:tcBorders>
            <w:shd w:val="clear" w:color="auto" w:fill="auto"/>
            <w:vAlign w:val="center"/>
            <w:hideMark/>
          </w:tcPr>
          <w:p w14:paraId="16191D67"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93.18</w:t>
            </w:r>
          </w:p>
        </w:tc>
      </w:tr>
      <w:tr w:rsidR="005D7C6A" w:rsidRPr="005D7C6A" w14:paraId="6101CDA1" w14:textId="77777777" w:rsidTr="00BA1754">
        <w:trPr>
          <w:trHeight w:val="300"/>
        </w:trPr>
        <w:tc>
          <w:tcPr>
            <w:tcW w:w="1660" w:type="dxa"/>
            <w:tcBorders>
              <w:top w:val="nil"/>
              <w:left w:val="nil"/>
              <w:bottom w:val="nil"/>
              <w:right w:val="nil"/>
            </w:tcBorders>
            <w:shd w:val="clear" w:color="auto" w:fill="auto"/>
            <w:noWrap/>
            <w:vAlign w:val="center"/>
            <w:hideMark/>
          </w:tcPr>
          <w:p w14:paraId="2BC77D02"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µy</w:t>
            </w:r>
          </w:p>
        </w:tc>
        <w:tc>
          <w:tcPr>
            <w:tcW w:w="960" w:type="dxa"/>
            <w:tcBorders>
              <w:top w:val="nil"/>
              <w:left w:val="nil"/>
              <w:bottom w:val="nil"/>
              <w:right w:val="nil"/>
            </w:tcBorders>
            <w:shd w:val="clear" w:color="auto" w:fill="auto"/>
            <w:noWrap/>
            <w:vAlign w:val="center"/>
            <w:hideMark/>
          </w:tcPr>
          <w:p w14:paraId="1F137784"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-1.55</w:t>
            </w:r>
          </w:p>
        </w:tc>
        <w:tc>
          <w:tcPr>
            <w:tcW w:w="271" w:type="dxa"/>
            <w:tcBorders>
              <w:top w:val="nil"/>
              <w:left w:val="nil"/>
              <w:bottom w:val="nil"/>
              <w:right w:val="nil"/>
            </w:tcBorders>
            <w:shd w:val="clear" w:color="auto" w:fill="auto"/>
            <w:noWrap/>
            <w:vAlign w:val="bottom"/>
            <w:hideMark/>
          </w:tcPr>
          <w:p w14:paraId="48DCC8DC"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59128BD1"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β</w:t>
            </w:r>
            <w:proofErr w:type="spellStart"/>
            <w:r w:rsidRPr="005D7C6A">
              <w:rPr>
                <w:i/>
                <w:iCs/>
                <w:color w:val="000000"/>
                <w:sz w:val="22"/>
                <w:szCs w:val="22"/>
                <w:lang w:val="en-GB" w:eastAsia="en-GB"/>
              </w:rPr>
              <w:t>xxy</w:t>
            </w:r>
            <w:proofErr w:type="spellEnd"/>
          </w:p>
        </w:tc>
        <w:tc>
          <w:tcPr>
            <w:tcW w:w="960" w:type="dxa"/>
            <w:tcBorders>
              <w:top w:val="nil"/>
              <w:left w:val="nil"/>
              <w:bottom w:val="nil"/>
              <w:right w:val="nil"/>
            </w:tcBorders>
            <w:shd w:val="clear" w:color="auto" w:fill="auto"/>
            <w:vAlign w:val="center"/>
            <w:hideMark/>
          </w:tcPr>
          <w:p w14:paraId="378AC058"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58.12</w:t>
            </w:r>
          </w:p>
        </w:tc>
      </w:tr>
      <w:tr w:rsidR="005D7C6A" w:rsidRPr="005D7C6A" w14:paraId="6AA53556" w14:textId="77777777" w:rsidTr="00BA1754">
        <w:trPr>
          <w:trHeight w:val="300"/>
        </w:trPr>
        <w:tc>
          <w:tcPr>
            <w:tcW w:w="1660" w:type="dxa"/>
            <w:tcBorders>
              <w:top w:val="nil"/>
              <w:left w:val="nil"/>
              <w:bottom w:val="nil"/>
              <w:right w:val="nil"/>
            </w:tcBorders>
            <w:shd w:val="clear" w:color="auto" w:fill="auto"/>
            <w:noWrap/>
            <w:vAlign w:val="center"/>
            <w:hideMark/>
          </w:tcPr>
          <w:p w14:paraId="1D3A7547"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µz</w:t>
            </w:r>
          </w:p>
        </w:tc>
        <w:tc>
          <w:tcPr>
            <w:tcW w:w="960" w:type="dxa"/>
            <w:tcBorders>
              <w:top w:val="nil"/>
              <w:left w:val="nil"/>
              <w:bottom w:val="nil"/>
              <w:right w:val="nil"/>
            </w:tcBorders>
            <w:shd w:val="clear" w:color="auto" w:fill="auto"/>
            <w:noWrap/>
            <w:vAlign w:val="center"/>
            <w:hideMark/>
          </w:tcPr>
          <w:p w14:paraId="66B1EBD3"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0.08</w:t>
            </w:r>
          </w:p>
        </w:tc>
        <w:tc>
          <w:tcPr>
            <w:tcW w:w="271" w:type="dxa"/>
            <w:tcBorders>
              <w:top w:val="nil"/>
              <w:left w:val="nil"/>
              <w:bottom w:val="nil"/>
              <w:right w:val="nil"/>
            </w:tcBorders>
            <w:shd w:val="clear" w:color="auto" w:fill="auto"/>
            <w:noWrap/>
            <w:vAlign w:val="bottom"/>
            <w:hideMark/>
          </w:tcPr>
          <w:p w14:paraId="52B0DEFC"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66674183"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β</w:t>
            </w:r>
            <w:proofErr w:type="spellStart"/>
            <w:r w:rsidRPr="005D7C6A">
              <w:rPr>
                <w:i/>
                <w:iCs/>
                <w:color w:val="000000"/>
                <w:sz w:val="22"/>
                <w:szCs w:val="22"/>
                <w:lang w:val="en-GB" w:eastAsia="en-GB"/>
              </w:rPr>
              <w:t>xyy</w:t>
            </w:r>
            <w:proofErr w:type="spellEnd"/>
          </w:p>
        </w:tc>
        <w:tc>
          <w:tcPr>
            <w:tcW w:w="960" w:type="dxa"/>
            <w:tcBorders>
              <w:top w:val="nil"/>
              <w:left w:val="nil"/>
              <w:bottom w:val="nil"/>
              <w:right w:val="nil"/>
            </w:tcBorders>
            <w:shd w:val="clear" w:color="auto" w:fill="auto"/>
            <w:vAlign w:val="center"/>
            <w:hideMark/>
          </w:tcPr>
          <w:p w14:paraId="224921DF"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83.36</w:t>
            </w:r>
          </w:p>
        </w:tc>
      </w:tr>
      <w:tr w:rsidR="005D7C6A" w:rsidRPr="005D7C6A" w14:paraId="7F303CD0" w14:textId="77777777" w:rsidTr="00BA1754">
        <w:trPr>
          <w:trHeight w:val="300"/>
        </w:trPr>
        <w:tc>
          <w:tcPr>
            <w:tcW w:w="1660" w:type="dxa"/>
            <w:tcBorders>
              <w:top w:val="nil"/>
              <w:left w:val="nil"/>
              <w:bottom w:val="nil"/>
              <w:right w:val="nil"/>
            </w:tcBorders>
            <w:shd w:val="clear" w:color="auto" w:fill="auto"/>
            <w:noWrap/>
            <w:vAlign w:val="center"/>
            <w:hideMark/>
          </w:tcPr>
          <w:p w14:paraId="5EFC0F77" w14:textId="77777777" w:rsidR="005D7C6A" w:rsidRPr="005D7C6A" w:rsidRDefault="005D7C6A" w:rsidP="005D7C6A">
            <w:pPr>
              <w:jc w:val="right"/>
              <w:rPr>
                <w:b/>
                <w:bCs/>
                <w:i/>
                <w:iCs/>
                <w:color w:val="000000"/>
                <w:sz w:val="22"/>
                <w:szCs w:val="22"/>
                <w:lang w:val="en-GB" w:eastAsia="en-GB"/>
              </w:rPr>
            </w:pPr>
            <w:r w:rsidRPr="005D7C6A">
              <w:rPr>
                <w:b/>
                <w:bCs/>
                <w:i/>
                <w:iCs/>
                <w:color w:val="000000"/>
                <w:sz w:val="22"/>
                <w:szCs w:val="22"/>
                <w:lang w:val="en-GB" w:eastAsia="en-GB"/>
              </w:rPr>
              <w:t>µ (D)</w:t>
            </w:r>
          </w:p>
        </w:tc>
        <w:tc>
          <w:tcPr>
            <w:tcW w:w="960" w:type="dxa"/>
            <w:tcBorders>
              <w:top w:val="nil"/>
              <w:left w:val="nil"/>
              <w:bottom w:val="nil"/>
              <w:right w:val="nil"/>
            </w:tcBorders>
            <w:shd w:val="clear" w:color="auto" w:fill="auto"/>
            <w:noWrap/>
            <w:vAlign w:val="center"/>
            <w:hideMark/>
          </w:tcPr>
          <w:p w14:paraId="06EA1F4D"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1.67</w:t>
            </w:r>
          </w:p>
        </w:tc>
        <w:tc>
          <w:tcPr>
            <w:tcW w:w="271" w:type="dxa"/>
            <w:tcBorders>
              <w:top w:val="nil"/>
              <w:left w:val="nil"/>
              <w:bottom w:val="nil"/>
              <w:right w:val="nil"/>
            </w:tcBorders>
            <w:shd w:val="clear" w:color="auto" w:fill="auto"/>
            <w:noWrap/>
            <w:vAlign w:val="bottom"/>
            <w:hideMark/>
          </w:tcPr>
          <w:p w14:paraId="5EBF82FF" w14:textId="77777777" w:rsidR="005D7C6A" w:rsidRPr="005D7C6A" w:rsidRDefault="005D7C6A" w:rsidP="005D7C6A">
            <w:pPr>
              <w:jc w:val="right"/>
              <w:rPr>
                <w:b/>
                <w:bCs/>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7411490D"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β</w:t>
            </w:r>
            <w:proofErr w:type="spellStart"/>
            <w:r w:rsidRPr="005D7C6A">
              <w:rPr>
                <w:i/>
                <w:iCs/>
                <w:color w:val="000000"/>
                <w:sz w:val="22"/>
                <w:szCs w:val="22"/>
                <w:lang w:val="en-GB" w:eastAsia="en-GB"/>
              </w:rPr>
              <w:t>yyy</w:t>
            </w:r>
            <w:proofErr w:type="spellEnd"/>
          </w:p>
        </w:tc>
        <w:tc>
          <w:tcPr>
            <w:tcW w:w="960" w:type="dxa"/>
            <w:tcBorders>
              <w:top w:val="nil"/>
              <w:left w:val="nil"/>
              <w:bottom w:val="nil"/>
              <w:right w:val="nil"/>
            </w:tcBorders>
            <w:shd w:val="clear" w:color="auto" w:fill="auto"/>
            <w:vAlign w:val="center"/>
            <w:hideMark/>
          </w:tcPr>
          <w:p w14:paraId="562C5E73"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-47.19</w:t>
            </w:r>
          </w:p>
        </w:tc>
      </w:tr>
      <w:tr w:rsidR="005D7C6A" w:rsidRPr="005D7C6A" w14:paraId="6AE93C16" w14:textId="77777777" w:rsidTr="00BA1754">
        <w:trPr>
          <w:trHeight w:val="300"/>
        </w:trPr>
        <w:tc>
          <w:tcPr>
            <w:tcW w:w="1660" w:type="dxa"/>
            <w:tcBorders>
              <w:top w:val="single" w:sz="4" w:space="0" w:color="auto"/>
              <w:left w:val="nil"/>
              <w:bottom w:val="single" w:sz="4" w:space="0" w:color="auto"/>
              <w:right w:val="nil"/>
            </w:tcBorders>
            <w:shd w:val="clear" w:color="auto" w:fill="auto"/>
            <w:noWrap/>
            <w:vAlign w:val="center"/>
            <w:hideMark/>
          </w:tcPr>
          <w:p w14:paraId="7899EBFF" w14:textId="77777777" w:rsidR="005D7C6A" w:rsidRPr="005D7C6A" w:rsidRDefault="005D7C6A" w:rsidP="005D7C6A">
            <w:pPr>
              <w:jc w:val="right"/>
              <w:rPr>
                <w:b/>
                <w:bCs/>
                <w:sz w:val="22"/>
                <w:szCs w:val="22"/>
                <w:lang w:val="en-GB" w:eastAsia="en-GB"/>
              </w:rPr>
            </w:pPr>
            <w:r w:rsidRPr="005D7C6A">
              <w:rPr>
                <w:b/>
                <w:bCs/>
                <w:sz w:val="22"/>
                <w:szCs w:val="22"/>
                <w:lang w:val="en-GB" w:eastAsia="en-GB"/>
              </w:rPr>
              <w:t>α</w:t>
            </w:r>
          </w:p>
        </w:tc>
        <w:tc>
          <w:tcPr>
            <w:tcW w:w="960" w:type="dxa"/>
            <w:tcBorders>
              <w:top w:val="single" w:sz="4" w:space="0" w:color="auto"/>
              <w:left w:val="nil"/>
              <w:bottom w:val="single" w:sz="4" w:space="0" w:color="auto"/>
              <w:right w:val="nil"/>
            </w:tcBorders>
            <w:shd w:val="clear" w:color="auto" w:fill="auto"/>
            <w:noWrap/>
            <w:vAlign w:val="bottom"/>
            <w:hideMark/>
          </w:tcPr>
          <w:p w14:paraId="43FFA054" w14:textId="77777777" w:rsidR="005D7C6A" w:rsidRPr="005D7C6A" w:rsidRDefault="005D7C6A" w:rsidP="005D7C6A">
            <w:pPr>
              <w:rPr>
                <w:color w:val="000000"/>
                <w:sz w:val="22"/>
                <w:szCs w:val="22"/>
                <w:lang w:val="en-GB" w:eastAsia="en-GB"/>
              </w:rPr>
            </w:pPr>
            <w:r w:rsidRPr="005D7C6A">
              <w:rPr>
                <w:color w:val="000000"/>
                <w:sz w:val="22"/>
                <w:szCs w:val="22"/>
                <w:lang w:val="en-GB" w:eastAsia="en-GB"/>
              </w:rPr>
              <w:t> </w:t>
            </w:r>
          </w:p>
        </w:tc>
        <w:tc>
          <w:tcPr>
            <w:tcW w:w="271" w:type="dxa"/>
            <w:tcBorders>
              <w:top w:val="nil"/>
              <w:left w:val="nil"/>
              <w:bottom w:val="nil"/>
              <w:right w:val="nil"/>
            </w:tcBorders>
            <w:shd w:val="clear" w:color="auto" w:fill="auto"/>
            <w:noWrap/>
            <w:vAlign w:val="bottom"/>
            <w:hideMark/>
          </w:tcPr>
          <w:p w14:paraId="40B698BF" w14:textId="77777777" w:rsidR="005D7C6A" w:rsidRPr="005D7C6A" w:rsidRDefault="005D7C6A" w:rsidP="005D7C6A">
            <w:pPr>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380EB63F"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β</w:t>
            </w:r>
            <w:proofErr w:type="spellStart"/>
            <w:r w:rsidRPr="005D7C6A">
              <w:rPr>
                <w:i/>
                <w:iCs/>
                <w:color w:val="000000"/>
                <w:sz w:val="22"/>
                <w:szCs w:val="22"/>
                <w:lang w:val="en-GB" w:eastAsia="en-GB"/>
              </w:rPr>
              <w:t>xxz</w:t>
            </w:r>
            <w:proofErr w:type="spellEnd"/>
          </w:p>
        </w:tc>
        <w:tc>
          <w:tcPr>
            <w:tcW w:w="960" w:type="dxa"/>
            <w:tcBorders>
              <w:top w:val="nil"/>
              <w:left w:val="nil"/>
              <w:bottom w:val="nil"/>
              <w:right w:val="nil"/>
            </w:tcBorders>
            <w:shd w:val="clear" w:color="auto" w:fill="auto"/>
            <w:vAlign w:val="center"/>
            <w:hideMark/>
          </w:tcPr>
          <w:p w14:paraId="27726714"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-3.43</w:t>
            </w:r>
          </w:p>
        </w:tc>
      </w:tr>
      <w:tr w:rsidR="005D7C6A" w:rsidRPr="005D7C6A" w14:paraId="1EEC25BA" w14:textId="77777777" w:rsidTr="00BA1754">
        <w:trPr>
          <w:trHeight w:val="300"/>
        </w:trPr>
        <w:tc>
          <w:tcPr>
            <w:tcW w:w="1660" w:type="dxa"/>
            <w:tcBorders>
              <w:top w:val="nil"/>
              <w:left w:val="nil"/>
              <w:bottom w:val="nil"/>
              <w:right w:val="nil"/>
            </w:tcBorders>
            <w:shd w:val="clear" w:color="auto" w:fill="auto"/>
            <w:noWrap/>
            <w:vAlign w:val="center"/>
            <w:hideMark/>
          </w:tcPr>
          <w:p w14:paraId="10B2FF52"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αxx</w:t>
            </w:r>
          </w:p>
        </w:tc>
        <w:tc>
          <w:tcPr>
            <w:tcW w:w="960" w:type="dxa"/>
            <w:tcBorders>
              <w:top w:val="nil"/>
              <w:left w:val="nil"/>
              <w:bottom w:val="nil"/>
              <w:right w:val="nil"/>
            </w:tcBorders>
            <w:shd w:val="clear" w:color="auto" w:fill="auto"/>
            <w:vAlign w:val="center"/>
            <w:hideMark/>
          </w:tcPr>
          <w:p w14:paraId="3DF9B2D9"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137.07</w:t>
            </w:r>
          </w:p>
        </w:tc>
        <w:tc>
          <w:tcPr>
            <w:tcW w:w="271" w:type="dxa"/>
            <w:tcBorders>
              <w:top w:val="nil"/>
              <w:left w:val="nil"/>
              <w:bottom w:val="nil"/>
              <w:right w:val="nil"/>
            </w:tcBorders>
            <w:shd w:val="clear" w:color="auto" w:fill="auto"/>
            <w:noWrap/>
            <w:vAlign w:val="bottom"/>
            <w:hideMark/>
          </w:tcPr>
          <w:p w14:paraId="2F4F024E"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05182B27"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βxyz</w:t>
            </w:r>
          </w:p>
        </w:tc>
        <w:tc>
          <w:tcPr>
            <w:tcW w:w="960" w:type="dxa"/>
            <w:tcBorders>
              <w:top w:val="nil"/>
              <w:left w:val="nil"/>
              <w:bottom w:val="nil"/>
              <w:right w:val="nil"/>
            </w:tcBorders>
            <w:shd w:val="clear" w:color="auto" w:fill="auto"/>
            <w:vAlign w:val="center"/>
            <w:hideMark/>
          </w:tcPr>
          <w:p w14:paraId="0B3C2F38"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3.22</w:t>
            </w:r>
          </w:p>
        </w:tc>
      </w:tr>
      <w:tr w:rsidR="005D7C6A" w:rsidRPr="005D7C6A" w14:paraId="7944CC3F" w14:textId="77777777" w:rsidTr="00BA1754">
        <w:trPr>
          <w:trHeight w:val="300"/>
        </w:trPr>
        <w:tc>
          <w:tcPr>
            <w:tcW w:w="1660" w:type="dxa"/>
            <w:tcBorders>
              <w:top w:val="nil"/>
              <w:left w:val="nil"/>
              <w:bottom w:val="nil"/>
              <w:right w:val="nil"/>
            </w:tcBorders>
            <w:shd w:val="clear" w:color="auto" w:fill="auto"/>
            <w:noWrap/>
            <w:vAlign w:val="center"/>
            <w:hideMark/>
          </w:tcPr>
          <w:p w14:paraId="647014C1"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α</w:t>
            </w:r>
            <w:proofErr w:type="spellStart"/>
            <w:r w:rsidRPr="005D7C6A">
              <w:rPr>
                <w:i/>
                <w:iCs/>
                <w:color w:val="000000"/>
                <w:sz w:val="22"/>
                <w:szCs w:val="22"/>
                <w:lang w:val="en-GB" w:eastAsia="en-GB"/>
              </w:rPr>
              <w:t>xy</w:t>
            </w:r>
            <w:proofErr w:type="spellEnd"/>
          </w:p>
        </w:tc>
        <w:tc>
          <w:tcPr>
            <w:tcW w:w="960" w:type="dxa"/>
            <w:tcBorders>
              <w:top w:val="nil"/>
              <w:left w:val="nil"/>
              <w:bottom w:val="nil"/>
              <w:right w:val="nil"/>
            </w:tcBorders>
            <w:shd w:val="clear" w:color="auto" w:fill="auto"/>
            <w:noWrap/>
            <w:vAlign w:val="center"/>
            <w:hideMark/>
          </w:tcPr>
          <w:p w14:paraId="3AD91531"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-6.18</w:t>
            </w:r>
          </w:p>
        </w:tc>
        <w:tc>
          <w:tcPr>
            <w:tcW w:w="271" w:type="dxa"/>
            <w:tcBorders>
              <w:top w:val="nil"/>
              <w:left w:val="nil"/>
              <w:bottom w:val="nil"/>
              <w:right w:val="nil"/>
            </w:tcBorders>
            <w:shd w:val="clear" w:color="auto" w:fill="auto"/>
            <w:noWrap/>
            <w:vAlign w:val="bottom"/>
            <w:hideMark/>
          </w:tcPr>
          <w:p w14:paraId="350ED3EA"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14E48D0E"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β</w:t>
            </w:r>
            <w:proofErr w:type="spellStart"/>
            <w:r w:rsidRPr="005D7C6A">
              <w:rPr>
                <w:i/>
                <w:iCs/>
                <w:color w:val="000000"/>
                <w:sz w:val="22"/>
                <w:szCs w:val="22"/>
                <w:lang w:val="en-GB" w:eastAsia="en-GB"/>
              </w:rPr>
              <w:t>yyz</w:t>
            </w:r>
            <w:proofErr w:type="spellEnd"/>
          </w:p>
        </w:tc>
        <w:tc>
          <w:tcPr>
            <w:tcW w:w="960" w:type="dxa"/>
            <w:tcBorders>
              <w:top w:val="nil"/>
              <w:left w:val="nil"/>
              <w:bottom w:val="nil"/>
              <w:right w:val="nil"/>
            </w:tcBorders>
            <w:shd w:val="clear" w:color="auto" w:fill="auto"/>
            <w:vAlign w:val="center"/>
            <w:hideMark/>
          </w:tcPr>
          <w:p w14:paraId="1F040BC8"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-0.43</w:t>
            </w:r>
          </w:p>
        </w:tc>
      </w:tr>
      <w:tr w:rsidR="005D7C6A" w:rsidRPr="005D7C6A" w14:paraId="2D9DF69E" w14:textId="77777777" w:rsidTr="00BA1754">
        <w:trPr>
          <w:trHeight w:val="300"/>
        </w:trPr>
        <w:tc>
          <w:tcPr>
            <w:tcW w:w="1660" w:type="dxa"/>
            <w:tcBorders>
              <w:top w:val="nil"/>
              <w:left w:val="nil"/>
              <w:bottom w:val="nil"/>
              <w:right w:val="nil"/>
            </w:tcBorders>
            <w:shd w:val="clear" w:color="auto" w:fill="auto"/>
            <w:noWrap/>
            <w:vAlign w:val="center"/>
            <w:hideMark/>
          </w:tcPr>
          <w:p w14:paraId="5F5C8FDC"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α</w:t>
            </w:r>
            <w:proofErr w:type="spellStart"/>
            <w:r w:rsidRPr="005D7C6A">
              <w:rPr>
                <w:i/>
                <w:iCs/>
                <w:color w:val="000000"/>
                <w:sz w:val="22"/>
                <w:szCs w:val="22"/>
                <w:lang w:val="en-GB" w:eastAsia="en-GB"/>
              </w:rPr>
              <w:t>yy</w:t>
            </w:r>
            <w:proofErr w:type="spellEnd"/>
          </w:p>
        </w:tc>
        <w:tc>
          <w:tcPr>
            <w:tcW w:w="960" w:type="dxa"/>
            <w:tcBorders>
              <w:top w:val="nil"/>
              <w:left w:val="nil"/>
              <w:bottom w:val="nil"/>
              <w:right w:val="nil"/>
            </w:tcBorders>
            <w:shd w:val="clear" w:color="auto" w:fill="auto"/>
            <w:noWrap/>
            <w:vAlign w:val="center"/>
            <w:hideMark/>
          </w:tcPr>
          <w:p w14:paraId="7D07D83D"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114.02</w:t>
            </w:r>
          </w:p>
        </w:tc>
        <w:tc>
          <w:tcPr>
            <w:tcW w:w="271" w:type="dxa"/>
            <w:tcBorders>
              <w:top w:val="nil"/>
              <w:left w:val="nil"/>
              <w:bottom w:val="nil"/>
              <w:right w:val="nil"/>
            </w:tcBorders>
            <w:shd w:val="clear" w:color="auto" w:fill="auto"/>
            <w:noWrap/>
            <w:vAlign w:val="bottom"/>
            <w:hideMark/>
          </w:tcPr>
          <w:p w14:paraId="30FF9CE3"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59328CB3"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β</w:t>
            </w:r>
            <w:proofErr w:type="spellStart"/>
            <w:r w:rsidRPr="005D7C6A">
              <w:rPr>
                <w:color w:val="000000"/>
                <w:sz w:val="22"/>
                <w:szCs w:val="22"/>
                <w:lang w:val="en-GB" w:eastAsia="en-GB"/>
              </w:rPr>
              <w:t>xzz</w:t>
            </w:r>
            <w:proofErr w:type="spellEnd"/>
          </w:p>
        </w:tc>
        <w:tc>
          <w:tcPr>
            <w:tcW w:w="960" w:type="dxa"/>
            <w:tcBorders>
              <w:top w:val="nil"/>
              <w:left w:val="nil"/>
              <w:bottom w:val="nil"/>
              <w:right w:val="nil"/>
            </w:tcBorders>
            <w:shd w:val="clear" w:color="auto" w:fill="auto"/>
            <w:vAlign w:val="center"/>
            <w:hideMark/>
          </w:tcPr>
          <w:p w14:paraId="034C9FE0"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59.70</w:t>
            </w:r>
          </w:p>
        </w:tc>
      </w:tr>
      <w:tr w:rsidR="005D7C6A" w:rsidRPr="005D7C6A" w14:paraId="31228F4B" w14:textId="77777777" w:rsidTr="00BA1754">
        <w:trPr>
          <w:trHeight w:val="300"/>
        </w:trPr>
        <w:tc>
          <w:tcPr>
            <w:tcW w:w="1660" w:type="dxa"/>
            <w:tcBorders>
              <w:top w:val="nil"/>
              <w:left w:val="nil"/>
              <w:bottom w:val="nil"/>
              <w:right w:val="nil"/>
            </w:tcBorders>
            <w:shd w:val="clear" w:color="auto" w:fill="auto"/>
            <w:noWrap/>
            <w:vAlign w:val="center"/>
            <w:hideMark/>
          </w:tcPr>
          <w:p w14:paraId="200AE59E"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α</w:t>
            </w:r>
            <w:proofErr w:type="spellStart"/>
            <w:r w:rsidRPr="005D7C6A">
              <w:rPr>
                <w:i/>
                <w:iCs/>
                <w:color w:val="000000"/>
                <w:sz w:val="22"/>
                <w:szCs w:val="22"/>
                <w:lang w:val="en-GB" w:eastAsia="en-GB"/>
              </w:rPr>
              <w:t>xz</w:t>
            </w:r>
            <w:proofErr w:type="spellEnd"/>
          </w:p>
        </w:tc>
        <w:tc>
          <w:tcPr>
            <w:tcW w:w="960" w:type="dxa"/>
            <w:tcBorders>
              <w:top w:val="nil"/>
              <w:left w:val="nil"/>
              <w:bottom w:val="nil"/>
              <w:right w:val="nil"/>
            </w:tcBorders>
            <w:shd w:val="clear" w:color="auto" w:fill="auto"/>
            <w:noWrap/>
            <w:vAlign w:val="center"/>
            <w:hideMark/>
          </w:tcPr>
          <w:p w14:paraId="5D179D30"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0.07</w:t>
            </w:r>
          </w:p>
        </w:tc>
        <w:tc>
          <w:tcPr>
            <w:tcW w:w="271" w:type="dxa"/>
            <w:tcBorders>
              <w:top w:val="nil"/>
              <w:left w:val="nil"/>
              <w:bottom w:val="nil"/>
              <w:right w:val="nil"/>
            </w:tcBorders>
            <w:shd w:val="clear" w:color="auto" w:fill="auto"/>
            <w:noWrap/>
            <w:vAlign w:val="bottom"/>
            <w:hideMark/>
          </w:tcPr>
          <w:p w14:paraId="6DF61C84"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15B0EB3E"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β</w:t>
            </w:r>
            <w:proofErr w:type="spellStart"/>
            <w:r w:rsidRPr="005D7C6A">
              <w:rPr>
                <w:color w:val="000000"/>
                <w:sz w:val="22"/>
                <w:szCs w:val="22"/>
                <w:lang w:val="en-GB" w:eastAsia="en-GB"/>
              </w:rPr>
              <w:t>yzz</w:t>
            </w:r>
            <w:proofErr w:type="spellEnd"/>
          </w:p>
        </w:tc>
        <w:tc>
          <w:tcPr>
            <w:tcW w:w="960" w:type="dxa"/>
            <w:tcBorders>
              <w:top w:val="nil"/>
              <w:left w:val="nil"/>
              <w:bottom w:val="nil"/>
              <w:right w:val="nil"/>
            </w:tcBorders>
            <w:shd w:val="clear" w:color="auto" w:fill="auto"/>
            <w:vAlign w:val="center"/>
            <w:hideMark/>
          </w:tcPr>
          <w:p w14:paraId="3F3D6398"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-25.32</w:t>
            </w:r>
          </w:p>
        </w:tc>
      </w:tr>
      <w:tr w:rsidR="005D7C6A" w:rsidRPr="005D7C6A" w14:paraId="470F3FA4" w14:textId="77777777" w:rsidTr="00BA1754">
        <w:trPr>
          <w:trHeight w:val="300"/>
        </w:trPr>
        <w:tc>
          <w:tcPr>
            <w:tcW w:w="1660" w:type="dxa"/>
            <w:tcBorders>
              <w:top w:val="nil"/>
              <w:left w:val="nil"/>
              <w:bottom w:val="nil"/>
              <w:right w:val="nil"/>
            </w:tcBorders>
            <w:shd w:val="clear" w:color="auto" w:fill="auto"/>
            <w:noWrap/>
            <w:vAlign w:val="center"/>
            <w:hideMark/>
          </w:tcPr>
          <w:p w14:paraId="15DFF841"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α</w:t>
            </w:r>
            <w:proofErr w:type="spellStart"/>
            <w:r w:rsidRPr="005D7C6A">
              <w:rPr>
                <w:i/>
                <w:iCs/>
                <w:color w:val="000000"/>
                <w:sz w:val="22"/>
                <w:szCs w:val="22"/>
                <w:lang w:val="en-GB" w:eastAsia="en-GB"/>
              </w:rPr>
              <w:t>yz</w:t>
            </w:r>
            <w:proofErr w:type="spellEnd"/>
          </w:p>
        </w:tc>
        <w:tc>
          <w:tcPr>
            <w:tcW w:w="960" w:type="dxa"/>
            <w:tcBorders>
              <w:top w:val="nil"/>
              <w:left w:val="nil"/>
              <w:bottom w:val="nil"/>
              <w:right w:val="nil"/>
            </w:tcBorders>
            <w:shd w:val="clear" w:color="auto" w:fill="auto"/>
            <w:noWrap/>
            <w:vAlign w:val="center"/>
            <w:hideMark/>
          </w:tcPr>
          <w:p w14:paraId="4C439E71"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-0.06</w:t>
            </w:r>
          </w:p>
        </w:tc>
        <w:tc>
          <w:tcPr>
            <w:tcW w:w="271" w:type="dxa"/>
            <w:tcBorders>
              <w:top w:val="nil"/>
              <w:left w:val="nil"/>
              <w:bottom w:val="nil"/>
              <w:right w:val="nil"/>
            </w:tcBorders>
            <w:shd w:val="clear" w:color="auto" w:fill="auto"/>
            <w:noWrap/>
            <w:vAlign w:val="bottom"/>
            <w:hideMark/>
          </w:tcPr>
          <w:p w14:paraId="5922442B"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129E0DC6"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β</w:t>
            </w:r>
            <w:proofErr w:type="spellStart"/>
            <w:r w:rsidRPr="005D7C6A">
              <w:rPr>
                <w:color w:val="000000"/>
                <w:sz w:val="22"/>
                <w:szCs w:val="22"/>
                <w:lang w:val="en-GB" w:eastAsia="en-GB"/>
              </w:rPr>
              <w:t>zzz</w:t>
            </w:r>
            <w:proofErr w:type="spellEnd"/>
          </w:p>
        </w:tc>
        <w:tc>
          <w:tcPr>
            <w:tcW w:w="960" w:type="dxa"/>
            <w:tcBorders>
              <w:top w:val="nil"/>
              <w:left w:val="nil"/>
              <w:bottom w:val="nil"/>
              <w:right w:val="nil"/>
            </w:tcBorders>
            <w:shd w:val="clear" w:color="auto" w:fill="auto"/>
            <w:vAlign w:val="center"/>
            <w:hideMark/>
          </w:tcPr>
          <w:p w14:paraId="54832AD6"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-15.41</w:t>
            </w:r>
          </w:p>
        </w:tc>
      </w:tr>
      <w:tr w:rsidR="005D7C6A" w:rsidRPr="005D7C6A" w14:paraId="3A497119" w14:textId="77777777" w:rsidTr="00BA1754">
        <w:trPr>
          <w:trHeight w:val="300"/>
        </w:trPr>
        <w:tc>
          <w:tcPr>
            <w:tcW w:w="1660" w:type="dxa"/>
            <w:tcBorders>
              <w:top w:val="nil"/>
              <w:left w:val="nil"/>
              <w:bottom w:val="nil"/>
              <w:right w:val="nil"/>
            </w:tcBorders>
            <w:shd w:val="clear" w:color="auto" w:fill="auto"/>
            <w:noWrap/>
            <w:vAlign w:val="center"/>
            <w:hideMark/>
          </w:tcPr>
          <w:p w14:paraId="2F093FA2" w14:textId="77777777" w:rsidR="005D7C6A" w:rsidRPr="005D7C6A" w:rsidRDefault="005D7C6A" w:rsidP="005D7C6A">
            <w:pPr>
              <w:jc w:val="right"/>
              <w:rPr>
                <w:i/>
                <w:iCs/>
                <w:color w:val="000000"/>
                <w:sz w:val="22"/>
                <w:szCs w:val="22"/>
                <w:lang w:val="en-GB" w:eastAsia="en-GB"/>
              </w:rPr>
            </w:pPr>
            <w:r w:rsidRPr="005D7C6A">
              <w:rPr>
                <w:i/>
                <w:iCs/>
                <w:color w:val="000000"/>
                <w:sz w:val="22"/>
                <w:szCs w:val="22"/>
                <w:lang w:val="en-GB" w:eastAsia="en-GB"/>
              </w:rPr>
              <w:t>α</w:t>
            </w:r>
            <w:proofErr w:type="spellStart"/>
            <w:r w:rsidRPr="005D7C6A">
              <w:rPr>
                <w:i/>
                <w:iCs/>
                <w:color w:val="000000"/>
                <w:sz w:val="22"/>
                <w:szCs w:val="22"/>
                <w:lang w:val="en-GB" w:eastAsia="en-GB"/>
              </w:rPr>
              <w:t>zz</w:t>
            </w:r>
            <w:proofErr w:type="spellEnd"/>
          </w:p>
        </w:tc>
        <w:tc>
          <w:tcPr>
            <w:tcW w:w="960" w:type="dxa"/>
            <w:tcBorders>
              <w:top w:val="nil"/>
              <w:left w:val="nil"/>
              <w:bottom w:val="nil"/>
              <w:right w:val="nil"/>
            </w:tcBorders>
            <w:shd w:val="clear" w:color="auto" w:fill="auto"/>
            <w:vAlign w:val="center"/>
            <w:hideMark/>
          </w:tcPr>
          <w:p w14:paraId="10DB0784"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69.71</w:t>
            </w:r>
          </w:p>
        </w:tc>
        <w:tc>
          <w:tcPr>
            <w:tcW w:w="271" w:type="dxa"/>
            <w:tcBorders>
              <w:top w:val="nil"/>
              <w:left w:val="nil"/>
              <w:bottom w:val="nil"/>
              <w:right w:val="nil"/>
            </w:tcBorders>
            <w:shd w:val="clear" w:color="auto" w:fill="auto"/>
            <w:noWrap/>
            <w:vAlign w:val="bottom"/>
            <w:hideMark/>
          </w:tcPr>
          <w:p w14:paraId="3DBC0861" w14:textId="77777777" w:rsidR="005D7C6A" w:rsidRPr="005D7C6A" w:rsidRDefault="005D7C6A" w:rsidP="005D7C6A">
            <w:pPr>
              <w:jc w:val="right"/>
              <w:rPr>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719A3845"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βx</w:t>
            </w:r>
          </w:p>
        </w:tc>
        <w:tc>
          <w:tcPr>
            <w:tcW w:w="960" w:type="dxa"/>
            <w:tcBorders>
              <w:top w:val="nil"/>
              <w:left w:val="nil"/>
              <w:bottom w:val="nil"/>
              <w:right w:val="nil"/>
            </w:tcBorders>
            <w:shd w:val="clear" w:color="auto" w:fill="auto"/>
            <w:noWrap/>
            <w:vAlign w:val="center"/>
            <w:hideMark/>
          </w:tcPr>
          <w:p w14:paraId="446D9066"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236.25</w:t>
            </w:r>
          </w:p>
        </w:tc>
      </w:tr>
      <w:tr w:rsidR="005D7C6A" w:rsidRPr="005D7C6A" w14:paraId="2D632CD9" w14:textId="77777777" w:rsidTr="00BA1754">
        <w:trPr>
          <w:trHeight w:val="300"/>
        </w:trPr>
        <w:tc>
          <w:tcPr>
            <w:tcW w:w="1660" w:type="dxa"/>
            <w:tcBorders>
              <w:top w:val="nil"/>
              <w:left w:val="nil"/>
              <w:bottom w:val="nil"/>
              <w:right w:val="nil"/>
            </w:tcBorders>
            <w:shd w:val="clear" w:color="auto" w:fill="auto"/>
            <w:noWrap/>
            <w:vAlign w:val="bottom"/>
            <w:hideMark/>
          </w:tcPr>
          <w:p w14:paraId="2E848FF8" w14:textId="77777777" w:rsidR="005D7C6A" w:rsidRPr="005D7C6A" w:rsidRDefault="005D7C6A" w:rsidP="005D7C6A">
            <w:pPr>
              <w:jc w:val="right"/>
              <w:rPr>
                <w:color w:val="000000"/>
                <w:sz w:val="22"/>
                <w:szCs w:val="22"/>
                <w:lang w:val="en-GB" w:eastAsia="en-GB"/>
              </w:rPr>
            </w:pPr>
          </w:p>
        </w:tc>
        <w:tc>
          <w:tcPr>
            <w:tcW w:w="960" w:type="dxa"/>
            <w:tcBorders>
              <w:top w:val="nil"/>
              <w:left w:val="nil"/>
              <w:bottom w:val="nil"/>
              <w:right w:val="nil"/>
            </w:tcBorders>
            <w:shd w:val="clear" w:color="auto" w:fill="auto"/>
            <w:noWrap/>
            <w:vAlign w:val="bottom"/>
            <w:hideMark/>
          </w:tcPr>
          <w:p w14:paraId="2E93E64D" w14:textId="77777777" w:rsidR="005D7C6A" w:rsidRPr="005D7C6A" w:rsidRDefault="005D7C6A" w:rsidP="005D7C6A">
            <w:pPr>
              <w:rPr>
                <w:sz w:val="20"/>
                <w:szCs w:val="20"/>
                <w:lang w:val="en-GB" w:eastAsia="en-GB"/>
              </w:rPr>
            </w:pPr>
          </w:p>
        </w:tc>
        <w:tc>
          <w:tcPr>
            <w:tcW w:w="271" w:type="dxa"/>
            <w:tcBorders>
              <w:top w:val="nil"/>
              <w:left w:val="nil"/>
              <w:bottom w:val="nil"/>
              <w:right w:val="nil"/>
            </w:tcBorders>
            <w:shd w:val="clear" w:color="auto" w:fill="auto"/>
            <w:noWrap/>
            <w:vAlign w:val="bottom"/>
            <w:hideMark/>
          </w:tcPr>
          <w:p w14:paraId="7AF6DD34" w14:textId="77777777" w:rsidR="005D7C6A" w:rsidRPr="005D7C6A" w:rsidRDefault="005D7C6A" w:rsidP="005D7C6A">
            <w:pPr>
              <w:rPr>
                <w:sz w:val="20"/>
                <w:szCs w:val="20"/>
                <w:lang w:val="en-GB" w:eastAsia="en-GB"/>
              </w:rPr>
            </w:pPr>
          </w:p>
        </w:tc>
        <w:tc>
          <w:tcPr>
            <w:tcW w:w="1660" w:type="dxa"/>
            <w:tcBorders>
              <w:top w:val="nil"/>
              <w:left w:val="nil"/>
              <w:bottom w:val="nil"/>
              <w:right w:val="nil"/>
            </w:tcBorders>
            <w:shd w:val="clear" w:color="auto" w:fill="auto"/>
            <w:noWrap/>
            <w:vAlign w:val="center"/>
            <w:hideMark/>
          </w:tcPr>
          <w:p w14:paraId="6B910DCC"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βy</w:t>
            </w:r>
          </w:p>
        </w:tc>
        <w:tc>
          <w:tcPr>
            <w:tcW w:w="960" w:type="dxa"/>
            <w:tcBorders>
              <w:top w:val="nil"/>
              <w:left w:val="nil"/>
              <w:bottom w:val="nil"/>
              <w:right w:val="nil"/>
            </w:tcBorders>
            <w:shd w:val="clear" w:color="auto" w:fill="auto"/>
            <w:noWrap/>
            <w:vAlign w:val="center"/>
            <w:hideMark/>
          </w:tcPr>
          <w:p w14:paraId="36CB3954"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-14.40</w:t>
            </w:r>
          </w:p>
        </w:tc>
      </w:tr>
      <w:tr w:rsidR="005D7C6A" w:rsidRPr="005D7C6A" w14:paraId="293DAD94" w14:textId="77777777" w:rsidTr="00BA1754">
        <w:trPr>
          <w:trHeight w:val="300"/>
        </w:trPr>
        <w:tc>
          <w:tcPr>
            <w:tcW w:w="1660" w:type="dxa"/>
            <w:tcBorders>
              <w:top w:val="nil"/>
              <w:left w:val="nil"/>
              <w:bottom w:val="nil"/>
              <w:right w:val="nil"/>
            </w:tcBorders>
            <w:shd w:val="clear" w:color="auto" w:fill="auto"/>
            <w:noWrap/>
            <w:vAlign w:val="center"/>
            <w:hideMark/>
          </w:tcPr>
          <w:p w14:paraId="50BC58CC"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&lt;α&gt; (</w:t>
            </w:r>
            <w:proofErr w:type="spellStart"/>
            <w:r w:rsidRPr="005D7C6A">
              <w:rPr>
                <w:b/>
                <w:bCs/>
                <w:color w:val="000000"/>
                <w:sz w:val="22"/>
                <w:szCs w:val="22"/>
                <w:lang w:val="en-GB" w:eastAsia="en-GB"/>
              </w:rPr>
              <w:t>a.u</w:t>
            </w:r>
            <w:proofErr w:type="spellEnd"/>
            <w:r w:rsidRPr="005D7C6A">
              <w:rPr>
                <w:b/>
                <w:bCs/>
                <w:color w:val="000000"/>
                <w:sz w:val="22"/>
                <w:szCs w:val="22"/>
                <w:lang w:val="en-GB" w:eastAsia="en-GB"/>
              </w:rPr>
              <w:t>.)</w:t>
            </w:r>
          </w:p>
        </w:tc>
        <w:tc>
          <w:tcPr>
            <w:tcW w:w="960" w:type="dxa"/>
            <w:tcBorders>
              <w:top w:val="nil"/>
              <w:left w:val="nil"/>
              <w:bottom w:val="nil"/>
              <w:right w:val="nil"/>
            </w:tcBorders>
            <w:shd w:val="clear" w:color="auto" w:fill="auto"/>
            <w:noWrap/>
            <w:vAlign w:val="center"/>
            <w:hideMark/>
          </w:tcPr>
          <w:p w14:paraId="64A76D63"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106.93</w:t>
            </w:r>
          </w:p>
        </w:tc>
        <w:tc>
          <w:tcPr>
            <w:tcW w:w="271" w:type="dxa"/>
            <w:tcBorders>
              <w:top w:val="nil"/>
              <w:left w:val="nil"/>
              <w:bottom w:val="nil"/>
              <w:right w:val="nil"/>
            </w:tcBorders>
            <w:shd w:val="clear" w:color="auto" w:fill="auto"/>
            <w:noWrap/>
            <w:vAlign w:val="bottom"/>
            <w:hideMark/>
          </w:tcPr>
          <w:p w14:paraId="061C62A8" w14:textId="77777777" w:rsidR="005D7C6A" w:rsidRPr="005D7C6A" w:rsidRDefault="005D7C6A" w:rsidP="005D7C6A">
            <w:pPr>
              <w:jc w:val="right"/>
              <w:rPr>
                <w:b/>
                <w:bCs/>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0A018BE5"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βz</w:t>
            </w:r>
          </w:p>
        </w:tc>
        <w:tc>
          <w:tcPr>
            <w:tcW w:w="960" w:type="dxa"/>
            <w:tcBorders>
              <w:top w:val="nil"/>
              <w:left w:val="nil"/>
              <w:bottom w:val="nil"/>
              <w:right w:val="nil"/>
            </w:tcBorders>
            <w:shd w:val="clear" w:color="auto" w:fill="auto"/>
            <w:noWrap/>
            <w:vAlign w:val="center"/>
            <w:hideMark/>
          </w:tcPr>
          <w:p w14:paraId="786080E4" w14:textId="77777777" w:rsidR="005D7C6A" w:rsidRPr="005D7C6A" w:rsidRDefault="005D7C6A" w:rsidP="005D7C6A">
            <w:pPr>
              <w:jc w:val="right"/>
              <w:rPr>
                <w:color w:val="000000"/>
                <w:sz w:val="22"/>
                <w:szCs w:val="22"/>
                <w:lang w:val="en-GB" w:eastAsia="en-GB"/>
              </w:rPr>
            </w:pPr>
            <w:r w:rsidRPr="005D7C6A">
              <w:rPr>
                <w:color w:val="000000"/>
                <w:sz w:val="22"/>
                <w:szCs w:val="22"/>
                <w:lang w:val="en-GB" w:eastAsia="en-GB"/>
              </w:rPr>
              <w:t>-19.27</w:t>
            </w:r>
          </w:p>
        </w:tc>
      </w:tr>
      <w:tr w:rsidR="005D7C6A" w:rsidRPr="005D7C6A" w14:paraId="2A1F0430" w14:textId="77777777" w:rsidTr="00BA1754">
        <w:trPr>
          <w:trHeight w:val="345"/>
        </w:trPr>
        <w:tc>
          <w:tcPr>
            <w:tcW w:w="1660" w:type="dxa"/>
            <w:tcBorders>
              <w:top w:val="nil"/>
              <w:left w:val="nil"/>
              <w:bottom w:val="nil"/>
              <w:right w:val="nil"/>
            </w:tcBorders>
            <w:shd w:val="clear" w:color="auto" w:fill="auto"/>
            <w:noWrap/>
            <w:vAlign w:val="center"/>
            <w:hideMark/>
          </w:tcPr>
          <w:p w14:paraId="3E38DF42" w14:textId="77777777" w:rsidR="005D7C6A" w:rsidRPr="005D7C6A" w:rsidRDefault="005D7C6A" w:rsidP="005D7C6A">
            <w:pPr>
              <w:jc w:val="right"/>
              <w:rPr>
                <w:b/>
                <w:bCs/>
                <w:sz w:val="22"/>
                <w:szCs w:val="22"/>
                <w:lang w:val="en-GB" w:eastAsia="en-GB"/>
              </w:rPr>
            </w:pPr>
            <w:r w:rsidRPr="005D7C6A">
              <w:rPr>
                <w:b/>
                <w:bCs/>
                <w:sz w:val="22"/>
                <w:szCs w:val="22"/>
                <w:lang w:val="en-GB" w:eastAsia="en-GB"/>
              </w:rPr>
              <w:t>Δα (</w:t>
            </w:r>
            <w:proofErr w:type="spellStart"/>
            <w:r w:rsidRPr="005D7C6A">
              <w:rPr>
                <w:b/>
                <w:bCs/>
                <w:sz w:val="22"/>
                <w:szCs w:val="22"/>
                <w:lang w:val="en-GB" w:eastAsia="en-GB"/>
              </w:rPr>
              <w:t>a.u</w:t>
            </w:r>
            <w:proofErr w:type="spellEnd"/>
            <w:r w:rsidRPr="005D7C6A">
              <w:rPr>
                <w:b/>
                <w:bCs/>
                <w:sz w:val="22"/>
                <w:szCs w:val="22"/>
                <w:lang w:val="en-GB" w:eastAsia="en-GB"/>
              </w:rPr>
              <w:t>.)</w:t>
            </w:r>
          </w:p>
        </w:tc>
        <w:tc>
          <w:tcPr>
            <w:tcW w:w="960" w:type="dxa"/>
            <w:tcBorders>
              <w:top w:val="nil"/>
              <w:left w:val="nil"/>
              <w:bottom w:val="nil"/>
              <w:right w:val="nil"/>
            </w:tcBorders>
            <w:shd w:val="clear" w:color="auto" w:fill="auto"/>
            <w:noWrap/>
            <w:vAlign w:val="center"/>
            <w:hideMark/>
          </w:tcPr>
          <w:p w14:paraId="26D9AE4F"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244.71</w:t>
            </w:r>
          </w:p>
        </w:tc>
        <w:tc>
          <w:tcPr>
            <w:tcW w:w="271" w:type="dxa"/>
            <w:tcBorders>
              <w:top w:val="nil"/>
              <w:left w:val="nil"/>
              <w:bottom w:val="nil"/>
              <w:right w:val="nil"/>
            </w:tcBorders>
            <w:shd w:val="clear" w:color="auto" w:fill="auto"/>
            <w:noWrap/>
            <w:vAlign w:val="bottom"/>
            <w:hideMark/>
          </w:tcPr>
          <w:p w14:paraId="0800E38B" w14:textId="77777777" w:rsidR="005D7C6A" w:rsidRPr="005D7C6A" w:rsidRDefault="005D7C6A" w:rsidP="005D7C6A">
            <w:pPr>
              <w:jc w:val="right"/>
              <w:rPr>
                <w:b/>
                <w:bCs/>
                <w:color w:val="000000"/>
                <w:sz w:val="22"/>
                <w:szCs w:val="22"/>
                <w:lang w:val="en-GB" w:eastAsia="en-GB"/>
              </w:rPr>
            </w:pPr>
          </w:p>
        </w:tc>
        <w:tc>
          <w:tcPr>
            <w:tcW w:w="1660" w:type="dxa"/>
            <w:tcBorders>
              <w:top w:val="nil"/>
              <w:left w:val="nil"/>
              <w:bottom w:val="nil"/>
              <w:right w:val="nil"/>
            </w:tcBorders>
            <w:shd w:val="clear" w:color="auto" w:fill="auto"/>
            <w:noWrap/>
            <w:vAlign w:val="center"/>
            <w:hideMark/>
          </w:tcPr>
          <w:p w14:paraId="252612FB"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β</w:t>
            </w:r>
            <w:r w:rsidRPr="005D7C6A">
              <w:rPr>
                <w:b/>
                <w:bCs/>
                <w:color w:val="000000"/>
                <w:sz w:val="22"/>
                <w:szCs w:val="22"/>
                <w:vertAlign w:val="subscript"/>
                <w:lang w:val="en-GB" w:eastAsia="en-GB"/>
              </w:rPr>
              <w:t>tot</w:t>
            </w:r>
            <w:r w:rsidRPr="005D7C6A">
              <w:rPr>
                <w:b/>
                <w:bCs/>
                <w:color w:val="000000"/>
                <w:sz w:val="22"/>
                <w:szCs w:val="22"/>
                <w:lang w:val="en-GB" w:eastAsia="en-GB"/>
              </w:rPr>
              <w:t xml:space="preserve"> (</w:t>
            </w:r>
            <w:proofErr w:type="spellStart"/>
            <w:r w:rsidRPr="005D7C6A">
              <w:rPr>
                <w:b/>
                <w:bCs/>
                <w:color w:val="000000"/>
                <w:sz w:val="22"/>
                <w:szCs w:val="22"/>
                <w:lang w:val="en-GB" w:eastAsia="en-GB"/>
              </w:rPr>
              <w:t>a.u</w:t>
            </w:r>
            <w:proofErr w:type="spellEnd"/>
            <w:r w:rsidRPr="005D7C6A">
              <w:rPr>
                <w:b/>
                <w:bCs/>
                <w:color w:val="000000"/>
                <w:sz w:val="22"/>
                <w:szCs w:val="22"/>
                <w:lang w:val="en-GB" w:eastAsia="en-GB"/>
              </w:rPr>
              <w:t>.)</w:t>
            </w:r>
          </w:p>
        </w:tc>
        <w:tc>
          <w:tcPr>
            <w:tcW w:w="960" w:type="dxa"/>
            <w:tcBorders>
              <w:top w:val="nil"/>
              <w:left w:val="nil"/>
              <w:bottom w:val="nil"/>
              <w:right w:val="nil"/>
            </w:tcBorders>
            <w:shd w:val="clear" w:color="auto" w:fill="auto"/>
            <w:noWrap/>
            <w:vAlign w:val="center"/>
            <w:hideMark/>
          </w:tcPr>
          <w:p w14:paraId="40B2E599"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237.47</w:t>
            </w:r>
          </w:p>
        </w:tc>
      </w:tr>
      <w:tr w:rsidR="005D7C6A" w:rsidRPr="005D7C6A" w14:paraId="4CF7DFA0" w14:textId="77777777" w:rsidTr="00BA1754">
        <w:trPr>
          <w:trHeight w:val="345"/>
        </w:trPr>
        <w:tc>
          <w:tcPr>
            <w:tcW w:w="1660" w:type="dxa"/>
            <w:tcBorders>
              <w:top w:val="nil"/>
              <w:left w:val="nil"/>
              <w:bottom w:val="single" w:sz="4" w:space="0" w:color="auto"/>
              <w:right w:val="nil"/>
            </w:tcBorders>
            <w:shd w:val="clear" w:color="auto" w:fill="auto"/>
            <w:noWrap/>
            <w:vAlign w:val="center"/>
            <w:hideMark/>
          </w:tcPr>
          <w:p w14:paraId="02F0649B" w14:textId="77777777" w:rsidR="005D7C6A" w:rsidRPr="005D7C6A" w:rsidRDefault="005D7C6A" w:rsidP="005D7C6A">
            <w:pPr>
              <w:jc w:val="right"/>
              <w:rPr>
                <w:b/>
                <w:bCs/>
                <w:sz w:val="22"/>
                <w:szCs w:val="22"/>
                <w:lang w:val="en-GB" w:eastAsia="en-GB"/>
              </w:rPr>
            </w:pPr>
            <w:r w:rsidRPr="005D7C6A">
              <w:rPr>
                <w:b/>
                <w:bCs/>
                <w:sz w:val="22"/>
                <w:szCs w:val="22"/>
                <w:lang w:val="en-GB" w:eastAsia="en-GB"/>
              </w:rPr>
              <w:t>Δα (×10</w:t>
            </w:r>
            <w:r w:rsidRPr="005D7C6A">
              <w:rPr>
                <w:b/>
                <w:bCs/>
                <w:sz w:val="22"/>
                <w:szCs w:val="22"/>
                <w:vertAlign w:val="superscript"/>
                <w:lang w:val="en-GB" w:eastAsia="en-GB"/>
              </w:rPr>
              <w:t>−23</w:t>
            </w:r>
            <w:r w:rsidRPr="005D7C6A">
              <w:rPr>
                <w:b/>
                <w:bCs/>
                <w:sz w:val="22"/>
                <w:szCs w:val="22"/>
                <w:lang w:val="en-GB" w:eastAsia="en-GB"/>
              </w:rPr>
              <w:t xml:space="preserve"> </w:t>
            </w:r>
            <w:proofErr w:type="spellStart"/>
            <w:r w:rsidRPr="005D7C6A">
              <w:rPr>
                <w:b/>
                <w:bCs/>
                <w:sz w:val="22"/>
                <w:szCs w:val="22"/>
                <w:lang w:val="en-GB" w:eastAsia="en-GB"/>
              </w:rPr>
              <w:t>esu</w:t>
            </w:r>
            <w:proofErr w:type="spellEnd"/>
            <w:r w:rsidRPr="005D7C6A">
              <w:rPr>
                <w:b/>
                <w:bCs/>
                <w:sz w:val="22"/>
                <w:szCs w:val="22"/>
                <w:lang w:val="en-GB" w:eastAsia="en-GB"/>
              </w:rPr>
              <w:t>)</w:t>
            </w:r>
          </w:p>
        </w:tc>
        <w:tc>
          <w:tcPr>
            <w:tcW w:w="960" w:type="dxa"/>
            <w:tcBorders>
              <w:top w:val="nil"/>
              <w:left w:val="nil"/>
              <w:bottom w:val="single" w:sz="4" w:space="0" w:color="auto"/>
              <w:right w:val="nil"/>
            </w:tcBorders>
            <w:shd w:val="clear" w:color="auto" w:fill="auto"/>
            <w:noWrap/>
            <w:vAlign w:val="center"/>
            <w:hideMark/>
          </w:tcPr>
          <w:p w14:paraId="5B504681"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3.63</w:t>
            </w:r>
          </w:p>
        </w:tc>
        <w:tc>
          <w:tcPr>
            <w:tcW w:w="271" w:type="dxa"/>
            <w:tcBorders>
              <w:top w:val="nil"/>
              <w:left w:val="nil"/>
              <w:bottom w:val="single" w:sz="4" w:space="0" w:color="auto"/>
              <w:right w:val="nil"/>
            </w:tcBorders>
            <w:shd w:val="clear" w:color="auto" w:fill="auto"/>
            <w:noWrap/>
            <w:vAlign w:val="bottom"/>
            <w:hideMark/>
          </w:tcPr>
          <w:p w14:paraId="31ADA58C" w14:textId="77777777" w:rsidR="005D7C6A" w:rsidRPr="005D7C6A" w:rsidRDefault="005D7C6A" w:rsidP="005D7C6A">
            <w:pPr>
              <w:rPr>
                <w:color w:val="000000"/>
                <w:sz w:val="22"/>
                <w:szCs w:val="22"/>
                <w:lang w:val="en-GB" w:eastAsia="en-GB"/>
              </w:rPr>
            </w:pPr>
            <w:r w:rsidRPr="005D7C6A">
              <w:rPr>
                <w:color w:val="000000"/>
                <w:sz w:val="22"/>
                <w:szCs w:val="22"/>
                <w:lang w:val="en-GB" w:eastAsia="en-GB"/>
              </w:rPr>
              <w:t> </w:t>
            </w:r>
          </w:p>
        </w:tc>
        <w:tc>
          <w:tcPr>
            <w:tcW w:w="1660" w:type="dxa"/>
            <w:tcBorders>
              <w:top w:val="nil"/>
              <w:left w:val="nil"/>
              <w:bottom w:val="single" w:sz="4" w:space="0" w:color="auto"/>
              <w:right w:val="nil"/>
            </w:tcBorders>
            <w:shd w:val="clear" w:color="auto" w:fill="auto"/>
            <w:noWrap/>
            <w:vAlign w:val="center"/>
            <w:hideMark/>
          </w:tcPr>
          <w:p w14:paraId="6DB4BECD"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β</w:t>
            </w:r>
            <w:r w:rsidRPr="005D7C6A">
              <w:rPr>
                <w:b/>
                <w:bCs/>
                <w:color w:val="000000"/>
                <w:sz w:val="22"/>
                <w:szCs w:val="22"/>
                <w:vertAlign w:val="subscript"/>
                <w:lang w:val="en-GB" w:eastAsia="en-GB"/>
              </w:rPr>
              <w:t>tot</w:t>
            </w:r>
            <w:r w:rsidRPr="005D7C6A">
              <w:rPr>
                <w:b/>
                <w:bCs/>
                <w:color w:val="000000"/>
                <w:sz w:val="22"/>
                <w:szCs w:val="22"/>
                <w:lang w:val="en-GB" w:eastAsia="en-GB"/>
              </w:rPr>
              <w:t xml:space="preserve"> (×10</w:t>
            </w:r>
            <w:r w:rsidRPr="005D7C6A">
              <w:rPr>
                <w:b/>
                <w:bCs/>
                <w:color w:val="000000"/>
                <w:sz w:val="22"/>
                <w:szCs w:val="22"/>
                <w:vertAlign w:val="superscript"/>
                <w:lang w:val="en-GB" w:eastAsia="en-GB"/>
              </w:rPr>
              <w:t>−31</w:t>
            </w:r>
            <w:r w:rsidRPr="005D7C6A">
              <w:rPr>
                <w:b/>
                <w:bCs/>
                <w:color w:val="000000"/>
                <w:sz w:val="22"/>
                <w:szCs w:val="22"/>
                <w:lang w:val="en-GB" w:eastAsia="en-GB"/>
              </w:rPr>
              <w:t xml:space="preserve"> </w:t>
            </w:r>
            <w:proofErr w:type="spellStart"/>
            <w:r w:rsidRPr="005D7C6A">
              <w:rPr>
                <w:b/>
                <w:bCs/>
                <w:color w:val="000000"/>
                <w:sz w:val="22"/>
                <w:szCs w:val="22"/>
                <w:lang w:val="en-GB" w:eastAsia="en-GB"/>
              </w:rPr>
              <w:t>esu</w:t>
            </w:r>
            <w:proofErr w:type="spellEnd"/>
            <w:r w:rsidRPr="005D7C6A">
              <w:rPr>
                <w:b/>
                <w:bCs/>
                <w:color w:val="000000"/>
                <w:sz w:val="22"/>
                <w:szCs w:val="22"/>
                <w:lang w:val="en-GB" w:eastAsia="en-GB"/>
              </w:rPr>
              <w:t>)</w:t>
            </w:r>
          </w:p>
        </w:tc>
        <w:tc>
          <w:tcPr>
            <w:tcW w:w="960" w:type="dxa"/>
            <w:tcBorders>
              <w:top w:val="nil"/>
              <w:left w:val="nil"/>
              <w:bottom w:val="single" w:sz="4" w:space="0" w:color="auto"/>
              <w:right w:val="nil"/>
            </w:tcBorders>
            <w:shd w:val="clear" w:color="auto" w:fill="auto"/>
            <w:noWrap/>
            <w:vAlign w:val="center"/>
            <w:hideMark/>
          </w:tcPr>
          <w:p w14:paraId="4A08C199" w14:textId="77777777" w:rsidR="005D7C6A" w:rsidRPr="005D7C6A" w:rsidRDefault="005D7C6A" w:rsidP="005D7C6A">
            <w:pPr>
              <w:jc w:val="right"/>
              <w:rPr>
                <w:b/>
                <w:bCs/>
                <w:color w:val="000000"/>
                <w:sz w:val="22"/>
                <w:szCs w:val="22"/>
                <w:lang w:val="en-GB" w:eastAsia="en-GB"/>
              </w:rPr>
            </w:pPr>
            <w:r w:rsidRPr="005D7C6A">
              <w:rPr>
                <w:b/>
                <w:bCs/>
                <w:color w:val="000000"/>
                <w:sz w:val="22"/>
                <w:szCs w:val="22"/>
                <w:lang w:val="en-GB" w:eastAsia="en-GB"/>
              </w:rPr>
              <w:t>20.52</w:t>
            </w:r>
          </w:p>
        </w:tc>
      </w:tr>
    </w:tbl>
    <w:p w14:paraId="51D6546B" w14:textId="77777777" w:rsidR="004640FD" w:rsidRPr="004640FD" w:rsidRDefault="004640FD" w:rsidP="004640FD">
      <w:pPr>
        <w:autoSpaceDE w:val="0"/>
        <w:autoSpaceDN w:val="0"/>
        <w:adjustRightInd w:val="0"/>
        <w:spacing w:after="120"/>
        <w:rPr>
          <w:color w:val="000000"/>
          <w:sz w:val="22"/>
          <w:szCs w:val="22"/>
          <w:lang w:val="en-GB"/>
        </w:rPr>
      </w:pPr>
      <w:r w:rsidRPr="004640FD">
        <w:rPr>
          <w:color w:val="000000"/>
          <w:sz w:val="22"/>
          <w:szCs w:val="22"/>
          <w:lang w:val="en-GB"/>
        </w:rPr>
        <w:t xml:space="preserve">α: (1 </w:t>
      </w:r>
      <w:proofErr w:type="spellStart"/>
      <w:r w:rsidRPr="004640FD">
        <w:rPr>
          <w:color w:val="000000"/>
          <w:sz w:val="22"/>
          <w:szCs w:val="22"/>
          <w:lang w:val="en-GB"/>
        </w:rPr>
        <w:t>a.u</w:t>
      </w:r>
      <w:proofErr w:type="spellEnd"/>
      <w:r w:rsidRPr="004640FD">
        <w:rPr>
          <w:color w:val="000000"/>
          <w:sz w:val="22"/>
          <w:szCs w:val="22"/>
          <w:lang w:val="en-GB"/>
        </w:rPr>
        <w:t>.) = 0.1482 × 10</w:t>
      </w:r>
      <w:r w:rsidRPr="004640FD">
        <w:rPr>
          <w:color w:val="000000"/>
          <w:sz w:val="22"/>
          <w:szCs w:val="22"/>
          <w:vertAlign w:val="superscript"/>
          <w:lang w:val="en-GB"/>
        </w:rPr>
        <w:t>−24</w:t>
      </w:r>
      <w:r w:rsidRPr="004640FD">
        <w:rPr>
          <w:color w:val="000000"/>
          <w:sz w:val="22"/>
          <w:szCs w:val="22"/>
          <w:lang w:val="en-GB"/>
        </w:rPr>
        <w:t> </w:t>
      </w:r>
      <w:proofErr w:type="spellStart"/>
      <w:r w:rsidRPr="004640FD">
        <w:rPr>
          <w:color w:val="000000"/>
          <w:sz w:val="22"/>
          <w:szCs w:val="22"/>
          <w:lang w:val="en-GB"/>
        </w:rPr>
        <w:t>esu</w:t>
      </w:r>
      <w:proofErr w:type="spellEnd"/>
      <w:r w:rsidRPr="004640FD">
        <w:rPr>
          <w:color w:val="000000"/>
          <w:sz w:val="22"/>
          <w:szCs w:val="22"/>
          <w:lang w:val="en-GB"/>
        </w:rPr>
        <w:t xml:space="preserve">; β; (1 </w:t>
      </w:r>
      <w:proofErr w:type="spellStart"/>
      <w:r w:rsidRPr="004640FD">
        <w:rPr>
          <w:color w:val="000000"/>
          <w:sz w:val="22"/>
          <w:szCs w:val="22"/>
          <w:lang w:val="en-GB"/>
        </w:rPr>
        <w:t>a.u</w:t>
      </w:r>
      <w:proofErr w:type="spellEnd"/>
      <w:r w:rsidRPr="004640FD">
        <w:rPr>
          <w:color w:val="000000"/>
          <w:sz w:val="22"/>
          <w:szCs w:val="22"/>
          <w:lang w:val="en-GB"/>
        </w:rPr>
        <w:t>.) = 8.6393 × 10</w:t>
      </w:r>
      <w:r w:rsidRPr="004640FD">
        <w:rPr>
          <w:color w:val="000000"/>
          <w:sz w:val="22"/>
          <w:szCs w:val="22"/>
          <w:vertAlign w:val="superscript"/>
          <w:lang w:val="en-GB"/>
        </w:rPr>
        <w:t>−33</w:t>
      </w:r>
      <w:r w:rsidRPr="004640FD">
        <w:rPr>
          <w:color w:val="000000"/>
          <w:sz w:val="22"/>
          <w:szCs w:val="22"/>
          <w:lang w:val="en-GB"/>
        </w:rPr>
        <w:t> </w:t>
      </w:r>
      <w:proofErr w:type="spellStart"/>
      <w:r w:rsidRPr="004640FD">
        <w:rPr>
          <w:color w:val="000000"/>
          <w:sz w:val="22"/>
          <w:szCs w:val="22"/>
          <w:lang w:val="en-GB"/>
        </w:rPr>
        <w:t>esu</w:t>
      </w:r>
      <w:proofErr w:type="spellEnd"/>
    </w:p>
    <w:p w14:paraId="12856116" w14:textId="77777777" w:rsidR="00B373FB" w:rsidRPr="00D53726" w:rsidRDefault="00B373FB" w:rsidP="00A664CE">
      <w:pPr>
        <w:shd w:val="clear" w:color="auto" w:fill="FFFFFF"/>
        <w:jc w:val="both"/>
        <w:rPr>
          <w:sz w:val="20"/>
          <w:szCs w:val="20"/>
          <w:lang w:val="en-GB"/>
        </w:rPr>
      </w:pPr>
    </w:p>
    <w:p w14:paraId="02ACC67F" w14:textId="42D140EA" w:rsidR="00E910FB" w:rsidRPr="00D53726" w:rsidRDefault="00E910FB" w:rsidP="00E910FB">
      <w:pPr>
        <w:numPr>
          <w:ilvl w:val="0"/>
          <w:numId w:val="6"/>
        </w:numPr>
        <w:autoSpaceDE w:val="0"/>
        <w:autoSpaceDN w:val="0"/>
        <w:adjustRightInd w:val="0"/>
        <w:spacing w:before="240" w:after="360"/>
        <w:contextualSpacing/>
        <w:jc w:val="both"/>
        <w:rPr>
          <w:b/>
          <w:color w:val="000000" w:themeColor="text1"/>
          <w:lang w:val="en-GB"/>
        </w:rPr>
      </w:pPr>
      <w:r w:rsidRPr="00D53726">
        <w:rPr>
          <w:b/>
          <w:color w:val="000000" w:themeColor="text1"/>
          <w:lang w:val="en-GB"/>
        </w:rPr>
        <w:t>Conclusion</w:t>
      </w:r>
      <w:r w:rsidR="00F25C16" w:rsidRPr="00D53726">
        <w:rPr>
          <w:b/>
          <w:color w:val="000000" w:themeColor="text1"/>
          <w:lang w:val="en-GB"/>
        </w:rPr>
        <w:t xml:space="preserve"> </w:t>
      </w:r>
    </w:p>
    <w:p w14:paraId="2881C219" w14:textId="7DFCB711" w:rsidR="00716CEF" w:rsidRPr="005B2F45" w:rsidRDefault="001A4A57" w:rsidP="00716CEF">
      <w:pPr>
        <w:autoSpaceDE w:val="0"/>
        <w:autoSpaceDN w:val="0"/>
        <w:adjustRightInd w:val="0"/>
        <w:spacing w:before="240" w:after="360"/>
        <w:contextualSpacing/>
        <w:jc w:val="both"/>
        <w:rPr>
          <w:bCs/>
          <w:color w:val="000000" w:themeColor="text1"/>
          <w:sz w:val="22"/>
          <w:szCs w:val="22"/>
          <w:lang w:val="en-GB"/>
        </w:rPr>
      </w:pPr>
      <w:r w:rsidRPr="00D53726">
        <w:rPr>
          <w:bCs/>
          <w:color w:val="000000" w:themeColor="text1"/>
          <w:sz w:val="22"/>
          <w:szCs w:val="22"/>
          <w:lang w:val="en-GB"/>
        </w:rPr>
        <w:t>In summary, our theoretical investigation</w:t>
      </w:r>
      <w:r w:rsidR="00A90DB5">
        <w:rPr>
          <w:bCs/>
          <w:color w:val="000000" w:themeColor="text1"/>
          <w:sz w:val="22"/>
          <w:szCs w:val="22"/>
          <w:lang w:val="en-GB"/>
        </w:rPr>
        <w:t xml:space="preserve"> </w:t>
      </w:r>
      <w:r w:rsidR="00B6228F">
        <w:rPr>
          <w:bCs/>
          <w:color w:val="000000" w:themeColor="text1"/>
          <w:sz w:val="22"/>
          <w:szCs w:val="22"/>
          <w:lang w:val="en-GB"/>
        </w:rPr>
        <w:t>was</w:t>
      </w:r>
      <w:r w:rsidR="00A90DB5">
        <w:rPr>
          <w:bCs/>
          <w:color w:val="000000" w:themeColor="text1"/>
          <w:sz w:val="22"/>
          <w:szCs w:val="22"/>
          <w:lang w:val="en-GB"/>
        </w:rPr>
        <w:t xml:space="preserve"> carried out </w:t>
      </w:r>
      <w:r w:rsidR="00B6228F">
        <w:rPr>
          <w:bCs/>
          <w:color w:val="000000" w:themeColor="text1"/>
          <w:sz w:val="22"/>
          <w:szCs w:val="22"/>
          <w:lang w:val="en-GB"/>
        </w:rPr>
        <w:t xml:space="preserve">structural </w:t>
      </w:r>
      <w:r w:rsidR="00A90DB5">
        <w:rPr>
          <w:bCs/>
          <w:color w:val="000000" w:themeColor="text1"/>
          <w:sz w:val="22"/>
          <w:szCs w:val="22"/>
          <w:lang w:val="en-GB"/>
        </w:rPr>
        <w:t xml:space="preserve">conformations, </w:t>
      </w:r>
      <w:r w:rsidR="00A90DB5" w:rsidRPr="00A90DB5">
        <w:rPr>
          <w:bCs/>
          <w:color w:val="000000" w:themeColor="text1"/>
          <w:sz w:val="22"/>
          <w:szCs w:val="22"/>
          <w:lang w:val="en-GB"/>
        </w:rPr>
        <w:t>frontier molecular orbitals (FMOs), map of molecular electrostatic</w:t>
      </w:r>
      <w:r w:rsidR="00A90DB5">
        <w:rPr>
          <w:bCs/>
          <w:color w:val="000000" w:themeColor="text1"/>
          <w:sz w:val="22"/>
          <w:szCs w:val="22"/>
          <w:lang w:val="en-GB"/>
        </w:rPr>
        <w:t xml:space="preserve"> </w:t>
      </w:r>
      <w:r w:rsidR="00A90DB5" w:rsidRPr="00A90DB5">
        <w:rPr>
          <w:bCs/>
          <w:color w:val="000000" w:themeColor="text1"/>
          <w:sz w:val="22"/>
          <w:szCs w:val="22"/>
          <w:lang w:val="en-GB"/>
        </w:rPr>
        <w:t>potential (MEP)</w:t>
      </w:r>
      <w:r w:rsidR="00A90DB5">
        <w:rPr>
          <w:bCs/>
          <w:color w:val="000000" w:themeColor="text1"/>
          <w:sz w:val="22"/>
          <w:szCs w:val="22"/>
          <w:lang w:val="en-GB"/>
        </w:rPr>
        <w:t xml:space="preserve"> and nonlinear optical properties of the title molecule </w:t>
      </w:r>
      <w:r w:rsidR="00B6228F" w:rsidRPr="005B2F45">
        <w:rPr>
          <w:bCs/>
          <w:color w:val="000000" w:themeColor="text1"/>
          <w:sz w:val="22"/>
          <w:szCs w:val="22"/>
          <w:lang w:val="en-GB"/>
        </w:rPr>
        <w:t>as</w:t>
      </w:r>
      <w:r w:rsidR="005B2F45" w:rsidRPr="005B2F45">
        <w:rPr>
          <w:bCs/>
          <w:color w:val="000000" w:themeColor="text1"/>
          <w:sz w:val="22"/>
          <w:szCs w:val="22"/>
          <w:lang w:val="en-GB"/>
        </w:rPr>
        <w:t xml:space="preserve"> a continuation of this study, the investigation into the molecule with metal complexes is ongoing</w:t>
      </w:r>
      <w:r w:rsidR="005B2F45">
        <w:rPr>
          <w:bCs/>
          <w:color w:val="000000" w:themeColor="text1"/>
          <w:sz w:val="22"/>
          <w:szCs w:val="22"/>
          <w:lang w:val="en-GB"/>
        </w:rPr>
        <w:t xml:space="preserve">. </w:t>
      </w:r>
    </w:p>
    <w:p w14:paraId="62EAC885" w14:textId="6136A33D" w:rsidR="00F25C16" w:rsidRDefault="00F25C16" w:rsidP="007D49B8">
      <w:pPr>
        <w:spacing w:line="23" w:lineRule="atLeast"/>
        <w:jc w:val="both"/>
        <w:rPr>
          <w:b/>
          <w:color w:val="000000" w:themeColor="text1"/>
          <w:lang w:val="en-GB"/>
        </w:rPr>
      </w:pPr>
    </w:p>
    <w:p w14:paraId="7DE10853" w14:textId="77777777" w:rsidR="00A90DB5" w:rsidRPr="00A90DB5" w:rsidRDefault="00A90DB5" w:rsidP="00A90DB5">
      <w:pPr>
        <w:spacing w:before="160" w:after="160"/>
        <w:rPr>
          <w:rStyle w:val="apple-style-span"/>
          <w:b/>
          <w:color w:val="000000"/>
          <w:sz w:val="22"/>
          <w:szCs w:val="22"/>
          <w:lang w:val="en-GB"/>
        </w:rPr>
      </w:pPr>
      <w:r w:rsidRPr="00A90DB5">
        <w:rPr>
          <w:rStyle w:val="apple-style-span"/>
          <w:b/>
          <w:color w:val="000000"/>
          <w:sz w:val="22"/>
          <w:szCs w:val="22"/>
          <w:lang w:val="en-GB"/>
        </w:rPr>
        <w:t>Acknowledgements</w:t>
      </w:r>
    </w:p>
    <w:p w14:paraId="3D094121" w14:textId="5209C116" w:rsidR="00A90DB5" w:rsidRPr="00A90DB5" w:rsidRDefault="00A90DB5" w:rsidP="00A90DB5">
      <w:pPr>
        <w:rPr>
          <w:b/>
          <w:bCs/>
          <w:sz w:val="22"/>
          <w:szCs w:val="22"/>
          <w:lang w:val="en-GB"/>
        </w:rPr>
      </w:pPr>
      <w:r w:rsidRPr="00A90DB5">
        <w:rPr>
          <w:sz w:val="22"/>
          <w:szCs w:val="22"/>
          <w:lang w:val="en-GB"/>
        </w:rPr>
        <w:t xml:space="preserve">I would like to thank the </w:t>
      </w:r>
      <w:proofErr w:type="spellStart"/>
      <w:r w:rsidRPr="00A90DB5">
        <w:rPr>
          <w:sz w:val="22"/>
          <w:szCs w:val="22"/>
          <w:lang w:val="en-GB"/>
        </w:rPr>
        <w:t>Gazi</w:t>
      </w:r>
      <w:proofErr w:type="spellEnd"/>
      <w:r w:rsidRPr="00A90DB5">
        <w:rPr>
          <w:sz w:val="22"/>
          <w:szCs w:val="22"/>
          <w:lang w:val="en-GB"/>
        </w:rPr>
        <w:t xml:space="preserve"> University for providing Gaussian 09W Software. The numerical calculations reported in this paper were performed at TUBITAK ULAKBIM, High Performance and Grid Computing </w:t>
      </w:r>
      <w:proofErr w:type="spellStart"/>
      <w:r w:rsidRPr="00A90DB5">
        <w:rPr>
          <w:sz w:val="22"/>
          <w:szCs w:val="22"/>
          <w:lang w:val="en-GB"/>
        </w:rPr>
        <w:t>Center</w:t>
      </w:r>
      <w:proofErr w:type="spellEnd"/>
      <w:r w:rsidRPr="00A90DB5">
        <w:rPr>
          <w:sz w:val="22"/>
          <w:szCs w:val="22"/>
          <w:lang w:val="en-GB"/>
        </w:rPr>
        <w:t xml:space="preserve"> (</w:t>
      </w:r>
      <w:r w:rsidRPr="00A90DB5">
        <w:rPr>
          <w:noProof/>
          <w:sz w:val="22"/>
          <w:szCs w:val="22"/>
          <w:lang w:val="en-GB"/>
        </w:rPr>
        <w:t>TRUBA</w:t>
      </w:r>
      <w:r w:rsidRPr="00A90DB5">
        <w:rPr>
          <w:sz w:val="22"/>
          <w:szCs w:val="22"/>
          <w:lang w:val="en-GB"/>
        </w:rPr>
        <w:t xml:space="preserve"> Resources).</w:t>
      </w:r>
    </w:p>
    <w:p w14:paraId="08213AFF" w14:textId="77777777" w:rsidR="00A90DB5" w:rsidRPr="00D53726" w:rsidRDefault="00A90DB5" w:rsidP="007D49B8">
      <w:pPr>
        <w:spacing w:line="23" w:lineRule="atLeast"/>
        <w:jc w:val="both"/>
        <w:rPr>
          <w:b/>
          <w:color w:val="000000" w:themeColor="text1"/>
          <w:lang w:val="en-GB"/>
        </w:rPr>
      </w:pPr>
    </w:p>
    <w:p w14:paraId="7E1069DA" w14:textId="47CFC42F" w:rsidR="00F25C16" w:rsidRPr="00D53726" w:rsidRDefault="000A49B1" w:rsidP="00F25C16">
      <w:pPr>
        <w:spacing w:line="23" w:lineRule="atLeast"/>
        <w:jc w:val="both"/>
        <w:rPr>
          <w:color w:val="FF0000"/>
          <w:shd w:val="clear" w:color="auto" w:fill="FFFFFF"/>
          <w:lang w:val="en-GB"/>
        </w:rPr>
      </w:pPr>
      <w:r w:rsidRPr="00D53726">
        <w:rPr>
          <w:b/>
          <w:lang w:val="en-GB"/>
        </w:rPr>
        <w:t>References</w:t>
      </w:r>
    </w:p>
    <w:p w14:paraId="34BC7EFE" w14:textId="076FC5D5" w:rsidR="00E75D5E" w:rsidRPr="00E75D5E" w:rsidRDefault="0098173F" w:rsidP="00E75D5E">
      <w:pPr>
        <w:widowControl w:val="0"/>
        <w:autoSpaceDE w:val="0"/>
        <w:autoSpaceDN w:val="0"/>
        <w:adjustRightInd w:val="0"/>
        <w:spacing w:line="240" w:lineRule="atLeast"/>
        <w:ind w:left="640" w:hanging="640"/>
        <w:rPr>
          <w:noProof/>
        </w:rPr>
      </w:pPr>
      <w:r w:rsidRPr="00D53726">
        <w:rPr>
          <w:b/>
          <w:color w:val="000000" w:themeColor="text1"/>
          <w:lang w:val="en-GB"/>
        </w:rPr>
        <w:fldChar w:fldCharType="begin" w:fldLock="1"/>
      </w:r>
      <w:r w:rsidRPr="00D53726">
        <w:rPr>
          <w:b/>
          <w:color w:val="000000" w:themeColor="text1"/>
          <w:lang w:val="en-GB"/>
        </w:rPr>
        <w:instrText xml:space="preserve">ADDIN Mendeley Bibliography CSL_BIBLIOGRAPHY </w:instrText>
      </w:r>
      <w:r w:rsidRPr="00D53726">
        <w:rPr>
          <w:b/>
          <w:color w:val="000000" w:themeColor="text1"/>
          <w:lang w:val="en-GB"/>
        </w:rPr>
        <w:fldChar w:fldCharType="separate"/>
      </w:r>
      <w:r w:rsidR="00E75D5E" w:rsidRPr="00E75D5E">
        <w:rPr>
          <w:noProof/>
        </w:rPr>
        <w:t>[1]</w:t>
      </w:r>
      <w:r w:rsidR="00E75D5E" w:rsidRPr="00E75D5E">
        <w:rPr>
          <w:noProof/>
        </w:rPr>
        <w:tab/>
        <w:t xml:space="preserve">Emirdaǧ-Öztürk, S.; Babahan, I.; Özmen, A. (2014). Synthesis, characterization and in vitro anti-neoplastic activity of gypsogenin derivatives, </w:t>
      </w:r>
      <w:r w:rsidR="00E75D5E" w:rsidRPr="00E75D5E">
        <w:rPr>
          <w:i/>
          <w:iCs/>
          <w:noProof/>
        </w:rPr>
        <w:t>Bioorganic Chemistry</w:t>
      </w:r>
      <w:r w:rsidR="00E75D5E" w:rsidRPr="00E75D5E">
        <w:rPr>
          <w:noProof/>
        </w:rPr>
        <w:t>, Vol. 53, 15–23. doi:10.1016/j.bioorg.2013.12.001</w:t>
      </w:r>
    </w:p>
    <w:p w14:paraId="3E60B19D"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[2]</w:t>
      </w:r>
      <w:r w:rsidRPr="00E75D5E">
        <w:rPr>
          <w:noProof/>
        </w:rPr>
        <w:tab/>
        <w:t>Canpolat, E.; Kaya, M. (2004). Synthesis , Characterization of Some Co ( III ) Complexes with vic-Dioxime Ligands and Their Antimicrobial Properties, Vol. 28, 235–242</w:t>
      </w:r>
    </w:p>
    <w:p w14:paraId="1E8A979F"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[3]</w:t>
      </w:r>
      <w:r w:rsidRPr="00E75D5E">
        <w:rPr>
          <w:noProof/>
        </w:rPr>
        <w:tab/>
        <w:t xml:space="preserve">Chakravorty, A. (1974). Structural chemistry of transition metal complexes of oximes, </w:t>
      </w:r>
      <w:r w:rsidRPr="00E75D5E">
        <w:rPr>
          <w:i/>
          <w:iCs/>
          <w:noProof/>
        </w:rPr>
        <w:t>Coordination Chemistry Reviews</w:t>
      </w:r>
      <w:r w:rsidRPr="00E75D5E">
        <w:rPr>
          <w:noProof/>
        </w:rPr>
        <w:t>, Vol. 13, No. 1, 1–46</w:t>
      </w:r>
    </w:p>
    <w:p w14:paraId="45E78275"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lastRenderedPageBreak/>
        <w:t>[4]</w:t>
      </w:r>
      <w:r w:rsidRPr="00E75D5E">
        <w:rPr>
          <w:noProof/>
        </w:rPr>
        <w:tab/>
        <w:t>Serin, S. (2001). New vic -dioxime transition metal complexes, Vol. 12, No. 2, 300–306</w:t>
      </w:r>
    </w:p>
    <w:p w14:paraId="5D849838"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[5]</w:t>
      </w:r>
      <w:r w:rsidRPr="00E75D5E">
        <w:rPr>
          <w:noProof/>
        </w:rPr>
        <w:tab/>
        <w:t xml:space="preserve">Schrauzer, G. N.; Windgassen, R. J.; Kohnle, J. (1965). Die konstitution von vitamin B12s, </w:t>
      </w:r>
      <w:r w:rsidRPr="00E75D5E">
        <w:rPr>
          <w:i/>
          <w:iCs/>
          <w:noProof/>
        </w:rPr>
        <w:t>Chemische Berichte</w:t>
      </w:r>
      <w:r w:rsidRPr="00E75D5E">
        <w:rPr>
          <w:noProof/>
        </w:rPr>
        <w:t>, Vol. 98, No. 10, 3324–3333</w:t>
      </w:r>
    </w:p>
    <w:p w14:paraId="42D094C1"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[6]</w:t>
      </w:r>
      <w:r w:rsidRPr="00E75D5E">
        <w:rPr>
          <w:noProof/>
        </w:rPr>
        <w:tab/>
        <w:t xml:space="preserve">Thomas, T. W.; Underhill, A. E. (1972). Metal–metal interactions in transition-metal complexes containing infinite chains of metal atoms, </w:t>
      </w:r>
      <w:r w:rsidRPr="00E75D5E">
        <w:rPr>
          <w:i/>
          <w:iCs/>
          <w:noProof/>
        </w:rPr>
        <w:t>Chem. Soc. Rev.</w:t>
      </w:r>
      <w:r w:rsidRPr="00E75D5E">
        <w:rPr>
          <w:noProof/>
        </w:rPr>
        <w:t>, Vol. 1, No. 1, 99–120. doi:10.1039/CS9720100099</w:t>
      </w:r>
    </w:p>
    <w:p w14:paraId="56E785FB"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[7]</w:t>
      </w:r>
      <w:r w:rsidRPr="00E75D5E">
        <w:rPr>
          <w:noProof/>
        </w:rPr>
        <w:tab/>
        <w:t xml:space="preserve">Harbeck, M.; Şen, Z.; Gümüş, G.; Gürol, I.; Musluoğlu, E.; Öztürk, Z. Z.; Ahsen, V. (2013). Customized vic-dioximes and their metal complexes for enhanced chemical sensing of polar organic molecules, </w:t>
      </w:r>
      <w:r w:rsidRPr="00E75D5E">
        <w:rPr>
          <w:i/>
          <w:iCs/>
          <w:noProof/>
        </w:rPr>
        <w:t>Sensors and Actuators B: Chemical</w:t>
      </w:r>
      <w:r w:rsidRPr="00E75D5E">
        <w:rPr>
          <w:noProof/>
        </w:rPr>
        <w:t>, Vol. 188, 1004–1011. doi:10.1016/j.snb.2013.08.014</w:t>
      </w:r>
    </w:p>
    <w:p w14:paraId="0B0BCE2C"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[8]</w:t>
      </w:r>
      <w:r w:rsidRPr="00E75D5E">
        <w:rPr>
          <w:noProof/>
        </w:rPr>
        <w:tab/>
        <w:t xml:space="preserve">Frish, M. J.; Trucks, G. W.; Schlegel, H. B.; Scuseria, G. E.; Robb, M. A.; Cheeseman, J. R.; Scalmani, G.; Barone, V.; Mennucci, B.; Paterson, G. A. (2009). Gaussian 09, revision A. 02, </w:t>
      </w:r>
      <w:r w:rsidRPr="00E75D5E">
        <w:rPr>
          <w:i/>
          <w:iCs/>
          <w:noProof/>
        </w:rPr>
        <w:t>Gaussian Inc, Wallingford CT</w:t>
      </w:r>
    </w:p>
    <w:p w14:paraId="5EF1153F"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[9]</w:t>
      </w:r>
      <w:r w:rsidRPr="00E75D5E">
        <w:rPr>
          <w:noProof/>
        </w:rPr>
        <w:tab/>
        <w:t>Adamo, C.; Barone, V. (1998). Exchange functionals wit</w:t>
      </w:r>
      <w:bookmarkStart w:id="2" w:name="_GoBack"/>
      <w:bookmarkEnd w:id="2"/>
      <w:r w:rsidRPr="00E75D5E">
        <w:rPr>
          <w:noProof/>
        </w:rPr>
        <w:t xml:space="preserve">h improved long-range behavior and adiabatic connection methods without adjustable parameters: The m PW and m PW1PW models, </w:t>
      </w:r>
      <w:r w:rsidRPr="00E75D5E">
        <w:rPr>
          <w:i/>
          <w:iCs/>
          <w:noProof/>
        </w:rPr>
        <w:t>The Journal of Chemical Physics</w:t>
      </w:r>
      <w:r w:rsidRPr="00E75D5E">
        <w:rPr>
          <w:noProof/>
        </w:rPr>
        <w:t>, Vol. 108, No. 2, 664–675</w:t>
      </w:r>
    </w:p>
    <w:p w14:paraId="61C8F29E"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[10]</w:t>
      </w:r>
      <w:r w:rsidRPr="00E75D5E">
        <w:rPr>
          <w:noProof/>
        </w:rPr>
        <w:tab/>
        <w:t xml:space="preserve">Legault, C. Y. (2009). CYLview, 1.0b, </w:t>
      </w:r>
      <w:r w:rsidRPr="00E75D5E">
        <w:rPr>
          <w:i/>
          <w:iCs/>
          <w:noProof/>
        </w:rPr>
        <w:t>Université de Sherbrooke</w:t>
      </w:r>
      <w:r w:rsidRPr="00E75D5E">
        <w:rPr>
          <w:noProof/>
        </w:rPr>
        <w:t>, http://www.cylview.org</w:t>
      </w:r>
    </w:p>
    <w:p w14:paraId="75108457"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[11]</w:t>
      </w:r>
      <w:r w:rsidRPr="00E75D5E">
        <w:rPr>
          <w:noProof/>
        </w:rPr>
        <w:tab/>
        <w:t xml:space="preserve">O’boyle, N. M.; Tenderholt, A. L.; Langner, K. M. (2008). cclib: A library for package-independent computational chemistry algorithms, </w:t>
      </w:r>
      <w:r w:rsidRPr="00E75D5E">
        <w:rPr>
          <w:i/>
          <w:iCs/>
          <w:noProof/>
        </w:rPr>
        <w:t>Journal of Computational Chemistry</w:t>
      </w:r>
      <w:r w:rsidRPr="00E75D5E">
        <w:rPr>
          <w:noProof/>
        </w:rPr>
        <w:t>, Vol. 29, No. 5, 839–845. doi:https://doi.org/10.1002/jcc.20823</w:t>
      </w:r>
    </w:p>
    <w:p w14:paraId="15B201DB"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[12]</w:t>
      </w:r>
      <w:r w:rsidRPr="00E75D5E">
        <w:rPr>
          <w:noProof/>
        </w:rPr>
        <w:tab/>
        <w:t xml:space="preserve">Politzer, P.; Laurence, P. R.; Jayasuriya, K. (1985). Molecular electrostatic potentials: An effective tool for the elucidation of biochemical phenomena, </w:t>
      </w:r>
      <w:r w:rsidRPr="00E75D5E">
        <w:rPr>
          <w:i/>
          <w:iCs/>
          <w:noProof/>
        </w:rPr>
        <w:t>Environmental Health Perspectives</w:t>
      </w:r>
      <w:r w:rsidRPr="00E75D5E">
        <w:rPr>
          <w:noProof/>
        </w:rPr>
        <w:t>, Vol. VOL. 61, No. 1, 191–202. doi:10.1289/ehp.8561191</w:t>
      </w:r>
    </w:p>
    <w:p w14:paraId="68FDF8F6"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[13]</w:t>
      </w:r>
      <w:r w:rsidRPr="00E75D5E">
        <w:rPr>
          <w:noProof/>
        </w:rPr>
        <w:tab/>
        <w:t xml:space="preserve">Politzer, P.; Murray, J. S. (2002). The fundamental nature and role of the electrostatic potential in atoms and molecules, </w:t>
      </w:r>
      <w:r w:rsidRPr="00E75D5E">
        <w:rPr>
          <w:i/>
          <w:iCs/>
          <w:noProof/>
        </w:rPr>
        <w:t>Theoretical Chemistry Accounts</w:t>
      </w:r>
      <w:r w:rsidRPr="00E75D5E">
        <w:rPr>
          <w:noProof/>
        </w:rPr>
        <w:t>, Vol. 108, 134–142. doi:10.1007/s00214-002-0363-9</w:t>
      </w:r>
    </w:p>
    <w:p w14:paraId="7244DD5D"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[14]</w:t>
      </w:r>
      <w:r w:rsidRPr="00E75D5E">
        <w:rPr>
          <w:noProof/>
        </w:rPr>
        <w:tab/>
        <w:t xml:space="preserve">Hofacker, G. L. (1982). Peter Politzer und Donald G. Truhlar: Chemical Applications of Atomic and Molecular Electrostatic Potentials, Plenum Press, New York und London 1981. 472 Seiten, Preis: $ 55.-, </w:t>
      </w:r>
      <w:r w:rsidRPr="00E75D5E">
        <w:rPr>
          <w:i/>
          <w:iCs/>
          <w:noProof/>
        </w:rPr>
        <w:t>Berichte Der Bunsengesellschaft Für Physikalische Chemie</w:t>
      </w:r>
      <w:r w:rsidRPr="00E75D5E">
        <w:rPr>
          <w:noProof/>
        </w:rPr>
        <w:t>, Vol. 86, No. 9, 872–873. doi:10.1002/bbpc.19820860925</w:t>
      </w:r>
    </w:p>
    <w:p w14:paraId="56ED3D7B"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[15]</w:t>
      </w:r>
      <w:r w:rsidRPr="00E75D5E">
        <w:rPr>
          <w:noProof/>
        </w:rPr>
        <w:tab/>
        <w:t xml:space="preserve">Koopmans, T. (1934). Über die Zuordnung von Wellenfunktionen und Eigenwerten zu den Einzelnen Elektronen Eines Atoms, </w:t>
      </w:r>
      <w:r w:rsidRPr="00E75D5E">
        <w:rPr>
          <w:i/>
          <w:iCs/>
          <w:noProof/>
        </w:rPr>
        <w:t>Physica</w:t>
      </w:r>
      <w:r w:rsidRPr="00E75D5E">
        <w:rPr>
          <w:noProof/>
        </w:rPr>
        <w:t>, Vol. 1, Nos. 1–6, 104–113. doi:10.1016/S0031-8914(34)90011-2</w:t>
      </w:r>
    </w:p>
    <w:p w14:paraId="665C8BE5" w14:textId="77777777" w:rsidR="00E75D5E" w:rsidRPr="00E75D5E" w:rsidRDefault="00E75D5E" w:rsidP="00E75D5E">
      <w:pPr>
        <w:widowControl w:val="0"/>
        <w:autoSpaceDE w:val="0"/>
        <w:autoSpaceDN w:val="0"/>
        <w:adjustRightInd w:val="0"/>
        <w:spacing w:line="240" w:lineRule="atLeast"/>
        <w:ind w:left="640" w:hanging="640"/>
        <w:rPr>
          <w:noProof/>
        </w:rPr>
      </w:pPr>
      <w:r w:rsidRPr="00E75D5E">
        <w:rPr>
          <w:noProof/>
        </w:rPr>
        <w:t>[16]</w:t>
      </w:r>
      <w:r w:rsidRPr="00E75D5E">
        <w:rPr>
          <w:noProof/>
        </w:rPr>
        <w:tab/>
        <w:t xml:space="preserve">Parr, R. G.; Szentpály, L. v; Liu, S. (1999). Electrophilicity index, </w:t>
      </w:r>
      <w:r w:rsidRPr="00E75D5E">
        <w:rPr>
          <w:i/>
          <w:iCs/>
          <w:noProof/>
        </w:rPr>
        <w:t>Journal of the American Chemical Society</w:t>
      </w:r>
      <w:r w:rsidRPr="00E75D5E">
        <w:rPr>
          <w:noProof/>
        </w:rPr>
        <w:t>, Vol. 121, No. 9, 1922–1924</w:t>
      </w:r>
    </w:p>
    <w:p w14:paraId="3992B296" w14:textId="289FE455" w:rsidR="00E25067" w:rsidRPr="00D53726" w:rsidRDefault="0098173F" w:rsidP="007D49B8">
      <w:pPr>
        <w:spacing w:line="23" w:lineRule="atLeast"/>
        <w:jc w:val="both"/>
        <w:rPr>
          <w:b/>
          <w:color w:val="000000" w:themeColor="text1"/>
          <w:lang w:val="en-GB"/>
        </w:rPr>
      </w:pPr>
      <w:r w:rsidRPr="00D53726">
        <w:rPr>
          <w:b/>
          <w:color w:val="000000" w:themeColor="text1"/>
          <w:lang w:val="en-GB"/>
        </w:rPr>
        <w:fldChar w:fldCharType="end"/>
      </w:r>
    </w:p>
    <w:sectPr w:rsidR="00E25067" w:rsidRPr="00D53726" w:rsidSect="00B379AF">
      <w:headerReference w:type="first" r:id="rId16"/>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F4F8A" w14:textId="77777777" w:rsidR="00377927" w:rsidRDefault="00377927" w:rsidP="00A86FE2">
      <w:r>
        <w:separator/>
      </w:r>
    </w:p>
  </w:endnote>
  <w:endnote w:type="continuationSeparator" w:id="0">
    <w:p w14:paraId="6073CA5F" w14:textId="77777777" w:rsidR="00377927" w:rsidRDefault="00377927" w:rsidP="00A8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7F652665" w:rsidR="008E6825" w:rsidRDefault="008E6825">
        <w:pPr>
          <w:pStyle w:val="AltBilgi"/>
          <w:jc w:val="center"/>
        </w:pPr>
        <w:r>
          <w:fldChar w:fldCharType="begin"/>
        </w:r>
        <w:r>
          <w:instrText>PAGE   \* MERGEFORMAT</w:instrText>
        </w:r>
        <w:r>
          <w:fldChar w:fldCharType="separate"/>
        </w:r>
        <w:r w:rsidR="00E75D5E">
          <w:rPr>
            <w:noProof/>
          </w:rPr>
          <w:t>1</w:t>
        </w:r>
        <w:r>
          <w:fldChar w:fldCharType="end"/>
        </w:r>
      </w:p>
    </w:sdtContent>
  </w:sdt>
  <w:p w14:paraId="3B86036C" w14:textId="77777777" w:rsidR="008E6825" w:rsidRDefault="008E6825" w:rsidP="005F4BC4">
    <w:pPr>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AC5B7" w14:textId="77777777" w:rsidR="00377927" w:rsidRDefault="00377927" w:rsidP="00A86FE2">
      <w:r>
        <w:separator/>
      </w:r>
    </w:p>
  </w:footnote>
  <w:footnote w:type="continuationSeparator" w:id="0">
    <w:p w14:paraId="23825580" w14:textId="77777777" w:rsidR="00377927" w:rsidRDefault="00377927" w:rsidP="00A86FE2">
      <w:r>
        <w:continuationSeparator/>
      </w:r>
    </w:p>
  </w:footnote>
  <w:footnote w:id="1">
    <w:p w14:paraId="507476B8" w14:textId="1C40542B" w:rsidR="008E6825" w:rsidRPr="00296EE9" w:rsidRDefault="008E6825" w:rsidP="00243C05">
      <w:pPr>
        <w:pStyle w:val="DipnotMetni"/>
        <w:ind w:firstLine="0"/>
        <w:rPr>
          <w:lang w:val="tr-TR"/>
        </w:rPr>
      </w:pPr>
      <w:r w:rsidRPr="00AE6DF4">
        <w:rPr>
          <w:rStyle w:val="DipnotBavurusu"/>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berna</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mku.edu.tr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DF48" w14:textId="77777777" w:rsidR="008E6825" w:rsidRPr="00B04BE4" w:rsidRDefault="008E6825" w:rsidP="00EC7488">
    <w:pPr>
      <w:jc w:val="center"/>
      <w:rPr>
        <w:rFonts w:cs="Arial"/>
        <w:b/>
        <w:color w:val="4F81BD" w:themeColor="accent1"/>
        <w:sz w:val="20"/>
        <w:szCs w:val="20"/>
      </w:rPr>
    </w:pPr>
    <w:r>
      <w:rPr>
        <w:noProof/>
        <w:lang w:val="en-GB" w:eastAsia="en-GB"/>
      </w:rPr>
      <w:drawing>
        <wp:inline distT="0" distB="0" distL="0" distR="0" wp14:anchorId="3C7F5FCF" wp14:editId="7D8B5BD1">
          <wp:extent cx="464820" cy="464820"/>
          <wp:effectExtent l="0" t="0" r="0" b="0"/>
          <wp:docPr id="6"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2023 - 2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en-GB" w:eastAsia="en-GB"/>
      </w:rPr>
      <w:drawing>
        <wp:inline distT="0" distB="0" distL="0" distR="0" wp14:anchorId="664E5609" wp14:editId="664793E0">
          <wp:extent cx="334808" cy="289340"/>
          <wp:effectExtent l="0" t="0" r="8255" b="0"/>
          <wp:docPr id="7" name="Resim 7"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55" descr="logo, yazı tipi, grafik, simge, sembol içeren bir resim&#10;&#10;Açıklama otomatik olarak oluşturuldu"/>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97BC69E" w14:textId="77777777" w:rsidR="008E6825" w:rsidRDefault="008E6825" w:rsidP="00EC7488">
    <w:pPr>
      <w:wordWrap w:val="0"/>
      <w:ind w:left="6372"/>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p w14:paraId="7C1290E7" w14:textId="77777777" w:rsidR="008E6825" w:rsidRDefault="008E682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C77BFA"/>
    <w:multiLevelType w:val="hybridMultilevel"/>
    <w:tmpl w:val="8B584138"/>
    <w:lvl w:ilvl="0" w:tplc="1A8CF4E4">
      <w:start w:val="1"/>
      <w:numFmt w:val="lowerLetter"/>
      <w:lvlText w:val="%1)"/>
      <w:lvlJc w:val="left"/>
      <w:pPr>
        <w:ind w:left="1080" w:hanging="360"/>
      </w:pPr>
      <w:rPr>
        <w:rFonts w:ascii="Times New Roman" w:eastAsia="Times New Roman" w:hAnsi="Times New Roman" w:cs="Times New Roman"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5B5825"/>
    <w:multiLevelType w:val="hybridMultilevel"/>
    <w:tmpl w:val="CBC4C400"/>
    <w:lvl w:ilvl="0" w:tplc="E5DCE64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4"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14393"/>
    <w:multiLevelType w:val="hybridMultilevel"/>
    <w:tmpl w:val="DB68D884"/>
    <w:lvl w:ilvl="0" w:tplc="1EA02884">
      <w:start w:val="1"/>
      <w:numFmt w:val="lowerLetter"/>
      <w:lvlText w:val="%1)"/>
      <w:lvlJc w:val="left"/>
      <w:pPr>
        <w:ind w:left="4608" w:hanging="360"/>
      </w:pPr>
      <w:rPr>
        <w:rFonts w:hint="default"/>
      </w:rPr>
    </w:lvl>
    <w:lvl w:ilvl="1" w:tplc="041F0019" w:tentative="1">
      <w:start w:val="1"/>
      <w:numFmt w:val="lowerLetter"/>
      <w:lvlText w:val="%2."/>
      <w:lvlJc w:val="left"/>
      <w:pPr>
        <w:ind w:left="5328" w:hanging="360"/>
      </w:pPr>
    </w:lvl>
    <w:lvl w:ilvl="2" w:tplc="041F001B" w:tentative="1">
      <w:start w:val="1"/>
      <w:numFmt w:val="lowerRoman"/>
      <w:lvlText w:val="%3."/>
      <w:lvlJc w:val="right"/>
      <w:pPr>
        <w:ind w:left="6048" w:hanging="180"/>
      </w:pPr>
    </w:lvl>
    <w:lvl w:ilvl="3" w:tplc="041F000F" w:tentative="1">
      <w:start w:val="1"/>
      <w:numFmt w:val="decimal"/>
      <w:lvlText w:val="%4."/>
      <w:lvlJc w:val="left"/>
      <w:pPr>
        <w:ind w:left="6768" w:hanging="360"/>
      </w:pPr>
    </w:lvl>
    <w:lvl w:ilvl="4" w:tplc="041F0019" w:tentative="1">
      <w:start w:val="1"/>
      <w:numFmt w:val="lowerLetter"/>
      <w:lvlText w:val="%5."/>
      <w:lvlJc w:val="left"/>
      <w:pPr>
        <w:ind w:left="7488" w:hanging="360"/>
      </w:pPr>
    </w:lvl>
    <w:lvl w:ilvl="5" w:tplc="041F001B" w:tentative="1">
      <w:start w:val="1"/>
      <w:numFmt w:val="lowerRoman"/>
      <w:lvlText w:val="%6."/>
      <w:lvlJc w:val="right"/>
      <w:pPr>
        <w:ind w:left="8208" w:hanging="180"/>
      </w:pPr>
    </w:lvl>
    <w:lvl w:ilvl="6" w:tplc="041F000F" w:tentative="1">
      <w:start w:val="1"/>
      <w:numFmt w:val="decimal"/>
      <w:lvlText w:val="%7."/>
      <w:lvlJc w:val="left"/>
      <w:pPr>
        <w:ind w:left="8928" w:hanging="360"/>
      </w:pPr>
    </w:lvl>
    <w:lvl w:ilvl="7" w:tplc="041F0019" w:tentative="1">
      <w:start w:val="1"/>
      <w:numFmt w:val="lowerLetter"/>
      <w:lvlText w:val="%8."/>
      <w:lvlJc w:val="left"/>
      <w:pPr>
        <w:ind w:left="9648" w:hanging="360"/>
      </w:pPr>
    </w:lvl>
    <w:lvl w:ilvl="8" w:tplc="041F001B" w:tentative="1">
      <w:start w:val="1"/>
      <w:numFmt w:val="lowerRoman"/>
      <w:lvlText w:val="%9."/>
      <w:lvlJc w:val="right"/>
      <w:pPr>
        <w:ind w:left="10368" w:hanging="180"/>
      </w:pPr>
    </w:lvl>
  </w:abstractNum>
  <w:abstractNum w:abstractNumId="17"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8" w15:restartNumberingAfterBreak="0">
    <w:nsid w:val="2E3C72A0"/>
    <w:multiLevelType w:val="hybridMultilevel"/>
    <w:tmpl w:val="8E560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06B3578"/>
    <w:multiLevelType w:val="hybridMultilevel"/>
    <w:tmpl w:val="03DA178E"/>
    <w:lvl w:ilvl="0" w:tplc="5C92BB9C">
      <w:start w:val="1"/>
      <w:numFmt w:val="lowerLetter"/>
      <w:lvlText w:val="%1)"/>
      <w:lvlJc w:val="left"/>
      <w:pPr>
        <w:ind w:left="4608" w:hanging="360"/>
      </w:pPr>
      <w:rPr>
        <w:rFonts w:hint="default"/>
      </w:rPr>
    </w:lvl>
    <w:lvl w:ilvl="1" w:tplc="041F0019" w:tentative="1">
      <w:start w:val="1"/>
      <w:numFmt w:val="lowerLetter"/>
      <w:lvlText w:val="%2."/>
      <w:lvlJc w:val="left"/>
      <w:pPr>
        <w:ind w:left="5328" w:hanging="360"/>
      </w:pPr>
    </w:lvl>
    <w:lvl w:ilvl="2" w:tplc="041F001B" w:tentative="1">
      <w:start w:val="1"/>
      <w:numFmt w:val="lowerRoman"/>
      <w:lvlText w:val="%3."/>
      <w:lvlJc w:val="right"/>
      <w:pPr>
        <w:ind w:left="6048" w:hanging="180"/>
      </w:pPr>
    </w:lvl>
    <w:lvl w:ilvl="3" w:tplc="041F000F" w:tentative="1">
      <w:start w:val="1"/>
      <w:numFmt w:val="decimal"/>
      <w:lvlText w:val="%4."/>
      <w:lvlJc w:val="left"/>
      <w:pPr>
        <w:ind w:left="6768" w:hanging="360"/>
      </w:pPr>
    </w:lvl>
    <w:lvl w:ilvl="4" w:tplc="041F0019" w:tentative="1">
      <w:start w:val="1"/>
      <w:numFmt w:val="lowerLetter"/>
      <w:lvlText w:val="%5."/>
      <w:lvlJc w:val="left"/>
      <w:pPr>
        <w:ind w:left="7488" w:hanging="360"/>
      </w:pPr>
    </w:lvl>
    <w:lvl w:ilvl="5" w:tplc="041F001B" w:tentative="1">
      <w:start w:val="1"/>
      <w:numFmt w:val="lowerRoman"/>
      <w:lvlText w:val="%6."/>
      <w:lvlJc w:val="right"/>
      <w:pPr>
        <w:ind w:left="8208" w:hanging="180"/>
      </w:pPr>
    </w:lvl>
    <w:lvl w:ilvl="6" w:tplc="041F000F" w:tentative="1">
      <w:start w:val="1"/>
      <w:numFmt w:val="decimal"/>
      <w:lvlText w:val="%7."/>
      <w:lvlJc w:val="left"/>
      <w:pPr>
        <w:ind w:left="8928" w:hanging="360"/>
      </w:pPr>
    </w:lvl>
    <w:lvl w:ilvl="7" w:tplc="041F0019" w:tentative="1">
      <w:start w:val="1"/>
      <w:numFmt w:val="lowerLetter"/>
      <w:lvlText w:val="%8."/>
      <w:lvlJc w:val="left"/>
      <w:pPr>
        <w:ind w:left="9648" w:hanging="360"/>
      </w:pPr>
    </w:lvl>
    <w:lvl w:ilvl="8" w:tplc="041F001B" w:tentative="1">
      <w:start w:val="1"/>
      <w:numFmt w:val="lowerRoman"/>
      <w:lvlText w:val="%9."/>
      <w:lvlJc w:val="right"/>
      <w:pPr>
        <w:ind w:left="10368" w:hanging="180"/>
      </w:pPr>
    </w:lvl>
  </w:abstractNum>
  <w:abstractNum w:abstractNumId="21"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713CEB"/>
    <w:multiLevelType w:val="hybridMultilevel"/>
    <w:tmpl w:val="40C8B4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6"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41"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22"/>
  </w:num>
  <w:num w:numId="2">
    <w:abstractNumId w:val="13"/>
  </w:num>
  <w:num w:numId="3">
    <w:abstractNumId w:val="9"/>
  </w:num>
  <w:num w:numId="4">
    <w:abstractNumId w:val="0"/>
  </w:num>
  <w:num w:numId="5">
    <w:abstractNumId w:val="37"/>
  </w:num>
  <w:num w:numId="6">
    <w:abstractNumId w:val="12"/>
  </w:num>
  <w:num w:numId="7">
    <w:abstractNumId w:val="4"/>
  </w:num>
  <w:num w:numId="8">
    <w:abstractNumId w:val="23"/>
  </w:num>
  <w:num w:numId="9">
    <w:abstractNumId w:val="32"/>
  </w:num>
  <w:num w:numId="10">
    <w:abstractNumId w:val="27"/>
  </w:num>
  <w:num w:numId="11">
    <w:abstractNumId w:val="14"/>
  </w:num>
  <w:num w:numId="12">
    <w:abstractNumId w:val="3"/>
  </w:num>
  <w:num w:numId="13">
    <w:abstractNumId w:val="28"/>
  </w:num>
  <w:num w:numId="14">
    <w:abstractNumId w:val="38"/>
  </w:num>
  <w:num w:numId="15">
    <w:abstractNumId w:val="40"/>
  </w:num>
  <w:num w:numId="16">
    <w:abstractNumId w:val="42"/>
  </w:num>
  <w:num w:numId="17">
    <w:abstractNumId w:val="15"/>
  </w:num>
  <w:num w:numId="18">
    <w:abstractNumId w:val="34"/>
  </w:num>
  <w:num w:numId="19">
    <w:abstractNumId w:val="36"/>
  </w:num>
  <w:num w:numId="20">
    <w:abstractNumId w:val="10"/>
  </w:num>
  <w:num w:numId="21">
    <w:abstractNumId w:val="24"/>
  </w:num>
  <w:num w:numId="22">
    <w:abstractNumId w:val="6"/>
  </w:num>
  <w:num w:numId="23">
    <w:abstractNumId w:val="31"/>
  </w:num>
  <w:num w:numId="24">
    <w:abstractNumId w:val="2"/>
  </w:num>
  <w:num w:numId="25">
    <w:abstractNumId w:val="8"/>
  </w:num>
  <w:num w:numId="26">
    <w:abstractNumId w:val="21"/>
  </w:num>
  <w:num w:numId="27">
    <w:abstractNumId w:val="19"/>
  </w:num>
  <w:num w:numId="28">
    <w:abstractNumId w:val="35"/>
  </w:num>
  <w:num w:numId="29">
    <w:abstractNumId w:val="39"/>
  </w:num>
  <w:num w:numId="30">
    <w:abstractNumId w:val="25"/>
  </w:num>
  <w:num w:numId="31">
    <w:abstractNumId w:val="2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5"/>
  </w:num>
  <w:num w:numId="35">
    <w:abstractNumId w:val="30"/>
  </w:num>
  <w:num w:numId="36">
    <w:abstractNumId w:val="41"/>
  </w:num>
  <w:num w:numId="37">
    <w:abstractNumId w:val="11"/>
  </w:num>
  <w:num w:numId="38">
    <w:abstractNumId w:val="29"/>
  </w:num>
  <w:num w:numId="39">
    <w:abstractNumId w:val="7"/>
  </w:num>
  <w:num w:numId="40">
    <w:abstractNumId w:val="20"/>
  </w:num>
  <w:num w:numId="41">
    <w:abstractNumId w:val="16"/>
  </w:num>
  <w:num w:numId="42">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174A3"/>
    <w:rsid w:val="00017DEB"/>
    <w:rsid w:val="0002035E"/>
    <w:rsid w:val="00021365"/>
    <w:rsid w:val="00021EC6"/>
    <w:rsid w:val="000226CA"/>
    <w:rsid w:val="0002363F"/>
    <w:rsid w:val="00023DC0"/>
    <w:rsid w:val="00023EFE"/>
    <w:rsid w:val="0002436F"/>
    <w:rsid w:val="00024682"/>
    <w:rsid w:val="000261CE"/>
    <w:rsid w:val="000305BF"/>
    <w:rsid w:val="00032FFA"/>
    <w:rsid w:val="0003318E"/>
    <w:rsid w:val="00034276"/>
    <w:rsid w:val="000372D1"/>
    <w:rsid w:val="000409ED"/>
    <w:rsid w:val="00041319"/>
    <w:rsid w:val="00041D68"/>
    <w:rsid w:val="000463DA"/>
    <w:rsid w:val="000469B2"/>
    <w:rsid w:val="0005220F"/>
    <w:rsid w:val="000524A1"/>
    <w:rsid w:val="00055500"/>
    <w:rsid w:val="000558DA"/>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0B6"/>
    <w:rsid w:val="00071C0A"/>
    <w:rsid w:val="0007224B"/>
    <w:rsid w:val="00072722"/>
    <w:rsid w:val="00074338"/>
    <w:rsid w:val="000757B9"/>
    <w:rsid w:val="00077FCF"/>
    <w:rsid w:val="000817CC"/>
    <w:rsid w:val="000823EB"/>
    <w:rsid w:val="00090326"/>
    <w:rsid w:val="00090FBC"/>
    <w:rsid w:val="00091775"/>
    <w:rsid w:val="00092827"/>
    <w:rsid w:val="000934B8"/>
    <w:rsid w:val="000942D5"/>
    <w:rsid w:val="0009646C"/>
    <w:rsid w:val="000A14DB"/>
    <w:rsid w:val="000A3157"/>
    <w:rsid w:val="000A40EE"/>
    <w:rsid w:val="000A49B1"/>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915"/>
    <w:rsid w:val="000D6D18"/>
    <w:rsid w:val="000D6D50"/>
    <w:rsid w:val="000E1827"/>
    <w:rsid w:val="000E3B9F"/>
    <w:rsid w:val="000E3BA5"/>
    <w:rsid w:val="000E3D1B"/>
    <w:rsid w:val="000E404A"/>
    <w:rsid w:val="000E43D9"/>
    <w:rsid w:val="000E48B2"/>
    <w:rsid w:val="000E5B5C"/>
    <w:rsid w:val="000E621C"/>
    <w:rsid w:val="000F0B84"/>
    <w:rsid w:val="000F1CD4"/>
    <w:rsid w:val="000F4273"/>
    <w:rsid w:val="000F47E8"/>
    <w:rsid w:val="000F70EE"/>
    <w:rsid w:val="000F785A"/>
    <w:rsid w:val="001002AC"/>
    <w:rsid w:val="0010259C"/>
    <w:rsid w:val="001031C5"/>
    <w:rsid w:val="001031D3"/>
    <w:rsid w:val="001041BF"/>
    <w:rsid w:val="001046EF"/>
    <w:rsid w:val="00106F1A"/>
    <w:rsid w:val="001129EB"/>
    <w:rsid w:val="00116424"/>
    <w:rsid w:val="00116DC2"/>
    <w:rsid w:val="001173DB"/>
    <w:rsid w:val="001205BA"/>
    <w:rsid w:val="00120CD6"/>
    <w:rsid w:val="00124A89"/>
    <w:rsid w:val="001260BA"/>
    <w:rsid w:val="00126A73"/>
    <w:rsid w:val="00130CAC"/>
    <w:rsid w:val="0013468E"/>
    <w:rsid w:val="00135B74"/>
    <w:rsid w:val="001363CF"/>
    <w:rsid w:val="001402EB"/>
    <w:rsid w:val="00141D05"/>
    <w:rsid w:val="00141F50"/>
    <w:rsid w:val="00142D7D"/>
    <w:rsid w:val="001434A2"/>
    <w:rsid w:val="00143506"/>
    <w:rsid w:val="00146870"/>
    <w:rsid w:val="001468FF"/>
    <w:rsid w:val="00150A43"/>
    <w:rsid w:val="001558FC"/>
    <w:rsid w:val="00156DA2"/>
    <w:rsid w:val="00161B9E"/>
    <w:rsid w:val="001634B1"/>
    <w:rsid w:val="00166435"/>
    <w:rsid w:val="001723FD"/>
    <w:rsid w:val="00176329"/>
    <w:rsid w:val="001772E4"/>
    <w:rsid w:val="00177392"/>
    <w:rsid w:val="00177D3D"/>
    <w:rsid w:val="001816E1"/>
    <w:rsid w:val="00182331"/>
    <w:rsid w:val="00182FE7"/>
    <w:rsid w:val="00183830"/>
    <w:rsid w:val="00183B00"/>
    <w:rsid w:val="00185A1E"/>
    <w:rsid w:val="001869AE"/>
    <w:rsid w:val="00186A92"/>
    <w:rsid w:val="0019128E"/>
    <w:rsid w:val="0019173F"/>
    <w:rsid w:val="00191E60"/>
    <w:rsid w:val="00192C46"/>
    <w:rsid w:val="00193214"/>
    <w:rsid w:val="00194791"/>
    <w:rsid w:val="00194CD5"/>
    <w:rsid w:val="00194F5E"/>
    <w:rsid w:val="00195AEE"/>
    <w:rsid w:val="00195FFD"/>
    <w:rsid w:val="001961A0"/>
    <w:rsid w:val="001A13FF"/>
    <w:rsid w:val="001A1F13"/>
    <w:rsid w:val="001A4A57"/>
    <w:rsid w:val="001A4BA4"/>
    <w:rsid w:val="001A5A10"/>
    <w:rsid w:val="001A724C"/>
    <w:rsid w:val="001A7F43"/>
    <w:rsid w:val="001B04BC"/>
    <w:rsid w:val="001B0B76"/>
    <w:rsid w:val="001B1186"/>
    <w:rsid w:val="001B16A1"/>
    <w:rsid w:val="001B18A8"/>
    <w:rsid w:val="001B1E1B"/>
    <w:rsid w:val="001B2112"/>
    <w:rsid w:val="001B4B5F"/>
    <w:rsid w:val="001B685A"/>
    <w:rsid w:val="001B6D7B"/>
    <w:rsid w:val="001C0FEA"/>
    <w:rsid w:val="001C4717"/>
    <w:rsid w:val="001C6263"/>
    <w:rsid w:val="001C669B"/>
    <w:rsid w:val="001D0D7F"/>
    <w:rsid w:val="001D16F9"/>
    <w:rsid w:val="001D3D2D"/>
    <w:rsid w:val="001D4475"/>
    <w:rsid w:val="001D6477"/>
    <w:rsid w:val="001E1338"/>
    <w:rsid w:val="001E2285"/>
    <w:rsid w:val="001E3C58"/>
    <w:rsid w:val="001E4578"/>
    <w:rsid w:val="001E4647"/>
    <w:rsid w:val="001F0C15"/>
    <w:rsid w:val="001F1A89"/>
    <w:rsid w:val="001F2489"/>
    <w:rsid w:val="001F2869"/>
    <w:rsid w:val="001F2D29"/>
    <w:rsid w:val="001F3C5C"/>
    <w:rsid w:val="001F4149"/>
    <w:rsid w:val="001F4C7D"/>
    <w:rsid w:val="001F5AFE"/>
    <w:rsid w:val="001F62CD"/>
    <w:rsid w:val="001F740F"/>
    <w:rsid w:val="002017F8"/>
    <w:rsid w:val="00206BE8"/>
    <w:rsid w:val="00206EBB"/>
    <w:rsid w:val="002133BC"/>
    <w:rsid w:val="002139A7"/>
    <w:rsid w:val="00216832"/>
    <w:rsid w:val="00217639"/>
    <w:rsid w:val="00217ABE"/>
    <w:rsid w:val="00220893"/>
    <w:rsid w:val="002219E7"/>
    <w:rsid w:val="0022604D"/>
    <w:rsid w:val="00232633"/>
    <w:rsid w:val="0023543B"/>
    <w:rsid w:val="0023570A"/>
    <w:rsid w:val="00235FE5"/>
    <w:rsid w:val="002373CF"/>
    <w:rsid w:val="00240D9B"/>
    <w:rsid w:val="00242AF0"/>
    <w:rsid w:val="00243410"/>
    <w:rsid w:val="002435CE"/>
    <w:rsid w:val="00243C05"/>
    <w:rsid w:val="002446C7"/>
    <w:rsid w:val="0024620B"/>
    <w:rsid w:val="002509A3"/>
    <w:rsid w:val="00252028"/>
    <w:rsid w:val="00253396"/>
    <w:rsid w:val="00255408"/>
    <w:rsid w:val="002602B4"/>
    <w:rsid w:val="002621A5"/>
    <w:rsid w:val="0026305A"/>
    <w:rsid w:val="00265ED2"/>
    <w:rsid w:val="0027049F"/>
    <w:rsid w:val="002712C9"/>
    <w:rsid w:val="00274257"/>
    <w:rsid w:val="00275134"/>
    <w:rsid w:val="00277681"/>
    <w:rsid w:val="00277AED"/>
    <w:rsid w:val="00282922"/>
    <w:rsid w:val="00283697"/>
    <w:rsid w:val="002837AE"/>
    <w:rsid w:val="00283C2A"/>
    <w:rsid w:val="00283F06"/>
    <w:rsid w:val="002843D1"/>
    <w:rsid w:val="002849DA"/>
    <w:rsid w:val="0028552F"/>
    <w:rsid w:val="00292FE3"/>
    <w:rsid w:val="0029647A"/>
    <w:rsid w:val="00296EE9"/>
    <w:rsid w:val="002976C1"/>
    <w:rsid w:val="002A041C"/>
    <w:rsid w:val="002A0598"/>
    <w:rsid w:val="002A198A"/>
    <w:rsid w:val="002A1C50"/>
    <w:rsid w:val="002A49B9"/>
    <w:rsid w:val="002A5038"/>
    <w:rsid w:val="002A50DB"/>
    <w:rsid w:val="002A5C3A"/>
    <w:rsid w:val="002B0527"/>
    <w:rsid w:val="002B1A50"/>
    <w:rsid w:val="002B2A8A"/>
    <w:rsid w:val="002B3A67"/>
    <w:rsid w:val="002B5660"/>
    <w:rsid w:val="002B5B23"/>
    <w:rsid w:val="002B6939"/>
    <w:rsid w:val="002C018E"/>
    <w:rsid w:val="002C223B"/>
    <w:rsid w:val="002C2A1B"/>
    <w:rsid w:val="002C5284"/>
    <w:rsid w:val="002C7A08"/>
    <w:rsid w:val="002D3451"/>
    <w:rsid w:val="002D563D"/>
    <w:rsid w:val="002D5AFE"/>
    <w:rsid w:val="002D6005"/>
    <w:rsid w:val="002D7D21"/>
    <w:rsid w:val="002E0A62"/>
    <w:rsid w:val="002E3230"/>
    <w:rsid w:val="002E45FC"/>
    <w:rsid w:val="002E5C5B"/>
    <w:rsid w:val="002E7AA4"/>
    <w:rsid w:val="002F3CB4"/>
    <w:rsid w:val="002F4D18"/>
    <w:rsid w:val="002F4EF5"/>
    <w:rsid w:val="002F5562"/>
    <w:rsid w:val="002F6ACD"/>
    <w:rsid w:val="00303691"/>
    <w:rsid w:val="0030425E"/>
    <w:rsid w:val="00304BED"/>
    <w:rsid w:val="00305082"/>
    <w:rsid w:val="0030630A"/>
    <w:rsid w:val="003102CB"/>
    <w:rsid w:val="00310FEF"/>
    <w:rsid w:val="00313B5E"/>
    <w:rsid w:val="0031432C"/>
    <w:rsid w:val="0031591A"/>
    <w:rsid w:val="003159D2"/>
    <w:rsid w:val="0031782F"/>
    <w:rsid w:val="00320AAB"/>
    <w:rsid w:val="003229D0"/>
    <w:rsid w:val="003244FC"/>
    <w:rsid w:val="00325CB1"/>
    <w:rsid w:val="003268E5"/>
    <w:rsid w:val="00330365"/>
    <w:rsid w:val="003317C2"/>
    <w:rsid w:val="0033611C"/>
    <w:rsid w:val="00337C37"/>
    <w:rsid w:val="00342CCA"/>
    <w:rsid w:val="00342EAB"/>
    <w:rsid w:val="003436EF"/>
    <w:rsid w:val="003449F0"/>
    <w:rsid w:val="00345C8C"/>
    <w:rsid w:val="00353047"/>
    <w:rsid w:val="0035383D"/>
    <w:rsid w:val="00354B4D"/>
    <w:rsid w:val="0035567B"/>
    <w:rsid w:val="00355CAE"/>
    <w:rsid w:val="003644DB"/>
    <w:rsid w:val="00364E03"/>
    <w:rsid w:val="00365A2E"/>
    <w:rsid w:val="003660B6"/>
    <w:rsid w:val="00367661"/>
    <w:rsid w:val="00371B57"/>
    <w:rsid w:val="00371ED6"/>
    <w:rsid w:val="00371EE5"/>
    <w:rsid w:val="00372D5A"/>
    <w:rsid w:val="00377927"/>
    <w:rsid w:val="00380946"/>
    <w:rsid w:val="003809DE"/>
    <w:rsid w:val="003811A1"/>
    <w:rsid w:val="00382649"/>
    <w:rsid w:val="003829A0"/>
    <w:rsid w:val="003832F7"/>
    <w:rsid w:val="00383F74"/>
    <w:rsid w:val="003846C6"/>
    <w:rsid w:val="00386535"/>
    <w:rsid w:val="00387B35"/>
    <w:rsid w:val="00390CFF"/>
    <w:rsid w:val="0039131A"/>
    <w:rsid w:val="00394F02"/>
    <w:rsid w:val="00395ECD"/>
    <w:rsid w:val="003A09DA"/>
    <w:rsid w:val="003A283B"/>
    <w:rsid w:val="003A3D9A"/>
    <w:rsid w:val="003A567B"/>
    <w:rsid w:val="003A59A7"/>
    <w:rsid w:val="003A71D3"/>
    <w:rsid w:val="003A79B6"/>
    <w:rsid w:val="003A7C96"/>
    <w:rsid w:val="003B1029"/>
    <w:rsid w:val="003B1C96"/>
    <w:rsid w:val="003B3393"/>
    <w:rsid w:val="003B41DF"/>
    <w:rsid w:val="003B537A"/>
    <w:rsid w:val="003B5F92"/>
    <w:rsid w:val="003B7F7E"/>
    <w:rsid w:val="003C3FDC"/>
    <w:rsid w:val="003C54EC"/>
    <w:rsid w:val="003C74B9"/>
    <w:rsid w:val="003C7CC2"/>
    <w:rsid w:val="003D1B2F"/>
    <w:rsid w:val="003D223F"/>
    <w:rsid w:val="003D304F"/>
    <w:rsid w:val="003D3818"/>
    <w:rsid w:val="003E3010"/>
    <w:rsid w:val="003E5758"/>
    <w:rsid w:val="003E70C9"/>
    <w:rsid w:val="003F0626"/>
    <w:rsid w:val="003F1FCB"/>
    <w:rsid w:val="003F4889"/>
    <w:rsid w:val="003F6A44"/>
    <w:rsid w:val="003F6BB3"/>
    <w:rsid w:val="003F6CB6"/>
    <w:rsid w:val="003F7099"/>
    <w:rsid w:val="004020EB"/>
    <w:rsid w:val="004021CF"/>
    <w:rsid w:val="00402C0A"/>
    <w:rsid w:val="004050E8"/>
    <w:rsid w:val="004051C9"/>
    <w:rsid w:val="00405DE2"/>
    <w:rsid w:val="00407EEA"/>
    <w:rsid w:val="00410BC3"/>
    <w:rsid w:val="004116D0"/>
    <w:rsid w:val="004126C3"/>
    <w:rsid w:val="00413652"/>
    <w:rsid w:val="00413C80"/>
    <w:rsid w:val="00413FA7"/>
    <w:rsid w:val="004155D5"/>
    <w:rsid w:val="00416553"/>
    <w:rsid w:val="00416674"/>
    <w:rsid w:val="00416E14"/>
    <w:rsid w:val="00417C09"/>
    <w:rsid w:val="00417ED9"/>
    <w:rsid w:val="00420D55"/>
    <w:rsid w:val="00422658"/>
    <w:rsid w:val="00424CF1"/>
    <w:rsid w:val="00426EAE"/>
    <w:rsid w:val="0042728B"/>
    <w:rsid w:val="00430B3C"/>
    <w:rsid w:val="0043126F"/>
    <w:rsid w:val="00432432"/>
    <w:rsid w:val="00432B5A"/>
    <w:rsid w:val="00432CE6"/>
    <w:rsid w:val="004331E7"/>
    <w:rsid w:val="004342E3"/>
    <w:rsid w:val="00434DEA"/>
    <w:rsid w:val="00441555"/>
    <w:rsid w:val="00442A74"/>
    <w:rsid w:val="004453C1"/>
    <w:rsid w:val="004474BE"/>
    <w:rsid w:val="004500CC"/>
    <w:rsid w:val="0045088F"/>
    <w:rsid w:val="00453183"/>
    <w:rsid w:val="004542CF"/>
    <w:rsid w:val="00456919"/>
    <w:rsid w:val="00460252"/>
    <w:rsid w:val="004640FD"/>
    <w:rsid w:val="00464314"/>
    <w:rsid w:val="00465385"/>
    <w:rsid w:val="00465F1E"/>
    <w:rsid w:val="00467724"/>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10B0"/>
    <w:rsid w:val="004A4C36"/>
    <w:rsid w:val="004B03AE"/>
    <w:rsid w:val="004B23BF"/>
    <w:rsid w:val="004B3504"/>
    <w:rsid w:val="004B5DD7"/>
    <w:rsid w:val="004C1A4E"/>
    <w:rsid w:val="004C280E"/>
    <w:rsid w:val="004C3D0B"/>
    <w:rsid w:val="004C4B76"/>
    <w:rsid w:val="004C4BF6"/>
    <w:rsid w:val="004C6E45"/>
    <w:rsid w:val="004C751B"/>
    <w:rsid w:val="004D27D7"/>
    <w:rsid w:val="004D3CD6"/>
    <w:rsid w:val="004D5227"/>
    <w:rsid w:val="004E015E"/>
    <w:rsid w:val="004E02A8"/>
    <w:rsid w:val="004E5A55"/>
    <w:rsid w:val="004E5E59"/>
    <w:rsid w:val="004E7E58"/>
    <w:rsid w:val="004F0667"/>
    <w:rsid w:val="004F1277"/>
    <w:rsid w:val="004F253D"/>
    <w:rsid w:val="004F2FA0"/>
    <w:rsid w:val="004F3001"/>
    <w:rsid w:val="004F5B28"/>
    <w:rsid w:val="004F6821"/>
    <w:rsid w:val="004F6A3A"/>
    <w:rsid w:val="004F7DBB"/>
    <w:rsid w:val="00500F83"/>
    <w:rsid w:val="00503BC9"/>
    <w:rsid w:val="005056EC"/>
    <w:rsid w:val="005062E2"/>
    <w:rsid w:val="005114DD"/>
    <w:rsid w:val="0051203B"/>
    <w:rsid w:val="00513882"/>
    <w:rsid w:val="00514D93"/>
    <w:rsid w:val="00515455"/>
    <w:rsid w:val="005265A5"/>
    <w:rsid w:val="00526FBE"/>
    <w:rsid w:val="005277F7"/>
    <w:rsid w:val="0053042F"/>
    <w:rsid w:val="00530C66"/>
    <w:rsid w:val="00531227"/>
    <w:rsid w:val="00533E13"/>
    <w:rsid w:val="005352D8"/>
    <w:rsid w:val="00535D4F"/>
    <w:rsid w:val="00537DFA"/>
    <w:rsid w:val="00540509"/>
    <w:rsid w:val="0054158F"/>
    <w:rsid w:val="00541C4A"/>
    <w:rsid w:val="00542D89"/>
    <w:rsid w:val="005434BD"/>
    <w:rsid w:val="005441C9"/>
    <w:rsid w:val="00544AD5"/>
    <w:rsid w:val="00546A0F"/>
    <w:rsid w:val="00547545"/>
    <w:rsid w:val="005528B7"/>
    <w:rsid w:val="00553889"/>
    <w:rsid w:val="00553D2A"/>
    <w:rsid w:val="00553EBD"/>
    <w:rsid w:val="005646EB"/>
    <w:rsid w:val="00566747"/>
    <w:rsid w:val="00570F7E"/>
    <w:rsid w:val="00574293"/>
    <w:rsid w:val="005742FE"/>
    <w:rsid w:val="00574F38"/>
    <w:rsid w:val="005823D5"/>
    <w:rsid w:val="00583C3A"/>
    <w:rsid w:val="0058434C"/>
    <w:rsid w:val="00584664"/>
    <w:rsid w:val="005865C5"/>
    <w:rsid w:val="00586A54"/>
    <w:rsid w:val="00587FAA"/>
    <w:rsid w:val="00590CF1"/>
    <w:rsid w:val="0059146B"/>
    <w:rsid w:val="005923C6"/>
    <w:rsid w:val="0059456C"/>
    <w:rsid w:val="00594E3C"/>
    <w:rsid w:val="00595134"/>
    <w:rsid w:val="00596E83"/>
    <w:rsid w:val="005A1A59"/>
    <w:rsid w:val="005A4189"/>
    <w:rsid w:val="005A48B5"/>
    <w:rsid w:val="005A63DA"/>
    <w:rsid w:val="005A6DE3"/>
    <w:rsid w:val="005A76D1"/>
    <w:rsid w:val="005B0B20"/>
    <w:rsid w:val="005B1FE7"/>
    <w:rsid w:val="005B24B6"/>
    <w:rsid w:val="005B2675"/>
    <w:rsid w:val="005B2F45"/>
    <w:rsid w:val="005B38AD"/>
    <w:rsid w:val="005C08A1"/>
    <w:rsid w:val="005C23CF"/>
    <w:rsid w:val="005D2627"/>
    <w:rsid w:val="005D4955"/>
    <w:rsid w:val="005D5963"/>
    <w:rsid w:val="005D7C6A"/>
    <w:rsid w:val="005E0BA1"/>
    <w:rsid w:val="005E2170"/>
    <w:rsid w:val="005E509C"/>
    <w:rsid w:val="005E5971"/>
    <w:rsid w:val="005E6455"/>
    <w:rsid w:val="005E6C0B"/>
    <w:rsid w:val="005E6E3E"/>
    <w:rsid w:val="005F0644"/>
    <w:rsid w:val="005F3CE3"/>
    <w:rsid w:val="005F4BC4"/>
    <w:rsid w:val="006004E2"/>
    <w:rsid w:val="006011E1"/>
    <w:rsid w:val="00601D9C"/>
    <w:rsid w:val="006021BE"/>
    <w:rsid w:val="00607831"/>
    <w:rsid w:val="006079D3"/>
    <w:rsid w:val="00607FE8"/>
    <w:rsid w:val="00610A15"/>
    <w:rsid w:val="00610C1C"/>
    <w:rsid w:val="00611247"/>
    <w:rsid w:val="00613031"/>
    <w:rsid w:val="0061355D"/>
    <w:rsid w:val="006137A8"/>
    <w:rsid w:val="0061567C"/>
    <w:rsid w:val="00616CFA"/>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630E"/>
    <w:rsid w:val="006578D9"/>
    <w:rsid w:val="00660472"/>
    <w:rsid w:val="006615AF"/>
    <w:rsid w:val="006637E4"/>
    <w:rsid w:val="0066401F"/>
    <w:rsid w:val="00665E35"/>
    <w:rsid w:val="006672F2"/>
    <w:rsid w:val="00667C07"/>
    <w:rsid w:val="006714C1"/>
    <w:rsid w:val="006716E0"/>
    <w:rsid w:val="00673F24"/>
    <w:rsid w:val="0067546F"/>
    <w:rsid w:val="00676032"/>
    <w:rsid w:val="006762DF"/>
    <w:rsid w:val="00685B8B"/>
    <w:rsid w:val="00685C58"/>
    <w:rsid w:val="00686514"/>
    <w:rsid w:val="00692461"/>
    <w:rsid w:val="0069654D"/>
    <w:rsid w:val="00697A35"/>
    <w:rsid w:val="006A2D9C"/>
    <w:rsid w:val="006A4277"/>
    <w:rsid w:val="006A49B3"/>
    <w:rsid w:val="006B2143"/>
    <w:rsid w:val="006B240A"/>
    <w:rsid w:val="006B49E3"/>
    <w:rsid w:val="006B4A21"/>
    <w:rsid w:val="006B6D49"/>
    <w:rsid w:val="006B6D80"/>
    <w:rsid w:val="006B6E69"/>
    <w:rsid w:val="006C022E"/>
    <w:rsid w:val="006C0327"/>
    <w:rsid w:val="006C2436"/>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07A6"/>
    <w:rsid w:val="006F16E6"/>
    <w:rsid w:val="006F1C46"/>
    <w:rsid w:val="006F2B55"/>
    <w:rsid w:val="006F5E99"/>
    <w:rsid w:val="0070184A"/>
    <w:rsid w:val="007022BB"/>
    <w:rsid w:val="00702B4B"/>
    <w:rsid w:val="00703EC6"/>
    <w:rsid w:val="007044C2"/>
    <w:rsid w:val="00704D09"/>
    <w:rsid w:val="007057B2"/>
    <w:rsid w:val="00705974"/>
    <w:rsid w:val="0070719A"/>
    <w:rsid w:val="007073D6"/>
    <w:rsid w:val="00710CC1"/>
    <w:rsid w:val="00711F8D"/>
    <w:rsid w:val="00712870"/>
    <w:rsid w:val="00713484"/>
    <w:rsid w:val="00713C3B"/>
    <w:rsid w:val="00716CEF"/>
    <w:rsid w:val="00717E99"/>
    <w:rsid w:val="007217A8"/>
    <w:rsid w:val="00724D87"/>
    <w:rsid w:val="00731B7D"/>
    <w:rsid w:val="00735E68"/>
    <w:rsid w:val="00737083"/>
    <w:rsid w:val="00737FD0"/>
    <w:rsid w:val="00740061"/>
    <w:rsid w:val="007466C7"/>
    <w:rsid w:val="007475D4"/>
    <w:rsid w:val="00753C67"/>
    <w:rsid w:val="00753D05"/>
    <w:rsid w:val="007547D2"/>
    <w:rsid w:val="007550F6"/>
    <w:rsid w:val="007552C8"/>
    <w:rsid w:val="007563BE"/>
    <w:rsid w:val="007575CE"/>
    <w:rsid w:val="00757F6D"/>
    <w:rsid w:val="00760544"/>
    <w:rsid w:val="007664D5"/>
    <w:rsid w:val="007704A2"/>
    <w:rsid w:val="0077100C"/>
    <w:rsid w:val="00771144"/>
    <w:rsid w:val="00771441"/>
    <w:rsid w:val="00772E2D"/>
    <w:rsid w:val="00774D22"/>
    <w:rsid w:val="00774F53"/>
    <w:rsid w:val="00775B01"/>
    <w:rsid w:val="00790211"/>
    <w:rsid w:val="00790946"/>
    <w:rsid w:val="007920CE"/>
    <w:rsid w:val="00792B27"/>
    <w:rsid w:val="00792B4F"/>
    <w:rsid w:val="0079379D"/>
    <w:rsid w:val="00794F14"/>
    <w:rsid w:val="00795576"/>
    <w:rsid w:val="007978DF"/>
    <w:rsid w:val="007A0337"/>
    <w:rsid w:val="007A13CD"/>
    <w:rsid w:val="007A26D2"/>
    <w:rsid w:val="007A2FF3"/>
    <w:rsid w:val="007A33D4"/>
    <w:rsid w:val="007A3474"/>
    <w:rsid w:val="007A3B69"/>
    <w:rsid w:val="007A3C47"/>
    <w:rsid w:val="007A7A2B"/>
    <w:rsid w:val="007A7EB7"/>
    <w:rsid w:val="007B13E6"/>
    <w:rsid w:val="007B2325"/>
    <w:rsid w:val="007B3240"/>
    <w:rsid w:val="007B369A"/>
    <w:rsid w:val="007B4507"/>
    <w:rsid w:val="007B47CE"/>
    <w:rsid w:val="007B79C7"/>
    <w:rsid w:val="007B7C36"/>
    <w:rsid w:val="007C0293"/>
    <w:rsid w:val="007C3AA1"/>
    <w:rsid w:val="007D05D7"/>
    <w:rsid w:val="007D0DCC"/>
    <w:rsid w:val="007D32F4"/>
    <w:rsid w:val="007D3D0A"/>
    <w:rsid w:val="007D49B8"/>
    <w:rsid w:val="007D5B6C"/>
    <w:rsid w:val="007D6210"/>
    <w:rsid w:val="007E0C81"/>
    <w:rsid w:val="007E3FDB"/>
    <w:rsid w:val="007E5209"/>
    <w:rsid w:val="007E75C3"/>
    <w:rsid w:val="007F2498"/>
    <w:rsid w:val="007F3721"/>
    <w:rsid w:val="007F545A"/>
    <w:rsid w:val="007F5C18"/>
    <w:rsid w:val="007F5C3B"/>
    <w:rsid w:val="007F7E7A"/>
    <w:rsid w:val="007F7E87"/>
    <w:rsid w:val="0080349B"/>
    <w:rsid w:val="00806F69"/>
    <w:rsid w:val="00807439"/>
    <w:rsid w:val="00811851"/>
    <w:rsid w:val="008123D4"/>
    <w:rsid w:val="008135E9"/>
    <w:rsid w:val="00813DB1"/>
    <w:rsid w:val="008145E6"/>
    <w:rsid w:val="008162E0"/>
    <w:rsid w:val="00821662"/>
    <w:rsid w:val="00823241"/>
    <w:rsid w:val="008247FE"/>
    <w:rsid w:val="00825379"/>
    <w:rsid w:val="00825BB9"/>
    <w:rsid w:val="00826A4E"/>
    <w:rsid w:val="00826AB4"/>
    <w:rsid w:val="00830561"/>
    <w:rsid w:val="00832850"/>
    <w:rsid w:val="00833927"/>
    <w:rsid w:val="008407DF"/>
    <w:rsid w:val="00841ADA"/>
    <w:rsid w:val="0084219B"/>
    <w:rsid w:val="008421FA"/>
    <w:rsid w:val="00842581"/>
    <w:rsid w:val="008431CE"/>
    <w:rsid w:val="00843360"/>
    <w:rsid w:val="0084363D"/>
    <w:rsid w:val="008459C8"/>
    <w:rsid w:val="00845EA0"/>
    <w:rsid w:val="00847B34"/>
    <w:rsid w:val="00851BA3"/>
    <w:rsid w:val="00853D5A"/>
    <w:rsid w:val="00855BC4"/>
    <w:rsid w:val="008564C0"/>
    <w:rsid w:val="008577D1"/>
    <w:rsid w:val="00860B75"/>
    <w:rsid w:val="00860E25"/>
    <w:rsid w:val="0086115E"/>
    <w:rsid w:val="00862AC4"/>
    <w:rsid w:val="00863695"/>
    <w:rsid w:val="00863EB3"/>
    <w:rsid w:val="008657DB"/>
    <w:rsid w:val="00871B0F"/>
    <w:rsid w:val="00871C4B"/>
    <w:rsid w:val="0087228C"/>
    <w:rsid w:val="00872384"/>
    <w:rsid w:val="00872CEE"/>
    <w:rsid w:val="008737FB"/>
    <w:rsid w:val="008744C5"/>
    <w:rsid w:val="00874985"/>
    <w:rsid w:val="008766BA"/>
    <w:rsid w:val="00877EE8"/>
    <w:rsid w:val="008801C3"/>
    <w:rsid w:val="008835DD"/>
    <w:rsid w:val="00885DC9"/>
    <w:rsid w:val="00887450"/>
    <w:rsid w:val="00890B2E"/>
    <w:rsid w:val="00892B8A"/>
    <w:rsid w:val="00895A92"/>
    <w:rsid w:val="00896140"/>
    <w:rsid w:val="008A185F"/>
    <w:rsid w:val="008A2DB4"/>
    <w:rsid w:val="008A56BF"/>
    <w:rsid w:val="008A6108"/>
    <w:rsid w:val="008A7AFF"/>
    <w:rsid w:val="008B3D1C"/>
    <w:rsid w:val="008C2AD1"/>
    <w:rsid w:val="008C2E32"/>
    <w:rsid w:val="008C347E"/>
    <w:rsid w:val="008C355E"/>
    <w:rsid w:val="008C5FCE"/>
    <w:rsid w:val="008D12D1"/>
    <w:rsid w:val="008D1B4F"/>
    <w:rsid w:val="008D2A6D"/>
    <w:rsid w:val="008D62E7"/>
    <w:rsid w:val="008E036B"/>
    <w:rsid w:val="008E09F7"/>
    <w:rsid w:val="008E1A70"/>
    <w:rsid w:val="008E1FF1"/>
    <w:rsid w:val="008E4634"/>
    <w:rsid w:val="008E54CC"/>
    <w:rsid w:val="008E6825"/>
    <w:rsid w:val="008E75EF"/>
    <w:rsid w:val="008E7D53"/>
    <w:rsid w:val="008F11A6"/>
    <w:rsid w:val="008F25DC"/>
    <w:rsid w:val="008F2C61"/>
    <w:rsid w:val="008F3DBD"/>
    <w:rsid w:val="009052C0"/>
    <w:rsid w:val="009059B4"/>
    <w:rsid w:val="00906B48"/>
    <w:rsid w:val="009072A7"/>
    <w:rsid w:val="00907C17"/>
    <w:rsid w:val="009131C2"/>
    <w:rsid w:val="009132C3"/>
    <w:rsid w:val="00914531"/>
    <w:rsid w:val="00915143"/>
    <w:rsid w:val="00915340"/>
    <w:rsid w:val="00916440"/>
    <w:rsid w:val="00916DCB"/>
    <w:rsid w:val="00917F21"/>
    <w:rsid w:val="0092030C"/>
    <w:rsid w:val="00920771"/>
    <w:rsid w:val="00920D83"/>
    <w:rsid w:val="009211F0"/>
    <w:rsid w:val="00923187"/>
    <w:rsid w:val="009243C1"/>
    <w:rsid w:val="009262C7"/>
    <w:rsid w:val="00933F2F"/>
    <w:rsid w:val="009345DA"/>
    <w:rsid w:val="00934825"/>
    <w:rsid w:val="00936091"/>
    <w:rsid w:val="00936C67"/>
    <w:rsid w:val="009373DA"/>
    <w:rsid w:val="009402AF"/>
    <w:rsid w:val="00940FBA"/>
    <w:rsid w:val="00941134"/>
    <w:rsid w:val="00942657"/>
    <w:rsid w:val="00944C64"/>
    <w:rsid w:val="0094570A"/>
    <w:rsid w:val="00946D5D"/>
    <w:rsid w:val="00950A4D"/>
    <w:rsid w:val="009541C9"/>
    <w:rsid w:val="00955BF0"/>
    <w:rsid w:val="009568A4"/>
    <w:rsid w:val="0096626A"/>
    <w:rsid w:val="00967D1C"/>
    <w:rsid w:val="00972025"/>
    <w:rsid w:val="00973568"/>
    <w:rsid w:val="00975B9D"/>
    <w:rsid w:val="009776D9"/>
    <w:rsid w:val="0097784A"/>
    <w:rsid w:val="00980517"/>
    <w:rsid w:val="009812A7"/>
    <w:rsid w:val="0098173F"/>
    <w:rsid w:val="0098513F"/>
    <w:rsid w:val="00986F68"/>
    <w:rsid w:val="00991FB5"/>
    <w:rsid w:val="00992AA4"/>
    <w:rsid w:val="00992DCA"/>
    <w:rsid w:val="009946DD"/>
    <w:rsid w:val="00996D17"/>
    <w:rsid w:val="00996E18"/>
    <w:rsid w:val="009A1DA3"/>
    <w:rsid w:val="009A2718"/>
    <w:rsid w:val="009A5040"/>
    <w:rsid w:val="009A61C7"/>
    <w:rsid w:val="009A6452"/>
    <w:rsid w:val="009A6660"/>
    <w:rsid w:val="009A6C54"/>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3051"/>
    <w:rsid w:val="009D7734"/>
    <w:rsid w:val="009E205B"/>
    <w:rsid w:val="009E41E0"/>
    <w:rsid w:val="009E4E8F"/>
    <w:rsid w:val="009E72AB"/>
    <w:rsid w:val="009E792E"/>
    <w:rsid w:val="009F0CDA"/>
    <w:rsid w:val="009F270C"/>
    <w:rsid w:val="009F4DD3"/>
    <w:rsid w:val="009F4E50"/>
    <w:rsid w:val="009F53D9"/>
    <w:rsid w:val="009F60B2"/>
    <w:rsid w:val="009F6DEF"/>
    <w:rsid w:val="009F71D1"/>
    <w:rsid w:val="009F7965"/>
    <w:rsid w:val="00A0007F"/>
    <w:rsid w:val="00A027F7"/>
    <w:rsid w:val="00A10842"/>
    <w:rsid w:val="00A12F8A"/>
    <w:rsid w:val="00A14CF7"/>
    <w:rsid w:val="00A21405"/>
    <w:rsid w:val="00A219F5"/>
    <w:rsid w:val="00A3233F"/>
    <w:rsid w:val="00A32C29"/>
    <w:rsid w:val="00A330F8"/>
    <w:rsid w:val="00A3315F"/>
    <w:rsid w:val="00A34914"/>
    <w:rsid w:val="00A36302"/>
    <w:rsid w:val="00A36D7C"/>
    <w:rsid w:val="00A4005A"/>
    <w:rsid w:val="00A427DD"/>
    <w:rsid w:val="00A42C6A"/>
    <w:rsid w:val="00A43251"/>
    <w:rsid w:val="00A4562B"/>
    <w:rsid w:val="00A5076B"/>
    <w:rsid w:val="00A51658"/>
    <w:rsid w:val="00A54528"/>
    <w:rsid w:val="00A55218"/>
    <w:rsid w:val="00A56606"/>
    <w:rsid w:val="00A57AAA"/>
    <w:rsid w:val="00A57E35"/>
    <w:rsid w:val="00A60C92"/>
    <w:rsid w:val="00A6237C"/>
    <w:rsid w:val="00A6301E"/>
    <w:rsid w:val="00A64ADC"/>
    <w:rsid w:val="00A65C64"/>
    <w:rsid w:val="00A6615E"/>
    <w:rsid w:val="00A664CE"/>
    <w:rsid w:val="00A66F08"/>
    <w:rsid w:val="00A67DDD"/>
    <w:rsid w:val="00A700A3"/>
    <w:rsid w:val="00A71ABA"/>
    <w:rsid w:val="00A71F34"/>
    <w:rsid w:val="00A74F8F"/>
    <w:rsid w:val="00A7544C"/>
    <w:rsid w:val="00A800FF"/>
    <w:rsid w:val="00A82329"/>
    <w:rsid w:val="00A85A31"/>
    <w:rsid w:val="00A86FE2"/>
    <w:rsid w:val="00A90DB5"/>
    <w:rsid w:val="00A937C1"/>
    <w:rsid w:val="00A93FBE"/>
    <w:rsid w:val="00A94A60"/>
    <w:rsid w:val="00A95134"/>
    <w:rsid w:val="00A95581"/>
    <w:rsid w:val="00AA0698"/>
    <w:rsid w:val="00AA160C"/>
    <w:rsid w:val="00AA17C3"/>
    <w:rsid w:val="00AA2C4F"/>
    <w:rsid w:val="00AA4126"/>
    <w:rsid w:val="00AA57DE"/>
    <w:rsid w:val="00AA712A"/>
    <w:rsid w:val="00AA7B67"/>
    <w:rsid w:val="00AB0FE8"/>
    <w:rsid w:val="00AB2C51"/>
    <w:rsid w:val="00AB4B61"/>
    <w:rsid w:val="00AB6078"/>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40D6"/>
    <w:rsid w:val="00AE4DB7"/>
    <w:rsid w:val="00AE6DF4"/>
    <w:rsid w:val="00AF062F"/>
    <w:rsid w:val="00AF2747"/>
    <w:rsid w:val="00AF3380"/>
    <w:rsid w:val="00AF3424"/>
    <w:rsid w:val="00AF3867"/>
    <w:rsid w:val="00B00C29"/>
    <w:rsid w:val="00B00E26"/>
    <w:rsid w:val="00B01DAC"/>
    <w:rsid w:val="00B04156"/>
    <w:rsid w:val="00B04BE4"/>
    <w:rsid w:val="00B05A6F"/>
    <w:rsid w:val="00B06340"/>
    <w:rsid w:val="00B06C2A"/>
    <w:rsid w:val="00B07ABD"/>
    <w:rsid w:val="00B104E4"/>
    <w:rsid w:val="00B11128"/>
    <w:rsid w:val="00B11981"/>
    <w:rsid w:val="00B12F60"/>
    <w:rsid w:val="00B14BC6"/>
    <w:rsid w:val="00B14D9B"/>
    <w:rsid w:val="00B16D35"/>
    <w:rsid w:val="00B16D97"/>
    <w:rsid w:val="00B2099A"/>
    <w:rsid w:val="00B21626"/>
    <w:rsid w:val="00B21F96"/>
    <w:rsid w:val="00B24197"/>
    <w:rsid w:val="00B27341"/>
    <w:rsid w:val="00B27E4D"/>
    <w:rsid w:val="00B300CB"/>
    <w:rsid w:val="00B3310C"/>
    <w:rsid w:val="00B36BFC"/>
    <w:rsid w:val="00B37277"/>
    <w:rsid w:val="00B373FB"/>
    <w:rsid w:val="00B379AF"/>
    <w:rsid w:val="00B4042D"/>
    <w:rsid w:val="00B407D3"/>
    <w:rsid w:val="00B422C3"/>
    <w:rsid w:val="00B428CC"/>
    <w:rsid w:val="00B52B8D"/>
    <w:rsid w:val="00B571A4"/>
    <w:rsid w:val="00B605CD"/>
    <w:rsid w:val="00B61528"/>
    <w:rsid w:val="00B6228F"/>
    <w:rsid w:val="00B65BCA"/>
    <w:rsid w:val="00B65F5C"/>
    <w:rsid w:val="00B6606C"/>
    <w:rsid w:val="00B66322"/>
    <w:rsid w:val="00B6722F"/>
    <w:rsid w:val="00B67892"/>
    <w:rsid w:val="00B7076A"/>
    <w:rsid w:val="00B72052"/>
    <w:rsid w:val="00B74918"/>
    <w:rsid w:val="00B77D4D"/>
    <w:rsid w:val="00B816E3"/>
    <w:rsid w:val="00B82756"/>
    <w:rsid w:val="00B8440E"/>
    <w:rsid w:val="00B85FEA"/>
    <w:rsid w:val="00B86F73"/>
    <w:rsid w:val="00B87247"/>
    <w:rsid w:val="00B9116C"/>
    <w:rsid w:val="00B91900"/>
    <w:rsid w:val="00B96939"/>
    <w:rsid w:val="00B976E8"/>
    <w:rsid w:val="00B97B18"/>
    <w:rsid w:val="00BA1754"/>
    <w:rsid w:val="00BA29D0"/>
    <w:rsid w:val="00BA37CA"/>
    <w:rsid w:val="00BA518C"/>
    <w:rsid w:val="00BA5F5F"/>
    <w:rsid w:val="00BA6BEF"/>
    <w:rsid w:val="00BB0A22"/>
    <w:rsid w:val="00BB2C11"/>
    <w:rsid w:val="00BB4DBF"/>
    <w:rsid w:val="00BC3B30"/>
    <w:rsid w:val="00BC51CE"/>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206A"/>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3695"/>
    <w:rsid w:val="00C245B2"/>
    <w:rsid w:val="00C24FCC"/>
    <w:rsid w:val="00C26765"/>
    <w:rsid w:val="00C26C86"/>
    <w:rsid w:val="00C2748F"/>
    <w:rsid w:val="00C3080E"/>
    <w:rsid w:val="00C3483C"/>
    <w:rsid w:val="00C36DA1"/>
    <w:rsid w:val="00C375BC"/>
    <w:rsid w:val="00C40CDB"/>
    <w:rsid w:val="00C41B53"/>
    <w:rsid w:val="00C421E6"/>
    <w:rsid w:val="00C42E90"/>
    <w:rsid w:val="00C4392E"/>
    <w:rsid w:val="00C45F4F"/>
    <w:rsid w:val="00C47142"/>
    <w:rsid w:val="00C50DB4"/>
    <w:rsid w:val="00C50E9D"/>
    <w:rsid w:val="00C527E0"/>
    <w:rsid w:val="00C53D14"/>
    <w:rsid w:val="00C55C83"/>
    <w:rsid w:val="00C63986"/>
    <w:rsid w:val="00C63FE3"/>
    <w:rsid w:val="00C64DA3"/>
    <w:rsid w:val="00C7136C"/>
    <w:rsid w:val="00C733B1"/>
    <w:rsid w:val="00C73E23"/>
    <w:rsid w:val="00C7752B"/>
    <w:rsid w:val="00C80005"/>
    <w:rsid w:val="00C82905"/>
    <w:rsid w:val="00C84723"/>
    <w:rsid w:val="00C84AD4"/>
    <w:rsid w:val="00C8712C"/>
    <w:rsid w:val="00C87AF5"/>
    <w:rsid w:val="00C87D13"/>
    <w:rsid w:val="00C92087"/>
    <w:rsid w:val="00C922AF"/>
    <w:rsid w:val="00C93311"/>
    <w:rsid w:val="00C93863"/>
    <w:rsid w:val="00C9468E"/>
    <w:rsid w:val="00C94EF9"/>
    <w:rsid w:val="00C95A71"/>
    <w:rsid w:val="00C96228"/>
    <w:rsid w:val="00CA29D5"/>
    <w:rsid w:val="00CA318B"/>
    <w:rsid w:val="00CA4510"/>
    <w:rsid w:val="00CA6F5C"/>
    <w:rsid w:val="00CA7405"/>
    <w:rsid w:val="00CA7D4F"/>
    <w:rsid w:val="00CB2179"/>
    <w:rsid w:val="00CB34A3"/>
    <w:rsid w:val="00CB36FD"/>
    <w:rsid w:val="00CC2F7E"/>
    <w:rsid w:val="00CC6813"/>
    <w:rsid w:val="00CC74A1"/>
    <w:rsid w:val="00CC7F79"/>
    <w:rsid w:val="00CD1061"/>
    <w:rsid w:val="00CD3262"/>
    <w:rsid w:val="00CD6512"/>
    <w:rsid w:val="00CD7918"/>
    <w:rsid w:val="00CD7BDB"/>
    <w:rsid w:val="00CE00F0"/>
    <w:rsid w:val="00CE0309"/>
    <w:rsid w:val="00CE16A0"/>
    <w:rsid w:val="00CE5895"/>
    <w:rsid w:val="00CE75AF"/>
    <w:rsid w:val="00CE7FEC"/>
    <w:rsid w:val="00CF0059"/>
    <w:rsid w:val="00CF0522"/>
    <w:rsid w:val="00CF0818"/>
    <w:rsid w:val="00CF0DC2"/>
    <w:rsid w:val="00CF1F7C"/>
    <w:rsid w:val="00CF3E03"/>
    <w:rsid w:val="00CF58C0"/>
    <w:rsid w:val="00CF7803"/>
    <w:rsid w:val="00D01262"/>
    <w:rsid w:val="00D04677"/>
    <w:rsid w:val="00D05762"/>
    <w:rsid w:val="00D109BE"/>
    <w:rsid w:val="00D137BB"/>
    <w:rsid w:val="00D1433C"/>
    <w:rsid w:val="00D15624"/>
    <w:rsid w:val="00D16DF1"/>
    <w:rsid w:val="00D225B4"/>
    <w:rsid w:val="00D228CB"/>
    <w:rsid w:val="00D23ED3"/>
    <w:rsid w:val="00D25BCC"/>
    <w:rsid w:val="00D26B60"/>
    <w:rsid w:val="00D32F67"/>
    <w:rsid w:val="00D33D98"/>
    <w:rsid w:val="00D34D92"/>
    <w:rsid w:val="00D3524E"/>
    <w:rsid w:val="00D358AC"/>
    <w:rsid w:val="00D35B8E"/>
    <w:rsid w:val="00D35F06"/>
    <w:rsid w:val="00D42CAF"/>
    <w:rsid w:val="00D43E57"/>
    <w:rsid w:val="00D44B42"/>
    <w:rsid w:val="00D456F0"/>
    <w:rsid w:val="00D45951"/>
    <w:rsid w:val="00D46340"/>
    <w:rsid w:val="00D47BAE"/>
    <w:rsid w:val="00D53726"/>
    <w:rsid w:val="00D5503B"/>
    <w:rsid w:val="00D5551F"/>
    <w:rsid w:val="00D56853"/>
    <w:rsid w:val="00D61EDD"/>
    <w:rsid w:val="00D623C3"/>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6502"/>
    <w:rsid w:val="00D86DEC"/>
    <w:rsid w:val="00D87278"/>
    <w:rsid w:val="00D87799"/>
    <w:rsid w:val="00D87B0F"/>
    <w:rsid w:val="00D96BA4"/>
    <w:rsid w:val="00DA0F8C"/>
    <w:rsid w:val="00DA2394"/>
    <w:rsid w:val="00DA63AC"/>
    <w:rsid w:val="00DA73CC"/>
    <w:rsid w:val="00DA75A6"/>
    <w:rsid w:val="00DA7F5D"/>
    <w:rsid w:val="00DB0AE9"/>
    <w:rsid w:val="00DB2F69"/>
    <w:rsid w:val="00DB458F"/>
    <w:rsid w:val="00DB4785"/>
    <w:rsid w:val="00DB55BD"/>
    <w:rsid w:val="00DB6529"/>
    <w:rsid w:val="00DC14F4"/>
    <w:rsid w:val="00DC22B1"/>
    <w:rsid w:val="00DC257E"/>
    <w:rsid w:val="00DC4A22"/>
    <w:rsid w:val="00DC5524"/>
    <w:rsid w:val="00DD278A"/>
    <w:rsid w:val="00DD48E6"/>
    <w:rsid w:val="00DE3666"/>
    <w:rsid w:val="00DE506E"/>
    <w:rsid w:val="00DE5770"/>
    <w:rsid w:val="00DE5DC9"/>
    <w:rsid w:val="00DE6D3F"/>
    <w:rsid w:val="00DF4BA2"/>
    <w:rsid w:val="00E00261"/>
    <w:rsid w:val="00E00BDA"/>
    <w:rsid w:val="00E01158"/>
    <w:rsid w:val="00E0309D"/>
    <w:rsid w:val="00E03299"/>
    <w:rsid w:val="00E04391"/>
    <w:rsid w:val="00E05494"/>
    <w:rsid w:val="00E05BB6"/>
    <w:rsid w:val="00E06B16"/>
    <w:rsid w:val="00E113CB"/>
    <w:rsid w:val="00E12976"/>
    <w:rsid w:val="00E15FC7"/>
    <w:rsid w:val="00E21B65"/>
    <w:rsid w:val="00E21D99"/>
    <w:rsid w:val="00E220ED"/>
    <w:rsid w:val="00E235CD"/>
    <w:rsid w:val="00E2379E"/>
    <w:rsid w:val="00E25067"/>
    <w:rsid w:val="00E25129"/>
    <w:rsid w:val="00E26969"/>
    <w:rsid w:val="00E313E3"/>
    <w:rsid w:val="00E328AD"/>
    <w:rsid w:val="00E33EB6"/>
    <w:rsid w:val="00E34448"/>
    <w:rsid w:val="00E35991"/>
    <w:rsid w:val="00E376B5"/>
    <w:rsid w:val="00E37BAA"/>
    <w:rsid w:val="00E41248"/>
    <w:rsid w:val="00E4195A"/>
    <w:rsid w:val="00E43183"/>
    <w:rsid w:val="00E43496"/>
    <w:rsid w:val="00E4734C"/>
    <w:rsid w:val="00E4785A"/>
    <w:rsid w:val="00E47A1C"/>
    <w:rsid w:val="00E5014F"/>
    <w:rsid w:val="00E52EAF"/>
    <w:rsid w:val="00E543F7"/>
    <w:rsid w:val="00E5533B"/>
    <w:rsid w:val="00E55B23"/>
    <w:rsid w:val="00E56787"/>
    <w:rsid w:val="00E5721A"/>
    <w:rsid w:val="00E5724B"/>
    <w:rsid w:val="00E574E0"/>
    <w:rsid w:val="00E57898"/>
    <w:rsid w:val="00E6048F"/>
    <w:rsid w:val="00E63B43"/>
    <w:rsid w:val="00E6494A"/>
    <w:rsid w:val="00E72823"/>
    <w:rsid w:val="00E73155"/>
    <w:rsid w:val="00E75D5E"/>
    <w:rsid w:val="00E76A06"/>
    <w:rsid w:val="00E80682"/>
    <w:rsid w:val="00E80D18"/>
    <w:rsid w:val="00E81B0C"/>
    <w:rsid w:val="00E845A1"/>
    <w:rsid w:val="00E849C9"/>
    <w:rsid w:val="00E910FB"/>
    <w:rsid w:val="00E913C4"/>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385"/>
    <w:rsid w:val="00EB7BFA"/>
    <w:rsid w:val="00EC15AB"/>
    <w:rsid w:val="00EC1C7D"/>
    <w:rsid w:val="00EC253A"/>
    <w:rsid w:val="00EC4A68"/>
    <w:rsid w:val="00EC4C7A"/>
    <w:rsid w:val="00EC59DB"/>
    <w:rsid w:val="00EC5B69"/>
    <w:rsid w:val="00EC638A"/>
    <w:rsid w:val="00EC7488"/>
    <w:rsid w:val="00ED0085"/>
    <w:rsid w:val="00ED073B"/>
    <w:rsid w:val="00ED07D8"/>
    <w:rsid w:val="00ED153C"/>
    <w:rsid w:val="00EE374D"/>
    <w:rsid w:val="00EE526A"/>
    <w:rsid w:val="00EE5DB8"/>
    <w:rsid w:val="00EE7B0B"/>
    <w:rsid w:val="00EF4E9E"/>
    <w:rsid w:val="00EF4F57"/>
    <w:rsid w:val="00EF68D7"/>
    <w:rsid w:val="00F01FCA"/>
    <w:rsid w:val="00F035A5"/>
    <w:rsid w:val="00F05AF0"/>
    <w:rsid w:val="00F05D7E"/>
    <w:rsid w:val="00F07E99"/>
    <w:rsid w:val="00F1021D"/>
    <w:rsid w:val="00F10805"/>
    <w:rsid w:val="00F16374"/>
    <w:rsid w:val="00F16963"/>
    <w:rsid w:val="00F20DEE"/>
    <w:rsid w:val="00F25C16"/>
    <w:rsid w:val="00F30776"/>
    <w:rsid w:val="00F30DDD"/>
    <w:rsid w:val="00F31B01"/>
    <w:rsid w:val="00F31B8F"/>
    <w:rsid w:val="00F32D63"/>
    <w:rsid w:val="00F33455"/>
    <w:rsid w:val="00F34D25"/>
    <w:rsid w:val="00F362F2"/>
    <w:rsid w:val="00F42088"/>
    <w:rsid w:val="00F42A83"/>
    <w:rsid w:val="00F4316D"/>
    <w:rsid w:val="00F45CA1"/>
    <w:rsid w:val="00F46A97"/>
    <w:rsid w:val="00F47322"/>
    <w:rsid w:val="00F50CC2"/>
    <w:rsid w:val="00F5178A"/>
    <w:rsid w:val="00F53EC5"/>
    <w:rsid w:val="00F56331"/>
    <w:rsid w:val="00F574B3"/>
    <w:rsid w:val="00F601E5"/>
    <w:rsid w:val="00F60CCC"/>
    <w:rsid w:val="00F63979"/>
    <w:rsid w:val="00F663FB"/>
    <w:rsid w:val="00F67EAC"/>
    <w:rsid w:val="00F73BFB"/>
    <w:rsid w:val="00F8020A"/>
    <w:rsid w:val="00F803B1"/>
    <w:rsid w:val="00F82C0C"/>
    <w:rsid w:val="00F85871"/>
    <w:rsid w:val="00F86178"/>
    <w:rsid w:val="00F86D26"/>
    <w:rsid w:val="00F91590"/>
    <w:rsid w:val="00F93F85"/>
    <w:rsid w:val="00F94473"/>
    <w:rsid w:val="00F96CB1"/>
    <w:rsid w:val="00FA4525"/>
    <w:rsid w:val="00FA54B4"/>
    <w:rsid w:val="00FA5C1E"/>
    <w:rsid w:val="00FB04A9"/>
    <w:rsid w:val="00FB170E"/>
    <w:rsid w:val="00FB2DCE"/>
    <w:rsid w:val="00FB31C2"/>
    <w:rsid w:val="00FB35BC"/>
    <w:rsid w:val="00FB3D6B"/>
    <w:rsid w:val="00FB5A95"/>
    <w:rsid w:val="00FB6E0F"/>
    <w:rsid w:val="00FB717E"/>
    <w:rsid w:val="00FB73F4"/>
    <w:rsid w:val="00FB7EF6"/>
    <w:rsid w:val="00FC03E1"/>
    <w:rsid w:val="00FC2F7C"/>
    <w:rsid w:val="00FC3E46"/>
    <w:rsid w:val="00FC5FD0"/>
    <w:rsid w:val="00FD085D"/>
    <w:rsid w:val="00FE0436"/>
    <w:rsid w:val="00FE49FE"/>
    <w:rsid w:val="00FE4B6F"/>
    <w:rsid w:val="00FE5783"/>
    <w:rsid w:val="00FE6168"/>
    <w:rsid w:val="00FF0467"/>
    <w:rsid w:val="00FF1B1F"/>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03"/>
    <w:pPr>
      <w:spacing w:after="0"/>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3543B"/>
    <w:pPr>
      <w:keepNext/>
      <w:outlineLvl w:val="0"/>
    </w:pPr>
    <w:rPr>
      <w:b/>
      <w:szCs w:val="20"/>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line="240" w:lineRule="exact"/>
      <w:ind w:left="360" w:firstLine="216"/>
      <w:jc w:val="both"/>
      <w:outlineLvl w:val="3"/>
    </w:pPr>
    <w:rPr>
      <w:rFonts w:ascii="Calibri" w:hAnsi="Calibri"/>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szCs w:val="20"/>
    </w:rPr>
  </w:style>
  <w:style w:type="paragraph" w:styleId="Balk6">
    <w:name w:val="heading 6"/>
    <w:basedOn w:val="Normal"/>
    <w:next w:val="Normal"/>
    <w:link w:val="Balk6Char"/>
    <w:qFormat/>
    <w:rsid w:val="007550F6"/>
    <w:pPr>
      <w:tabs>
        <w:tab w:val="num" w:pos="1152"/>
      </w:tabs>
      <w:spacing w:before="240" w:after="60"/>
      <w:ind w:left="1152" w:hanging="1152"/>
      <w:outlineLvl w:val="5"/>
    </w:pPr>
    <w:rPr>
      <w:i/>
      <w:szCs w:val="20"/>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hAnsi="Arial"/>
      <w:sz w:val="20"/>
      <w:szCs w:val="20"/>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hAnsi="Arial"/>
      <w:i/>
      <w:sz w:val="20"/>
      <w:szCs w:val="20"/>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b/>
      <w:bCs/>
      <w:sz w:val="20"/>
      <w:szCs w:val="20"/>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jc w:val="both"/>
    </w:pPr>
    <w:rPr>
      <w:sz w:val="16"/>
      <w:szCs w:val="16"/>
      <w:lang w:val="en-US"/>
    </w:rPr>
  </w:style>
  <w:style w:type="paragraph" w:customStyle="1" w:styleId="Text0">
    <w:name w:val="Text"/>
    <w:basedOn w:val="Normal"/>
    <w:uiPriority w:val="99"/>
    <w:rsid w:val="00A4562B"/>
    <w:pPr>
      <w:widowControl w:val="0"/>
      <w:spacing w:line="252" w:lineRule="auto"/>
      <w:ind w:firstLine="202"/>
      <w:jc w:val="both"/>
    </w:pPr>
    <w:rPr>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eastAsia="SimSu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jc w:val="center"/>
    </w:pPr>
    <w:rPr>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hAnsi="Helvetica"/>
      <w:kern w:val="16"/>
      <w:sz w:val="16"/>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line="230" w:lineRule="exact"/>
      <w:jc w:val="both"/>
    </w:pPr>
    <w:rPr>
      <w:kern w:val="16"/>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line="230" w:lineRule="exact"/>
      <w:ind w:firstLine="240"/>
      <w:jc w:val="both"/>
    </w:pPr>
    <w:rPr>
      <w:kern w:val="16"/>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line="230" w:lineRule="exact"/>
    </w:pPr>
    <w:rPr>
      <w:i/>
      <w:kern w:val="16"/>
      <w:sz w:val="16"/>
    </w:rPr>
  </w:style>
  <w:style w:type="paragraph" w:customStyle="1" w:styleId="TABLEROW">
    <w:name w:val="TABLE ROW"/>
    <w:basedOn w:val="Normal"/>
    <w:uiPriority w:val="99"/>
    <w:rsid w:val="00C7136C"/>
    <w:pPr>
      <w:widowControl w:val="0"/>
      <w:spacing w:before="20" w:after="20" w:line="180" w:lineRule="exact"/>
      <w:jc w:val="center"/>
    </w:pPr>
    <w:rPr>
      <w:rFonts w:ascii="Helvetica" w:hAnsi="Helvetica"/>
      <w:kern w:val="16"/>
      <w:sz w:val="16"/>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hAnsi="Helvetica"/>
      <w:smallCaps/>
      <w:kern w:val="16"/>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kern w:val="16"/>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kern w:val="16"/>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jc w:val="both"/>
    </w:pPr>
    <w:rPr>
      <w:sz w:val="16"/>
      <w:szCs w:val="16"/>
    </w:rPr>
  </w:style>
  <w:style w:type="paragraph" w:customStyle="1" w:styleId="Equation">
    <w:name w:val="Equation"/>
    <w:basedOn w:val="Normal"/>
    <w:next w:val="Normal"/>
    <w:uiPriority w:val="99"/>
    <w:rsid w:val="00C7136C"/>
    <w:pPr>
      <w:widowControl w:val="0"/>
      <w:tabs>
        <w:tab w:val="right" w:pos="5040"/>
      </w:tabs>
      <w:autoSpaceDE w:val="0"/>
      <w:autoSpaceDN w:val="0"/>
      <w:spacing w:line="252" w:lineRule="auto"/>
      <w:jc w:val="both"/>
    </w:pPr>
    <w:rPr>
      <w:sz w:val="20"/>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jc w:val="both"/>
    </w:pPr>
    <w:rPr>
      <w:rFonts w:ascii="Palatino" w:hAnsi="Palatino"/>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b/>
      <w:bCs/>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i/>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jc w:val="center"/>
    </w:pPr>
    <w:rPr>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jc w:val="both"/>
    </w:pPr>
    <w:rPr>
      <w:color w:val="000000"/>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jc w:val="both"/>
    </w:pPr>
    <w:rPr>
      <w:rFonts w:eastAsia="TimesNewRomanPSMT"/>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rPr>
      <w:rFonts w:ascii="Courier New" w:hAnsi="Courier New" w:cs="Courier New"/>
      <w:sz w:val="20"/>
      <w:szCs w:val="20"/>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pPr>
    <w:rPr>
      <w:b/>
      <w:noProof/>
    </w:rPr>
  </w:style>
  <w:style w:type="paragraph" w:styleId="T2">
    <w:name w:val="toc 2"/>
    <w:basedOn w:val="Normal"/>
    <w:next w:val="Normal"/>
    <w:autoRedefine/>
    <w:uiPriority w:val="39"/>
    <w:rsid w:val="00C63986"/>
    <w:pPr>
      <w:tabs>
        <w:tab w:val="right" w:leader="dot" w:pos="8505"/>
      </w:tabs>
      <w:spacing w:before="80"/>
      <w:ind w:left="397"/>
    </w:pPr>
  </w:style>
  <w:style w:type="paragraph" w:styleId="T3">
    <w:name w:val="toc 3"/>
    <w:basedOn w:val="Normal"/>
    <w:next w:val="Normal"/>
    <w:autoRedefine/>
    <w:uiPriority w:val="39"/>
    <w:rsid w:val="00C63986"/>
    <w:pPr>
      <w:tabs>
        <w:tab w:val="right" w:leader="dot" w:pos="8505"/>
      </w:tabs>
      <w:ind w:left="851"/>
    </w:p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ind w:left="1276"/>
    </w:pPr>
  </w:style>
  <w:style w:type="paragraph" w:styleId="T5">
    <w:name w:val="toc 5"/>
    <w:basedOn w:val="Normal"/>
    <w:next w:val="Normal"/>
    <w:autoRedefine/>
    <w:uiPriority w:val="39"/>
    <w:rsid w:val="00C63986"/>
    <w:pPr>
      <w:tabs>
        <w:tab w:val="right" w:leader="dot" w:pos="8493"/>
      </w:tabs>
      <w:ind w:left="1701"/>
    </w:pPr>
  </w:style>
  <w:style w:type="paragraph" w:styleId="T6">
    <w:name w:val="toc 6"/>
    <w:basedOn w:val="Normal"/>
    <w:next w:val="Normal"/>
    <w:autoRedefine/>
    <w:uiPriority w:val="39"/>
    <w:rsid w:val="00C63986"/>
    <w:pPr>
      <w:ind w:left="1200"/>
    </w:pPr>
  </w:style>
  <w:style w:type="paragraph" w:customStyle="1" w:styleId="WW-NormalWeb1">
    <w:name w:val="WW-Normal (Web)1"/>
    <w:basedOn w:val="Normal"/>
    <w:rsid w:val="00C63986"/>
    <w:pPr>
      <w:spacing w:before="280" w:after="119"/>
    </w:pPr>
    <w:rPr>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line="360" w:lineRule="auto"/>
      <w:ind w:left="170" w:right="170" w:firstLine="709"/>
      <w:jc w:val="both"/>
    </w:pPr>
    <w:rPr>
      <w:rFonts w:ascii="Arial" w:hAnsi="Arial"/>
      <w:sz w:val="20"/>
      <w:szCs w:val="20"/>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b/>
      <w:bCs/>
      <w:color w:val="000000"/>
      <w:sz w:val="18"/>
      <w:szCs w:val="18"/>
    </w:rPr>
  </w:style>
  <w:style w:type="paragraph" w:customStyle="1" w:styleId="xl8727">
    <w:name w:val="xl8727"/>
    <w:basedOn w:val="Normal"/>
    <w:rsid w:val="00C63986"/>
    <w:pPr>
      <w:spacing w:before="100" w:beforeAutospacing="1" w:after="100" w:afterAutospacing="1"/>
      <w:jc w:val="center"/>
    </w:pPr>
    <w:rPr>
      <w:b/>
      <w:bCs/>
      <w:sz w:val="18"/>
      <w:szCs w:val="18"/>
    </w:rPr>
  </w:style>
  <w:style w:type="paragraph" w:customStyle="1" w:styleId="xl8728">
    <w:name w:val="xl8728"/>
    <w:basedOn w:val="Normal"/>
    <w:rsid w:val="00C63986"/>
    <w:pPr>
      <w:spacing w:before="100" w:beforeAutospacing="1" w:after="100" w:afterAutospacing="1"/>
    </w:pPr>
    <w:rPr>
      <w:sz w:val="18"/>
      <w:szCs w:val="18"/>
    </w:rPr>
  </w:style>
  <w:style w:type="paragraph" w:customStyle="1" w:styleId="xl8729">
    <w:name w:val="xl8729"/>
    <w:basedOn w:val="Normal"/>
    <w:rsid w:val="00C63986"/>
    <w:pPr>
      <w:spacing w:before="100" w:beforeAutospacing="1" w:after="100" w:afterAutospacing="1"/>
      <w:jc w:val="center"/>
    </w:pPr>
    <w:rPr>
      <w:sz w:val="18"/>
      <w:szCs w:val="18"/>
    </w:rPr>
  </w:style>
  <w:style w:type="paragraph" w:customStyle="1" w:styleId="xl8730">
    <w:name w:val="xl8730"/>
    <w:basedOn w:val="Normal"/>
    <w:rsid w:val="00C63986"/>
    <w:pPr>
      <w:spacing w:before="100" w:beforeAutospacing="1" w:after="100" w:afterAutospacing="1"/>
      <w:jc w:val="center"/>
    </w:pPr>
    <w:rPr>
      <w:sz w:val="18"/>
      <w:szCs w:val="18"/>
    </w:rPr>
  </w:style>
  <w:style w:type="paragraph" w:customStyle="1" w:styleId="xl8731">
    <w:name w:val="xl8731"/>
    <w:basedOn w:val="Normal"/>
    <w:rsid w:val="00C63986"/>
    <w:pPr>
      <w:spacing w:before="100" w:beforeAutospacing="1" w:after="100" w:afterAutospacing="1"/>
    </w:pPr>
    <w:rPr>
      <w:b/>
      <w:bCs/>
      <w:sz w:val="18"/>
      <w:szCs w:val="18"/>
    </w:rPr>
  </w:style>
  <w:style w:type="paragraph" w:customStyle="1" w:styleId="xl8732">
    <w:name w:val="xl8732"/>
    <w:basedOn w:val="Normal"/>
    <w:rsid w:val="00C63986"/>
    <w:pPr>
      <w:spacing w:before="100" w:beforeAutospacing="1" w:after="100" w:afterAutospacing="1"/>
      <w:jc w:val="right"/>
    </w:pPr>
    <w:rPr>
      <w:b/>
      <w:bCs/>
      <w:sz w:val="18"/>
      <w:szCs w:val="18"/>
    </w:rPr>
  </w:style>
  <w:style w:type="paragraph" w:customStyle="1" w:styleId="xl8733">
    <w:name w:val="xl8733"/>
    <w:basedOn w:val="Normal"/>
    <w:rsid w:val="00C63986"/>
    <w:pPr>
      <w:spacing w:before="100" w:beforeAutospacing="1" w:after="100" w:afterAutospacing="1"/>
      <w:jc w:val="center"/>
    </w:pPr>
    <w:rPr>
      <w:sz w:val="18"/>
      <w:szCs w:val="18"/>
    </w:rPr>
  </w:style>
  <w:style w:type="paragraph" w:customStyle="1" w:styleId="xl8734">
    <w:name w:val="xl8734"/>
    <w:basedOn w:val="Normal"/>
    <w:rsid w:val="00C63986"/>
    <w:pPr>
      <w:spacing w:before="100" w:beforeAutospacing="1" w:after="100" w:afterAutospacing="1"/>
      <w:jc w:val="center"/>
    </w:pPr>
    <w:rPr>
      <w:sz w:val="18"/>
      <w:szCs w:val="18"/>
    </w:rPr>
  </w:style>
  <w:style w:type="paragraph" w:customStyle="1" w:styleId="font6">
    <w:name w:val="font6"/>
    <w:basedOn w:val="Normal"/>
    <w:rsid w:val="00C63986"/>
    <w:pPr>
      <w:spacing w:before="100" w:beforeAutospacing="1" w:after="100" w:afterAutospacing="1"/>
    </w:pPr>
    <w:rPr>
      <w:b/>
      <w:bCs/>
      <w:color w:val="000000"/>
      <w:sz w:val="18"/>
      <w:szCs w:val="18"/>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b/>
      <w:bCs/>
      <w:sz w:val="20"/>
      <w:szCs w:val="20"/>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b/>
      <w:bCs/>
      <w:color w:val="000000"/>
      <w:sz w:val="18"/>
      <w:szCs w:val="18"/>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b/>
      <w:bCs/>
      <w:sz w:val="18"/>
      <w:szCs w:val="18"/>
    </w:rPr>
  </w:style>
  <w:style w:type="paragraph" w:customStyle="1" w:styleId="xl73">
    <w:name w:val="xl73"/>
    <w:basedOn w:val="Normal"/>
    <w:rsid w:val="00C63986"/>
    <w:pPr>
      <w:spacing w:before="100" w:beforeAutospacing="1" w:after="100" w:afterAutospacing="1"/>
      <w:jc w:val="right"/>
      <w:textAlignment w:val="top"/>
    </w:pPr>
    <w:rPr>
      <w:sz w:val="16"/>
      <w:szCs w:val="16"/>
    </w:rPr>
  </w:style>
  <w:style w:type="paragraph" w:customStyle="1" w:styleId="xl74">
    <w:name w:val="xl74"/>
    <w:basedOn w:val="Normal"/>
    <w:rsid w:val="00C63986"/>
    <w:pPr>
      <w:spacing w:before="100" w:beforeAutospacing="1" w:after="100" w:afterAutospacing="1"/>
      <w:jc w:val="right"/>
      <w:textAlignment w:val="top"/>
    </w:pPr>
    <w:rPr>
      <w:sz w:val="16"/>
      <w:szCs w:val="16"/>
    </w:rPr>
  </w:style>
  <w:style w:type="paragraph" w:customStyle="1" w:styleId="xl75">
    <w:name w:val="xl75"/>
    <w:basedOn w:val="Normal"/>
    <w:rsid w:val="00C63986"/>
    <w:pPr>
      <w:shd w:val="clear" w:color="000000" w:fill="C4BC96"/>
      <w:spacing w:before="100" w:beforeAutospacing="1" w:after="100" w:afterAutospacing="1"/>
    </w:pPr>
    <w:rPr>
      <w:b/>
      <w:bCs/>
      <w:color w:val="000000"/>
      <w:sz w:val="16"/>
      <w:szCs w:val="16"/>
    </w:rPr>
  </w:style>
  <w:style w:type="paragraph" w:customStyle="1" w:styleId="xl76">
    <w:name w:val="xl76"/>
    <w:basedOn w:val="Normal"/>
    <w:rsid w:val="00C63986"/>
    <w:pPr>
      <w:shd w:val="clear" w:color="000000" w:fill="C4BC96"/>
      <w:spacing w:before="100" w:beforeAutospacing="1" w:after="100" w:afterAutospacing="1"/>
    </w:pPr>
    <w:rPr>
      <w:b/>
      <w:bCs/>
      <w:sz w:val="16"/>
      <w:szCs w:val="16"/>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hAnsi="Calibri"/>
    </w:rPr>
  </w:style>
  <w:style w:type="paragraph" w:styleId="T8">
    <w:name w:val="toc 8"/>
    <w:basedOn w:val="Normal"/>
    <w:next w:val="Normal"/>
    <w:autoRedefine/>
    <w:uiPriority w:val="39"/>
    <w:unhideWhenUsed/>
    <w:rsid w:val="00C63986"/>
    <w:pPr>
      <w:spacing w:after="100"/>
      <w:ind w:left="1540"/>
    </w:pPr>
    <w:rPr>
      <w:rFonts w:ascii="Calibri" w:hAnsi="Calibri"/>
    </w:rPr>
  </w:style>
  <w:style w:type="paragraph" w:styleId="T9">
    <w:name w:val="toc 9"/>
    <w:basedOn w:val="Normal"/>
    <w:next w:val="Normal"/>
    <w:autoRedefine/>
    <w:uiPriority w:val="39"/>
    <w:unhideWhenUsed/>
    <w:rsid w:val="00C63986"/>
    <w:pPr>
      <w:spacing w:after="100"/>
      <w:ind w:left="1760"/>
    </w:pPr>
    <w:rPr>
      <w:rFonts w:ascii="Calibri" w:hAnsi="Calibri"/>
    </w:rPr>
  </w:style>
  <w:style w:type="paragraph" w:customStyle="1" w:styleId="msobodytextindent">
    <w:name w:val="msobodytextindent"/>
    <w:basedOn w:val="Normal"/>
    <w:rsid w:val="00C63986"/>
    <w:pPr>
      <w:ind w:left="360"/>
    </w:pPr>
    <w:rPr>
      <w:szCs w:val="20"/>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jc w:val="center"/>
    </w:pPr>
    <w:rPr>
      <w:rFonts w:ascii="Arial" w:hAnsi="Arial"/>
      <w:b/>
      <w:szCs w:val="20"/>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line="360" w:lineRule="auto"/>
      <w:ind w:firstLine="720"/>
      <w:jc w:val="both"/>
    </w:p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line="360" w:lineRule="auto"/>
      <w:ind w:firstLine="709"/>
      <w:jc w:val="both"/>
    </w:pPr>
    <w:rPr>
      <w:kern w:val="20"/>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eastAsia="Arial Unicode MS"/>
      <w:color w:val="000000"/>
    </w:rPr>
  </w:style>
  <w:style w:type="paragraph" w:customStyle="1" w:styleId="font7">
    <w:name w:val="font7"/>
    <w:basedOn w:val="Normal"/>
    <w:rsid w:val="00C63986"/>
    <w:pPr>
      <w:spacing w:before="100" w:beforeAutospacing="1" w:after="100" w:afterAutospacing="1"/>
    </w:pPr>
    <w:rPr>
      <w:rFonts w:eastAsia="Arial Unicode MS"/>
      <w:sz w:val="16"/>
      <w:szCs w:val="16"/>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eastAsia="Arial Unicode MS"/>
      <w:color w:val="000000"/>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8">
    <w:name w:val="xl28"/>
    <w:basedOn w:val="Normal"/>
    <w:rsid w:val="00C63986"/>
    <w:pPr>
      <w:spacing w:before="100" w:beforeAutospacing="1" w:after="100" w:afterAutospacing="1"/>
      <w:jc w:val="center"/>
      <w:textAlignment w:val="center"/>
    </w:pPr>
    <w:rPr>
      <w:rFonts w:eastAsia="Arial Unicode MS"/>
    </w:rPr>
  </w:style>
  <w:style w:type="paragraph" w:customStyle="1" w:styleId="xl40">
    <w:name w:val="xl40"/>
    <w:basedOn w:val="Normal"/>
    <w:rsid w:val="00C63986"/>
    <w:pPr>
      <w:spacing w:before="100" w:beforeAutospacing="1" w:after="100" w:afterAutospacing="1"/>
      <w:jc w:val="both"/>
      <w:textAlignment w:val="center"/>
    </w:pPr>
    <w:rPr>
      <w:rFonts w:eastAsia="Arial Unicode MS"/>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eastAsia="Arial Unicode MS"/>
    </w:rPr>
  </w:style>
  <w:style w:type="paragraph" w:customStyle="1" w:styleId="GvdeMetni31">
    <w:name w:val="Gövde Metni 31"/>
    <w:basedOn w:val="GvdeMetniGirintisi"/>
    <w:rsid w:val="00C63986"/>
    <w:pPr>
      <w:overflowPunct w:val="0"/>
      <w:autoSpaceDE w:val="0"/>
      <w:autoSpaceDN w:val="0"/>
      <w:adjustRightInd w:val="0"/>
      <w:textAlignment w:val="baseline"/>
    </w:pPr>
    <w:rPr>
      <w:sz w:val="20"/>
      <w:szCs w:val="20"/>
      <w:lang w:val="en-US"/>
    </w:rPr>
  </w:style>
  <w:style w:type="paragraph" w:customStyle="1" w:styleId="Selamlama1">
    <w:name w:val="Selamlama1"/>
    <w:basedOn w:val="Normal"/>
    <w:rsid w:val="00C63986"/>
    <w:pPr>
      <w:overflowPunct w:val="0"/>
      <w:autoSpaceDE w:val="0"/>
      <w:autoSpaceDN w:val="0"/>
      <w:adjustRightInd w:val="0"/>
      <w:textAlignment w:val="baseline"/>
    </w:pPr>
    <w:rPr>
      <w:sz w:val="20"/>
      <w:szCs w:val="20"/>
      <w:lang w:val="en-US"/>
    </w:rPr>
  </w:style>
  <w:style w:type="paragraph" w:styleId="Liste">
    <w:name w:val="List"/>
    <w:basedOn w:val="Normal"/>
    <w:rsid w:val="00C63986"/>
    <w:pPr>
      <w:overflowPunct w:val="0"/>
      <w:autoSpaceDE w:val="0"/>
      <w:autoSpaceDN w:val="0"/>
      <w:adjustRightInd w:val="0"/>
      <w:ind w:left="283" w:hanging="283"/>
      <w:textAlignment w:val="baseline"/>
    </w:pPr>
    <w:rPr>
      <w:sz w:val="20"/>
      <w:szCs w:val="20"/>
      <w:lang w:val="en-US"/>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ind w:left="566" w:hanging="283"/>
      <w:textAlignment w:val="baseline"/>
    </w:pPr>
    <w:rPr>
      <w:sz w:val="20"/>
      <w:szCs w:val="20"/>
      <w:lang w:val="en-US"/>
    </w:rPr>
  </w:style>
  <w:style w:type="paragraph" w:styleId="ListeMaddemi2">
    <w:name w:val="List Bullet 2"/>
    <w:basedOn w:val="Normal"/>
    <w:autoRedefine/>
    <w:rsid w:val="00C63986"/>
    <w:pPr>
      <w:overflowPunct w:val="0"/>
      <w:autoSpaceDE w:val="0"/>
      <w:autoSpaceDN w:val="0"/>
      <w:adjustRightInd w:val="0"/>
      <w:ind w:left="566" w:hanging="283"/>
      <w:textAlignment w:val="baseline"/>
    </w:pPr>
    <w:rPr>
      <w:sz w:val="20"/>
      <w:szCs w:val="20"/>
      <w:lang w:val="en-US"/>
    </w:rPr>
  </w:style>
  <w:style w:type="paragraph" w:styleId="ListeMaddemi">
    <w:name w:val="List Bullet"/>
    <w:basedOn w:val="Normal"/>
    <w:autoRedefine/>
    <w:rsid w:val="00C63986"/>
    <w:pPr>
      <w:overflowPunct w:val="0"/>
      <w:autoSpaceDE w:val="0"/>
      <w:autoSpaceDN w:val="0"/>
      <w:adjustRightInd w:val="0"/>
      <w:ind w:left="283" w:hanging="283"/>
      <w:textAlignment w:val="baseline"/>
    </w:pPr>
    <w:rPr>
      <w:sz w:val="20"/>
      <w:szCs w:val="20"/>
      <w:lang w:val="en-US"/>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p55">
    <w:name w:val="p55"/>
    <w:basedOn w:val="Normal"/>
    <w:rsid w:val="00C63986"/>
    <w:pPr>
      <w:widowControl w:val="0"/>
      <w:autoSpaceDE w:val="0"/>
      <w:autoSpaceDN w:val="0"/>
      <w:adjustRightInd w:val="0"/>
      <w:spacing w:line="240" w:lineRule="atLeast"/>
      <w:ind w:left="1180"/>
      <w:jc w:val="both"/>
    </w:pPr>
    <w:rPr>
      <w:sz w:val="20"/>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i/>
      <w:iCs/>
      <w:color w:val="000000"/>
      <w:sz w:val="16"/>
      <w:szCs w:val="16"/>
    </w:rPr>
  </w:style>
  <w:style w:type="paragraph" w:customStyle="1" w:styleId="xl78">
    <w:name w:val="xl78"/>
    <w:basedOn w:val="Normal"/>
    <w:rsid w:val="00C63986"/>
    <w:pPr>
      <w:spacing w:before="100" w:beforeAutospacing="1" w:after="100" w:afterAutospacing="1"/>
      <w:jc w:val="right"/>
      <w:textAlignment w:val="center"/>
    </w:pPr>
    <w:rPr>
      <w:sz w:val="16"/>
      <w:szCs w:val="16"/>
    </w:rPr>
  </w:style>
  <w:style w:type="paragraph" w:customStyle="1" w:styleId="xl79">
    <w:name w:val="xl79"/>
    <w:basedOn w:val="Normal"/>
    <w:rsid w:val="00C63986"/>
    <w:pPr>
      <w:spacing w:before="100" w:beforeAutospacing="1" w:after="100" w:afterAutospacing="1"/>
      <w:jc w:val="right"/>
      <w:textAlignment w:val="center"/>
    </w:pPr>
    <w:rPr>
      <w:color w:val="000000"/>
      <w:sz w:val="16"/>
      <w:szCs w:val="16"/>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line="480" w:lineRule="atLeast"/>
    </w:pPr>
    <w:rPr>
      <w:rFonts w:eastAsia="Calibri"/>
      <w:noProof/>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line="360" w:lineRule="auto"/>
      <w:jc w:val="both"/>
    </w:pPr>
    <w:rPr>
      <w:b/>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line="360" w:lineRule="auto"/>
      <w:jc w:val="both"/>
    </w:pPr>
    <w:rPr>
      <w:rFonts w:eastAsia="TimesNewRoman"/>
      <w:noProof/>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line="340" w:lineRule="atLeast"/>
    </w:pPr>
    <w:rPr>
      <w:color w:val="000000"/>
      <w:szCs w:val="20"/>
      <w:lang w:val="en-US" w:eastAsia="de-DE"/>
    </w:rPr>
  </w:style>
  <w:style w:type="paragraph" w:customStyle="1" w:styleId="MHeading1">
    <w:name w:val="M_Heading1"/>
    <w:basedOn w:val="Normal"/>
    <w:rsid w:val="009F6DEF"/>
    <w:pPr>
      <w:spacing w:before="240" w:after="240" w:line="340" w:lineRule="atLeast"/>
      <w:jc w:val="both"/>
    </w:pPr>
    <w:rPr>
      <w:b/>
      <w:color w:val="000000"/>
      <w:szCs w:val="20"/>
      <w:lang w:val="en-US" w:eastAsia="de-DE"/>
    </w:rPr>
  </w:style>
  <w:style w:type="paragraph" w:customStyle="1" w:styleId="MRefer">
    <w:name w:val="M_Refer"/>
    <w:basedOn w:val="Normal"/>
    <w:rsid w:val="000655C6"/>
    <w:pPr>
      <w:spacing w:line="340" w:lineRule="atLeast"/>
      <w:ind w:left="454" w:hanging="454"/>
      <w:jc w:val="both"/>
    </w:pPr>
    <w:rPr>
      <w:color w:val="000000"/>
      <w:szCs w:val="20"/>
      <w:lang w:val="en-US" w:eastAsia="de-DE"/>
    </w:rPr>
  </w:style>
  <w:style w:type="paragraph" w:customStyle="1" w:styleId="TRANSAffiliation">
    <w:name w:val="TRANS Affiliation"/>
    <w:basedOn w:val="Normal"/>
    <w:rsid w:val="009946DD"/>
    <w:pPr>
      <w:widowControl w:val="0"/>
      <w:autoSpaceDE w:val="0"/>
      <w:autoSpaceDN w:val="0"/>
      <w:adjustRightInd w:val="0"/>
      <w:jc w:val="center"/>
    </w:pPr>
    <w:rPr>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sz w:val="20"/>
      <w:lang w:val="en-US" w:eastAsia="ar-SA"/>
    </w:rPr>
  </w:style>
  <w:style w:type="paragraph" w:customStyle="1" w:styleId="JRNCPrimarySectionTitle">
    <w:name w:val="JRNC_Primary_Section_Title"/>
    <w:basedOn w:val="Normal"/>
    <w:rsid w:val="008247FE"/>
    <w:pPr>
      <w:suppressAutoHyphens/>
      <w:spacing w:before="480" w:after="480"/>
      <w:ind w:firstLine="360"/>
    </w:pPr>
    <w:rPr>
      <w:b/>
      <w:sz w:val="28"/>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jc w:val="both"/>
    </w:pPr>
    <w:rPr>
      <w:bCs/>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green1">
    <w:name w:val="green1"/>
    <w:basedOn w:val="VarsaylanParagrafYazTipi"/>
    <w:rsid w:val="005441C9"/>
    <w:rPr>
      <w:color w:val="008000"/>
    </w:rPr>
  </w:style>
  <w:style w:type="character" w:customStyle="1" w:styleId="UnresolvedMention">
    <w:name w:val="Unresolved Mention"/>
    <w:basedOn w:val="VarsaylanParagrafYazTipi"/>
    <w:uiPriority w:val="99"/>
    <w:semiHidden/>
    <w:unhideWhenUsed/>
    <w:rsid w:val="00AB6078"/>
    <w:rPr>
      <w:color w:val="605E5C"/>
      <w:shd w:val="clear" w:color="auto" w:fill="E1DFDD"/>
    </w:rPr>
  </w:style>
  <w:style w:type="paragraph" w:styleId="mza">
    <w:name w:val="Signature"/>
    <w:basedOn w:val="Normal"/>
    <w:link w:val="mzaChar"/>
    <w:rsid w:val="000558DA"/>
    <w:pPr>
      <w:ind w:left="4252" w:firstLine="567"/>
      <w:jc w:val="both"/>
    </w:pPr>
    <w:rPr>
      <w:szCs w:val="20"/>
      <w:lang w:val="en-GB" w:eastAsia="en-US"/>
    </w:rPr>
  </w:style>
  <w:style w:type="character" w:customStyle="1" w:styleId="mzaChar">
    <w:name w:val="İmza Char"/>
    <w:basedOn w:val="VarsaylanParagrafYazTipi"/>
    <w:link w:val="mza"/>
    <w:rsid w:val="000558DA"/>
    <w:rPr>
      <w:rFonts w:ascii="Times New Roman" w:eastAsia="Times New Roman" w:hAnsi="Times New Roman" w:cs="Times New Roman"/>
      <w:sz w:val="24"/>
      <w:szCs w:val="20"/>
      <w:lang w:val="en-GB"/>
    </w:rPr>
  </w:style>
  <w:style w:type="paragraph" w:customStyle="1" w:styleId="Heading">
    <w:name w:val="Heading"/>
    <w:basedOn w:val="Normal"/>
    <w:next w:val="Normal"/>
    <w:rsid w:val="00660472"/>
    <w:pPr>
      <w:keepNext/>
      <w:spacing w:before="240" w:after="120" w:line="360" w:lineRule="auto"/>
      <w:jc w:val="center"/>
      <w:outlineLvl w:val="0"/>
    </w:pPr>
    <w:rPr>
      <w:caps/>
      <w:sz w:val="28"/>
      <w:szCs w:val="20"/>
      <w:lang w:val="ru-RU" w:eastAsia="en-US"/>
    </w:rPr>
  </w:style>
  <w:style w:type="paragraph" w:customStyle="1" w:styleId="Displayedequation">
    <w:name w:val="Displayed equation"/>
    <w:basedOn w:val="Normal"/>
    <w:next w:val="Normal"/>
    <w:qFormat/>
    <w:rsid w:val="00574F38"/>
    <w:pPr>
      <w:tabs>
        <w:tab w:val="center" w:pos="4253"/>
        <w:tab w:val="right" w:pos="8222"/>
      </w:tabs>
      <w:spacing w:before="240" w:after="240" w:line="480" w:lineRule="auto"/>
      <w:jc w:val="center"/>
    </w:pPr>
    <w:rPr>
      <w:lang w:val="en-GB" w:eastAsia="en-GB"/>
    </w:rPr>
  </w:style>
  <w:style w:type="character" w:customStyle="1" w:styleId="apple-style-span">
    <w:name w:val="apple-style-span"/>
    <w:basedOn w:val="VarsaylanParagrafYazTipi"/>
    <w:rsid w:val="00A90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59525307">
      <w:bodyDiv w:val="1"/>
      <w:marLeft w:val="0"/>
      <w:marRight w:val="0"/>
      <w:marTop w:val="0"/>
      <w:marBottom w:val="0"/>
      <w:divBdr>
        <w:top w:val="none" w:sz="0" w:space="0" w:color="auto"/>
        <w:left w:val="none" w:sz="0" w:space="0" w:color="auto"/>
        <w:bottom w:val="none" w:sz="0" w:space="0" w:color="auto"/>
        <w:right w:val="none" w:sz="0" w:space="0" w:color="auto"/>
      </w:divBdr>
      <w:divsChild>
        <w:div w:id="1986738400">
          <w:marLeft w:val="0"/>
          <w:marRight w:val="0"/>
          <w:marTop w:val="0"/>
          <w:marBottom w:val="0"/>
          <w:divBdr>
            <w:top w:val="none" w:sz="0" w:space="0" w:color="auto"/>
            <w:left w:val="none" w:sz="0" w:space="0" w:color="auto"/>
            <w:bottom w:val="none" w:sz="0" w:space="0" w:color="auto"/>
            <w:right w:val="none" w:sz="0" w:space="0" w:color="auto"/>
          </w:divBdr>
        </w:div>
      </w:divsChild>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29711299">
      <w:bodyDiv w:val="1"/>
      <w:marLeft w:val="0"/>
      <w:marRight w:val="0"/>
      <w:marTop w:val="0"/>
      <w:marBottom w:val="0"/>
      <w:divBdr>
        <w:top w:val="none" w:sz="0" w:space="0" w:color="auto"/>
        <w:left w:val="none" w:sz="0" w:space="0" w:color="auto"/>
        <w:bottom w:val="none" w:sz="0" w:space="0" w:color="auto"/>
        <w:right w:val="none" w:sz="0" w:space="0" w:color="auto"/>
      </w:divBdr>
    </w:div>
    <w:div w:id="162281436">
      <w:bodyDiv w:val="1"/>
      <w:marLeft w:val="0"/>
      <w:marRight w:val="0"/>
      <w:marTop w:val="0"/>
      <w:marBottom w:val="0"/>
      <w:divBdr>
        <w:top w:val="none" w:sz="0" w:space="0" w:color="auto"/>
        <w:left w:val="none" w:sz="0" w:space="0" w:color="auto"/>
        <w:bottom w:val="none" w:sz="0" w:space="0" w:color="auto"/>
        <w:right w:val="none" w:sz="0" w:space="0" w:color="auto"/>
      </w:divBdr>
    </w:div>
    <w:div w:id="168446026">
      <w:bodyDiv w:val="1"/>
      <w:marLeft w:val="0"/>
      <w:marRight w:val="0"/>
      <w:marTop w:val="0"/>
      <w:marBottom w:val="0"/>
      <w:divBdr>
        <w:top w:val="none" w:sz="0" w:space="0" w:color="auto"/>
        <w:left w:val="none" w:sz="0" w:space="0" w:color="auto"/>
        <w:bottom w:val="none" w:sz="0" w:space="0" w:color="auto"/>
        <w:right w:val="none" w:sz="0" w:space="0" w:color="auto"/>
      </w:divBdr>
      <w:divsChild>
        <w:div w:id="1105728540">
          <w:marLeft w:val="0"/>
          <w:marRight w:val="0"/>
          <w:marTop w:val="0"/>
          <w:marBottom w:val="0"/>
          <w:divBdr>
            <w:top w:val="none" w:sz="0" w:space="0" w:color="auto"/>
            <w:left w:val="none" w:sz="0" w:space="0" w:color="auto"/>
            <w:bottom w:val="none" w:sz="0" w:space="0" w:color="auto"/>
            <w:right w:val="none" w:sz="0" w:space="0" w:color="auto"/>
          </w:divBdr>
        </w:div>
      </w:divsChild>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02983510">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94531143">
      <w:bodyDiv w:val="1"/>
      <w:marLeft w:val="0"/>
      <w:marRight w:val="0"/>
      <w:marTop w:val="0"/>
      <w:marBottom w:val="0"/>
      <w:divBdr>
        <w:top w:val="none" w:sz="0" w:space="0" w:color="auto"/>
        <w:left w:val="none" w:sz="0" w:space="0" w:color="auto"/>
        <w:bottom w:val="none" w:sz="0" w:space="0" w:color="auto"/>
        <w:right w:val="none" w:sz="0" w:space="0" w:color="auto"/>
      </w:divBdr>
    </w:div>
    <w:div w:id="315956653">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34311239">
      <w:bodyDiv w:val="1"/>
      <w:marLeft w:val="0"/>
      <w:marRight w:val="0"/>
      <w:marTop w:val="0"/>
      <w:marBottom w:val="0"/>
      <w:divBdr>
        <w:top w:val="none" w:sz="0" w:space="0" w:color="auto"/>
        <w:left w:val="none" w:sz="0" w:space="0" w:color="auto"/>
        <w:bottom w:val="none" w:sz="0" w:space="0" w:color="auto"/>
        <w:right w:val="none" w:sz="0" w:space="0" w:color="auto"/>
      </w:divBdr>
      <w:divsChild>
        <w:div w:id="2112967112">
          <w:marLeft w:val="0"/>
          <w:marRight w:val="0"/>
          <w:marTop w:val="0"/>
          <w:marBottom w:val="0"/>
          <w:divBdr>
            <w:top w:val="none" w:sz="0" w:space="0" w:color="auto"/>
            <w:left w:val="none" w:sz="0" w:space="0" w:color="auto"/>
            <w:bottom w:val="none" w:sz="0" w:space="0" w:color="auto"/>
            <w:right w:val="none" w:sz="0" w:space="0" w:color="auto"/>
          </w:divBdr>
        </w:div>
      </w:divsChild>
    </w:div>
    <w:div w:id="340595130">
      <w:bodyDiv w:val="1"/>
      <w:marLeft w:val="0"/>
      <w:marRight w:val="0"/>
      <w:marTop w:val="0"/>
      <w:marBottom w:val="0"/>
      <w:divBdr>
        <w:top w:val="none" w:sz="0" w:space="0" w:color="auto"/>
        <w:left w:val="none" w:sz="0" w:space="0" w:color="auto"/>
        <w:bottom w:val="none" w:sz="0" w:space="0" w:color="auto"/>
        <w:right w:val="none" w:sz="0" w:space="0" w:color="auto"/>
      </w:divBdr>
      <w:divsChild>
        <w:div w:id="615714864">
          <w:marLeft w:val="0"/>
          <w:marRight w:val="0"/>
          <w:marTop w:val="0"/>
          <w:marBottom w:val="0"/>
          <w:divBdr>
            <w:top w:val="none" w:sz="0" w:space="0" w:color="auto"/>
            <w:left w:val="none" w:sz="0" w:space="0" w:color="auto"/>
            <w:bottom w:val="none" w:sz="0" w:space="0" w:color="auto"/>
            <w:right w:val="none" w:sz="0" w:space="0" w:color="auto"/>
          </w:divBdr>
        </w:div>
      </w:divsChild>
    </w:div>
    <w:div w:id="353265309">
      <w:bodyDiv w:val="1"/>
      <w:marLeft w:val="0"/>
      <w:marRight w:val="0"/>
      <w:marTop w:val="0"/>
      <w:marBottom w:val="0"/>
      <w:divBdr>
        <w:top w:val="none" w:sz="0" w:space="0" w:color="auto"/>
        <w:left w:val="none" w:sz="0" w:space="0" w:color="auto"/>
        <w:bottom w:val="none" w:sz="0" w:space="0" w:color="auto"/>
        <w:right w:val="none" w:sz="0" w:space="0" w:color="auto"/>
      </w:divBdr>
      <w:divsChild>
        <w:div w:id="1195188891">
          <w:marLeft w:val="0"/>
          <w:marRight w:val="0"/>
          <w:marTop w:val="0"/>
          <w:marBottom w:val="0"/>
          <w:divBdr>
            <w:top w:val="none" w:sz="0" w:space="0" w:color="auto"/>
            <w:left w:val="none" w:sz="0" w:space="0" w:color="auto"/>
            <w:bottom w:val="none" w:sz="0" w:space="0" w:color="auto"/>
            <w:right w:val="none" w:sz="0" w:space="0" w:color="auto"/>
          </w:divBdr>
          <w:divsChild>
            <w:div w:id="1395159717">
              <w:marLeft w:val="0"/>
              <w:marRight w:val="0"/>
              <w:marTop w:val="0"/>
              <w:marBottom w:val="0"/>
              <w:divBdr>
                <w:top w:val="none" w:sz="0" w:space="0" w:color="auto"/>
                <w:left w:val="none" w:sz="0" w:space="0" w:color="auto"/>
                <w:bottom w:val="none" w:sz="0" w:space="0" w:color="auto"/>
                <w:right w:val="none" w:sz="0" w:space="0" w:color="auto"/>
              </w:divBdr>
              <w:divsChild>
                <w:div w:id="12069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365911621">
      <w:bodyDiv w:val="1"/>
      <w:marLeft w:val="0"/>
      <w:marRight w:val="0"/>
      <w:marTop w:val="0"/>
      <w:marBottom w:val="0"/>
      <w:divBdr>
        <w:top w:val="none" w:sz="0" w:space="0" w:color="auto"/>
        <w:left w:val="none" w:sz="0" w:space="0" w:color="auto"/>
        <w:bottom w:val="none" w:sz="0" w:space="0" w:color="auto"/>
        <w:right w:val="none" w:sz="0" w:space="0" w:color="auto"/>
      </w:divBdr>
    </w:div>
    <w:div w:id="427121384">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26607000">
      <w:bodyDiv w:val="1"/>
      <w:marLeft w:val="0"/>
      <w:marRight w:val="0"/>
      <w:marTop w:val="0"/>
      <w:marBottom w:val="0"/>
      <w:divBdr>
        <w:top w:val="none" w:sz="0" w:space="0" w:color="auto"/>
        <w:left w:val="none" w:sz="0" w:space="0" w:color="auto"/>
        <w:bottom w:val="none" w:sz="0" w:space="0" w:color="auto"/>
        <w:right w:val="none" w:sz="0" w:space="0" w:color="auto"/>
      </w:divBdr>
      <w:divsChild>
        <w:div w:id="1306087283">
          <w:marLeft w:val="0"/>
          <w:marRight w:val="0"/>
          <w:marTop w:val="0"/>
          <w:marBottom w:val="0"/>
          <w:divBdr>
            <w:top w:val="none" w:sz="0" w:space="0" w:color="auto"/>
            <w:left w:val="none" w:sz="0" w:space="0" w:color="auto"/>
            <w:bottom w:val="none" w:sz="0" w:space="0" w:color="auto"/>
            <w:right w:val="none" w:sz="0" w:space="0" w:color="auto"/>
          </w:divBdr>
        </w:div>
      </w:divsChild>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64337841">
      <w:bodyDiv w:val="1"/>
      <w:marLeft w:val="0"/>
      <w:marRight w:val="0"/>
      <w:marTop w:val="0"/>
      <w:marBottom w:val="0"/>
      <w:divBdr>
        <w:top w:val="none" w:sz="0" w:space="0" w:color="auto"/>
        <w:left w:val="none" w:sz="0" w:space="0" w:color="auto"/>
        <w:bottom w:val="none" w:sz="0" w:space="0" w:color="auto"/>
        <w:right w:val="none" w:sz="0" w:space="0" w:color="auto"/>
      </w:divBdr>
      <w:divsChild>
        <w:div w:id="2087804839">
          <w:marLeft w:val="0"/>
          <w:marRight w:val="0"/>
          <w:marTop w:val="0"/>
          <w:marBottom w:val="0"/>
          <w:divBdr>
            <w:top w:val="none" w:sz="0" w:space="0" w:color="auto"/>
            <w:left w:val="none" w:sz="0" w:space="0" w:color="auto"/>
            <w:bottom w:val="none" w:sz="0" w:space="0" w:color="auto"/>
            <w:right w:val="none" w:sz="0" w:space="0" w:color="auto"/>
          </w:divBdr>
        </w:div>
      </w:divsChild>
    </w:div>
    <w:div w:id="573899775">
      <w:bodyDiv w:val="1"/>
      <w:marLeft w:val="0"/>
      <w:marRight w:val="0"/>
      <w:marTop w:val="0"/>
      <w:marBottom w:val="0"/>
      <w:divBdr>
        <w:top w:val="none" w:sz="0" w:space="0" w:color="auto"/>
        <w:left w:val="none" w:sz="0" w:space="0" w:color="auto"/>
        <w:bottom w:val="none" w:sz="0" w:space="0" w:color="auto"/>
        <w:right w:val="none" w:sz="0" w:space="0" w:color="auto"/>
      </w:divBdr>
      <w:divsChild>
        <w:div w:id="1770731128">
          <w:marLeft w:val="0"/>
          <w:marRight w:val="0"/>
          <w:marTop w:val="0"/>
          <w:marBottom w:val="0"/>
          <w:divBdr>
            <w:top w:val="none" w:sz="0" w:space="0" w:color="auto"/>
            <w:left w:val="none" w:sz="0" w:space="0" w:color="auto"/>
            <w:bottom w:val="none" w:sz="0" w:space="0" w:color="auto"/>
            <w:right w:val="none" w:sz="0" w:space="0" w:color="auto"/>
          </w:divBdr>
          <w:divsChild>
            <w:div w:id="524826277">
              <w:marLeft w:val="0"/>
              <w:marRight w:val="0"/>
              <w:marTop w:val="0"/>
              <w:marBottom w:val="0"/>
              <w:divBdr>
                <w:top w:val="none" w:sz="0" w:space="0" w:color="auto"/>
                <w:left w:val="none" w:sz="0" w:space="0" w:color="auto"/>
                <w:bottom w:val="none" w:sz="0" w:space="0" w:color="auto"/>
                <w:right w:val="none" w:sz="0" w:space="0" w:color="auto"/>
              </w:divBdr>
              <w:divsChild>
                <w:div w:id="19805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5659">
      <w:bodyDiv w:val="1"/>
      <w:marLeft w:val="0"/>
      <w:marRight w:val="0"/>
      <w:marTop w:val="0"/>
      <w:marBottom w:val="0"/>
      <w:divBdr>
        <w:top w:val="none" w:sz="0" w:space="0" w:color="auto"/>
        <w:left w:val="none" w:sz="0" w:space="0" w:color="auto"/>
        <w:bottom w:val="none" w:sz="0" w:space="0" w:color="auto"/>
        <w:right w:val="none" w:sz="0" w:space="0" w:color="auto"/>
      </w:divBdr>
      <w:divsChild>
        <w:div w:id="677538074">
          <w:marLeft w:val="0"/>
          <w:marRight w:val="0"/>
          <w:marTop w:val="0"/>
          <w:marBottom w:val="0"/>
          <w:divBdr>
            <w:top w:val="none" w:sz="0" w:space="0" w:color="auto"/>
            <w:left w:val="none" w:sz="0" w:space="0" w:color="auto"/>
            <w:bottom w:val="none" w:sz="0" w:space="0" w:color="auto"/>
            <w:right w:val="none" w:sz="0" w:space="0" w:color="auto"/>
          </w:divBdr>
          <w:divsChild>
            <w:div w:id="222371826">
              <w:marLeft w:val="0"/>
              <w:marRight w:val="0"/>
              <w:marTop w:val="0"/>
              <w:marBottom w:val="0"/>
              <w:divBdr>
                <w:top w:val="none" w:sz="0" w:space="0" w:color="auto"/>
                <w:left w:val="none" w:sz="0" w:space="0" w:color="auto"/>
                <w:bottom w:val="none" w:sz="0" w:space="0" w:color="auto"/>
                <w:right w:val="none" w:sz="0" w:space="0" w:color="auto"/>
              </w:divBdr>
              <w:divsChild>
                <w:div w:id="1675453390">
                  <w:marLeft w:val="0"/>
                  <w:marRight w:val="0"/>
                  <w:marTop w:val="0"/>
                  <w:marBottom w:val="0"/>
                  <w:divBdr>
                    <w:top w:val="none" w:sz="0" w:space="0" w:color="auto"/>
                    <w:left w:val="none" w:sz="0" w:space="0" w:color="auto"/>
                    <w:bottom w:val="none" w:sz="0" w:space="0" w:color="auto"/>
                    <w:right w:val="none" w:sz="0" w:space="0" w:color="auto"/>
                  </w:divBdr>
                  <w:divsChild>
                    <w:div w:id="17463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59772502">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56441947">
      <w:bodyDiv w:val="1"/>
      <w:marLeft w:val="0"/>
      <w:marRight w:val="0"/>
      <w:marTop w:val="0"/>
      <w:marBottom w:val="0"/>
      <w:divBdr>
        <w:top w:val="none" w:sz="0" w:space="0" w:color="auto"/>
        <w:left w:val="none" w:sz="0" w:space="0" w:color="auto"/>
        <w:bottom w:val="none" w:sz="0" w:space="0" w:color="auto"/>
        <w:right w:val="none" w:sz="0" w:space="0" w:color="auto"/>
      </w:divBdr>
      <w:divsChild>
        <w:div w:id="2135638896">
          <w:marLeft w:val="0"/>
          <w:marRight w:val="0"/>
          <w:marTop w:val="0"/>
          <w:marBottom w:val="0"/>
          <w:divBdr>
            <w:top w:val="none" w:sz="0" w:space="0" w:color="auto"/>
            <w:left w:val="none" w:sz="0" w:space="0" w:color="auto"/>
            <w:bottom w:val="none" w:sz="0" w:space="0" w:color="auto"/>
            <w:right w:val="none" w:sz="0" w:space="0" w:color="auto"/>
          </w:divBdr>
        </w:div>
      </w:divsChild>
    </w:div>
    <w:div w:id="765616217">
      <w:bodyDiv w:val="1"/>
      <w:marLeft w:val="0"/>
      <w:marRight w:val="0"/>
      <w:marTop w:val="0"/>
      <w:marBottom w:val="0"/>
      <w:divBdr>
        <w:top w:val="none" w:sz="0" w:space="0" w:color="auto"/>
        <w:left w:val="none" w:sz="0" w:space="0" w:color="auto"/>
        <w:bottom w:val="none" w:sz="0" w:space="0" w:color="auto"/>
        <w:right w:val="none" w:sz="0" w:space="0" w:color="auto"/>
      </w:divBdr>
      <w:divsChild>
        <w:div w:id="1577471880">
          <w:marLeft w:val="0"/>
          <w:marRight w:val="0"/>
          <w:marTop w:val="0"/>
          <w:marBottom w:val="0"/>
          <w:divBdr>
            <w:top w:val="none" w:sz="0" w:space="0" w:color="auto"/>
            <w:left w:val="none" w:sz="0" w:space="0" w:color="auto"/>
            <w:bottom w:val="none" w:sz="0" w:space="0" w:color="auto"/>
            <w:right w:val="none" w:sz="0" w:space="0" w:color="auto"/>
          </w:divBdr>
        </w:div>
      </w:divsChild>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22312177">
      <w:bodyDiv w:val="1"/>
      <w:marLeft w:val="0"/>
      <w:marRight w:val="0"/>
      <w:marTop w:val="0"/>
      <w:marBottom w:val="0"/>
      <w:divBdr>
        <w:top w:val="none" w:sz="0" w:space="0" w:color="auto"/>
        <w:left w:val="none" w:sz="0" w:space="0" w:color="auto"/>
        <w:bottom w:val="none" w:sz="0" w:space="0" w:color="auto"/>
        <w:right w:val="none" w:sz="0" w:space="0" w:color="auto"/>
      </w:divBdr>
      <w:divsChild>
        <w:div w:id="173495173">
          <w:marLeft w:val="0"/>
          <w:marRight w:val="0"/>
          <w:marTop w:val="0"/>
          <w:marBottom w:val="0"/>
          <w:divBdr>
            <w:top w:val="none" w:sz="0" w:space="0" w:color="auto"/>
            <w:left w:val="none" w:sz="0" w:space="0" w:color="auto"/>
            <w:bottom w:val="none" w:sz="0" w:space="0" w:color="auto"/>
            <w:right w:val="none" w:sz="0" w:space="0" w:color="auto"/>
          </w:divBdr>
          <w:divsChild>
            <w:div w:id="323321608">
              <w:marLeft w:val="0"/>
              <w:marRight w:val="0"/>
              <w:marTop w:val="0"/>
              <w:marBottom w:val="0"/>
              <w:divBdr>
                <w:top w:val="none" w:sz="0" w:space="0" w:color="auto"/>
                <w:left w:val="none" w:sz="0" w:space="0" w:color="auto"/>
                <w:bottom w:val="none" w:sz="0" w:space="0" w:color="auto"/>
                <w:right w:val="none" w:sz="0" w:space="0" w:color="auto"/>
              </w:divBdr>
              <w:divsChild>
                <w:div w:id="12428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05916157">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26618592">
      <w:bodyDiv w:val="1"/>
      <w:marLeft w:val="0"/>
      <w:marRight w:val="0"/>
      <w:marTop w:val="0"/>
      <w:marBottom w:val="0"/>
      <w:divBdr>
        <w:top w:val="none" w:sz="0" w:space="0" w:color="auto"/>
        <w:left w:val="none" w:sz="0" w:space="0" w:color="auto"/>
        <w:bottom w:val="none" w:sz="0" w:space="0" w:color="auto"/>
        <w:right w:val="none" w:sz="0" w:space="0" w:color="auto"/>
      </w:divBdr>
    </w:div>
    <w:div w:id="974993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6140">
          <w:marLeft w:val="0"/>
          <w:marRight w:val="0"/>
          <w:marTop w:val="0"/>
          <w:marBottom w:val="0"/>
          <w:divBdr>
            <w:top w:val="none" w:sz="0" w:space="0" w:color="auto"/>
            <w:left w:val="none" w:sz="0" w:space="0" w:color="auto"/>
            <w:bottom w:val="none" w:sz="0" w:space="0" w:color="auto"/>
            <w:right w:val="none" w:sz="0" w:space="0" w:color="auto"/>
          </w:divBdr>
          <w:divsChild>
            <w:div w:id="1458446995">
              <w:marLeft w:val="0"/>
              <w:marRight w:val="0"/>
              <w:marTop w:val="0"/>
              <w:marBottom w:val="0"/>
              <w:divBdr>
                <w:top w:val="none" w:sz="0" w:space="0" w:color="auto"/>
                <w:left w:val="none" w:sz="0" w:space="0" w:color="auto"/>
                <w:bottom w:val="none" w:sz="0" w:space="0" w:color="auto"/>
                <w:right w:val="none" w:sz="0" w:space="0" w:color="auto"/>
              </w:divBdr>
              <w:divsChild>
                <w:div w:id="796605973">
                  <w:marLeft w:val="0"/>
                  <w:marRight w:val="0"/>
                  <w:marTop w:val="0"/>
                  <w:marBottom w:val="0"/>
                  <w:divBdr>
                    <w:top w:val="none" w:sz="0" w:space="0" w:color="auto"/>
                    <w:left w:val="none" w:sz="0" w:space="0" w:color="auto"/>
                    <w:bottom w:val="none" w:sz="0" w:space="0" w:color="auto"/>
                    <w:right w:val="none" w:sz="0" w:space="0" w:color="auto"/>
                  </w:divBdr>
                  <w:divsChild>
                    <w:div w:id="11603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09255164">
      <w:bodyDiv w:val="1"/>
      <w:marLeft w:val="0"/>
      <w:marRight w:val="0"/>
      <w:marTop w:val="0"/>
      <w:marBottom w:val="0"/>
      <w:divBdr>
        <w:top w:val="none" w:sz="0" w:space="0" w:color="auto"/>
        <w:left w:val="none" w:sz="0" w:space="0" w:color="auto"/>
        <w:bottom w:val="none" w:sz="0" w:space="0" w:color="auto"/>
        <w:right w:val="none" w:sz="0" w:space="0" w:color="auto"/>
      </w:divBdr>
      <w:divsChild>
        <w:div w:id="598879550">
          <w:marLeft w:val="0"/>
          <w:marRight w:val="0"/>
          <w:marTop w:val="0"/>
          <w:marBottom w:val="0"/>
          <w:divBdr>
            <w:top w:val="none" w:sz="0" w:space="0" w:color="auto"/>
            <w:left w:val="none" w:sz="0" w:space="0" w:color="auto"/>
            <w:bottom w:val="none" w:sz="0" w:space="0" w:color="auto"/>
            <w:right w:val="none" w:sz="0" w:space="0" w:color="auto"/>
          </w:divBdr>
        </w:div>
      </w:divsChild>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2723088">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53369022">
      <w:bodyDiv w:val="1"/>
      <w:marLeft w:val="0"/>
      <w:marRight w:val="0"/>
      <w:marTop w:val="0"/>
      <w:marBottom w:val="0"/>
      <w:divBdr>
        <w:top w:val="none" w:sz="0" w:space="0" w:color="auto"/>
        <w:left w:val="none" w:sz="0" w:space="0" w:color="auto"/>
        <w:bottom w:val="none" w:sz="0" w:space="0" w:color="auto"/>
        <w:right w:val="none" w:sz="0" w:space="0" w:color="auto"/>
      </w:divBdr>
      <w:divsChild>
        <w:div w:id="273901353">
          <w:marLeft w:val="0"/>
          <w:marRight w:val="0"/>
          <w:marTop w:val="0"/>
          <w:marBottom w:val="0"/>
          <w:divBdr>
            <w:top w:val="none" w:sz="0" w:space="0" w:color="auto"/>
            <w:left w:val="none" w:sz="0" w:space="0" w:color="auto"/>
            <w:bottom w:val="none" w:sz="0" w:space="0" w:color="auto"/>
            <w:right w:val="none" w:sz="0" w:space="0" w:color="auto"/>
          </w:divBdr>
        </w:div>
      </w:divsChild>
    </w:div>
    <w:div w:id="1201362162">
      <w:bodyDiv w:val="1"/>
      <w:marLeft w:val="0"/>
      <w:marRight w:val="0"/>
      <w:marTop w:val="0"/>
      <w:marBottom w:val="0"/>
      <w:divBdr>
        <w:top w:val="none" w:sz="0" w:space="0" w:color="auto"/>
        <w:left w:val="none" w:sz="0" w:space="0" w:color="auto"/>
        <w:bottom w:val="none" w:sz="0" w:space="0" w:color="auto"/>
        <w:right w:val="none" w:sz="0" w:space="0" w:color="auto"/>
      </w:divBdr>
      <w:divsChild>
        <w:div w:id="647056568">
          <w:marLeft w:val="0"/>
          <w:marRight w:val="0"/>
          <w:marTop w:val="0"/>
          <w:marBottom w:val="0"/>
          <w:divBdr>
            <w:top w:val="none" w:sz="0" w:space="0" w:color="auto"/>
            <w:left w:val="none" w:sz="0" w:space="0" w:color="auto"/>
            <w:bottom w:val="none" w:sz="0" w:space="0" w:color="auto"/>
            <w:right w:val="none" w:sz="0" w:space="0" w:color="auto"/>
          </w:divBdr>
        </w:div>
      </w:divsChild>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81961309">
      <w:bodyDiv w:val="1"/>
      <w:marLeft w:val="0"/>
      <w:marRight w:val="0"/>
      <w:marTop w:val="0"/>
      <w:marBottom w:val="0"/>
      <w:divBdr>
        <w:top w:val="none" w:sz="0" w:space="0" w:color="auto"/>
        <w:left w:val="none" w:sz="0" w:space="0" w:color="auto"/>
        <w:bottom w:val="none" w:sz="0" w:space="0" w:color="auto"/>
        <w:right w:val="none" w:sz="0" w:space="0" w:color="auto"/>
      </w:divBdr>
      <w:divsChild>
        <w:div w:id="1845510434">
          <w:marLeft w:val="0"/>
          <w:marRight w:val="0"/>
          <w:marTop w:val="0"/>
          <w:marBottom w:val="0"/>
          <w:divBdr>
            <w:top w:val="none" w:sz="0" w:space="0" w:color="auto"/>
            <w:left w:val="none" w:sz="0" w:space="0" w:color="auto"/>
            <w:bottom w:val="none" w:sz="0" w:space="0" w:color="auto"/>
            <w:right w:val="none" w:sz="0" w:space="0" w:color="auto"/>
          </w:divBdr>
        </w:div>
      </w:divsChild>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4189226">
      <w:bodyDiv w:val="1"/>
      <w:marLeft w:val="0"/>
      <w:marRight w:val="0"/>
      <w:marTop w:val="0"/>
      <w:marBottom w:val="0"/>
      <w:divBdr>
        <w:top w:val="none" w:sz="0" w:space="0" w:color="auto"/>
        <w:left w:val="none" w:sz="0" w:space="0" w:color="auto"/>
        <w:bottom w:val="none" w:sz="0" w:space="0" w:color="auto"/>
        <w:right w:val="none" w:sz="0" w:space="0" w:color="auto"/>
      </w:divBdr>
    </w:div>
    <w:div w:id="1375278545">
      <w:bodyDiv w:val="1"/>
      <w:marLeft w:val="0"/>
      <w:marRight w:val="0"/>
      <w:marTop w:val="0"/>
      <w:marBottom w:val="0"/>
      <w:divBdr>
        <w:top w:val="none" w:sz="0" w:space="0" w:color="auto"/>
        <w:left w:val="none" w:sz="0" w:space="0" w:color="auto"/>
        <w:bottom w:val="none" w:sz="0" w:space="0" w:color="auto"/>
        <w:right w:val="none" w:sz="0" w:space="0" w:color="auto"/>
      </w:divBdr>
      <w:divsChild>
        <w:div w:id="701367845">
          <w:marLeft w:val="0"/>
          <w:marRight w:val="0"/>
          <w:marTop w:val="0"/>
          <w:marBottom w:val="0"/>
          <w:divBdr>
            <w:top w:val="none" w:sz="0" w:space="0" w:color="auto"/>
            <w:left w:val="none" w:sz="0" w:space="0" w:color="auto"/>
            <w:bottom w:val="none" w:sz="0" w:space="0" w:color="auto"/>
            <w:right w:val="none" w:sz="0" w:space="0" w:color="auto"/>
          </w:divBdr>
          <w:divsChild>
            <w:div w:id="47726591">
              <w:marLeft w:val="0"/>
              <w:marRight w:val="0"/>
              <w:marTop w:val="0"/>
              <w:marBottom w:val="0"/>
              <w:divBdr>
                <w:top w:val="none" w:sz="0" w:space="0" w:color="auto"/>
                <w:left w:val="none" w:sz="0" w:space="0" w:color="auto"/>
                <w:bottom w:val="none" w:sz="0" w:space="0" w:color="auto"/>
                <w:right w:val="none" w:sz="0" w:space="0" w:color="auto"/>
              </w:divBdr>
              <w:divsChild>
                <w:div w:id="98139648">
                  <w:marLeft w:val="0"/>
                  <w:marRight w:val="0"/>
                  <w:marTop w:val="0"/>
                  <w:marBottom w:val="0"/>
                  <w:divBdr>
                    <w:top w:val="none" w:sz="0" w:space="0" w:color="auto"/>
                    <w:left w:val="none" w:sz="0" w:space="0" w:color="auto"/>
                    <w:bottom w:val="none" w:sz="0" w:space="0" w:color="auto"/>
                    <w:right w:val="none" w:sz="0" w:space="0" w:color="auto"/>
                  </w:divBdr>
                  <w:divsChild>
                    <w:div w:id="16365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1685776">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3615688">
      <w:bodyDiv w:val="1"/>
      <w:marLeft w:val="0"/>
      <w:marRight w:val="0"/>
      <w:marTop w:val="0"/>
      <w:marBottom w:val="0"/>
      <w:divBdr>
        <w:top w:val="none" w:sz="0" w:space="0" w:color="auto"/>
        <w:left w:val="none" w:sz="0" w:space="0" w:color="auto"/>
        <w:bottom w:val="none" w:sz="0" w:space="0" w:color="auto"/>
        <w:right w:val="none" w:sz="0" w:space="0" w:color="auto"/>
      </w:divBdr>
      <w:divsChild>
        <w:div w:id="816072114">
          <w:marLeft w:val="0"/>
          <w:marRight w:val="0"/>
          <w:marTop w:val="0"/>
          <w:marBottom w:val="0"/>
          <w:divBdr>
            <w:top w:val="none" w:sz="0" w:space="0" w:color="auto"/>
            <w:left w:val="none" w:sz="0" w:space="0" w:color="auto"/>
            <w:bottom w:val="none" w:sz="0" w:space="0" w:color="auto"/>
            <w:right w:val="none" w:sz="0" w:space="0" w:color="auto"/>
          </w:divBdr>
        </w:div>
      </w:divsChild>
    </w:div>
    <w:div w:id="1555039664">
      <w:bodyDiv w:val="1"/>
      <w:marLeft w:val="0"/>
      <w:marRight w:val="0"/>
      <w:marTop w:val="0"/>
      <w:marBottom w:val="0"/>
      <w:divBdr>
        <w:top w:val="none" w:sz="0" w:space="0" w:color="auto"/>
        <w:left w:val="none" w:sz="0" w:space="0" w:color="auto"/>
        <w:bottom w:val="none" w:sz="0" w:space="0" w:color="auto"/>
        <w:right w:val="none" w:sz="0" w:space="0" w:color="auto"/>
      </w:divBdr>
      <w:divsChild>
        <w:div w:id="2001689912">
          <w:marLeft w:val="0"/>
          <w:marRight w:val="0"/>
          <w:marTop w:val="0"/>
          <w:marBottom w:val="0"/>
          <w:divBdr>
            <w:top w:val="none" w:sz="0" w:space="0" w:color="auto"/>
            <w:left w:val="none" w:sz="0" w:space="0" w:color="auto"/>
            <w:bottom w:val="none" w:sz="0" w:space="0" w:color="auto"/>
            <w:right w:val="none" w:sz="0" w:space="0" w:color="auto"/>
          </w:divBdr>
        </w:div>
      </w:divsChild>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79843408">
      <w:bodyDiv w:val="1"/>
      <w:marLeft w:val="0"/>
      <w:marRight w:val="0"/>
      <w:marTop w:val="0"/>
      <w:marBottom w:val="0"/>
      <w:divBdr>
        <w:top w:val="none" w:sz="0" w:space="0" w:color="auto"/>
        <w:left w:val="none" w:sz="0" w:space="0" w:color="auto"/>
        <w:bottom w:val="none" w:sz="0" w:space="0" w:color="auto"/>
        <w:right w:val="none" w:sz="0" w:space="0" w:color="auto"/>
      </w:divBdr>
      <w:divsChild>
        <w:div w:id="463042968">
          <w:marLeft w:val="0"/>
          <w:marRight w:val="0"/>
          <w:marTop w:val="0"/>
          <w:marBottom w:val="0"/>
          <w:divBdr>
            <w:top w:val="none" w:sz="0" w:space="0" w:color="auto"/>
            <w:left w:val="none" w:sz="0" w:space="0" w:color="auto"/>
            <w:bottom w:val="none" w:sz="0" w:space="0" w:color="auto"/>
            <w:right w:val="none" w:sz="0" w:space="0" w:color="auto"/>
          </w:divBdr>
        </w:div>
      </w:divsChild>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57825956">
      <w:bodyDiv w:val="1"/>
      <w:marLeft w:val="0"/>
      <w:marRight w:val="0"/>
      <w:marTop w:val="0"/>
      <w:marBottom w:val="0"/>
      <w:divBdr>
        <w:top w:val="none" w:sz="0" w:space="0" w:color="auto"/>
        <w:left w:val="none" w:sz="0" w:space="0" w:color="auto"/>
        <w:bottom w:val="none" w:sz="0" w:space="0" w:color="auto"/>
        <w:right w:val="none" w:sz="0" w:space="0" w:color="auto"/>
      </w:divBdr>
      <w:divsChild>
        <w:div w:id="180704838">
          <w:marLeft w:val="0"/>
          <w:marRight w:val="0"/>
          <w:marTop w:val="0"/>
          <w:marBottom w:val="0"/>
          <w:divBdr>
            <w:top w:val="none" w:sz="0" w:space="0" w:color="auto"/>
            <w:left w:val="none" w:sz="0" w:space="0" w:color="auto"/>
            <w:bottom w:val="none" w:sz="0" w:space="0" w:color="auto"/>
            <w:right w:val="none" w:sz="0" w:space="0" w:color="auto"/>
          </w:divBdr>
        </w:div>
      </w:divsChild>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44977945">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566-5015"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6.tiff"/><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tiff"/></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5BFE57E0-4273-4D57-B2A0-7C88C947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1600</TotalTime>
  <Pages>6</Pages>
  <Words>5476</Words>
  <Characters>31216</Characters>
  <Application>Microsoft Office Word</Application>
  <DocSecurity>0</DocSecurity>
  <Lines>260</Lines>
  <Paragraphs>73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berna</cp:lastModifiedBy>
  <cp:revision>272</cp:revision>
  <cp:lastPrinted>2022-10-06T12:06:00Z</cp:lastPrinted>
  <dcterms:created xsi:type="dcterms:W3CDTF">2023-12-05T20:29:00Z</dcterms:created>
  <dcterms:modified xsi:type="dcterms:W3CDTF">2023-12-19T20:30:00Z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6e4d23ee-cf55-3a48-8597-c68e778c2fad</vt:lpwstr>
  </property>
  <property fmtid="{D5CDD505-2E9C-101B-9397-08002B2CF9AE}" pid="4" name="Mendeley Citation Style_1">
    <vt:lpwstr>http://www.zotero.org/styles/international-journal-of-simulation-modelling</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http://www.zotero.org/styles/crop-protection</vt:lpwstr>
  </property>
  <property fmtid="{D5CDD505-2E9C-101B-9397-08002B2CF9AE}" pid="10" name="Mendeley Recent Style Name 2_1">
    <vt:lpwstr>Crop Protection</vt:lpwstr>
  </property>
  <property fmtid="{D5CDD505-2E9C-101B-9397-08002B2CF9AE}" pid="11" name="Mendeley Recent Style Id 3_1">
    <vt:lpwstr>http://www.zotero.org/styles/drug-testing-and-analysis</vt:lpwstr>
  </property>
  <property fmtid="{D5CDD505-2E9C-101B-9397-08002B2CF9AE}" pid="12" name="Mendeley Recent Style Name 3_1">
    <vt:lpwstr>Drug Testing and Analysis</vt:lpwstr>
  </property>
  <property fmtid="{D5CDD505-2E9C-101B-9397-08002B2CF9AE}" pid="13" name="Mendeley Recent Style Id 4_1">
    <vt:lpwstr>http://www.zotero.org/styles/elsevier-vancouver</vt:lpwstr>
  </property>
  <property fmtid="{D5CDD505-2E9C-101B-9397-08002B2CF9AE}" pid="14" name="Mendeley Recent Style Name 4_1">
    <vt:lpwstr>Elsevier - Vancouver</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http://www.zotero.org/styles/international-journal-of-simulation-modelling</vt:lpwstr>
  </property>
  <property fmtid="{D5CDD505-2E9C-101B-9397-08002B2CF9AE}" pid="20" name="Mendeley Recent Style Name 7_1">
    <vt:lpwstr>International Journal of Simulation Modelling</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http://www.zotero.org/styles/springer-socpsych-brackets</vt:lpwstr>
  </property>
  <property fmtid="{D5CDD505-2E9C-101B-9397-08002B2CF9AE}" pid="24" name="Mendeley Recent Style Name 9_1">
    <vt:lpwstr>Springer - SocPsych (numeric, brackets)</vt:lpwstr>
  </property>
</Properties>
</file>