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A6AB" w14:textId="1350B7B4" w:rsidR="00106B96" w:rsidRPr="00DB0DEF" w:rsidRDefault="00FC156D" w:rsidP="00D40ACF">
      <w:pPr>
        <w:spacing w:after="120"/>
        <w:ind w:firstLine="426"/>
        <w:contextualSpacing/>
        <w:jc w:val="center"/>
        <w:rPr>
          <w:rFonts w:ascii="Times New Roman" w:hAnsi="Times New Roman" w:cs="Times New Roman"/>
          <w:b/>
          <w:bCs/>
          <w:sz w:val="24"/>
          <w:szCs w:val="24"/>
        </w:rPr>
      </w:pPr>
      <w:r w:rsidRPr="00DB0DEF">
        <w:rPr>
          <w:rFonts w:ascii="Times New Roman" w:hAnsi="Times New Roman" w:cs="Times New Roman"/>
          <w:b/>
          <w:bCs/>
          <w:sz w:val="24"/>
          <w:szCs w:val="24"/>
        </w:rPr>
        <w:t xml:space="preserve">TFRS 8 Kapsamında </w:t>
      </w:r>
      <w:r w:rsidR="001D1B3E" w:rsidRPr="00DB0DEF">
        <w:rPr>
          <w:rFonts w:ascii="Times New Roman" w:hAnsi="Times New Roman" w:cs="Times New Roman"/>
          <w:b/>
          <w:bCs/>
          <w:sz w:val="24"/>
          <w:szCs w:val="24"/>
        </w:rPr>
        <w:t>Faaliyet Bölümlerine Göre Mali Tablo Analizi: Bir Holding Örneği</w:t>
      </w:r>
    </w:p>
    <w:p w14:paraId="4C9E651C" w14:textId="120A946C" w:rsidR="00431039" w:rsidRPr="00DB0DEF" w:rsidRDefault="00431039" w:rsidP="00D40ACF">
      <w:pPr>
        <w:spacing w:after="120"/>
        <w:ind w:firstLine="426"/>
        <w:contextualSpacing/>
        <w:jc w:val="center"/>
        <w:rPr>
          <w:rFonts w:ascii="Times New Roman" w:hAnsi="Times New Roman" w:cs="Times New Roman"/>
          <w:i/>
          <w:iCs/>
          <w:sz w:val="24"/>
          <w:szCs w:val="24"/>
        </w:rPr>
      </w:pPr>
    </w:p>
    <w:p w14:paraId="3AECA31D" w14:textId="2ED58312" w:rsidR="00D8776F" w:rsidRPr="00DB0DEF" w:rsidRDefault="00D8776F" w:rsidP="00D40ACF">
      <w:pPr>
        <w:spacing w:after="120"/>
        <w:ind w:firstLine="426"/>
        <w:contextualSpacing/>
        <w:jc w:val="center"/>
        <w:rPr>
          <w:rFonts w:ascii="Times New Roman" w:hAnsi="Times New Roman" w:cs="Times New Roman"/>
          <w:i/>
          <w:iCs/>
          <w:sz w:val="24"/>
          <w:szCs w:val="24"/>
        </w:rPr>
      </w:pPr>
      <w:r w:rsidRPr="00DB0DEF">
        <w:rPr>
          <w:rFonts w:ascii="Times New Roman" w:hAnsi="Times New Roman" w:cs="Times New Roman"/>
          <w:i/>
          <w:iCs/>
          <w:sz w:val="24"/>
          <w:szCs w:val="24"/>
        </w:rPr>
        <w:t>Financial statement analysis of operating segments in the scope of TFRS 8: A Holdıng Example</w:t>
      </w:r>
    </w:p>
    <w:p w14:paraId="6AD57AB1" w14:textId="046EDA7D" w:rsidR="00431039" w:rsidRPr="00DB0DEF" w:rsidRDefault="00431039" w:rsidP="00431039">
      <w:pPr>
        <w:spacing w:after="120"/>
        <w:ind w:firstLine="426"/>
        <w:contextualSpacing/>
        <w:jc w:val="center"/>
        <w:rPr>
          <w:rFonts w:ascii="Times New Roman" w:hAnsi="Times New Roman" w:cs="Times New Roman"/>
          <w:sz w:val="24"/>
          <w:szCs w:val="24"/>
        </w:rPr>
      </w:pPr>
      <w:r w:rsidRPr="00DB0DEF">
        <w:rPr>
          <w:rFonts w:ascii="Times New Roman" w:hAnsi="Times New Roman" w:cs="Times New Roman"/>
          <w:sz w:val="24"/>
          <w:szCs w:val="24"/>
        </w:rPr>
        <w:t>Serkan YÜCEL</w:t>
      </w:r>
      <w:r w:rsidRPr="00DB0DEF">
        <w:rPr>
          <w:rStyle w:val="DipnotBavurusu"/>
          <w:rFonts w:ascii="Times New Roman" w:hAnsi="Times New Roman" w:cs="Times New Roman"/>
          <w:sz w:val="24"/>
          <w:szCs w:val="24"/>
        </w:rPr>
        <w:footnoteReference w:id="1"/>
      </w:r>
    </w:p>
    <w:p w14:paraId="2F8D987D" w14:textId="62216F4F" w:rsidR="00067219" w:rsidRPr="00DB0DEF" w:rsidRDefault="00067219" w:rsidP="00D40ACF">
      <w:pPr>
        <w:pStyle w:val="Balk1"/>
        <w:tabs>
          <w:tab w:val="clear" w:pos="709"/>
        </w:tabs>
        <w:spacing w:before="0" w:after="120" w:line="276" w:lineRule="auto"/>
        <w:ind w:left="0" w:firstLine="426"/>
        <w:contextualSpacing/>
        <w:jc w:val="center"/>
        <w:rPr>
          <w:rFonts w:cs="Times New Roman"/>
          <w:sz w:val="20"/>
          <w:szCs w:val="20"/>
        </w:rPr>
      </w:pPr>
      <w:r w:rsidRPr="00DB0DEF">
        <w:rPr>
          <w:rFonts w:cs="Times New Roman"/>
          <w:sz w:val="20"/>
          <w:szCs w:val="20"/>
        </w:rPr>
        <w:t>ÖZ</w:t>
      </w:r>
    </w:p>
    <w:p w14:paraId="75412CBB" w14:textId="50121597" w:rsidR="003E3563" w:rsidRPr="00DB0DEF" w:rsidRDefault="003E3563" w:rsidP="00D40ACF">
      <w:pPr>
        <w:spacing w:after="120"/>
        <w:ind w:firstLine="426"/>
        <w:contextualSpacing/>
        <w:jc w:val="both"/>
        <w:rPr>
          <w:rFonts w:ascii="Times New Roman" w:hAnsi="Times New Roman" w:cs="Times New Roman"/>
          <w:sz w:val="18"/>
          <w:szCs w:val="18"/>
        </w:rPr>
      </w:pPr>
      <w:r w:rsidRPr="00DB0DEF">
        <w:rPr>
          <w:rFonts w:ascii="Times New Roman" w:hAnsi="Times New Roman" w:cs="Times New Roman"/>
          <w:sz w:val="18"/>
          <w:szCs w:val="18"/>
        </w:rPr>
        <w:t>Bu çalışmanın amacı TFRS</w:t>
      </w:r>
      <w:r w:rsidR="00CA143C" w:rsidRPr="00DB0DEF">
        <w:rPr>
          <w:rFonts w:ascii="Times New Roman" w:hAnsi="Times New Roman" w:cs="Times New Roman"/>
          <w:sz w:val="18"/>
          <w:szCs w:val="18"/>
        </w:rPr>
        <w:t xml:space="preserve"> 8</w:t>
      </w:r>
      <w:r w:rsidRPr="00DB0DEF">
        <w:rPr>
          <w:rFonts w:ascii="Times New Roman" w:hAnsi="Times New Roman" w:cs="Times New Roman"/>
          <w:sz w:val="18"/>
          <w:szCs w:val="18"/>
        </w:rPr>
        <w:t xml:space="preserve"> </w:t>
      </w:r>
      <w:r w:rsidR="00CA143C" w:rsidRPr="00DB0DEF">
        <w:rPr>
          <w:rFonts w:ascii="Times New Roman" w:hAnsi="Times New Roman" w:cs="Times New Roman"/>
          <w:sz w:val="18"/>
          <w:szCs w:val="18"/>
        </w:rPr>
        <w:t>“</w:t>
      </w:r>
      <w:r w:rsidRPr="00DB0DEF">
        <w:rPr>
          <w:rFonts w:ascii="Times New Roman" w:hAnsi="Times New Roman" w:cs="Times New Roman"/>
          <w:sz w:val="18"/>
          <w:szCs w:val="18"/>
        </w:rPr>
        <w:t>Faaliyet Bölümleri Standardı</w:t>
      </w:r>
      <w:r w:rsidR="00CA143C" w:rsidRPr="00DB0DEF">
        <w:rPr>
          <w:rFonts w:ascii="Times New Roman" w:hAnsi="Times New Roman" w:cs="Times New Roman"/>
          <w:sz w:val="18"/>
          <w:szCs w:val="18"/>
        </w:rPr>
        <w:t>”</w:t>
      </w:r>
      <w:r w:rsidRPr="00DB0DEF">
        <w:rPr>
          <w:rFonts w:ascii="Times New Roman" w:hAnsi="Times New Roman" w:cs="Times New Roman"/>
          <w:sz w:val="18"/>
          <w:szCs w:val="18"/>
        </w:rPr>
        <w:t xml:space="preserve"> hükümlerine göre raporlama yapan bir işletmenin faaliyet bölümleri bazında mali tablo analizinin ne ölçüde yapılabileceğini ortaya koymaktadır. Bu amaçla BİST’de işlem gören Holdinglerden TFRS 8 hükümlerine göre faaliyet bölümü açıklamaları mali tablo analizine en uygun olanı seçilmiş ve </w:t>
      </w:r>
      <w:r w:rsidR="007C4970" w:rsidRPr="00DB0DEF">
        <w:rPr>
          <w:rFonts w:ascii="Times New Roman" w:hAnsi="Times New Roman" w:cs="Times New Roman"/>
          <w:sz w:val="18"/>
          <w:szCs w:val="18"/>
        </w:rPr>
        <w:t xml:space="preserve">Konsolide Finansal Tablolar ve Bağımsız Denetim Raporlarından </w:t>
      </w:r>
      <w:r w:rsidRPr="00DB0DEF">
        <w:rPr>
          <w:rFonts w:ascii="Times New Roman" w:hAnsi="Times New Roman" w:cs="Times New Roman"/>
          <w:sz w:val="18"/>
          <w:szCs w:val="18"/>
        </w:rPr>
        <w:t>elde edilen bilgiler yardımı ile mali tablo analizleri yapılmıştır.</w:t>
      </w:r>
      <w:r w:rsidR="007C4970" w:rsidRPr="00DB0DEF">
        <w:rPr>
          <w:rFonts w:ascii="Times New Roman" w:hAnsi="Times New Roman" w:cs="Times New Roman"/>
          <w:sz w:val="18"/>
          <w:szCs w:val="18"/>
        </w:rPr>
        <w:t xml:space="preserve"> Çalışmanın sonucunda faaliyet bölümlerine göre mali tablo analizi yapılabileceği anlaşılmıştır. Ancak TFRS 8  Faaliyet Bölümleri Standardı” hükümlerine göre raporlama yapan işletme sayısının az olması, TFRS 8’i uygulayan işletmelerin de yeterli düzeyde finansal bilgiyi faaliyet bölümleri bazında raporlamaması nedeniyle Türkiye’de faaliyet bölümlerine göre mali tablo analizi yapılabilecek işletme sayısının çok az olduğu görülmüştür.</w:t>
      </w:r>
    </w:p>
    <w:p w14:paraId="60D329B4" w14:textId="77777777" w:rsidR="00D8776F" w:rsidRPr="00DB0DEF" w:rsidRDefault="00D8776F" w:rsidP="00D40ACF">
      <w:pPr>
        <w:spacing w:after="120"/>
        <w:ind w:firstLine="426"/>
        <w:contextualSpacing/>
        <w:jc w:val="both"/>
        <w:rPr>
          <w:rFonts w:ascii="Times New Roman" w:hAnsi="Times New Roman" w:cs="Times New Roman"/>
          <w:sz w:val="18"/>
          <w:szCs w:val="18"/>
        </w:rPr>
      </w:pPr>
    </w:p>
    <w:p w14:paraId="07931300" w14:textId="034E08D6" w:rsidR="00D9649D" w:rsidRPr="00DB0DEF" w:rsidRDefault="00067219" w:rsidP="00D40ACF">
      <w:pPr>
        <w:spacing w:after="120"/>
        <w:ind w:firstLine="426"/>
        <w:contextualSpacing/>
        <w:jc w:val="center"/>
        <w:rPr>
          <w:rFonts w:ascii="Times New Roman" w:hAnsi="Times New Roman" w:cs="Times New Roman"/>
          <w:sz w:val="18"/>
          <w:szCs w:val="18"/>
        </w:rPr>
      </w:pPr>
      <w:r w:rsidRPr="00DB0DEF">
        <w:rPr>
          <w:rFonts w:ascii="Times New Roman" w:hAnsi="Times New Roman" w:cs="Times New Roman"/>
          <w:b/>
          <w:bCs/>
          <w:sz w:val="18"/>
          <w:szCs w:val="18"/>
        </w:rPr>
        <w:t>Anahtar Kelimeler</w:t>
      </w:r>
      <w:r w:rsidR="003E3563" w:rsidRPr="00DB0DEF">
        <w:rPr>
          <w:rFonts w:ascii="Times New Roman" w:hAnsi="Times New Roman" w:cs="Times New Roman"/>
          <w:b/>
          <w:bCs/>
          <w:sz w:val="18"/>
          <w:szCs w:val="18"/>
        </w:rPr>
        <w:t>:</w:t>
      </w:r>
    </w:p>
    <w:p w14:paraId="02CFC5CE" w14:textId="4746F0DC" w:rsidR="00067219" w:rsidRPr="00DB0DEF" w:rsidRDefault="003E3563" w:rsidP="00D40ACF">
      <w:pPr>
        <w:spacing w:after="120"/>
        <w:ind w:firstLine="426"/>
        <w:contextualSpacing/>
        <w:jc w:val="center"/>
        <w:rPr>
          <w:rFonts w:ascii="Times New Roman" w:hAnsi="Times New Roman" w:cs="Times New Roman"/>
          <w:sz w:val="18"/>
          <w:szCs w:val="18"/>
        </w:rPr>
      </w:pPr>
      <w:r w:rsidRPr="00DB0DEF">
        <w:rPr>
          <w:rFonts w:ascii="Times New Roman" w:hAnsi="Times New Roman" w:cs="Times New Roman"/>
          <w:sz w:val="18"/>
          <w:szCs w:val="18"/>
        </w:rPr>
        <w:t>TFRS 8 Faaliyet Bölümleri Standardı, Mali Tablo Analizi, TOPSİS</w:t>
      </w:r>
    </w:p>
    <w:p w14:paraId="7ECFE166" w14:textId="4B840609" w:rsidR="00B01151" w:rsidRPr="00DB0DEF" w:rsidRDefault="00B01151" w:rsidP="00D40ACF">
      <w:pPr>
        <w:spacing w:after="120"/>
        <w:ind w:firstLine="426"/>
        <w:contextualSpacing/>
        <w:rPr>
          <w:rFonts w:ascii="Times New Roman" w:hAnsi="Times New Roman" w:cs="Times New Roman"/>
          <w:sz w:val="18"/>
          <w:szCs w:val="18"/>
        </w:rPr>
      </w:pPr>
      <w:r w:rsidRPr="00DB0DEF">
        <w:rPr>
          <w:rFonts w:ascii="Times New Roman" w:hAnsi="Times New Roman" w:cs="Times New Roman"/>
          <w:b/>
          <w:bCs/>
          <w:sz w:val="18"/>
          <w:szCs w:val="18"/>
        </w:rPr>
        <w:t xml:space="preserve">Jel Sınıflandırması: </w:t>
      </w:r>
      <w:r w:rsidRPr="00DB0DEF">
        <w:rPr>
          <w:rFonts w:ascii="Times New Roman" w:hAnsi="Times New Roman" w:cs="Times New Roman"/>
          <w:sz w:val="18"/>
          <w:szCs w:val="18"/>
        </w:rPr>
        <w:t>M40, M49</w:t>
      </w:r>
    </w:p>
    <w:p w14:paraId="0BE92A36" w14:textId="2E5242E3" w:rsidR="00067219" w:rsidRPr="00DB0DEF" w:rsidRDefault="00067219" w:rsidP="00D40ACF">
      <w:pPr>
        <w:pStyle w:val="Balk1"/>
        <w:tabs>
          <w:tab w:val="clear" w:pos="709"/>
        </w:tabs>
        <w:spacing w:before="0" w:after="120" w:line="276" w:lineRule="auto"/>
        <w:ind w:left="0" w:firstLine="426"/>
        <w:contextualSpacing/>
        <w:jc w:val="center"/>
        <w:rPr>
          <w:rFonts w:cs="Times New Roman"/>
          <w:b w:val="0"/>
          <w:bCs w:val="0"/>
          <w:sz w:val="20"/>
          <w:szCs w:val="20"/>
        </w:rPr>
      </w:pPr>
      <w:r w:rsidRPr="00DB0DEF">
        <w:rPr>
          <w:rFonts w:cs="Times New Roman"/>
          <w:sz w:val="20"/>
          <w:szCs w:val="20"/>
        </w:rPr>
        <w:t>ABSTRACT</w:t>
      </w:r>
    </w:p>
    <w:p w14:paraId="2A999A40" w14:textId="22656E86" w:rsidR="00165DA1" w:rsidRPr="00DB0DEF" w:rsidRDefault="004A7F0C" w:rsidP="00D40ACF">
      <w:pPr>
        <w:spacing w:after="120"/>
        <w:ind w:firstLine="426"/>
        <w:contextualSpacing/>
        <w:jc w:val="both"/>
        <w:rPr>
          <w:rFonts w:ascii="Times New Roman" w:hAnsi="Times New Roman" w:cs="Times New Roman"/>
          <w:sz w:val="18"/>
          <w:szCs w:val="18"/>
        </w:rPr>
      </w:pPr>
      <w:r w:rsidRPr="00DB0DEF">
        <w:rPr>
          <w:rFonts w:ascii="Times New Roman" w:hAnsi="Times New Roman" w:cs="Times New Roman"/>
          <w:sz w:val="18"/>
          <w:szCs w:val="18"/>
        </w:rPr>
        <w:t xml:space="preserve">The purpose of this study is to determine whether it is possible to make financial statement analysis </w:t>
      </w:r>
      <w:r w:rsidR="00EB52A2" w:rsidRPr="00DB0DEF">
        <w:rPr>
          <w:rFonts w:ascii="Times New Roman" w:hAnsi="Times New Roman" w:cs="Times New Roman"/>
          <w:sz w:val="18"/>
          <w:szCs w:val="18"/>
        </w:rPr>
        <w:t xml:space="preserve">based on </w:t>
      </w:r>
      <w:r w:rsidRPr="00DB0DEF">
        <w:rPr>
          <w:rFonts w:ascii="Times New Roman" w:hAnsi="Times New Roman" w:cs="Times New Roman"/>
          <w:sz w:val="18"/>
          <w:szCs w:val="18"/>
        </w:rPr>
        <w:t xml:space="preserve">operating segments of an enterprise reporting in accordance with the provisions of IFRS 8 “Operating Segments Standard”. For this purpose, among the holdings traded in the BIST, the holding that is most suitable for the financial statement analysis according to the provisions of IFRS 8 was selected. Financial statement analyzes were made with the help of the information obtained from the Consolidated Financial Statements and Independent Audit Reports of this holding. As a result of the study, it has been understood that financial statement analysis can be made according to the basis of operating segments. However, in Turkey, the number of businesses that can analyze financial statements based on operating segments is low. </w:t>
      </w:r>
      <w:r w:rsidR="00EB52A2" w:rsidRPr="00DB0DEF">
        <w:rPr>
          <w:rFonts w:ascii="Times New Roman" w:hAnsi="Times New Roman" w:cs="Times New Roman"/>
          <w:sz w:val="18"/>
          <w:szCs w:val="18"/>
        </w:rPr>
        <w:t>Because the number of companies reporting according to IFRS 8 Operating Segments Standard is very few in Turkey</w:t>
      </w:r>
      <w:r w:rsidRPr="00DB0DEF">
        <w:rPr>
          <w:rFonts w:ascii="Times New Roman" w:hAnsi="Times New Roman" w:cs="Times New Roman"/>
          <w:sz w:val="18"/>
          <w:szCs w:val="18"/>
        </w:rPr>
        <w:t>. In addition, the majority of businesses reporting according to IFRS 8 do not report sufficient financial information on the basis of operating segments.</w:t>
      </w:r>
    </w:p>
    <w:p w14:paraId="48417D23" w14:textId="66CDA4B4" w:rsidR="001218BB" w:rsidRPr="00DB0DEF" w:rsidRDefault="00067219" w:rsidP="00D40ACF">
      <w:pPr>
        <w:pStyle w:val="Balk1"/>
        <w:tabs>
          <w:tab w:val="clear" w:pos="709"/>
        </w:tabs>
        <w:spacing w:before="0" w:after="120" w:line="276" w:lineRule="auto"/>
        <w:ind w:left="0" w:firstLine="426"/>
        <w:contextualSpacing/>
        <w:jc w:val="both"/>
        <w:rPr>
          <w:rFonts w:cs="Times New Roman"/>
          <w:b w:val="0"/>
          <w:bCs w:val="0"/>
          <w:sz w:val="18"/>
          <w:szCs w:val="18"/>
        </w:rPr>
      </w:pPr>
      <w:r w:rsidRPr="00DB0DEF">
        <w:rPr>
          <w:rFonts w:cs="Times New Roman"/>
          <w:sz w:val="18"/>
          <w:szCs w:val="18"/>
        </w:rPr>
        <w:t>Key Words</w:t>
      </w:r>
      <w:r w:rsidR="001218BB" w:rsidRPr="00DB0DEF">
        <w:rPr>
          <w:rFonts w:cs="Times New Roman"/>
          <w:sz w:val="18"/>
          <w:szCs w:val="18"/>
        </w:rPr>
        <w:t>:</w:t>
      </w:r>
      <w:r w:rsidR="001218BB" w:rsidRPr="00DB0DEF">
        <w:rPr>
          <w:rFonts w:cs="Times New Roman"/>
          <w:b w:val="0"/>
          <w:bCs w:val="0"/>
          <w:sz w:val="18"/>
          <w:szCs w:val="18"/>
        </w:rPr>
        <w:t xml:space="preserve"> IFRS 8 Operating Segments Standard,</w:t>
      </w:r>
      <w:r w:rsidR="001218BB" w:rsidRPr="00DB0DEF">
        <w:rPr>
          <w:rFonts w:cs="Times New Roman"/>
          <w:sz w:val="18"/>
          <w:szCs w:val="18"/>
        </w:rPr>
        <w:t xml:space="preserve"> </w:t>
      </w:r>
      <w:r w:rsidR="001218BB" w:rsidRPr="00DB0DEF">
        <w:rPr>
          <w:rFonts w:cs="Times New Roman"/>
          <w:b w:val="0"/>
          <w:bCs w:val="0"/>
          <w:sz w:val="18"/>
          <w:szCs w:val="18"/>
        </w:rPr>
        <w:t>Financial Statement Analysis, TOPSİS</w:t>
      </w:r>
    </w:p>
    <w:p w14:paraId="7A34893E" w14:textId="404F921B" w:rsidR="005C50FC" w:rsidRPr="00DB0DEF" w:rsidRDefault="00B01151" w:rsidP="00D40ACF">
      <w:pPr>
        <w:spacing w:after="120"/>
        <w:ind w:firstLine="426"/>
        <w:contextualSpacing/>
        <w:rPr>
          <w:rFonts w:ascii="Times New Roman" w:hAnsi="Times New Roman" w:cs="Times New Roman"/>
          <w:sz w:val="18"/>
          <w:szCs w:val="18"/>
        </w:rPr>
      </w:pPr>
      <w:r w:rsidRPr="00DB0DEF">
        <w:rPr>
          <w:rFonts w:ascii="Times New Roman" w:hAnsi="Times New Roman" w:cs="Times New Roman"/>
          <w:b/>
          <w:bCs/>
          <w:sz w:val="18"/>
          <w:szCs w:val="18"/>
        </w:rPr>
        <w:t>Jel Classification:</w:t>
      </w:r>
      <w:r w:rsidRPr="00DB0DEF">
        <w:rPr>
          <w:rFonts w:ascii="Times New Roman" w:hAnsi="Times New Roman" w:cs="Times New Roman"/>
          <w:sz w:val="18"/>
          <w:szCs w:val="18"/>
        </w:rPr>
        <w:t xml:space="preserve"> M40, M49</w:t>
      </w:r>
    </w:p>
    <w:p w14:paraId="690E1F1D" w14:textId="591B5CB3" w:rsidR="00067219" w:rsidRPr="00DB0DEF" w:rsidRDefault="006C3477" w:rsidP="00D40ACF">
      <w:pPr>
        <w:pStyle w:val="Balk1"/>
        <w:numPr>
          <w:ilvl w:val="0"/>
          <w:numId w:val="2"/>
        </w:numPr>
        <w:spacing w:before="0" w:after="120" w:line="276" w:lineRule="auto"/>
        <w:ind w:left="0" w:firstLine="426"/>
        <w:contextualSpacing/>
        <w:rPr>
          <w:rFonts w:cs="Times New Roman"/>
          <w:sz w:val="22"/>
          <w:szCs w:val="22"/>
        </w:rPr>
      </w:pPr>
      <w:r w:rsidRPr="00DB0DEF">
        <w:rPr>
          <w:rFonts w:cs="Times New Roman"/>
          <w:sz w:val="22"/>
          <w:szCs w:val="22"/>
        </w:rPr>
        <w:t>GİRİŞ</w:t>
      </w:r>
    </w:p>
    <w:p w14:paraId="58446AB6" w14:textId="2D0D9AAD" w:rsidR="00067219" w:rsidRPr="00DB0DEF" w:rsidRDefault="00B23FC3" w:rsidP="003B2352">
      <w:pPr>
        <w:spacing w:before="120" w:after="120"/>
        <w:ind w:firstLine="425"/>
        <w:jc w:val="both"/>
        <w:rPr>
          <w:rFonts w:ascii="Times New Roman" w:hAnsi="Times New Roman" w:cs="Times New Roman"/>
        </w:rPr>
      </w:pPr>
      <w:r w:rsidRPr="00DB0DEF">
        <w:rPr>
          <w:rFonts w:ascii="Times New Roman" w:hAnsi="Times New Roman" w:cs="Times New Roman"/>
        </w:rPr>
        <w:t>Modern çağda</w:t>
      </w:r>
      <w:r w:rsidR="003239D9" w:rsidRPr="00DB0DEF">
        <w:rPr>
          <w:rFonts w:ascii="Times New Roman" w:hAnsi="Times New Roman" w:cs="Times New Roman"/>
        </w:rPr>
        <w:t xml:space="preserve"> işletmeler </w:t>
      </w:r>
      <w:r w:rsidRPr="00DB0DEF">
        <w:rPr>
          <w:rFonts w:ascii="Times New Roman" w:hAnsi="Times New Roman" w:cs="Times New Roman"/>
        </w:rPr>
        <w:t xml:space="preserve">büyüme, </w:t>
      </w:r>
      <w:r w:rsidR="003239D9" w:rsidRPr="00DB0DEF">
        <w:rPr>
          <w:rFonts w:ascii="Times New Roman" w:hAnsi="Times New Roman" w:cs="Times New Roman"/>
        </w:rPr>
        <w:t>kârlılı</w:t>
      </w:r>
      <w:r w:rsidRPr="00DB0DEF">
        <w:rPr>
          <w:rFonts w:ascii="Times New Roman" w:hAnsi="Times New Roman" w:cs="Times New Roman"/>
        </w:rPr>
        <w:t xml:space="preserve">ğı artırmak </w:t>
      </w:r>
      <w:r w:rsidR="003239D9" w:rsidRPr="00DB0DEF">
        <w:rPr>
          <w:rFonts w:ascii="Times New Roman" w:hAnsi="Times New Roman" w:cs="Times New Roman"/>
        </w:rPr>
        <w:t>ve riskler</w:t>
      </w:r>
      <w:r w:rsidRPr="00DB0DEF">
        <w:rPr>
          <w:rFonts w:ascii="Times New Roman" w:hAnsi="Times New Roman" w:cs="Times New Roman"/>
        </w:rPr>
        <w:t>i</w:t>
      </w:r>
      <w:r w:rsidR="003239D9" w:rsidRPr="00DB0DEF">
        <w:rPr>
          <w:rFonts w:ascii="Times New Roman" w:hAnsi="Times New Roman" w:cs="Times New Roman"/>
        </w:rPr>
        <w:t xml:space="preserve"> </w:t>
      </w:r>
      <w:r w:rsidRPr="00DB0DEF">
        <w:rPr>
          <w:rFonts w:ascii="Times New Roman" w:hAnsi="Times New Roman" w:cs="Times New Roman"/>
        </w:rPr>
        <w:t>azaltmak için farklı</w:t>
      </w:r>
      <w:r w:rsidR="003239D9" w:rsidRPr="00DB0DEF">
        <w:rPr>
          <w:rFonts w:ascii="Times New Roman" w:hAnsi="Times New Roman" w:cs="Times New Roman"/>
        </w:rPr>
        <w:t xml:space="preserve"> sektör veya coğrafi bölgelerde faaliyet göstermektedir. </w:t>
      </w:r>
      <w:r w:rsidRPr="00DB0DEF">
        <w:rPr>
          <w:rFonts w:ascii="Times New Roman" w:hAnsi="Times New Roman" w:cs="Times New Roman"/>
        </w:rPr>
        <w:t>İşletmelerin</w:t>
      </w:r>
      <w:r w:rsidR="003239D9" w:rsidRPr="00DB0DEF">
        <w:rPr>
          <w:rFonts w:ascii="Times New Roman" w:hAnsi="Times New Roman" w:cs="Times New Roman"/>
        </w:rPr>
        <w:t xml:space="preserve"> farklı </w:t>
      </w:r>
      <w:r w:rsidRPr="00DB0DEF">
        <w:rPr>
          <w:rFonts w:ascii="Times New Roman" w:hAnsi="Times New Roman" w:cs="Times New Roman"/>
        </w:rPr>
        <w:t>faaliyet alanları</w:t>
      </w:r>
      <w:r w:rsidR="003239D9" w:rsidRPr="00DB0DEF">
        <w:rPr>
          <w:rFonts w:ascii="Times New Roman" w:hAnsi="Times New Roman" w:cs="Times New Roman"/>
        </w:rPr>
        <w:t xml:space="preserve"> ve coğrafi bölgelerdeki faaliyetleri </w:t>
      </w:r>
      <w:r w:rsidRPr="00DB0DEF">
        <w:rPr>
          <w:rFonts w:ascii="Times New Roman" w:hAnsi="Times New Roman" w:cs="Times New Roman"/>
        </w:rPr>
        <w:t>ile ilgili</w:t>
      </w:r>
      <w:r w:rsidR="003239D9" w:rsidRPr="00DB0DEF">
        <w:rPr>
          <w:rFonts w:ascii="Times New Roman" w:hAnsi="Times New Roman" w:cs="Times New Roman"/>
        </w:rPr>
        <w:t xml:space="preserve"> bilgiler, işletmeye ait risk ve getirilerin doğru değerlendirilmesi </w:t>
      </w:r>
      <w:r w:rsidRPr="00DB0DEF">
        <w:rPr>
          <w:rFonts w:ascii="Times New Roman" w:hAnsi="Times New Roman" w:cs="Times New Roman"/>
        </w:rPr>
        <w:t>için önem taşımaktadır</w:t>
      </w:r>
      <w:r w:rsidR="003239D9" w:rsidRPr="00DB0DEF">
        <w:rPr>
          <w:rFonts w:ascii="Times New Roman" w:hAnsi="Times New Roman" w:cs="Times New Roman"/>
        </w:rPr>
        <w:t xml:space="preserve">. İşletmelerin </w:t>
      </w:r>
      <w:r w:rsidRPr="00DB0DEF">
        <w:rPr>
          <w:rFonts w:ascii="Times New Roman" w:hAnsi="Times New Roman" w:cs="Times New Roman"/>
        </w:rPr>
        <w:t xml:space="preserve">ürettikleri </w:t>
      </w:r>
      <w:r w:rsidR="003239D9" w:rsidRPr="00DB0DEF">
        <w:rPr>
          <w:rFonts w:ascii="Times New Roman" w:hAnsi="Times New Roman" w:cs="Times New Roman"/>
        </w:rPr>
        <w:t xml:space="preserve">farklı tür mal ve hizmetler </w:t>
      </w:r>
      <w:r w:rsidRPr="00DB0DEF">
        <w:rPr>
          <w:rFonts w:ascii="Times New Roman" w:hAnsi="Times New Roman" w:cs="Times New Roman"/>
        </w:rPr>
        <w:t>ile</w:t>
      </w:r>
      <w:r w:rsidR="003239D9" w:rsidRPr="00DB0DEF">
        <w:rPr>
          <w:rFonts w:ascii="Times New Roman" w:hAnsi="Times New Roman" w:cs="Times New Roman"/>
        </w:rPr>
        <w:t xml:space="preserve"> farklı coğrafi alanlarda</w:t>
      </w:r>
      <w:r w:rsidRPr="00DB0DEF">
        <w:rPr>
          <w:rFonts w:ascii="Times New Roman" w:hAnsi="Times New Roman" w:cs="Times New Roman"/>
        </w:rPr>
        <w:t>ki faaliyetlerinin</w:t>
      </w:r>
      <w:r w:rsidR="003239D9" w:rsidRPr="00DB0DEF">
        <w:rPr>
          <w:rFonts w:ascii="Times New Roman" w:hAnsi="Times New Roman" w:cs="Times New Roman"/>
        </w:rPr>
        <w:t>, finansal bilgi kullanıcıların</w:t>
      </w:r>
      <w:r w:rsidR="00EB52A2" w:rsidRPr="00DB0DEF">
        <w:rPr>
          <w:rFonts w:ascii="Times New Roman" w:hAnsi="Times New Roman" w:cs="Times New Roman"/>
        </w:rPr>
        <w:t>ın</w:t>
      </w:r>
      <w:r w:rsidR="003239D9" w:rsidRPr="00DB0DEF">
        <w:rPr>
          <w:rFonts w:ascii="Times New Roman" w:hAnsi="Times New Roman" w:cs="Times New Roman"/>
        </w:rPr>
        <w:t xml:space="preserve"> ihtiyacını karşılayacak şekilde </w:t>
      </w:r>
      <w:r w:rsidRPr="00DB0DEF">
        <w:rPr>
          <w:rFonts w:ascii="Times New Roman" w:hAnsi="Times New Roman" w:cs="Times New Roman"/>
        </w:rPr>
        <w:t>sunulması yani</w:t>
      </w:r>
      <w:r w:rsidR="003239D9" w:rsidRPr="00DB0DEF">
        <w:rPr>
          <w:rFonts w:ascii="Times New Roman" w:hAnsi="Times New Roman" w:cs="Times New Roman"/>
        </w:rPr>
        <w:t xml:space="preserve"> işletme faaliyetlerinin bölümsel olarak raporlamasını </w:t>
      </w:r>
      <w:r w:rsidRPr="00DB0DEF">
        <w:rPr>
          <w:rFonts w:ascii="Times New Roman" w:hAnsi="Times New Roman" w:cs="Times New Roman"/>
        </w:rPr>
        <w:t>gereklidir</w:t>
      </w:r>
      <w:r w:rsidR="003239D9" w:rsidRPr="00DB0DEF">
        <w:rPr>
          <w:rFonts w:ascii="Times New Roman" w:hAnsi="Times New Roman" w:cs="Times New Roman"/>
        </w:rPr>
        <w:t xml:space="preserve"> </w:t>
      </w:r>
      <w:r w:rsidR="003239D9" w:rsidRPr="00DB0DEF">
        <w:rPr>
          <w:rFonts w:ascii="Times New Roman" w:hAnsi="Times New Roman" w:cs="Times New Roman"/>
        </w:rPr>
        <w:fldChar w:fldCharType="begin" w:fldLock="1"/>
      </w:r>
      <w:r w:rsidR="005D7C5D" w:rsidRPr="00DB0DEF">
        <w:rPr>
          <w:rFonts w:ascii="Times New Roman" w:hAnsi="Times New Roman" w:cs="Times New Roman"/>
        </w:rPr>
        <w:instrText>ADDIN CSL_CITATION {"citationItems":[{"id":"ITEM-1","itemData":{"author":[{"dropping-particle":"","family":"Güler","given":"Yasin","non-dropping-particle":"","parse-names":false,"suffix":""},{"dropping-particle":"","family":"Alagöz","given":"Ali","non-dropping-particle":"","parse-names":false,"suffix":""}],"container-title":"Al-Farabi International Journal on Social Sciences","id":"ITEM-1","issue":"4","issued":{"date-parts":[["2019"]]},"page":"41-55","title":"Faaliyet Bölümleri Standardının (TFRS 8) Futbol Kulüplerinde Uygulanabilirligi: Fenerbahçe Spor Kulübü Örneği","type":"article-journal","volume":"3"},"uris":["http://www.mendeley.com/documents/?uuid=1b5200c8-1fed-481f-9175-4e9fdefb9a2e"]}],"mendeley":{"formattedCitation":"(Güler &amp; Alagöz, 2019b)","manualFormatting":"(Güler ve  Alagöz, 2019: 42)","plainTextFormattedCitation":"(Güler &amp; Alagöz, 2019b)","previouslyFormattedCitation":"(Güler &amp; Alagöz, 2019b)"},"properties":{"noteIndex":0},"schema":"https://github.com/citation-style-language/schema/raw/master/csl-citation.json"}</w:instrText>
      </w:r>
      <w:r w:rsidR="003239D9" w:rsidRPr="00DB0DEF">
        <w:rPr>
          <w:rFonts w:ascii="Times New Roman" w:hAnsi="Times New Roman" w:cs="Times New Roman"/>
        </w:rPr>
        <w:fldChar w:fldCharType="separate"/>
      </w:r>
      <w:r w:rsidR="003239D9" w:rsidRPr="00DB0DEF">
        <w:rPr>
          <w:rFonts w:ascii="Times New Roman" w:hAnsi="Times New Roman" w:cs="Times New Roman"/>
        </w:rPr>
        <w:t xml:space="preserve">(Güler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3239D9" w:rsidRPr="00DB0DEF">
        <w:rPr>
          <w:rFonts w:ascii="Times New Roman" w:hAnsi="Times New Roman" w:cs="Times New Roman"/>
        </w:rPr>
        <w:t xml:space="preserve"> Alagöz</w:t>
      </w:r>
      <w:r w:rsidR="00031872" w:rsidRPr="00DB0DEF">
        <w:rPr>
          <w:rFonts w:ascii="Times New Roman" w:hAnsi="Times New Roman" w:cs="Times New Roman"/>
        </w:rPr>
        <w:t xml:space="preserve">, </w:t>
      </w:r>
      <w:r w:rsidR="003239D9" w:rsidRPr="00DB0DEF">
        <w:rPr>
          <w:rFonts w:ascii="Times New Roman" w:hAnsi="Times New Roman" w:cs="Times New Roman"/>
        </w:rPr>
        <w:t>2019: 42)</w:t>
      </w:r>
      <w:r w:rsidR="003239D9" w:rsidRPr="00DB0DEF">
        <w:rPr>
          <w:rFonts w:ascii="Times New Roman" w:hAnsi="Times New Roman" w:cs="Times New Roman"/>
        </w:rPr>
        <w:fldChar w:fldCharType="end"/>
      </w:r>
      <w:r w:rsidR="00031872" w:rsidRPr="00DB0DEF">
        <w:rPr>
          <w:rFonts w:ascii="Times New Roman" w:hAnsi="Times New Roman" w:cs="Times New Roman"/>
        </w:rPr>
        <w:t>.</w:t>
      </w:r>
    </w:p>
    <w:p w14:paraId="2F5014DD" w14:textId="47013FD6" w:rsidR="00031872" w:rsidRPr="00DB0DEF" w:rsidRDefault="00031872" w:rsidP="003B2352">
      <w:pPr>
        <w:spacing w:before="120" w:after="120"/>
        <w:ind w:firstLine="425"/>
        <w:jc w:val="both"/>
        <w:rPr>
          <w:rFonts w:ascii="Times New Roman" w:hAnsi="Times New Roman" w:cs="Times New Roman"/>
        </w:rPr>
      </w:pPr>
      <w:r w:rsidRPr="00DB0DEF">
        <w:rPr>
          <w:rFonts w:ascii="Times New Roman" w:hAnsi="Times New Roman" w:cs="Times New Roman"/>
        </w:rPr>
        <w:t xml:space="preserve">Bu sunumu </w:t>
      </w:r>
      <w:r w:rsidR="00B23FC3" w:rsidRPr="00DB0DEF">
        <w:rPr>
          <w:rFonts w:ascii="Times New Roman" w:hAnsi="Times New Roman" w:cs="Times New Roman"/>
        </w:rPr>
        <w:t>gerektiren</w:t>
      </w:r>
      <w:r w:rsidRPr="00DB0DEF">
        <w:rPr>
          <w:rFonts w:ascii="Times New Roman" w:hAnsi="Times New Roman" w:cs="Times New Roman"/>
        </w:rPr>
        <w:t xml:space="preserve"> en önemli sebep farklı </w:t>
      </w:r>
      <w:r w:rsidR="00B23FC3" w:rsidRPr="00DB0DEF">
        <w:rPr>
          <w:rFonts w:ascii="Times New Roman" w:hAnsi="Times New Roman" w:cs="Times New Roman"/>
        </w:rPr>
        <w:t xml:space="preserve">alanlarda </w:t>
      </w:r>
      <w:r w:rsidRPr="00DB0DEF">
        <w:rPr>
          <w:rFonts w:ascii="Times New Roman" w:hAnsi="Times New Roman" w:cs="Times New Roman"/>
        </w:rPr>
        <w:t xml:space="preserve">ve </w:t>
      </w:r>
      <w:r w:rsidR="00B23FC3" w:rsidRPr="00DB0DEF">
        <w:rPr>
          <w:rFonts w:ascii="Times New Roman" w:hAnsi="Times New Roman" w:cs="Times New Roman"/>
        </w:rPr>
        <w:t>sektörlerde</w:t>
      </w:r>
      <w:r w:rsidRPr="00DB0DEF">
        <w:rPr>
          <w:rFonts w:ascii="Times New Roman" w:hAnsi="Times New Roman" w:cs="Times New Roman"/>
        </w:rPr>
        <w:t xml:space="preserve"> faaliyet gösteren işletmelerin oluşturduğu holdinglerin veya çok farklı faaliyet </w:t>
      </w:r>
      <w:r w:rsidR="00B23FC3" w:rsidRPr="00DB0DEF">
        <w:rPr>
          <w:rFonts w:ascii="Times New Roman" w:hAnsi="Times New Roman" w:cs="Times New Roman"/>
        </w:rPr>
        <w:t>konuları</w:t>
      </w:r>
      <w:r w:rsidRPr="00DB0DEF">
        <w:rPr>
          <w:rFonts w:ascii="Times New Roman" w:hAnsi="Times New Roman" w:cs="Times New Roman"/>
        </w:rPr>
        <w:t xml:space="preserve"> bulunan işletmelerin faaliyetlerinin </w:t>
      </w:r>
      <w:r w:rsidR="00B23FC3" w:rsidRPr="00DB0DEF">
        <w:rPr>
          <w:rFonts w:ascii="Times New Roman" w:hAnsi="Times New Roman" w:cs="Times New Roman"/>
        </w:rPr>
        <w:t>anlaşılabilmesi</w:t>
      </w:r>
      <w:r w:rsidRPr="00DB0DEF">
        <w:rPr>
          <w:rFonts w:ascii="Times New Roman" w:hAnsi="Times New Roman" w:cs="Times New Roman"/>
        </w:rPr>
        <w:t xml:space="preserve"> ve </w:t>
      </w:r>
      <w:r w:rsidR="00B23FC3" w:rsidRPr="00DB0DEF">
        <w:rPr>
          <w:rFonts w:ascii="Times New Roman" w:hAnsi="Times New Roman" w:cs="Times New Roman"/>
        </w:rPr>
        <w:t>mali yapılarının ve</w:t>
      </w:r>
      <w:r w:rsidRPr="00DB0DEF">
        <w:rPr>
          <w:rFonts w:ascii="Times New Roman" w:hAnsi="Times New Roman" w:cs="Times New Roman"/>
        </w:rPr>
        <w:t xml:space="preserve"> performanslarının analiz edilmesinin, diğer işletmelere göre </w:t>
      </w:r>
      <w:r w:rsidR="00B23FC3" w:rsidRPr="00DB0DEF">
        <w:rPr>
          <w:rFonts w:ascii="Times New Roman" w:hAnsi="Times New Roman" w:cs="Times New Roman"/>
        </w:rPr>
        <w:t xml:space="preserve">çok </w:t>
      </w:r>
      <w:r w:rsidRPr="00DB0DEF">
        <w:rPr>
          <w:rFonts w:ascii="Times New Roman" w:hAnsi="Times New Roman" w:cs="Times New Roman"/>
        </w:rPr>
        <w:t xml:space="preserve">daha zor olmasıdır </w:t>
      </w:r>
      <w:r w:rsidR="004D13AB" w:rsidRPr="00DB0DEF">
        <w:rPr>
          <w:rFonts w:ascii="Times New Roman" w:hAnsi="Times New Roman" w:cs="Times New Roman"/>
        </w:rPr>
        <w:fldChar w:fldCharType="begin" w:fldLock="1"/>
      </w:r>
      <w:r w:rsidR="00996826" w:rsidRPr="00DB0DEF">
        <w:rPr>
          <w:rFonts w:ascii="Times New Roman" w:hAnsi="Times New Roman" w:cs="Times New Roman"/>
        </w:rPr>
        <w:instrText>ADDIN CSL_CITATION {"citationItems":[{"id":"ITEM-1","itemData":{"ISBN":"0001551035","author":[{"dropping-particle":"","family":"Üçoğlu","given":"Derya","non-dropping-particle":"","parse-names":false,"suffix":""}],"container-title":"Muhasebe Bilim Dünyası Dergisi","id":"ITEM-1","issue":"3","issued":{"date-parts":[["2020"]]},"page":"506-528","title":"UFRS 8 FAALİYET BÖLÜMLERİ STANDARDI KAPSAMINDA BORSA İSTANBUL’DAKİ UYGULAMALARIN KARŞILAŞTIRMALI ANALİZİ","type":"article-journal","volume":"22"},"uris":["http://www.mendeley.com/documents/?uuid=51f0f76a-d889-4ab6-816b-587c0fa57149"]}],"mendeley":{"formattedCitation":"(Üçoğlu, 2020)","manualFormatting":"(Üçoğlu 2020","plainTextFormattedCitation":"(Üçoğlu, 2020)","previouslyFormattedCitation":"(Üçoğlu, 2020)"},"properties":{"noteIndex":0},"schema":"https://github.com/citation-style-language/schema/raw/master/csl-citation.json"}</w:instrText>
      </w:r>
      <w:r w:rsidR="004D13AB" w:rsidRPr="00DB0DEF">
        <w:rPr>
          <w:rFonts w:ascii="Times New Roman" w:hAnsi="Times New Roman" w:cs="Times New Roman"/>
        </w:rPr>
        <w:fldChar w:fldCharType="separate"/>
      </w:r>
      <w:r w:rsidR="004D13AB" w:rsidRPr="00DB0DEF">
        <w:rPr>
          <w:rFonts w:ascii="Times New Roman" w:hAnsi="Times New Roman" w:cs="Times New Roman"/>
        </w:rPr>
        <w:t>(Üçoğlu 2020</w:t>
      </w:r>
      <w:r w:rsidR="004D13AB" w:rsidRPr="00DB0DEF">
        <w:rPr>
          <w:rFonts w:ascii="Times New Roman" w:hAnsi="Times New Roman" w:cs="Times New Roman"/>
        </w:rPr>
        <w:fldChar w:fldCharType="end"/>
      </w:r>
      <w:r w:rsidR="004D13AB" w:rsidRPr="00DB0DEF">
        <w:rPr>
          <w:rFonts w:ascii="Times New Roman" w:hAnsi="Times New Roman" w:cs="Times New Roman"/>
        </w:rPr>
        <w:fldChar w:fldCharType="begin" w:fldLock="1"/>
      </w:r>
      <w:r w:rsidR="005D7C5D" w:rsidRPr="00DB0DEF">
        <w:rPr>
          <w:rFonts w:ascii="Times New Roman" w:hAnsi="Times New Roman" w:cs="Times New Roman"/>
        </w:rPr>
        <w:instrText>ADDIN CSL_CITATION {"citationItems":[{"id":"ITEM-1","itemData":{"ISSN":"2528-8547","author":[{"dropping-particle":"","family":"İbiş","given":"Cemal","non-dropping-particle":"","parse-names":false,"suffix":""},{"dropping-particle":"","family":"Tutcu","given":"Burçin","non-dropping-particle":"","parse-names":false,"suffix":""}],"container-title":"Marmara İktisat Dergisi","id":"ITEM-1","issue":"Ekim","issued":{"date-parts":[["2017"]]},"page":"195-208","title":"Türkiye Finansal Raporlama Standardı (TFRS) 8 Faaliyet Bölümleri Standardının Eğitim Sektöründe Uygulanabilirliğinin Analiz Edilmesi","type":"article-journal","volume":"2"},"uris":["http://www.mendeley.com/documents/?uuid=130fc23f-39de-33c9-ae82-5b1f78c1a2ea"]}],"mendeley":{"formattedCitation":"(İbiş &amp; Tutcu, 2017)","manualFormatting":": 507; İbiş ve  Tutcu, 2017:196)","plainTextFormattedCitation":"(İbiş &amp; Tutcu, 2017)","previouslyFormattedCitation":"(İbiş &amp; Tutcu, 2017)"},"properties":{"noteIndex":0},"schema":"https://github.com/citation-style-language/schema/raw/master/csl-citation.json"}</w:instrText>
      </w:r>
      <w:r w:rsidR="004D13AB" w:rsidRPr="00DB0DEF">
        <w:rPr>
          <w:rFonts w:ascii="Times New Roman" w:hAnsi="Times New Roman" w:cs="Times New Roman"/>
        </w:rPr>
        <w:fldChar w:fldCharType="separate"/>
      </w:r>
      <w:r w:rsidR="004D13AB" w:rsidRPr="00DB0DEF">
        <w:rPr>
          <w:rFonts w:ascii="Times New Roman" w:hAnsi="Times New Roman" w:cs="Times New Roman"/>
        </w:rPr>
        <w:t>:</w:t>
      </w:r>
      <w:r w:rsidR="00C97466" w:rsidRPr="00DB0DEF">
        <w:rPr>
          <w:rFonts w:ascii="Times New Roman" w:hAnsi="Times New Roman" w:cs="Times New Roman"/>
        </w:rPr>
        <w:t xml:space="preserve"> </w:t>
      </w:r>
      <w:r w:rsidR="004D13AB" w:rsidRPr="00DB0DEF">
        <w:rPr>
          <w:rFonts w:ascii="Times New Roman" w:hAnsi="Times New Roman" w:cs="Times New Roman"/>
        </w:rPr>
        <w:t xml:space="preserve">507; İbiş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4D13AB" w:rsidRPr="00DB0DEF">
        <w:rPr>
          <w:rFonts w:ascii="Times New Roman" w:hAnsi="Times New Roman" w:cs="Times New Roman"/>
        </w:rPr>
        <w:t xml:space="preserve"> Tutcu, 2017:196)</w:t>
      </w:r>
      <w:r w:rsidR="004D13AB" w:rsidRPr="00DB0DEF">
        <w:rPr>
          <w:rFonts w:ascii="Times New Roman" w:hAnsi="Times New Roman" w:cs="Times New Roman"/>
        </w:rPr>
        <w:fldChar w:fldCharType="end"/>
      </w:r>
      <w:r w:rsidR="00B726BD" w:rsidRPr="00DB0DEF">
        <w:rPr>
          <w:rFonts w:ascii="Times New Roman" w:hAnsi="Times New Roman" w:cs="Times New Roman"/>
        </w:rPr>
        <w:t>.</w:t>
      </w:r>
    </w:p>
    <w:p w14:paraId="67BC26CF" w14:textId="051A8AD5" w:rsidR="0089323D" w:rsidRPr="00DB0DEF" w:rsidRDefault="00B726BD" w:rsidP="003B2352">
      <w:pPr>
        <w:spacing w:after="120"/>
        <w:ind w:firstLine="426"/>
        <w:contextualSpacing/>
        <w:jc w:val="both"/>
        <w:rPr>
          <w:rFonts w:ascii="Times New Roman" w:hAnsi="Times New Roman" w:cs="Times New Roman"/>
        </w:rPr>
      </w:pPr>
      <w:r w:rsidRPr="00DB0DEF">
        <w:rPr>
          <w:rFonts w:ascii="Times New Roman" w:hAnsi="Times New Roman" w:cs="Times New Roman"/>
        </w:rPr>
        <w:t>Bu ihtiyaçları karşılamak amacıyla b</w:t>
      </w:r>
      <w:r w:rsidR="0089323D" w:rsidRPr="00DB0DEF">
        <w:rPr>
          <w:rFonts w:ascii="Times New Roman" w:hAnsi="Times New Roman" w:cs="Times New Roman"/>
        </w:rPr>
        <w:t>ölümsel raporlama ile ilgili ilk muhasebe standardı oluşturma çalışması Amerika Birle</w:t>
      </w:r>
      <w:r w:rsidR="00E81FF8" w:rsidRPr="00DB0DEF">
        <w:rPr>
          <w:rFonts w:ascii="Times New Roman" w:hAnsi="Times New Roman" w:cs="Times New Roman"/>
        </w:rPr>
        <w:t>ş</w:t>
      </w:r>
      <w:r w:rsidR="0089323D" w:rsidRPr="00DB0DEF">
        <w:rPr>
          <w:rFonts w:ascii="Times New Roman" w:hAnsi="Times New Roman" w:cs="Times New Roman"/>
        </w:rPr>
        <w:t>ik Devletleri’nde</w:t>
      </w:r>
      <w:r w:rsidR="00871D9B" w:rsidRPr="00DB0DEF">
        <w:rPr>
          <w:rFonts w:ascii="Times New Roman" w:hAnsi="Times New Roman" w:cs="Times New Roman"/>
        </w:rPr>
        <w:t xml:space="preserve"> </w:t>
      </w:r>
      <w:r w:rsidR="0089323D" w:rsidRPr="00DB0DEF">
        <w:rPr>
          <w:rFonts w:ascii="Times New Roman" w:hAnsi="Times New Roman" w:cs="Times New Roman"/>
        </w:rPr>
        <w:t xml:space="preserve">Finansal Muhasebe Standartları Kurulu (FASB) tarafından </w:t>
      </w:r>
      <w:r w:rsidR="00E81FF8" w:rsidRPr="00DB0DEF">
        <w:rPr>
          <w:rFonts w:ascii="Times New Roman" w:hAnsi="Times New Roman" w:cs="Times New Roman"/>
        </w:rPr>
        <w:t xml:space="preserve">1976 yılında </w:t>
      </w:r>
      <w:r w:rsidR="0089323D" w:rsidRPr="00DB0DEF">
        <w:rPr>
          <w:rFonts w:ascii="Times New Roman" w:hAnsi="Times New Roman" w:cs="Times New Roman"/>
        </w:rPr>
        <w:t>yapılmıştır</w:t>
      </w:r>
      <w:r w:rsidR="00E81FF8" w:rsidRPr="00DB0DEF">
        <w:rPr>
          <w:rFonts w:ascii="Times New Roman" w:hAnsi="Times New Roman" w:cs="Times New Roman"/>
        </w:rPr>
        <w:t xml:space="preserve"> </w:t>
      </w:r>
      <w:r w:rsidR="00E81FF8" w:rsidRPr="00DB0DEF">
        <w:rPr>
          <w:rFonts w:ascii="Times New Roman" w:hAnsi="Times New Roman" w:cs="Times New Roman"/>
        </w:rPr>
        <w:fldChar w:fldCharType="begin" w:fldLock="1"/>
      </w:r>
      <w:r w:rsidR="005D7C5D" w:rsidRPr="00DB0DEF">
        <w:rPr>
          <w:rFonts w:ascii="Times New Roman" w:hAnsi="Times New Roman" w:cs="Times New Roman"/>
        </w:rPr>
        <w:instrText>ADDIN CSL_CITATION {"citationItems":[{"id":"ITEM-1","itemData":{"author":[{"dropping-particle":"","family":"Güler","given":"Yasin","non-dropping-particle":"","parse-names":false,"suffix":""},{"dropping-particle":"","family":"Alagöz","given":"Ali","non-dropping-particle":"","parse-names":false,"suffix":""}],"container-title":"Al-Farabi International Journal on Social Sciences","id":"ITEM-1","issue":"4","issued":{"date-parts":[["2019"]]},"page":"41-55","title":"Faaliyet Bölümleri Standardının (TFRS 8) Futbol Kulüplerinde Uygulanabilirligi: Fenerbahçe Spor Kulübü Örneği","type":"article-journal","volume":"3"},"uris":["http://www.mendeley.com/documents/?uuid=1b5200c8-1fed-481f-9175-4e9fdefb9a2e"]}],"mendeley":{"formattedCitation":"(Güler &amp; Alagöz, 2019b)","manualFormatting":"(Güler ve Alagöz 2019: 43)","plainTextFormattedCitation":"(Güler &amp; Alagöz, 2019b)","previouslyFormattedCitation":"(Güler &amp; Alagöz, 2019b)"},"properties":{"noteIndex":0},"schema":"https://github.com/citation-style-language/schema/raw/master/csl-citation.json"}</w:instrText>
      </w:r>
      <w:r w:rsidR="00E81FF8" w:rsidRPr="00DB0DEF">
        <w:rPr>
          <w:rFonts w:ascii="Times New Roman" w:hAnsi="Times New Roman" w:cs="Times New Roman"/>
        </w:rPr>
        <w:fldChar w:fldCharType="separate"/>
      </w:r>
      <w:r w:rsidR="00E81FF8" w:rsidRPr="00DB0DEF">
        <w:rPr>
          <w:rFonts w:ascii="Times New Roman" w:hAnsi="Times New Roman" w:cs="Times New Roman"/>
        </w:rPr>
        <w:t xml:space="preserve">(Güler </w:t>
      </w:r>
      <w:r w:rsidR="009B2871" w:rsidRPr="00DB0DEF">
        <w:rPr>
          <w:rFonts w:ascii="Times New Roman" w:hAnsi="Times New Roman" w:cs="Times New Roman"/>
        </w:rPr>
        <w:t>ve</w:t>
      </w:r>
      <w:r w:rsidR="00E81FF8" w:rsidRPr="00DB0DEF">
        <w:rPr>
          <w:rFonts w:ascii="Times New Roman" w:hAnsi="Times New Roman" w:cs="Times New Roman"/>
        </w:rPr>
        <w:t xml:space="preserve"> Alagöz 2019: 43)</w:t>
      </w:r>
      <w:r w:rsidR="00E81FF8" w:rsidRPr="00DB0DEF">
        <w:rPr>
          <w:rFonts w:ascii="Times New Roman" w:hAnsi="Times New Roman" w:cs="Times New Roman"/>
        </w:rPr>
        <w:fldChar w:fldCharType="end"/>
      </w:r>
      <w:r w:rsidR="00E81FF8" w:rsidRPr="00DB0DEF">
        <w:rPr>
          <w:rFonts w:ascii="Times New Roman" w:hAnsi="Times New Roman" w:cs="Times New Roman"/>
        </w:rPr>
        <w:t xml:space="preserve">. Uluslararası Muhasebe Standartları Kurulu (IASB) </w:t>
      </w:r>
      <w:r w:rsidRPr="00DB0DEF">
        <w:rPr>
          <w:rFonts w:ascii="Times New Roman" w:hAnsi="Times New Roman" w:cs="Times New Roman"/>
        </w:rPr>
        <w:lastRenderedPageBreak/>
        <w:t>da</w:t>
      </w:r>
      <w:r w:rsidR="00E81FF8" w:rsidRPr="00DB0DEF">
        <w:rPr>
          <w:rFonts w:ascii="Times New Roman" w:hAnsi="Times New Roman" w:cs="Times New Roman"/>
        </w:rPr>
        <w:t xml:space="preserve"> bu amaçla IAS 14 “Reporting Financial Information By Segment”ı 1983 yılında yayımlanmıştır </w:t>
      </w:r>
      <w:r w:rsidR="00E81FF8" w:rsidRPr="00DB0DEF">
        <w:rPr>
          <w:rFonts w:ascii="Times New Roman" w:hAnsi="Times New Roman" w:cs="Times New Roman"/>
        </w:rPr>
        <w:fldChar w:fldCharType="begin" w:fldLock="1"/>
      </w:r>
      <w:r w:rsidR="00D548A7" w:rsidRPr="00DB0DEF">
        <w:rPr>
          <w:rFonts w:ascii="Times New Roman" w:hAnsi="Times New Roman" w:cs="Times New Roman"/>
        </w:rPr>
        <w:instrText>ADDIN CSL_CITATION {"citationItems":[{"id":"ITEM-1","itemData":{"author":[{"dropping-particle":"","family":"Çiftçioğlu","given":"Aydem","non-dropping-particle":"","parse-names":false,"suffix":""},{"dropping-particle":"","family":"Poroy","given":"Nergis","non-dropping-particle":"","parse-names":false,"suffix":""}],"container-title":"Đşletme ve Ekonomi Araştırmaları Dergisi","id":"ITEM-1","issue":"1","issued":{"date-parts":[["2010"]]},"page":"83-99","title":"Sosyal Sorumluluk ve Bölümlere Göre Raporlama Đlişkisini Anlamaya Yönelik Bir Araştırma","type":"article-journal","volume":"1"},"uris":["http://www.mendeley.com/documents/?uuid=048de6cf-81bd-4537-837a-5a1e320788b2"]}],"mendeley":{"formattedCitation":"(Çiftçioğlu &amp; Poroy, 2010a)","manualFormatting":"(Çiftçioğlu ve  Poroy 2010: 89)","plainTextFormattedCitation":"(Çiftçioğlu &amp; Poroy, 2010a)","previouslyFormattedCitation":"(Çiftçioğlu &amp; Poroy, 2010a)"},"properties":{"noteIndex":0},"schema":"https://github.com/citation-style-language/schema/raw/master/csl-citation.json"}</w:instrText>
      </w:r>
      <w:r w:rsidR="00E81FF8" w:rsidRPr="00DB0DEF">
        <w:rPr>
          <w:rFonts w:ascii="Times New Roman" w:hAnsi="Times New Roman" w:cs="Times New Roman"/>
        </w:rPr>
        <w:fldChar w:fldCharType="separate"/>
      </w:r>
      <w:r w:rsidR="00E81FF8" w:rsidRPr="00DB0DEF">
        <w:rPr>
          <w:rFonts w:ascii="Times New Roman" w:hAnsi="Times New Roman" w:cs="Times New Roman"/>
        </w:rPr>
        <w:t xml:space="preserve">(Çiftçioğlu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E81FF8" w:rsidRPr="00DB0DEF">
        <w:rPr>
          <w:rFonts w:ascii="Times New Roman" w:hAnsi="Times New Roman" w:cs="Times New Roman"/>
        </w:rPr>
        <w:t xml:space="preserve"> Poroy 2010: 89)</w:t>
      </w:r>
      <w:r w:rsidR="00E81FF8" w:rsidRPr="00DB0DEF">
        <w:rPr>
          <w:rFonts w:ascii="Times New Roman" w:hAnsi="Times New Roman" w:cs="Times New Roman"/>
        </w:rPr>
        <w:fldChar w:fldCharType="end"/>
      </w:r>
      <w:r w:rsidR="00E81FF8" w:rsidRPr="00DB0DEF">
        <w:rPr>
          <w:rFonts w:ascii="Times New Roman" w:hAnsi="Times New Roman" w:cs="Times New Roman"/>
        </w:rPr>
        <w:t xml:space="preserve">. </w:t>
      </w:r>
      <w:r w:rsidR="0089323D" w:rsidRPr="00DB0DEF">
        <w:rPr>
          <w:rFonts w:ascii="Times New Roman" w:hAnsi="Times New Roman" w:cs="Times New Roman"/>
        </w:rPr>
        <w:t xml:space="preserve">Daha sonra </w:t>
      </w:r>
      <w:r w:rsidR="00EB52A2" w:rsidRPr="00DB0DEF">
        <w:rPr>
          <w:rFonts w:ascii="Times New Roman" w:hAnsi="Times New Roman" w:cs="Times New Roman"/>
        </w:rPr>
        <w:t>Uluslararası Muhasebe Standartları Komitesi (</w:t>
      </w:r>
      <w:r w:rsidR="0089323D" w:rsidRPr="00DB0DEF">
        <w:rPr>
          <w:rFonts w:ascii="Times New Roman" w:hAnsi="Times New Roman" w:cs="Times New Roman"/>
        </w:rPr>
        <w:t>IASC</w:t>
      </w:r>
      <w:r w:rsidR="00EB52A2" w:rsidRPr="00DB0DEF">
        <w:rPr>
          <w:rFonts w:ascii="Times New Roman" w:hAnsi="Times New Roman" w:cs="Times New Roman"/>
        </w:rPr>
        <w:t>)</w:t>
      </w:r>
      <w:r w:rsidR="0089323D" w:rsidRPr="00DB0DEF">
        <w:rPr>
          <w:rFonts w:ascii="Times New Roman" w:hAnsi="Times New Roman" w:cs="Times New Roman"/>
        </w:rPr>
        <w:t xml:space="preserve"> standartta bazı değişiklikler yaparak Ağustos 1997’de “IAS 14 Segment Reporting” standardını yayınlamıştır </w:t>
      </w:r>
      <w:r w:rsidR="0089323D" w:rsidRPr="00DB0DEF">
        <w:rPr>
          <w:rFonts w:ascii="Times New Roman" w:hAnsi="Times New Roman" w:cs="Times New Roman"/>
        </w:rPr>
        <w:fldChar w:fldCharType="begin" w:fldLock="1"/>
      </w:r>
      <w:r w:rsidR="00D548A7" w:rsidRPr="00DB0DEF">
        <w:rPr>
          <w:rFonts w:ascii="Times New Roman" w:hAnsi="Times New Roman" w:cs="Times New Roman"/>
        </w:rPr>
        <w:instrText>ADDIN CSL_CITATION {"citationItems":[{"id":"ITEM-1","itemData":{"author":[{"dropping-particle":"","family":"Güngörmüş","given":"Ali Haydar","non-dropping-particle":"","parse-names":false,"suffix":""},{"dropping-particle":"","family":"Uyar","given":"Ali","non-dropping-particle":"","parse-names":false,"suffix":""}],"container-title":"Mali Çözüm Dergisi","id":"ITEM-1","issued":{"date-parts":[["2009"]]},"page":"79-98","title":"İşletmelerde Bölümsel Raporlamanın \"TFRS 8 Faaliyet Bölümleri\" Standardı Çerçevesinde Uygulanması","type":"article-journal","volume":"94"},"uris":["http://www.mendeley.com/documents/?uuid=baa6feee-3426-477d-bba6-8ff83af02ad6"]}],"mendeley":{"formattedCitation":"(Güngörmüş &amp; Uyar, 2009)","manualFormatting":"(Güngörmüş ve  Uyar, 2009: 81)","plainTextFormattedCitation":"(Güngörmüş &amp; Uyar, 2009)","previouslyFormattedCitation":"(Güngörmüş &amp; Uyar, 2009)"},"properties":{"noteIndex":0},"schema":"https://github.com/citation-style-language/schema/raw/master/csl-citation.json"}</w:instrText>
      </w:r>
      <w:r w:rsidR="0089323D" w:rsidRPr="00DB0DEF">
        <w:rPr>
          <w:rFonts w:ascii="Times New Roman" w:hAnsi="Times New Roman" w:cs="Times New Roman"/>
        </w:rPr>
        <w:fldChar w:fldCharType="separate"/>
      </w:r>
      <w:r w:rsidR="0089323D" w:rsidRPr="00DB0DEF">
        <w:rPr>
          <w:rFonts w:ascii="Times New Roman" w:hAnsi="Times New Roman" w:cs="Times New Roman"/>
        </w:rPr>
        <w:t xml:space="preserve">(Güngörmüş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89323D" w:rsidRPr="00DB0DEF">
        <w:rPr>
          <w:rFonts w:ascii="Times New Roman" w:hAnsi="Times New Roman" w:cs="Times New Roman"/>
        </w:rPr>
        <w:t xml:space="preserve"> Uyar</w:t>
      </w:r>
      <w:r w:rsidRPr="00DB0DEF">
        <w:rPr>
          <w:rFonts w:ascii="Times New Roman" w:hAnsi="Times New Roman" w:cs="Times New Roman"/>
        </w:rPr>
        <w:t>,</w:t>
      </w:r>
      <w:r w:rsidR="0089323D" w:rsidRPr="00DB0DEF">
        <w:rPr>
          <w:rFonts w:ascii="Times New Roman" w:hAnsi="Times New Roman" w:cs="Times New Roman"/>
        </w:rPr>
        <w:t xml:space="preserve"> 2009: 81)</w:t>
      </w:r>
      <w:r w:rsidR="0089323D" w:rsidRPr="00DB0DEF">
        <w:rPr>
          <w:rFonts w:ascii="Times New Roman" w:hAnsi="Times New Roman" w:cs="Times New Roman"/>
        </w:rPr>
        <w:fldChar w:fldCharType="end"/>
      </w:r>
      <w:r w:rsidR="0089323D" w:rsidRPr="00DB0DEF">
        <w:rPr>
          <w:rFonts w:ascii="Times New Roman" w:hAnsi="Times New Roman" w:cs="Times New Roman"/>
        </w:rPr>
        <w:t>.</w:t>
      </w:r>
    </w:p>
    <w:p w14:paraId="0C2E2A67" w14:textId="5324B0A8" w:rsidR="00D73F57" w:rsidRPr="00DB0DEF" w:rsidRDefault="00E845D6" w:rsidP="00D40ACF">
      <w:pPr>
        <w:spacing w:after="120"/>
        <w:ind w:firstLine="426"/>
        <w:contextualSpacing/>
        <w:jc w:val="both"/>
        <w:rPr>
          <w:rFonts w:ascii="Times New Roman" w:hAnsi="Times New Roman" w:cs="Times New Roman"/>
          <w:color w:val="FF0000"/>
        </w:rPr>
      </w:pPr>
      <w:r w:rsidRPr="00DB0DEF">
        <w:rPr>
          <w:rFonts w:ascii="Times New Roman" w:hAnsi="Times New Roman" w:cs="Times New Roman"/>
        </w:rPr>
        <w:t xml:space="preserve">2002 yılında FASB ve IASB arasında imzalanan Norwalk anlaşması sonrasında kurumlar arasındaki yakınsama çalışmaları kapsamında IASB, IAS 14’ü kaldırarak 1 Ocak 2009’dan itibaren geçerli olmak üzere IFRS 8’i yürürlüğe koymuştur. </w:t>
      </w:r>
      <w:r w:rsidR="00D73F57" w:rsidRPr="00DB0DEF">
        <w:rPr>
          <w:rFonts w:ascii="Times New Roman" w:hAnsi="Times New Roman" w:cs="Times New Roman"/>
        </w:rPr>
        <w:t xml:space="preserve"> IFRS 8 Faaliyet Bölümleri Standardı, IASB tarafından yürütülen </w:t>
      </w:r>
      <w:r w:rsidR="00B726BD" w:rsidRPr="00DB0DEF">
        <w:rPr>
          <w:rFonts w:ascii="Times New Roman" w:hAnsi="Times New Roman" w:cs="Times New Roman"/>
        </w:rPr>
        <w:t xml:space="preserve">standartları </w:t>
      </w:r>
      <w:r w:rsidR="00D73F57" w:rsidRPr="00DB0DEF">
        <w:rPr>
          <w:rFonts w:ascii="Times New Roman" w:hAnsi="Times New Roman" w:cs="Times New Roman"/>
        </w:rPr>
        <w:t>Amerikan FASB standartları</w:t>
      </w:r>
      <w:r w:rsidR="00871D9B" w:rsidRPr="00DB0DEF">
        <w:rPr>
          <w:rFonts w:ascii="Times New Roman" w:hAnsi="Times New Roman" w:cs="Times New Roman"/>
        </w:rPr>
        <w:t xml:space="preserve"> ile uyumlu hale getirme</w:t>
      </w:r>
      <w:r w:rsidR="00D73F57" w:rsidRPr="00DB0DEF">
        <w:rPr>
          <w:rFonts w:ascii="Times New Roman" w:hAnsi="Times New Roman" w:cs="Times New Roman"/>
        </w:rPr>
        <w:t xml:space="preserve"> </w:t>
      </w:r>
      <w:r w:rsidR="00871D9B" w:rsidRPr="00DB0DEF">
        <w:rPr>
          <w:rFonts w:ascii="Times New Roman" w:hAnsi="Times New Roman" w:cs="Times New Roman"/>
        </w:rPr>
        <w:t>girişimlerin</w:t>
      </w:r>
      <w:r w:rsidR="00D73F57" w:rsidRPr="00DB0DEF">
        <w:rPr>
          <w:rFonts w:ascii="Times New Roman" w:hAnsi="Times New Roman" w:cs="Times New Roman"/>
        </w:rPr>
        <w:t xml:space="preserve"> bir sonucu olup SFAS 131 nolu standardın küçük farklılıklar </w:t>
      </w:r>
      <w:r w:rsidR="00871D9B" w:rsidRPr="00DB0DEF">
        <w:rPr>
          <w:rFonts w:ascii="Times New Roman" w:hAnsi="Times New Roman" w:cs="Times New Roman"/>
        </w:rPr>
        <w:t>haricinde</w:t>
      </w:r>
      <w:r w:rsidR="00D73F57" w:rsidRPr="00DB0DEF">
        <w:rPr>
          <w:rFonts w:ascii="Times New Roman" w:hAnsi="Times New Roman" w:cs="Times New Roman"/>
        </w:rPr>
        <w:t xml:space="preserve"> benimsenmesiyle oluşturulmuştur </w:t>
      </w:r>
      <w:r w:rsidR="00D73F57" w:rsidRPr="00DB0DEF">
        <w:rPr>
          <w:rFonts w:ascii="Times New Roman" w:hAnsi="Times New Roman" w:cs="Times New Roman"/>
          <w:color w:val="FF0000"/>
        </w:rPr>
        <w:t>(Poroy Arsoy, 2008: 182).</w:t>
      </w:r>
    </w:p>
    <w:p w14:paraId="33EB52C5" w14:textId="40069A48" w:rsidR="0089323D" w:rsidRPr="00DB0DEF" w:rsidRDefault="00E845D6"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Türkiye’de de bu gelişmelere paralel olarak</w:t>
      </w:r>
      <w:r w:rsidR="00B726BD" w:rsidRPr="00DB0DEF">
        <w:rPr>
          <w:rFonts w:ascii="Times New Roman" w:hAnsi="Times New Roman" w:cs="Times New Roman"/>
        </w:rPr>
        <w:t xml:space="preserve"> 2006 yılında TMS 14 “Bölümlere Göre Raporlama Standardı”,</w:t>
      </w:r>
      <w:r w:rsidR="00227F40" w:rsidRPr="00DB0DEF">
        <w:rPr>
          <w:rFonts w:ascii="Times New Roman" w:hAnsi="Times New Roman" w:cs="Times New Roman"/>
        </w:rPr>
        <w:t xml:space="preserve"> </w:t>
      </w:r>
      <w:r w:rsidR="00871D9B" w:rsidRPr="00DB0DEF">
        <w:rPr>
          <w:rFonts w:ascii="Times New Roman" w:hAnsi="Times New Roman" w:cs="Times New Roman"/>
        </w:rPr>
        <w:t xml:space="preserve">2007 yılında da </w:t>
      </w:r>
      <w:r w:rsidR="00B726BD" w:rsidRPr="00DB0DEF">
        <w:rPr>
          <w:rFonts w:ascii="Times New Roman" w:hAnsi="Times New Roman" w:cs="Times New Roman"/>
        </w:rPr>
        <w:t xml:space="preserve">31.12.2008 tarihinden </w:t>
      </w:r>
      <w:r w:rsidR="00871D9B" w:rsidRPr="00DB0DEF">
        <w:rPr>
          <w:rFonts w:ascii="Times New Roman" w:hAnsi="Times New Roman" w:cs="Times New Roman"/>
        </w:rPr>
        <w:t>itibaren</w:t>
      </w:r>
      <w:r w:rsidR="00B726BD" w:rsidRPr="00DB0DEF">
        <w:rPr>
          <w:rFonts w:ascii="Times New Roman" w:hAnsi="Times New Roman" w:cs="Times New Roman"/>
        </w:rPr>
        <w:t xml:space="preserve"> uygulanmak üzere </w:t>
      </w:r>
      <w:r w:rsidR="0089323D" w:rsidRPr="00DB0DEF">
        <w:rPr>
          <w:rFonts w:ascii="Times New Roman" w:hAnsi="Times New Roman" w:cs="Times New Roman"/>
        </w:rPr>
        <w:t xml:space="preserve">TFRS 8 </w:t>
      </w:r>
      <w:r w:rsidRPr="00DB0DEF">
        <w:rPr>
          <w:rFonts w:ascii="Times New Roman" w:hAnsi="Times New Roman" w:cs="Times New Roman"/>
        </w:rPr>
        <w:t>“</w:t>
      </w:r>
      <w:r w:rsidR="0089323D" w:rsidRPr="00DB0DEF">
        <w:rPr>
          <w:rFonts w:ascii="Times New Roman" w:hAnsi="Times New Roman" w:cs="Times New Roman"/>
        </w:rPr>
        <w:t>Faaliyet Bölümleri Standardı</w:t>
      </w:r>
      <w:r w:rsidRPr="00DB0DEF">
        <w:rPr>
          <w:rFonts w:ascii="Times New Roman" w:hAnsi="Times New Roman" w:cs="Times New Roman"/>
        </w:rPr>
        <w:t xml:space="preserve">” </w:t>
      </w:r>
      <w:r w:rsidR="0089323D" w:rsidRPr="00DB0DEF">
        <w:rPr>
          <w:rFonts w:ascii="Times New Roman" w:hAnsi="Times New Roman" w:cs="Times New Roman"/>
        </w:rPr>
        <w:t>yürürlüğe girmişti</w:t>
      </w:r>
      <w:r w:rsidR="00F5288D" w:rsidRPr="00DB0DEF">
        <w:rPr>
          <w:rFonts w:ascii="Times New Roman" w:hAnsi="Times New Roman" w:cs="Times New Roman"/>
        </w:rPr>
        <w:t xml:space="preserve">r </w:t>
      </w:r>
      <w:r w:rsidR="00F5288D" w:rsidRPr="00DB0DEF">
        <w:rPr>
          <w:rFonts w:ascii="Times New Roman" w:hAnsi="Times New Roman" w:cs="Times New Roman"/>
        </w:rPr>
        <w:fldChar w:fldCharType="begin" w:fldLock="1"/>
      </w:r>
      <w:r w:rsidR="005D7C5D" w:rsidRPr="00DB0DEF">
        <w:rPr>
          <w:rFonts w:ascii="Times New Roman" w:hAnsi="Times New Roman" w:cs="Times New Roman"/>
        </w:rPr>
        <w:instrText>ADDIN CSL_CITATION {"citationItems":[{"id":"ITEM-1","itemData":{"author":[{"dropping-particle":"","family":"Güler","given":"Yasin","non-dropping-particle":"","parse-names":false,"suffix":""},{"dropping-particle":"","family":"Alagöz","given":"Ali","non-dropping-particle":"","parse-names":false,"suffix":""}],"container-title":"Al-Farabi International Journal on Social Sciences","id":"ITEM-1","issue":"4","issued":{"date-parts":[["2019"]]},"page":"41-55","title":"Faaliyet Bölümleri Standardının (TFRS 8) Futbol Kulüplerinde Uygulanabilirligi: Fenerbahçe Spor Kulübü Örneği","type":"article-journal","volume":"3"},"uris":["http://www.mendeley.com/documents/?uuid=1b5200c8-1fed-481f-9175-4e9fdefb9a2e"]}],"mendeley":{"formattedCitation":"(Güler &amp; Alagöz, 2019b)","manualFormatting":"(Güler ve Alagöz, 2019: 43)","plainTextFormattedCitation":"(Güler &amp; Alagöz, 2019b)","previouslyFormattedCitation":"(Güler &amp; Alagöz, 2019b)"},"properties":{"noteIndex":0},"schema":"https://github.com/citation-style-language/schema/raw/master/csl-citation.json"}</w:instrText>
      </w:r>
      <w:r w:rsidR="00F5288D" w:rsidRPr="00DB0DEF">
        <w:rPr>
          <w:rFonts w:ascii="Times New Roman" w:hAnsi="Times New Roman" w:cs="Times New Roman"/>
        </w:rPr>
        <w:fldChar w:fldCharType="separate"/>
      </w:r>
      <w:r w:rsidR="00F5288D" w:rsidRPr="00DB0DEF">
        <w:rPr>
          <w:rFonts w:ascii="Times New Roman" w:hAnsi="Times New Roman" w:cs="Times New Roman"/>
        </w:rPr>
        <w:t xml:space="preserve">(Güler </w:t>
      </w:r>
      <w:r w:rsidR="009B2871" w:rsidRPr="00DB0DEF">
        <w:rPr>
          <w:rFonts w:ascii="Times New Roman" w:hAnsi="Times New Roman" w:cs="Times New Roman"/>
        </w:rPr>
        <w:t>ve</w:t>
      </w:r>
      <w:r w:rsidR="00F5288D" w:rsidRPr="00DB0DEF">
        <w:rPr>
          <w:rFonts w:ascii="Times New Roman" w:hAnsi="Times New Roman" w:cs="Times New Roman"/>
        </w:rPr>
        <w:t xml:space="preserve"> Alagöz, 2019: 43)</w:t>
      </w:r>
      <w:r w:rsidR="00F5288D" w:rsidRPr="00DB0DEF">
        <w:rPr>
          <w:rFonts w:ascii="Times New Roman" w:hAnsi="Times New Roman" w:cs="Times New Roman"/>
        </w:rPr>
        <w:fldChar w:fldCharType="end"/>
      </w:r>
      <w:r w:rsidR="00F5288D" w:rsidRPr="00DB0DEF">
        <w:rPr>
          <w:rFonts w:ascii="Times New Roman" w:hAnsi="Times New Roman" w:cs="Times New Roman"/>
        </w:rPr>
        <w:t>.</w:t>
      </w:r>
    </w:p>
    <w:p w14:paraId="7383BEB3" w14:textId="002DE102" w:rsidR="008E5135" w:rsidRPr="00DB0DEF" w:rsidRDefault="00A82670"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TFRS 8’e göre i</w:t>
      </w:r>
      <w:r w:rsidR="003239D9" w:rsidRPr="00DB0DEF">
        <w:rPr>
          <w:rFonts w:ascii="Times New Roman" w:hAnsi="Times New Roman" w:cs="Times New Roman"/>
        </w:rPr>
        <w:t>şletmenin faaliyet bölümlerine ilişkin bilgiler, işletmenin gerçekleştirdiği faaliyetler ile faaliyette bulun</w:t>
      </w:r>
      <w:r w:rsidR="00871D9B" w:rsidRPr="00DB0DEF">
        <w:rPr>
          <w:rFonts w:ascii="Times New Roman" w:hAnsi="Times New Roman" w:cs="Times New Roman"/>
        </w:rPr>
        <w:t>ulan</w:t>
      </w:r>
      <w:r w:rsidR="003239D9" w:rsidRPr="00DB0DEF">
        <w:rPr>
          <w:rFonts w:ascii="Times New Roman" w:hAnsi="Times New Roman" w:cs="Times New Roman"/>
        </w:rPr>
        <w:t xml:space="preserve"> ekonomik ortamının niteliği</w:t>
      </w:r>
      <w:r w:rsidR="00871D9B" w:rsidRPr="00DB0DEF">
        <w:rPr>
          <w:rFonts w:ascii="Times New Roman" w:hAnsi="Times New Roman" w:cs="Times New Roman"/>
        </w:rPr>
        <w:t>nin</w:t>
      </w:r>
      <w:r w:rsidR="003239D9" w:rsidRPr="00DB0DEF">
        <w:rPr>
          <w:rFonts w:ascii="Times New Roman" w:hAnsi="Times New Roman" w:cs="Times New Roman"/>
        </w:rPr>
        <w:t xml:space="preserve"> ve fınansal etkilerinin değerlendirilebilmesi amacıyla raporlanır. İşletmelerin performanslarının değerlemesinde en önemli bilgi bölümlere göre raporlamadan elde edilmektedir (TFRS 8.1).</w:t>
      </w:r>
    </w:p>
    <w:p w14:paraId="3A10B9F1" w14:textId="36B49C79" w:rsidR="004D13AB" w:rsidRPr="00DB0DEF" w:rsidRDefault="004D13AB"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Bu çalışmanın amacı TFRS 8 Faaliyet Bölümleri Standardı</w:t>
      </w:r>
      <w:r w:rsidR="00BD37A0" w:rsidRPr="00DB0DEF">
        <w:rPr>
          <w:rFonts w:ascii="Times New Roman" w:hAnsi="Times New Roman" w:cs="Times New Roman"/>
        </w:rPr>
        <w:t xml:space="preserve">na uygun </w:t>
      </w:r>
      <w:r w:rsidRPr="00DB0DEF">
        <w:rPr>
          <w:rFonts w:ascii="Times New Roman" w:hAnsi="Times New Roman" w:cs="Times New Roman"/>
        </w:rPr>
        <w:t xml:space="preserve">raporlama yapan bir holdingin </w:t>
      </w:r>
      <w:r w:rsidR="00BD37A0" w:rsidRPr="00DB0DEF">
        <w:rPr>
          <w:rFonts w:ascii="Times New Roman" w:hAnsi="Times New Roman" w:cs="Times New Roman"/>
        </w:rPr>
        <w:t xml:space="preserve">faaliyet bölümleri bazında </w:t>
      </w:r>
      <w:r w:rsidR="00B726BD" w:rsidRPr="00DB0DEF">
        <w:rPr>
          <w:rFonts w:ascii="Times New Roman" w:hAnsi="Times New Roman" w:cs="Times New Roman"/>
        </w:rPr>
        <w:t xml:space="preserve">mali tablo analizini </w:t>
      </w:r>
      <w:r w:rsidR="00BD37A0" w:rsidRPr="00DB0DEF">
        <w:rPr>
          <w:rFonts w:ascii="Times New Roman" w:hAnsi="Times New Roman" w:cs="Times New Roman"/>
        </w:rPr>
        <w:t>yapmak</w:t>
      </w:r>
      <w:r w:rsidR="001510A9" w:rsidRPr="00DB0DEF">
        <w:rPr>
          <w:rFonts w:ascii="Times New Roman" w:hAnsi="Times New Roman" w:cs="Times New Roman"/>
        </w:rPr>
        <w:t>, bölümler arasındaki performans farklılıklarını tespit etmektir.</w:t>
      </w:r>
    </w:p>
    <w:p w14:paraId="5488B7F7" w14:textId="4363F55B" w:rsidR="00067219" w:rsidRPr="00DB0DEF" w:rsidRDefault="006C3477" w:rsidP="00D40ACF">
      <w:pPr>
        <w:pStyle w:val="Balk1"/>
        <w:numPr>
          <w:ilvl w:val="0"/>
          <w:numId w:val="2"/>
        </w:numPr>
        <w:spacing w:before="0" w:after="120" w:line="276" w:lineRule="auto"/>
        <w:ind w:left="0" w:firstLine="426"/>
        <w:contextualSpacing/>
        <w:rPr>
          <w:rFonts w:cs="Times New Roman"/>
          <w:sz w:val="22"/>
          <w:szCs w:val="22"/>
        </w:rPr>
      </w:pPr>
      <w:r w:rsidRPr="00DB0DEF">
        <w:rPr>
          <w:rFonts w:cs="Times New Roman"/>
          <w:sz w:val="22"/>
          <w:szCs w:val="22"/>
        </w:rPr>
        <w:t>LİTERATÜR TARAMASI</w:t>
      </w:r>
    </w:p>
    <w:p w14:paraId="04504664" w14:textId="0877018B" w:rsidR="00067219" w:rsidRPr="00DB0DEF" w:rsidRDefault="00704776" w:rsidP="003B2352">
      <w:pPr>
        <w:pStyle w:val="Balk1"/>
        <w:numPr>
          <w:ilvl w:val="1"/>
          <w:numId w:val="2"/>
        </w:numPr>
        <w:tabs>
          <w:tab w:val="clear" w:pos="709"/>
          <w:tab w:val="left" w:pos="851"/>
        </w:tabs>
        <w:spacing w:before="0" w:after="120" w:line="276" w:lineRule="auto"/>
        <w:ind w:left="0" w:firstLine="426"/>
        <w:contextualSpacing/>
        <w:rPr>
          <w:rFonts w:cs="Times New Roman"/>
          <w:sz w:val="22"/>
          <w:szCs w:val="22"/>
        </w:rPr>
      </w:pPr>
      <w:r w:rsidRPr="00DB0DEF">
        <w:rPr>
          <w:rFonts w:cs="Times New Roman"/>
          <w:sz w:val="22"/>
          <w:szCs w:val="22"/>
        </w:rPr>
        <w:t>TFRS 8 Faaliyet Bölümleri Standardının İncelendiği Çalışmalar</w:t>
      </w:r>
    </w:p>
    <w:p w14:paraId="546B2809" w14:textId="18853E1E" w:rsidR="00B726BD" w:rsidRPr="00DB0DEF" w:rsidRDefault="00B726BD" w:rsidP="004F78C1">
      <w:pPr>
        <w:spacing w:before="120" w:after="120"/>
        <w:ind w:firstLine="425"/>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t xml:space="preserve">Dünyada ve Türkiye’de IFRS 8 (TFRS 8) Faaliyet Bölümleri Standardı ile ilgili yapılan çalışmalar incelendiğinde bazı çalışmaların standardın eski hali olan IAS 14 (TMS 14) ile yeni hali olan IFRS 8 (TFRS 8) arasında karşılaştırma yapmayı amaçladığı, bazı çalışmaların standardın uygulama düzeyini, bilgi açıklama düzeyini ve bunlara etki eden faktörleri </w:t>
      </w:r>
      <w:r w:rsidR="00227F40" w:rsidRPr="00DB0DEF">
        <w:rPr>
          <w:rStyle w:val="fontstyle01"/>
          <w:rFonts w:ascii="Times New Roman" w:hAnsi="Times New Roman" w:cs="Times New Roman"/>
          <w:color w:val="auto"/>
          <w:sz w:val="22"/>
          <w:szCs w:val="22"/>
        </w:rPr>
        <w:t>ortaya koymayı amaçladığı</w:t>
      </w:r>
      <w:r w:rsidRPr="00DB0DEF">
        <w:rPr>
          <w:rStyle w:val="fontstyle01"/>
          <w:rFonts w:ascii="Times New Roman" w:hAnsi="Times New Roman" w:cs="Times New Roman"/>
          <w:color w:val="auto"/>
          <w:sz w:val="22"/>
          <w:szCs w:val="22"/>
        </w:rPr>
        <w:t xml:space="preserve"> görülmektedir. Bu çalışmalardan bazıları şu şekildedir;</w:t>
      </w:r>
    </w:p>
    <w:p w14:paraId="48117909" w14:textId="3A4CB8FB" w:rsidR="00D567F5" w:rsidRPr="00DB0DEF" w:rsidRDefault="004C234A" w:rsidP="004F78C1">
      <w:pPr>
        <w:spacing w:before="120" w:after="120"/>
        <w:ind w:firstLine="425"/>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fldChar w:fldCharType="begin" w:fldLock="1"/>
      </w:r>
      <w:r w:rsidR="00996826" w:rsidRPr="00DB0DEF">
        <w:rPr>
          <w:rStyle w:val="fontstyle01"/>
          <w:rFonts w:ascii="Times New Roman" w:hAnsi="Times New Roman" w:cs="Times New Roman"/>
          <w:color w:val="auto"/>
          <w:sz w:val="22"/>
          <w:szCs w:val="22"/>
        </w:rPr>
        <w:instrText>ADDIN CSL_CITATION {"citationItems":[{"id":"ITEM-1","itemData":{"author":[{"dropping-particle":"","family":"Tamer","given":"Derya","non-dropping-particle":"","parse-names":false,"suffix":""}],"container-title":"ISTANBUL BILGI UNIVERSITY INSTITUTE OF SOCIAL SCIENCES","id":"ITEM-1","issued":{"date-parts":[["2006"]]},"title":"SEGMENT REPORTING UNDERLYING IAS 14 AND ITS APPLICATION IN TURKEY","type":"article-journal"},"uris":["http://www.mendeley.com/documents/?uuid=412db1f0-a687-45eb-8e89-c3a8dbe443bd"]}],"mendeley":{"formattedCitation":"(Tamer, 2006)","manualFormatting":"Tamer (2006)","plainTextFormattedCitation":"(Tamer, 2006)","previouslyFormattedCitation":"(Tamer, 2006)"},"properties":{"noteIndex":0},"schema":"https://github.com/citation-style-language/schema/raw/master/csl-citation.json"}</w:instrText>
      </w:r>
      <w:r w:rsidRPr="00DB0DEF">
        <w:rPr>
          <w:rStyle w:val="fontstyle01"/>
          <w:rFonts w:ascii="Times New Roman" w:hAnsi="Times New Roman" w:cs="Times New Roman"/>
          <w:color w:val="auto"/>
          <w:sz w:val="22"/>
          <w:szCs w:val="22"/>
        </w:rPr>
        <w:fldChar w:fldCharType="separate"/>
      </w:r>
      <w:r w:rsidRPr="00DB0DEF">
        <w:rPr>
          <w:rStyle w:val="fontstyle01"/>
          <w:rFonts w:ascii="Times New Roman" w:hAnsi="Times New Roman" w:cs="Times New Roman"/>
          <w:color w:val="auto"/>
          <w:sz w:val="22"/>
          <w:szCs w:val="22"/>
        </w:rPr>
        <w:t>Tamer (2006)</w:t>
      </w:r>
      <w:r w:rsidRPr="00DB0DEF">
        <w:rPr>
          <w:rStyle w:val="fontstyle01"/>
          <w:rFonts w:ascii="Times New Roman" w:hAnsi="Times New Roman" w:cs="Times New Roman"/>
          <w:color w:val="auto"/>
          <w:sz w:val="22"/>
          <w:szCs w:val="22"/>
        </w:rPr>
        <w:fldChar w:fldCharType="end"/>
      </w:r>
      <w:r w:rsidR="00D567F5" w:rsidRPr="00DB0DEF">
        <w:rPr>
          <w:rStyle w:val="fontstyle01"/>
          <w:rFonts w:ascii="Times New Roman" w:hAnsi="Times New Roman" w:cs="Times New Roman"/>
          <w:color w:val="auto"/>
          <w:sz w:val="22"/>
          <w:szCs w:val="22"/>
        </w:rPr>
        <w:t xml:space="preserve">, </w:t>
      </w:r>
      <w:r w:rsidRPr="00DB0DEF">
        <w:rPr>
          <w:rStyle w:val="fontstyle01"/>
          <w:rFonts w:ascii="Times New Roman" w:hAnsi="Times New Roman" w:cs="Times New Roman"/>
          <w:color w:val="auto"/>
          <w:sz w:val="22"/>
          <w:szCs w:val="22"/>
        </w:rPr>
        <w:fldChar w:fldCharType="begin" w:fldLock="1"/>
      </w:r>
      <w:r w:rsidR="00996826" w:rsidRPr="00DB0DEF">
        <w:rPr>
          <w:rStyle w:val="fontstyle01"/>
          <w:rFonts w:ascii="Times New Roman" w:hAnsi="Times New Roman" w:cs="Times New Roman"/>
          <w:color w:val="auto"/>
          <w:sz w:val="22"/>
          <w:szCs w:val="22"/>
        </w:rPr>
        <w:instrText>ADDIN CSL_CITATION {"citationItems":[{"id":"ITEM-1","itemData":{"author":[{"dropping-particle":"","family":"Arsoy","given":"Aylin poroy","non-dropping-particle":"","parse-names":false,"suffix":""}],"container-title":"MUFAD - Muhasebe ve Finansman Dergisi","id":"ITEM-1","issue":"nisan","issued":{"date-parts":[["2008"]]},"page":"177-185","title":"Bölümsel Raporlamada Yeni Bir Uygulama: IFRS 8","type":"article-journal","volume":"38"},"uris":["http://www.mendeley.com/documents/?uuid=d36ea6dd-7851-46e1-8b98-c587853b3237"]}],"mendeley":{"formattedCitation":"(Arsoy, 2008)","manualFormatting":"Arsoy (2008)","plainTextFormattedCitation":"(Arsoy, 2008)","previouslyFormattedCitation":"(Arsoy, 2008)"},"properties":{"noteIndex":0},"schema":"https://github.com/citation-style-language/schema/raw/master/csl-citation.json"}</w:instrText>
      </w:r>
      <w:r w:rsidRPr="00DB0DEF">
        <w:rPr>
          <w:rStyle w:val="fontstyle01"/>
          <w:rFonts w:ascii="Times New Roman" w:hAnsi="Times New Roman" w:cs="Times New Roman"/>
          <w:color w:val="auto"/>
          <w:sz w:val="22"/>
          <w:szCs w:val="22"/>
        </w:rPr>
        <w:fldChar w:fldCharType="separate"/>
      </w:r>
      <w:r w:rsidRPr="00DB0DEF">
        <w:rPr>
          <w:rStyle w:val="fontstyle01"/>
          <w:rFonts w:ascii="Times New Roman" w:hAnsi="Times New Roman" w:cs="Times New Roman"/>
          <w:color w:val="auto"/>
          <w:sz w:val="22"/>
          <w:szCs w:val="22"/>
        </w:rPr>
        <w:t>Arsoy (2008)</w:t>
      </w:r>
      <w:r w:rsidRPr="00DB0DEF">
        <w:rPr>
          <w:rStyle w:val="fontstyle01"/>
          <w:rFonts w:ascii="Times New Roman" w:hAnsi="Times New Roman" w:cs="Times New Roman"/>
          <w:color w:val="auto"/>
          <w:sz w:val="22"/>
          <w:szCs w:val="22"/>
        </w:rPr>
        <w:fldChar w:fldCharType="end"/>
      </w:r>
      <w:r w:rsidRPr="00DB0DEF">
        <w:rPr>
          <w:rStyle w:val="fontstyle01"/>
          <w:rFonts w:ascii="Times New Roman" w:hAnsi="Times New Roman" w:cs="Times New Roman"/>
          <w:color w:val="auto"/>
          <w:sz w:val="22"/>
          <w:szCs w:val="22"/>
        </w:rPr>
        <w:t xml:space="preserve">, </w:t>
      </w:r>
      <w:r w:rsidR="00251729" w:rsidRPr="00DB0DEF">
        <w:rPr>
          <w:rStyle w:val="fontstyle01"/>
          <w:rFonts w:ascii="Times New Roman" w:hAnsi="Times New Roman" w:cs="Times New Roman"/>
          <w:color w:val="auto"/>
          <w:sz w:val="22"/>
          <w:szCs w:val="22"/>
        </w:rPr>
        <w:fldChar w:fldCharType="begin" w:fldLock="1"/>
      </w:r>
      <w:r w:rsidR="00D548A7" w:rsidRPr="00DB0DEF">
        <w:rPr>
          <w:rStyle w:val="fontstyle01"/>
          <w:rFonts w:ascii="Times New Roman" w:hAnsi="Times New Roman" w:cs="Times New Roman"/>
          <w:color w:val="auto"/>
          <w:sz w:val="22"/>
          <w:szCs w:val="22"/>
        </w:rPr>
        <w:instrText>ADDIN CSL_CITATION {"citationItems":[{"id":"ITEM-1","itemData":{"author":[{"dropping-particle":"","family":"Franzen","given":"Nina","non-dropping-particle":"","parse-names":false,"suffix":""},{"dropping-particle":"","family":"Weißenberger","given":"Barbara E","non-dropping-particle":"","parse-names":false,"suffix":""}],"container-title":"Journal of Applied Accounting Research","id":"ITEM-1","issue":"1","issued":{"date-parts":[["2015"]]},"page":"88-113","title":"The adoption of IFRS 8 – no headway made? Evidence from segment reporting practices in Germany","type":"article-journal","volume":"16"},"uris":["http://www.mendeley.com/documents/?uuid=9d7b06a3-c9e3-4822-b146-6caea36c8dac"]}],"mendeley":{"formattedCitation":"(Franzen &amp; Weißenberger, 2015)","manualFormatting":"Franzen ve  Weißenberger (2015)","plainTextFormattedCitation":"(Franzen &amp; Weißenberger, 2015)","previouslyFormattedCitation":"(Franzen &amp; Weißenberger, 2015)"},"properties":{"noteIndex":0},"schema":"https://github.com/citation-style-language/schema/raw/master/csl-citation.json"}</w:instrText>
      </w:r>
      <w:r w:rsidR="00251729" w:rsidRPr="00DB0DEF">
        <w:rPr>
          <w:rStyle w:val="fontstyle01"/>
          <w:rFonts w:ascii="Times New Roman" w:hAnsi="Times New Roman" w:cs="Times New Roman"/>
          <w:color w:val="auto"/>
          <w:sz w:val="22"/>
          <w:szCs w:val="22"/>
        </w:rPr>
        <w:fldChar w:fldCharType="separate"/>
      </w:r>
      <w:r w:rsidR="00251729" w:rsidRPr="00DB0DEF">
        <w:rPr>
          <w:rStyle w:val="fontstyle01"/>
          <w:rFonts w:ascii="Times New Roman" w:hAnsi="Times New Roman" w:cs="Times New Roman"/>
          <w:color w:val="auto"/>
          <w:sz w:val="22"/>
          <w:szCs w:val="22"/>
        </w:rPr>
        <w:t xml:space="preserve">Franzen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251729" w:rsidRPr="00DB0DEF">
        <w:rPr>
          <w:rStyle w:val="fontstyle01"/>
          <w:rFonts w:ascii="Times New Roman" w:hAnsi="Times New Roman" w:cs="Times New Roman"/>
          <w:color w:val="auto"/>
          <w:sz w:val="22"/>
          <w:szCs w:val="22"/>
        </w:rPr>
        <w:t xml:space="preserve"> Weißenberger </w:t>
      </w:r>
      <w:r w:rsidR="00B726BD" w:rsidRPr="00DB0DEF">
        <w:rPr>
          <w:rStyle w:val="fontstyle01"/>
          <w:rFonts w:ascii="Times New Roman" w:hAnsi="Times New Roman" w:cs="Times New Roman"/>
          <w:color w:val="auto"/>
          <w:sz w:val="22"/>
          <w:szCs w:val="22"/>
        </w:rPr>
        <w:t>(</w:t>
      </w:r>
      <w:r w:rsidR="00251729" w:rsidRPr="00DB0DEF">
        <w:rPr>
          <w:rStyle w:val="fontstyle01"/>
          <w:rFonts w:ascii="Times New Roman" w:hAnsi="Times New Roman" w:cs="Times New Roman"/>
          <w:color w:val="auto"/>
          <w:sz w:val="22"/>
          <w:szCs w:val="22"/>
        </w:rPr>
        <w:t>2015)</w:t>
      </w:r>
      <w:r w:rsidR="00251729" w:rsidRPr="00DB0DEF">
        <w:rPr>
          <w:rStyle w:val="fontstyle01"/>
          <w:rFonts w:ascii="Times New Roman" w:hAnsi="Times New Roman" w:cs="Times New Roman"/>
          <w:color w:val="auto"/>
          <w:sz w:val="22"/>
          <w:szCs w:val="22"/>
        </w:rPr>
        <w:fldChar w:fldCharType="end"/>
      </w:r>
      <w:r w:rsidR="00D567F5" w:rsidRPr="00DB0DEF">
        <w:rPr>
          <w:rStyle w:val="fontstyle01"/>
          <w:rFonts w:ascii="Times New Roman" w:hAnsi="Times New Roman" w:cs="Times New Roman"/>
          <w:color w:val="auto"/>
          <w:sz w:val="22"/>
          <w:szCs w:val="22"/>
        </w:rPr>
        <w:t xml:space="preserve"> gibi bazı yazarlar çalışmalarında IAS 14 veya IFRS 8'i teorik olarak incelemişler, aralarında karşılaştırma yapmışlardır.</w:t>
      </w:r>
      <w:r w:rsidR="00D74FED" w:rsidRPr="00DB0DEF">
        <w:rPr>
          <w:rStyle w:val="fontstyle01"/>
          <w:rFonts w:ascii="Times New Roman" w:hAnsi="Times New Roman" w:cs="Times New Roman"/>
          <w:color w:val="auto"/>
          <w:sz w:val="22"/>
          <w:szCs w:val="22"/>
        </w:rPr>
        <w:fldChar w:fldCharType="begin" w:fldLock="1"/>
      </w:r>
      <w:r w:rsidR="00D548A7" w:rsidRPr="00DB0DEF">
        <w:rPr>
          <w:rStyle w:val="fontstyle01"/>
          <w:rFonts w:ascii="Times New Roman" w:hAnsi="Times New Roman" w:cs="Times New Roman"/>
          <w:color w:val="auto"/>
          <w:sz w:val="22"/>
          <w:szCs w:val="22"/>
        </w:rPr>
        <w:instrText>ADDIN CSL_CITATION {"citationItems":[{"id":"ITEM-1","itemData":{"author":[{"dropping-particle":"","family":"Uyar","given":"Ali","non-dropping-particle":"","parse-names":false,"suffix":""},{"dropping-particle":"","family":"Göngörmüş","given":"ali haydar","non-dropping-particle":"","parse-names":false,"suffix":""}],"container-title":"Ç.Ü. Sosyal Bilimler Enstitüsü Dergisi,","id":"ITEM-1","issue":"2","issued":{"date-parts":[["2009"]]},"page":"427-439","title":"“TFRS 8 Faaliyet Bölümleri” Standardının Uygulanmasına İlişkin İMKB’de İşlem Gören Sanayi Şirketleri Üzerinde Bir Araştırma","type":"article-journal","volume":"18"},"uris":["http://www.mendeley.com/documents/?uuid=609a6e08-f8e7-4ea4-a74a-29366913f1d1"]}],"mendeley":{"formattedCitation":"(Uyar &amp; Göngörmüş, 2009)","manualFormatting":" Uyar ve Göngörmüş (2009)","plainTextFormattedCitation":"(Uyar &amp; Göngörmüş, 2009)","previouslyFormattedCitation":"(Uyar &amp; Göngörmüş, 2009)"},"properties":{"noteIndex":0},"schema":"https://github.com/citation-style-language/schema/raw/master/csl-citation.json"}</w:instrText>
      </w:r>
      <w:r w:rsidR="00D74FED" w:rsidRPr="00DB0DEF">
        <w:rPr>
          <w:rStyle w:val="fontstyle01"/>
          <w:rFonts w:ascii="Times New Roman" w:hAnsi="Times New Roman" w:cs="Times New Roman"/>
          <w:color w:val="auto"/>
          <w:sz w:val="22"/>
          <w:szCs w:val="22"/>
        </w:rPr>
        <w:fldChar w:fldCharType="separate"/>
      </w:r>
      <w:r w:rsidR="00D74FED" w:rsidRPr="00DB0DEF">
        <w:rPr>
          <w:rStyle w:val="fontstyle01"/>
          <w:rFonts w:ascii="Times New Roman" w:hAnsi="Times New Roman" w:cs="Times New Roman"/>
          <w:color w:val="auto"/>
          <w:sz w:val="22"/>
          <w:szCs w:val="22"/>
        </w:rPr>
        <w:t xml:space="preserve"> Uyar </w:t>
      </w:r>
      <w:r w:rsidR="009B2871" w:rsidRPr="00DB0DEF">
        <w:rPr>
          <w:rStyle w:val="fontstyle01"/>
          <w:rFonts w:ascii="Times New Roman" w:hAnsi="Times New Roman" w:cs="Times New Roman"/>
          <w:color w:val="auto"/>
          <w:sz w:val="22"/>
          <w:szCs w:val="22"/>
        </w:rPr>
        <w:t>ve</w:t>
      </w:r>
      <w:r w:rsidR="00D74FED" w:rsidRPr="00DB0DEF">
        <w:rPr>
          <w:rStyle w:val="fontstyle01"/>
          <w:rFonts w:ascii="Times New Roman" w:hAnsi="Times New Roman" w:cs="Times New Roman"/>
          <w:color w:val="auto"/>
          <w:sz w:val="22"/>
          <w:szCs w:val="22"/>
        </w:rPr>
        <w:t xml:space="preserve"> Göngörmüş (2009)</w:t>
      </w:r>
      <w:r w:rsidR="00D74FED" w:rsidRPr="00DB0DEF">
        <w:rPr>
          <w:rStyle w:val="fontstyle01"/>
          <w:rFonts w:ascii="Times New Roman" w:hAnsi="Times New Roman" w:cs="Times New Roman"/>
          <w:color w:val="auto"/>
          <w:sz w:val="22"/>
          <w:szCs w:val="22"/>
        </w:rPr>
        <w:fldChar w:fldCharType="end"/>
      </w:r>
      <w:r w:rsidR="00D567F5" w:rsidRPr="00DB0DEF">
        <w:rPr>
          <w:rStyle w:val="fontstyle01"/>
          <w:rFonts w:ascii="Times New Roman" w:hAnsi="Times New Roman" w:cs="Times New Roman"/>
          <w:color w:val="auto"/>
          <w:sz w:val="22"/>
          <w:szCs w:val="22"/>
        </w:rPr>
        <w:t xml:space="preserve">, </w:t>
      </w:r>
      <w:r w:rsidR="00756B51" w:rsidRPr="00DB0DEF">
        <w:rPr>
          <w:rStyle w:val="fontstyle01"/>
          <w:rFonts w:ascii="Times New Roman" w:hAnsi="Times New Roman" w:cs="Times New Roman"/>
          <w:color w:val="auto"/>
          <w:sz w:val="22"/>
          <w:szCs w:val="22"/>
        </w:rPr>
        <w:fldChar w:fldCharType="begin" w:fldLock="1"/>
      </w:r>
      <w:r w:rsidR="00996826" w:rsidRPr="00DB0DEF">
        <w:rPr>
          <w:rStyle w:val="fontstyle01"/>
          <w:rFonts w:ascii="Times New Roman" w:hAnsi="Times New Roman" w:cs="Times New Roman"/>
          <w:color w:val="auto"/>
          <w:sz w:val="22"/>
          <w:szCs w:val="22"/>
        </w:rPr>
        <w:instrText>ADDIN CSL_CITATION {"citationItems":[{"id":"ITEM-1","itemData":{"ISSN":"1307-542X","author":[{"dropping-particle":"","family":"Altıntaş","given":"Taylan","non-dropping-particle":"","parse-names":false,"suffix":""}],"container-title":"Sosyal Bilimler Dergisi","id":"ITEM-1","issue":"2","issued":{"date-parts":[["2010"]]},"page":"98-107","title":"Switching To Ifrs 8 and Its Impact on the Turkish Listed Companies","type":"article-journal","volume":"0"},"uris":["http://www.mendeley.com/documents/?uuid=0338c3ff-d2b8-477e-882c-1d448c051b5a"]}],"mendeley":{"formattedCitation":"(Altıntaş, 2010)","manualFormatting":"Altıntaş (2010)","plainTextFormattedCitation":"(Altıntaş, 2010)","previouslyFormattedCitation":"(Altıntaş, 2010)"},"properties":{"noteIndex":0},"schema":"https://github.com/citation-style-language/schema/raw/master/csl-citation.json"}</w:instrText>
      </w:r>
      <w:r w:rsidR="00756B51" w:rsidRPr="00DB0DEF">
        <w:rPr>
          <w:rStyle w:val="fontstyle01"/>
          <w:rFonts w:ascii="Times New Roman" w:hAnsi="Times New Roman" w:cs="Times New Roman"/>
          <w:color w:val="auto"/>
          <w:sz w:val="22"/>
          <w:szCs w:val="22"/>
        </w:rPr>
        <w:fldChar w:fldCharType="separate"/>
      </w:r>
      <w:r w:rsidR="00756B51" w:rsidRPr="00DB0DEF">
        <w:rPr>
          <w:rStyle w:val="fontstyle01"/>
          <w:rFonts w:ascii="Times New Roman" w:hAnsi="Times New Roman" w:cs="Times New Roman"/>
          <w:color w:val="auto"/>
          <w:sz w:val="22"/>
          <w:szCs w:val="22"/>
        </w:rPr>
        <w:t>Altıntaş (2010)</w:t>
      </w:r>
      <w:r w:rsidR="00756B51" w:rsidRPr="00DB0DEF">
        <w:rPr>
          <w:rStyle w:val="fontstyle01"/>
          <w:rFonts w:ascii="Times New Roman" w:hAnsi="Times New Roman" w:cs="Times New Roman"/>
          <w:color w:val="auto"/>
          <w:sz w:val="22"/>
          <w:szCs w:val="22"/>
        </w:rPr>
        <w:fldChar w:fldCharType="end"/>
      </w:r>
      <w:r w:rsidR="00D567F5" w:rsidRPr="00DB0DEF">
        <w:rPr>
          <w:rStyle w:val="fontstyle01"/>
          <w:rFonts w:ascii="Times New Roman" w:hAnsi="Times New Roman" w:cs="Times New Roman"/>
          <w:color w:val="auto"/>
          <w:sz w:val="22"/>
          <w:szCs w:val="22"/>
        </w:rPr>
        <w:t xml:space="preserve">, </w:t>
      </w:r>
      <w:r w:rsidR="00756B51" w:rsidRPr="00DB0DEF">
        <w:rPr>
          <w:rStyle w:val="fontstyle01"/>
          <w:rFonts w:ascii="Times New Roman" w:hAnsi="Times New Roman" w:cs="Times New Roman"/>
          <w:color w:val="auto"/>
          <w:sz w:val="22"/>
          <w:szCs w:val="22"/>
        </w:rPr>
        <w:fldChar w:fldCharType="begin" w:fldLock="1"/>
      </w:r>
      <w:r w:rsidR="00D548A7" w:rsidRPr="00DB0DEF">
        <w:rPr>
          <w:rStyle w:val="fontstyle01"/>
          <w:rFonts w:ascii="Times New Roman" w:hAnsi="Times New Roman" w:cs="Times New Roman"/>
          <w:color w:val="auto"/>
          <w:sz w:val="22"/>
          <w:szCs w:val="22"/>
        </w:rPr>
        <w:instrText>ADDIN CSL_CITATION {"citationItems":[{"id":"ITEM-1","itemData":{"author":[{"dropping-particle":"","family":"Çiftçioğlu","given":"Aydem","non-dropping-particle":"","parse-names":false,"suffix":""},{"dropping-particle":"","family":"Poroy","given":"Nergis","non-dropping-particle":"","parse-names":false,"suffix":""}],"container-title":"İşletme ve Ekonomi Araştırmaları Dergisi","id":"ITEM-1","issue":"1","issued":{"date-parts":[["2010"]]},"page":"83-99","title":"Sosyal Sorumluluk ve Bölümlere Göre Raporlama ilişkisini Anlamaya Yönelik Bir Araştırma","type":"article-journal","volume":"1"},"uris":["http://www.mendeley.com/documents/?uuid=ebb8a970-4d47-468d-8b3b-2e51d3480894"]}],"mendeley":{"formattedCitation":"(Çiftçioğlu &amp; Poroy, 2010b)","manualFormatting":"Çiftçioğlu ve Poroy (2010)","plainTextFormattedCitation":"(Çiftçioğlu &amp; Poroy, 2010b)","previouslyFormattedCitation":"(Çiftçioğlu &amp; Poroy, 2010b)"},"properties":{"noteIndex":0},"schema":"https://github.com/citation-style-language/schema/raw/master/csl-citation.json"}</w:instrText>
      </w:r>
      <w:r w:rsidR="00756B51" w:rsidRPr="00DB0DEF">
        <w:rPr>
          <w:rStyle w:val="fontstyle01"/>
          <w:rFonts w:ascii="Times New Roman" w:hAnsi="Times New Roman" w:cs="Times New Roman"/>
          <w:color w:val="auto"/>
          <w:sz w:val="22"/>
          <w:szCs w:val="22"/>
        </w:rPr>
        <w:fldChar w:fldCharType="separate"/>
      </w:r>
      <w:r w:rsidR="00756B51" w:rsidRPr="00DB0DEF">
        <w:rPr>
          <w:rStyle w:val="fontstyle01"/>
          <w:rFonts w:ascii="Times New Roman" w:hAnsi="Times New Roman" w:cs="Times New Roman"/>
          <w:color w:val="auto"/>
          <w:sz w:val="22"/>
          <w:szCs w:val="22"/>
        </w:rPr>
        <w:t xml:space="preserve">Çiftçioğlu </w:t>
      </w:r>
      <w:r w:rsidR="009B2871" w:rsidRPr="00DB0DEF">
        <w:rPr>
          <w:rFonts w:ascii="Times New Roman" w:hAnsi="Times New Roman" w:cs="Times New Roman"/>
        </w:rPr>
        <w:t>ve</w:t>
      </w:r>
      <w:r w:rsidR="00F53D28" w:rsidRPr="00DB0DEF">
        <w:rPr>
          <w:rFonts w:ascii="Times New Roman" w:hAnsi="Times New Roman" w:cs="Times New Roman"/>
        </w:rPr>
        <w:t xml:space="preserve"> </w:t>
      </w:r>
      <w:r w:rsidR="00756B51" w:rsidRPr="00DB0DEF">
        <w:rPr>
          <w:rStyle w:val="fontstyle01"/>
          <w:rFonts w:ascii="Times New Roman" w:hAnsi="Times New Roman" w:cs="Times New Roman"/>
          <w:color w:val="auto"/>
          <w:sz w:val="22"/>
          <w:szCs w:val="22"/>
        </w:rPr>
        <w:t>Poroy (2010)</w:t>
      </w:r>
      <w:r w:rsidR="00756B51" w:rsidRPr="00DB0DEF">
        <w:rPr>
          <w:rStyle w:val="fontstyle01"/>
          <w:rFonts w:ascii="Times New Roman" w:hAnsi="Times New Roman" w:cs="Times New Roman"/>
          <w:color w:val="auto"/>
          <w:sz w:val="22"/>
          <w:szCs w:val="22"/>
        </w:rPr>
        <w:fldChar w:fldCharType="end"/>
      </w:r>
      <w:r w:rsidR="00627F2B" w:rsidRPr="00DB0DEF">
        <w:rPr>
          <w:rStyle w:val="fontstyle01"/>
          <w:rFonts w:ascii="Times New Roman" w:hAnsi="Times New Roman" w:cs="Times New Roman"/>
          <w:color w:val="auto"/>
          <w:sz w:val="22"/>
          <w:szCs w:val="22"/>
        </w:rPr>
        <w:t xml:space="preserve"> </w:t>
      </w:r>
      <w:r w:rsidR="00D567F5" w:rsidRPr="00DB0DEF">
        <w:rPr>
          <w:rStyle w:val="fontstyle01"/>
          <w:rFonts w:ascii="Times New Roman" w:hAnsi="Times New Roman" w:cs="Times New Roman"/>
          <w:color w:val="auto"/>
          <w:sz w:val="22"/>
          <w:szCs w:val="22"/>
        </w:rPr>
        <w:t>gibi bazı yazarlar TMS 14 ve TFRS 8’in uygulanma düzeyini tespit etmeye çalışmışlardır.</w:t>
      </w:r>
      <w:r w:rsidRPr="00DB0DEF">
        <w:rPr>
          <w:rStyle w:val="fontstyle01"/>
          <w:rFonts w:ascii="Times New Roman" w:hAnsi="Times New Roman" w:cs="Times New Roman"/>
          <w:color w:val="auto"/>
          <w:sz w:val="22"/>
          <w:szCs w:val="22"/>
        </w:rPr>
        <w:t xml:space="preserve"> </w:t>
      </w:r>
      <w:r w:rsidR="00AC38F3" w:rsidRPr="00DB0DEF">
        <w:rPr>
          <w:rStyle w:val="fontstyle01"/>
          <w:rFonts w:ascii="Times New Roman" w:hAnsi="Times New Roman" w:cs="Times New Roman"/>
          <w:color w:val="auto"/>
          <w:sz w:val="22"/>
          <w:szCs w:val="22"/>
        </w:rPr>
        <w:t xml:space="preserve"> </w:t>
      </w:r>
      <w:r w:rsidR="001358D8" w:rsidRPr="00DB0DEF">
        <w:rPr>
          <w:rStyle w:val="fontstyle01"/>
          <w:rFonts w:ascii="Times New Roman" w:hAnsi="Times New Roman" w:cs="Times New Roman"/>
          <w:color w:val="auto"/>
          <w:sz w:val="22"/>
          <w:szCs w:val="22"/>
        </w:rPr>
        <w:t xml:space="preserve">Örneğin bu çalışmalardan </w:t>
      </w:r>
      <w:r w:rsidR="003F0471" w:rsidRPr="00DB0DEF">
        <w:rPr>
          <w:rStyle w:val="fontstyle01"/>
          <w:rFonts w:ascii="Times New Roman" w:hAnsi="Times New Roman" w:cs="Times New Roman"/>
          <w:color w:val="auto"/>
          <w:sz w:val="22"/>
          <w:szCs w:val="22"/>
        </w:rPr>
        <w:fldChar w:fldCharType="begin" w:fldLock="1"/>
      </w:r>
      <w:r w:rsidR="00D548A7" w:rsidRPr="00DB0DEF">
        <w:rPr>
          <w:rStyle w:val="fontstyle01"/>
          <w:rFonts w:ascii="Times New Roman" w:hAnsi="Times New Roman" w:cs="Times New Roman"/>
          <w:color w:val="auto"/>
          <w:sz w:val="22"/>
          <w:szCs w:val="22"/>
        </w:rPr>
        <w:instrText>ADDIN CSL_CITATION {"citationItems":[{"id":"ITEM-1","itemData":{"author":[{"dropping-particle":"","family":"Çiftçioğlu","given":"Aydem","non-dropping-particle":"","parse-names":false,"suffix":""},{"dropping-particle":"","family":"Poroy","given":"Nergis","non-dropping-particle":"","parse-names":false,"suffix":""}],"container-title":"Đşletme ve Ekonomi Araştırmaları Dergisi","id":"ITEM-1","issue":"1","issued":{"date-parts":[["2010"]]},"page":"83-99","title":"Sosyal Sorumluluk ve Bölümlere Göre Raporlama Đlişkisini Anlamaya Yönelik Bir Araştırma","type":"article-journal","volume":"1"},"uris":["http://www.mendeley.com/documents/?uuid=048de6cf-81bd-4537-837a-5a1e320788b2"]}],"mendeley":{"formattedCitation":"(Çiftçioğlu &amp; Poroy, 2010a)","manualFormatting":"Çiftçioğlu ve Poroy (2010)","plainTextFormattedCitation":"(Çiftçioğlu &amp; Poroy, 2010a)","previouslyFormattedCitation":"(Çiftçioğlu &amp; Poroy, 2010a)"},"properties":{"noteIndex":0},"schema":"https://github.com/citation-style-language/schema/raw/master/csl-citation.json"}</w:instrText>
      </w:r>
      <w:r w:rsidR="003F0471" w:rsidRPr="00DB0DEF">
        <w:rPr>
          <w:rStyle w:val="fontstyle01"/>
          <w:rFonts w:ascii="Times New Roman" w:hAnsi="Times New Roman" w:cs="Times New Roman"/>
          <w:color w:val="auto"/>
          <w:sz w:val="22"/>
          <w:szCs w:val="22"/>
        </w:rPr>
        <w:fldChar w:fldCharType="separate"/>
      </w:r>
      <w:r w:rsidR="003F0471" w:rsidRPr="00DB0DEF">
        <w:rPr>
          <w:rStyle w:val="fontstyle01"/>
          <w:rFonts w:ascii="Times New Roman" w:hAnsi="Times New Roman" w:cs="Times New Roman"/>
          <w:color w:val="auto"/>
          <w:sz w:val="22"/>
          <w:szCs w:val="22"/>
        </w:rPr>
        <w:t xml:space="preserve">Çiftçioğlu </w:t>
      </w:r>
      <w:r w:rsidR="009B2871" w:rsidRPr="00DB0DEF">
        <w:rPr>
          <w:rFonts w:ascii="Times New Roman" w:eastAsia="Times New Roman" w:hAnsi="Times New Roman" w:cs="Times New Roman"/>
          <w:lang w:eastAsia="tr-TR"/>
        </w:rPr>
        <w:t>ve</w:t>
      </w:r>
      <w:r w:rsidR="003F0471" w:rsidRPr="00DB0DEF">
        <w:rPr>
          <w:rStyle w:val="fontstyle01"/>
          <w:rFonts w:ascii="Times New Roman" w:hAnsi="Times New Roman" w:cs="Times New Roman"/>
          <w:color w:val="auto"/>
          <w:sz w:val="22"/>
          <w:szCs w:val="22"/>
        </w:rPr>
        <w:t xml:space="preserve"> Poroy (2010)</w:t>
      </w:r>
      <w:r w:rsidR="003F0471" w:rsidRPr="00DB0DEF">
        <w:rPr>
          <w:rStyle w:val="fontstyle01"/>
          <w:rFonts w:ascii="Times New Roman" w:hAnsi="Times New Roman" w:cs="Times New Roman"/>
          <w:color w:val="auto"/>
          <w:sz w:val="22"/>
          <w:szCs w:val="22"/>
        </w:rPr>
        <w:fldChar w:fldCharType="end"/>
      </w:r>
      <w:r w:rsidR="003F0471" w:rsidRPr="00DB0DEF">
        <w:rPr>
          <w:rStyle w:val="fontstyle01"/>
          <w:rFonts w:ascii="Times New Roman" w:hAnsi="Times New Roman" w:cs="Times New Roman"/>
          <w:color w:val="auto"/>
          <w:sz w:val="22"/>
          <w:szCs w:val="22"/>
        </w:rPr>
        <w:t xml:space="preserve"> </w:t>
      </w:r>
      <w:r w:rsidRPr="00DB0DEF">
        <w:rPr>
          <w:rStyle w:val="fontstyle01"/>
          <w:rFonts w:ascii="Times New Roman" w:hAnsi="Times New Roman" w:cs="Times New Roman"/>
          <w:color w:val="auto"/>
          <w:sz w:val="22"/>
          <w:szCs w:val="22"/>
        </w:rPr>
        <w:t>İMKB 100 endeksi dikkate alınarak yap</w:t>
      </w:r>
      <w:r w:rsidR="001358D8" w:rsidRPr="00DB0DEF">
        <w:rPr>
          <w:rStyle w:val="fontstyle01"/>
          <w:rFonts w:ascii="Times New Roman" w:hAnsi="Times New Roman" w:cs="Times New Roman"/>
          <w:color w:val="auto"/>
          <w:sz w:val="22"/>
          <w:szCs w:val="22"/>
        </w:rPr>
        <w:t>tıkları</w:t>
      </w:r>
      <w:r w:rsidRPr="00DB0DEF">
        <w:rPr>
          <w:rStyle w:val="fontstyle01"/>
          <w:rFonts w:ascii="Times New Roman" w:hAnsi="Times New Roman" w:cs="Times New Roman"/>
          <w:color w:val="auto"/>
          <w:sz w:val="22"/>
          <w:szCs w:val="22"/>
        </w:rPr>
        <w:t xml:space="preserve"> çalışmalar</w:t>
      </w:r>
      <w:r w:rsidR="001358D8" w:rsidRPr="00DB0DEF">
        <w:rPr>
          <w:rStyle w:val="fontstyle01"/>
          <w:rFonts w:ascii="Times New Roman" w:hAnsi="Times New Roman" w:cs="Times New Roman"/>
          <w:color w:val="auto"/>
          <w:sz w:val="22"/>
          <w:szCs w:val="22"/>
        </w:rPr>
        <w:t>ın</w:t>
      </w:r>
      <w:r w:rsidRPr="00DB0DEF">
        <w:rPr>
          <w:rStyle w:val="fontstyle01"/>
          <w:rFonts w:ascii="Times New Roman" w:hAnsi="Times New Roman" w:cs="Times New Roman"/>
          <w:color w:val="auto"/>
          <w:sz w:val="22"/>
          <w:szCs w:val="22"/>
        </w:rPr>
        <w:t>da TFRS 8 standardına geçiş sonrasında bölümsel raporlama yapan şirketlerin sayısında ciddi bir artış olduğu</w:t>
      </w:r>
      <w:r w:rsidR="00D74FED" w:rsidRPr="00DB0DEF">
        <w:rPr>
          <w:rStyle w:val="fontstyle01"/>
          <w:rFonts w:ascii="Times New Roman" w:hAnsi="Times New Roman" w:cs="Times New Roman"/>
          <w:color w:val="auto"/>
          <w:sz w:val="22"/>
          <w:szCs w:val="22"/>
        </w:rPr>
        <w:t>n</w:t>
      </w:r>
      <w:r w:rsidR="001358D8" w:rsidRPr="00DB0DEF">
        <w:rPr>
          <w:rStyle w:val="fontstyle01"/>
          <w:rFonts w:ascii="Times New Roman" w:hAnsi="Times New Roman" w:cs="Times New Roman"/>
          <w:color w:val="auto"/>
          <w:sz w:val="22"/>
          <w:szCs w:val="22"/>
        </w:rPr>
        <w:t>u</w:t>
      </w:r>
      <w:r w:rsidRPr="00DB0DEF">
        <w:rPr>
          <w:rStyle w:val="fontstyle01"/>
          <w:rFonts w:ascii="Times New Roman" w:hAnsi="Times New Roman" w:cs="Times New Roman"/>
          <w:color w:val="auto"/>
          <w:sz w:val="22"/>
          <w:szCs w:val="22"/>
        </w:rPr>
        <w:t xml:space="preserve"> tespit etmişlerdir</w:t>
      </w:r>
      <w:r w:rsidR="001358D8" w:rsidRPr="00DB0DEF">
        <w:rPr>
          <w:rStyle w:val="fontstyle01"/>
          <w:rFonts w:ascii="Times New Roman" w:hAnsi="Times New Roman" w:cs="Times New Roman"/>
          <w:color w:val="auto"/>
          <w:sz w:val="22"/>
          <w:szCs w:val="22"/>
        </w:rPr>
        <w:t>.</w:t>
      </w:r>
    </w:p>
    <w:p w14:paraId="6BE5FC02" w14:textId="2190E1FB" w:rsidR="00E53709" w:rsidRPr="00DB0DEF" w:rsidRDefault="00D567F5" w:rsidP="004F78C1">
      <w:pPr>
        <w:spacing w:before="120" w:after="120"/>
        <w:ind w:firstLine="425"/>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t>Bu çalışmalar haricinde Dünyada ve Türkiye’de IAS (TMS) 14-</w:t>
      </w:r>
      <w:r w:rsidR="001358D8" w:rsidRPr="00DB0DEF">
        <w:rPr>
          <w:rStyle w:val="fontstyle01"/>
          <w:rFonts w:ascii="Times New Roman" w:hAnsi="Times New Roman" w:cs="Times New Roman"/>
          <w:color w:val="auto"/>
          <w:sz w:val="22"/>
          <w:szCs w:val="22"/>
        </w:rPr>
        <w:t xml:space="preserve"> </w:t>
      </w:r>
      <w:r w:rsidRPr="00DB0DEF">
        <w:rPr>
          <w:rStyle w:val="fontstyle01"/>
          <w:rFonts w:ascii="Times New Roman" w:hAnsi="Times New Roman" w:cs="Times New Roman"/>
          <w:color w:val="auto"/>
          <w:sz w:val="22"/>
          <w:szCs w:val="22"/>
        </w:rPr>
        <w:t xml:space="preserve">IFRS (TFRS) 8 kapsamında işletmeler tarafından yapılan bölümsel raporlamalarda sunulan bilgi </w:t>
      </w:r>
      <w:r w:rsidR="00AF1E21" w:rsidRPr="00DB0DEF">
        <w:rPr>
          <w:rStyle w:val="fontstyle01"/>
          <w:rFonts w:ascii="Times New Roman" w:hAnsi="Times New Roman" w:cs="Times New Roman"/>
          <w:color w:val="auto"/>
          <w:sz w:val="22"/>
          <w:szCs w:val="22"/>
        </w:rPr>
        <w:t xml:space="preserve">açıklama </w:t>
      </w:r>
      <w:r w:rsidRPr="00DB0DEF">
        <w:rPr>
          <w:rStyle w:val="fontstyle01"/>
          <w:rFonts w:ascii="Times New Roman" w:hAnsi="Times New Roman" w:cs="Times New Roman"/>
          <w:color w:val="auto"/>
          <w:sz w:val="22"/>
          <w:szCs w:val="22"/>
        </w:rPr>
        <w:t>düzeyini</w:t>
      </w:r>
      <w:r w:rsidR="00AF1E21" w:rsidRPr="00DB0DEF">
        <w:rPr>
          <w:rStyle w:val="fontstyle01"/>
          <w:rFonts w:ascii="Times New Roman" w:hAnsi="Times New Roman" w:cs="Times New Roman"/>
          <w:color w:val="auto"/>
          <w:sz w:val="22"/>
          <w:szCs w:val="22"/>
        </w:rPr>
        <w:t xml:space="preserve"> ve bilgi </w:t>
      </w:r>
      <w:r w:rsidRPr="00DB0DEF">
        <w:rPr>
          <w:rStyle w:val="fontstyle01"/>
          <w:rFonts w:ascii="Times New Roman" w:hAnsi="Times New Roman" w:cs="Times New Roman"/>
          <w:color w:val="auto"/>
          <w:sz w:val="22"/>
          <w:szCs w:val="22"/>
        </w:rPr>
        <w:t>kalitesini</w:t>
      </w:r>
      <w:r w:rsidR="00AF1E21" w:rsidRPr="00DB0DEF">
        <w:rPr>
          <w:rStyle w:val="fontstyle01"/>
          <w:rFonts w:ascii="Times New Roman" w:hAnsi="Times New Roman" w:cs="Times New Roman"/>
          <w:color w:val="auto"/>
          <w:sz w:val="22"/>
          <w:szCs w:val="22"/>
        </w:rPr>
        <w:t xml:space="preserve"> </w:t>
      </w:r>
      <w:r w:rsidRPr="00DB0DEF">
        <w:rPr>
          <w:rStyle w:val="fontstyle01"/>
          <w:rFonts w:ascii="Times New Roman" w:hAnsi="Times New Roman" w:cs="Times New Roman"/>
          <w:color w:val="auto"/>
          <w:sz w:val="22"/>
          <w:szCs w:val="22"/>
        </w:rPr>
        <w:t>etkileyen unsurlar</w:t>
      </w:r>
      <w:r w:rsidR="00820074" w:rsidRPr="00DB0DEF">
        <w:rPr>
          <w:rStyle w:val="fontstyle01"/>
          <w:rFonts w:ascii="Times New Roman" w:hAnsi="Times New Roman" w:cs="Times New Roman"/>
          <w:color w:val="auto"/>
          <w:sz w:val="22"/>
          <w:szCs w:val="22"/>
        </w:rPr>
        <w:t>ı</w:t>
      </w:r>
      <w:r w:rsidRPr="00DB0DEF">
        <w:rPr>
          <w:rStyle w:val="fontstyle01"/>
          <w:rFonts w:ascii="Times New Roman" w:hAnsi="Times New Roman" w:cs="Times New Roman"/>
          <w:color w:val="auto"/>
          <w:sz w:val="22"/>
          <w:szCs w:val="22"/>
        </w:rPr>
        <w:t xml:space="preserve"> </w:t>
      </w:r>
      <w:r w:rsidR="00820074" w:rsidRPr="00DB0DEF">
        <w:rPr>
          <w:rStyle w:val="fontstyle01"/>
          <w:rFonts w:ascii="Times New Roman" w:hAnsi="Times New Roman" w:cs="Times New Roman"/>
          <w:color w:val="auto"/>
          <w:sz w:val="22"/>
          <w:szCs w:val="22"/>
        </w:rPr>
        <w:t>inceleyen</w:t>
      </w:r>
      <w:r w:rsidRPr="00DB0DEF">
        <w:rPr>
          <w:rStyle w:val="fontstyle01"/>
          <w:rFonts w:ascii="Times New Roman" w:hAnsi="Times New Roman" w:cs="Times New Roman"/>
          <w:color w:val="auto"/>
          <w:sz w:val="22"/>
          <w:szCs w:val="22"/>
        </w:rPr>
        <w:t xml:space="preserve"> </w:t>
      </w:r>
      <w:r w:rsidR="004C234A" w:rsidRPr="00DB0DEF">
        <w:rPr>
          <w:rStyle w:val="fontstyle01"/>
          <w:rFonts w:ascii="Times New Roman" w:hAnsi="Times New Roman" w:cs="Times New Roman"/>
          <w:color w:val="auto"/>
          <w:sz w:val="22"/>
          <w:szCs w:val="22"/>
        </w:rPr>
        <w:t>çalışmala</w:t>
      </w:r>
      <w:r w:rsidR="002B6ED1" w:rsidRPr="00DB0DEF">
        <w:rPr>
          <w:rStyle w:val="fontstyle01"/>
          <w:rFonts w:ascii="Times New Roman" w:hAnsi="Times New Roman" w:cs="Times New Roman"/>
          <w:color w:val="auto"/>
          <w:sz w:val="22"/>
          <w:szCs w:val="22"/>
        </w:rPr>
        <w:t xml:space="preserve">r bulunmaktadır. </w:t>
      </w:r>
      <w:r w:rsidR="00452BE8" w:rsidRPr="00DB0DEF">
        <w:rPr>
          <w:rStyle w:val="fontstyle01"/>
          <w:rFonts w:ascii="Times New Roman" w:hAnsi="Times New Roman" w:cs="Times New Roman"/>
          <w:color w:val="auto"/>
          <w:sz w:val="22"/>
          <w:szCs w:val="22"/>
        </w:rPr>
        <w:t xml:space="preserve">Örneğin </w:t>
      </w:r>
      <w:r w:rsidR="0015672C" w:rsidRPr="00DB0DEF">
        <w:rPr>
          <w:rStyle w:val="fontstyle01"/>
          <w:rFonts w:ascii="Times New Roman" w:hAnsi="Times New Roman" w:cs="Times New Roman"/>
          <w:color w:val="auto"/>
          <w:sz w:val="22"/>
          <w:szCs w:val="22"/>
        </w:rPr>
        <w:t>b</w:t>
      </w:r>
      <w:r w:rsidR="00E53709" w:rsidRPr="00DB0DEF">
        <w:rPr>
          <w:rStyle w:val="fontstyle01"/>
          <w:rFonts w:ascii="Times New Roman" w:hAnsi="Times New Roman" w:cs="Times New Roman"/>
          <w:color w:val="auto"/>
          <w:sz w:val="22"/>
          <w:szCs w:val="22"/>
        </w:rPr>
        <w:t xml:space="preserve">u çalışmalardan </w:t>
      </w:r>
      <w:r w:rsidR="00C97466" w:rsidRPr="00DB0DEF">
        <w:rPr>
          <w:rStyle w:val="fontstyle01"/>
          <w:rFonts w:ascii="Times New Roman" w:hAnsi="Times New Roman" w:cs="Times New Roman"/>
          <w:color w:val="auto"/>
          <w:sz w:val="22"/>
          <w:szCs w:val="22"/>
        </w:rPr>
        <w:fldChar w:fldCharType="begin" w:fldLock="1"/>
      </w:r>
      <w:r w:rsidR="00D548A7" w:rsidRPr="00DB0DEF">
        <w:rPr>
          <w:rStyle w:val="fontstyle01"/>
          <w:rFonts w:ascii="Times New Roman" w:hAnsi="Times New Roman" w:cs="Times New Roman"/>
          <w:color w:val="auto"/>
          <w:sz w:val="22"/>
          <w:szCs w:val="22"/>
        </w:rPr>
        <w:instrText>ADDIN CSL_CITATION {"citationItems":[{"id":"ITEM-1","itemData":{"author":[{"dropping-particle":"","family":"Ömürbek","given":"Vesile","non-dropping-particle":"","parse-names":false,"suffix":""},{"dropping-particle":"","family":"Özdemir","given":"Ozan","non-dropping-particle":"","parse-names":false,"suffix":""}],"container-title":"MUFAD - Muhasebe ve Finansman Dergisi","id":"ITEM-1","issued":{"date-parts":[["2009"]]},"page":"199-211","title":"TFRS 8 Faaliyet Bölümleri Standardı Çerçevesinde Coğrafi Bölümlere Göre Finansal Raporlama : İMKB-100 Şirketlerinde Uygulanma Düzeyi","type":"article-journal","volume":"44"},"uris":["http://www.mendeley.com/documents/?uuid=1c3cc385-2cd5-460c-8805-48d44092170b"]}],"mendeley":{"formattedCitation":"(Ömürbek &amp; Özdemir, 2009)","manualFormatting":"Ömürbek ve Özdemir (2009)","plainTextFormattedCitation":"(Ömürbek &amp; Özdemir, 2009)","previouslyFormattedCitation":"(Ömürbek &amp; Özdemir, 2009)"},"properties":{"noteIndex":0},"schema":"https://github.com/citation-style-language/schema/raw/master/csl-citation.json"}</w:instrText>
      </w:r>
      <w:r w:rsidR="00C97466" w:rsidRPr="00DB0DEF">
        <w:rPr>
          <w:rStyle w:val="fontstyle01"/>
          <w:rFonts w:ascii="Times New Roman" w:hAnsi="Times New Roman" w:cs="Times New Roman"/>
          <w:color w:val="auto"/>
          <w:sz w:val="22"/>
          <w:szCs w:val="22"/>
        </w:rPr>
        <w:fldChar w:fldCharType="separate"/>
      </w:r>
      <w:r w:rsidR="00C97466" w:rsidRPr="00DB0DEF">
        <w:rPr>
          <w:rStyle w:val="fontstyle01"/>
          <w:rFonts w:ascii="Times New Roman" w:hAnsi="Times New Roman" w:cs="Times New Roman"/>
          <w:color w:val="auto"/>
          <w:sz w:val="22"/>
          <w:szCs w:val="22"/>
        </w:rPr>
        <w:t xml:space="preserve">Ömürbek </w:t>
      </w:r>
      <w:r w:rsidR="009B2871" w:rsidRPr="00DB0DEF">
        <w:rPr>
          <w:rStyle w:val="fontstyle01"/>
          <w:rFonts w:ascii="Times New Roman" w:hAnsi="Times New Roman" w:cs="Times New Roman"/>
          <w:color w:val="auto"/>
          <w:sz w:val="22"/>
          <w:szCs w:val="22"/>
        </w:rPr>
        <w:t>ve</w:t>
      </w:r>
      <w:r w:rsidR="00C97466" w:rsidRPr="00DB0DEF">
        <w:rPr>
          <w:rStyle w:val="fontstyle01"/>
          <w:rFonts w:ascii="Times New Roman" w:hAnsi="Times New Roman" w:cs="Times New Roman"/>
          <w:color w:val="auto"/>
          <w:sz w:val="22"/>
          <w:szCs w:val="22"/>
        </w:rPr>
        <w:t xml:space="preserve"> Özdemir (2009)</w:t>
      </w:r>
      <w:r w:rsidR="00C97466" w:rsidRPr="00DB0DEF">
        <w:rPr>
          <w:rStyle w:val="fontstyle01"/>
          <w:rFonts w:ascii="Times New Roman" w:hAnsi="Times New Roman" w:cs="Times New Roman"/>
          <w:color w:val="auto"/>
          <w:sz w:val="22"/>
          <w:szCs w:val="22"/>
        </w:rPr>
        <w:fldChar w:fldCharType="end"/>
      </w:r>
      <w:r w:rsidR="00C97466" w:rsidRPr="00DB0DEF">
        <w:rPr>
          <w:rStyle w:val="fontstyle01"/>
          <w:rFonts w:ascii="Times New Roman" w:hAnsi="Times New Roman" w:cs="Times New Roman"/>
          <w:color w:val="auto"/>
          <w:sz w:val="22"/>
          <w:szCs w:val="22"/>
        </w:rPr>
        <w:t xml:space="preserve"> şirketin piyasa değeri ve ödenmiş sermayesinin, </w:t>
      </w:r>
      <w:r w:rsidR="00452BE8" w:rsidRPr="00DB0DEF">
        <w:rPr>
          <w:rStyle w:val="fontstyle01"/>
          <w:rFonts w:ascii="Times New Roman" w:hAnsi="Times New Roman" w:cs="Times New Roman"/>
          <w:color w:val="auto"/>
          <w:sz w:val="22"/>
          <w:szCs w:val="22"/>
        </w:rPr>
        <w:t xml:space="preserve"> </w:t>
      </w:r>
      <w:r w:rsidR="00452BE8" w:rsidRPr="00DB0DEF">
        <w:rPr>
          <w:rStyle w:val="fontstyle01"/>
          <w:rFonts w:ascii="Times New Roman" w:hAnsi="Times New Roman" w:cs="Times New Roman"/>
          <w:color w:val="auto"/>
          <w:sz w:val="22"/>
          <w:szCs w:val="22"/>
        </w:rPr>
        <w:fldChar w:fldCharType="begin" w:fldLock="1"/>
      </w:r>
      <w:r w:rsidR="00452BE8" w:rsidRPr="00DB0DEF">
        <w:rPr>
          <w:rStyle w:val="fontstyle01"/>
          <w:rFonts w:ascii="Times New Roman" w:hAnsi="Times New Roman" w:cs="Times New Roman"/>
          <w:color w:val="auto"/>
          <w:sz w:val="22"/>
          <w:szCs w:val="22"/>
        </w:rPr>
        <w:instrText>ADDIN CSL_CITATION {"citationItems":[{"id":"ITEM-1","itemData":{"DOI":"10.7718/iamure.ijbm.v6i1.587","ISSN":"2244-1492","abstract":"Globalization and diversification are the trends of business nowadays. Companies’ diversification will lead to complexity of financial information and investment decision. The objective of this study is to determine the level of compliance with International Financial Reporting Standard (IFRS) 8 and to determine other related segment information to formulate investment strategies. The subjects of the research were the 100 diversified publicly-listed holding companies in the Philippines with 2010-2011 annual financial reports. Segment Disclosure Index (SDI) was developed to determine the level of compliance with IFRS 8. The study used firm size, company age, audit quality, profitability, leverage, growth and industry as predictors of the level of compliance. The result shows high overall level of compliance with IFRS 8 – Operating segment. Using multiple regression analysis, it was found out that only firm size predicts the level of compliance with IFRS 8. Large companies mostly comply with disclosure requirement stated in IFRS 8 compared to smaller companies. Most of the companies are engaged in real estate development and leasing business.Keywords: Business and Management, accounting, IFRS 8, disclosure, segment reporting,descriptive design, Philippines2","author":[{"dropping-particle":"","family":"SUCUAHI","given":"WILLIAM T.","non-dropping-particle":"","parse-names":false,"suffix":""}],"container-title":"IAMURE International Journal of Business and Management","id":"ITEM-1","issue":"1","issued":{"date-parts":[["2013"]]},"title":"Firm Size as Predictor of Compliance to International Financial Reporting Standards (IFRS) 8","type":"article-journal","volume":"6"},"uris":["http://www.mendeley.com/documents/?uuid=2481c82d-e75b-46ae-a839-b3dc198ed08e"]}],"mendeley":{"formattedCitation":"(SUCUAHI, 2013)","manualFormatting":"Sucuahi (2013)","plainTextFormattedCitation":"(SUCUAHI, 2013)","previouslyFormattedCitation":"(SUCUAHI, 2013)"},"properties":{"noteIndex":0},"schema":"https://github.com/citation-style-language/schema/raw/master/csl-citation.json"}</w:instrText>
      </w:r>
      <w:r w:rsidR="00452BE8" w:rsidRPr="00DB0DEF">
        <w:rPr>
          <w:rStyle w:val="fontstyle01"/>
          <w:rFonts w:ascii="Times New Roman" w:hAnsi="Times New Roman" w:cs="Times New Roman"/>
          <w:color w:val="auto"/>
          <w:sz w:val="22"/>
          <w:szCs w:val="22"/>
        </w:rPr>
        <w:fldChar w:fldCharType="separate"/>
      </w:r>
      <w:r w:rsidR="00452BE8" w:rsidRPr="00DB0DEF">
        <w:rPr>
          <w:rStyle w:val="fontstyle01"/>
          <w:rFonts w:ascii="Times New Roman" w:hAnsi="Times New Roman" w:cs="Times New Roman"/>
          <w:color w:val="auto"/>
          <w:sz w:val="22"/>
          <w:szCs w:val="22"/>
        </w:rPr>
        <w:t>Sucuahi (2013)</w:t>
      </w:r>
      <w:r w:rsidR="00452BE8" w:rsidRPr="00DB0DEF">
        <w:rPr>
          <w:rStyle w:val="fontstyle01"/>
          <w:rFonts w:ascii="Times New Roman" w:hAnsi="Times New Roman" w:cs="Times New Roman"/>
          <w:color w:val="auto"/>
          <w:sz w:val="22"/>
          <w:szCs w:val="22"/>
        </w:rPr>
        <w:fldChar w:fldCharType="end"/>
      </w:r>
      <w:r w:rsidR="00452BE8" w:rsidRPr="00DB0DEF">
        <w:rPr>
          <w:rStyle w:val="fontstyle01"/>
          <w:rFonts w:ascii="Times New Roman" w:hAnsi="Times New Roman" w:cs="Times New Roman"/>
          <w:color w:val="auto"/>
          <w:sz w:val="22"/>
          <w:szCs w:val="22"/>
        </w:rPr>
        <w:t xml:space="preserve">, </w:t>
      </w:r>
      <w:r w:rsidR="00E53709" w:rsidRPr="00DB0DEF">
        <w:rPr>
          <w:rStyle w:val="fontstyle01"/>
          <w:rFonts w:ascii="Times New Roman" w:hAnsi="Times New Roman" w:cs="Times New Roman"/>
          <w:color w:val="auto"/>
          <w:sz w:val="22"/>
          <w:szCs w:val="22"/>
        </w:rPr>
        <w:t>firma büyüklüğünün</w:t>
      </w:r>
      <w:r w:rsidR="00452BE8" w:rsidRPr="00DB0DEF">
        <w:rPr>
          <w:rStyle w:val="fontstyle01"/>
          <w:rFonts w:ascii="Times New Roman" w:hAnsi="Times New Roman" w:cs="Times New Roman"/>
          <w:color w:val="auto"/>
          <w:sz w:val="22"/>
          <w:szCs w:val="22"/>
        </w:rPr>
        <w:t xml:space="preserve">, </w:t>
      </w:r>
      <w:r w:rsidR="00452BE8" w:rsidRPr="00DB0DEF">
        <w:rPr>
          <w:rStyle w:val="fontstyle01"/>
          <w:rFonts w:ascii="Times New Roman" w:hAnsi="Times New Roman" w:cs="Times New Roman"/>
          <w:color w:val="auto"/>
          <w:sz w:val="22"/>
          <w:szCs w:val="22"/>
        </w:rPr>
        <w:fldChar w:fldCharType="begin" w:fldLock="1"/>
      </w:r>
      <w:r w:rsidR="005D7C5D" w:rsidRPr="00DB0DEF">
        <w:rPr>
          <w:rStyle w:val="fontstyle01"/>
          <w:rFonts w:ascii="Times New Roman" w:hAnsi="Times New Roman" w:cs="Times New Roman"/>
          <w:color w:val="auto"/>
          <w:sz w:val="22"/>
          <w:szCs w:val="22"/>
        </w:rPr>
        <w:instrText>ADDIN CSL_CITATION {"citationItems":[{"id":"ITEM-1","itemData":{"author":[{"dropping-particle":"","family":"Kang","given":"Helen","non-dropping-particle":"","parse-names":false,"suffix":""},{"dropping-particle":"","family":"Gray","given":"Sidney J","non-dropping-particle":"","parse-names":false,"suffix":""}],"id":"ITEM-1","issued":{"date-parts":[["2014"]]},"page":"233-254","title":"Corporate Fınancıal Reportıng In The Brıc Economıes: A Comparatıve Internatıonal Analysıs Of Segment Dısclosure Practıces","type":"article-journal","volume":"15"},"uris":["http://www.mendeley.com/documents/?uuid=e8548198-abf7-47bb-a604-51937eac7b12"]}],"mendeley":{"formattedCitation":"(Kang &amp; Gray, 2014)","manualFormatting":"Kang ve Gray (2014)","plainTextFormattedCitation":"(Kang &amp; Gray, 2014)","previouslyFormattedCitation":"(Kang &amp; Gray, 2014)"},"properties":{"noteIndex":0},"schema":"https://github.com/citation-style-language/schema/raw/master/csl-citation.json"}</w:instrText>
      </w:r>
      <w:r w:rsidR="00452BE8" w:rsidRPr="00DB0DEF">
        <w:rPr>
          <w:rStyle w:val="fontstyle01"/>
          <w:rFonts w:ascii="Times New Roman" w:hAnsi="Times New Roman" w:cs="Times New Roman"/>
          <w:color w:val="auto"/>
          <w:sz w:val="22"/>
          <w:szCs w:val="22"/>
        </w:rPr>
        <w:fldChar w:fldCharType="separate"/>
      </w:r>
      <w:r w:rsidR="00452BE8" w:rsidRPr="00DB0DEF">
        <w:rPr>
          <w:rStyle w:val="fontstyle01"/>
          <w:rFonts w:ascii="Times New Roman" w:hAnsi="Times New Roman" w:cs="Times New Roman"/>
          <w:color w:val="auto"/>
          <w:sz w:val="22"/>
          <w:szCs w:val="22"/>
        </w:rPr>
        <w:t xml:space="preserve">Kang </w:t>
      </w:r>
      <w:r w:rsidR="009B2871" w:rsidRPr="00DB0DEF">
        <w:rPr>
          <w:rFonts w:ascii="Times New Roman" w:hAnsi="Times New Roman" w:cs="Times New Roman"/>
        </w:rPr>
        <w:t>ve</w:t>
      </w:r>
      <w:r w:rsidR="00452BE8" w:rsidRPr="00DB0DEF">
        <w:rPr>
          <w:rStyle w:val="fontstyle01"/>
          <w:rFonts w:ascii="Times New Roman" w:hAnsi="Times New Roman" w:cs="Times New Roman"/>
          <w:color w:val="auto"/>
          <w:sz w:val="22"/>
          <w:szCs w:val="22"/>
        </w:rPr>
        <w:t xml:space="preserve"> Gray (2014)</w:t>
      </w:r>
      <w:r w:rsidR="00452BE8" w:rsidRPr="00DB0DEF">
        <w:rPr>
          <w:rStyle w:val="fontstyle01"/>
          <w:rFonts w:ascii="Times New Roman" w:hAnsi="Times New Roman" w:cs="Times New Roman"/>
          <w:color w:val="auto"/>
          <w:sz w:val="22"/>
          <w:szCs w:val="22"/>
        </w:rPr>
        <w:fldChar w:fldCharType="end"/>
      </w:r>
      <w:r w:rsidR="00452BE8" w:rsidRPr="00DB0DEF">
        <w:rPr>
          <w:rStyle w:val="fontstyle01"/>
          <w:rFonts w:ascii="Times New Roman" w:hAnsi="Times New Roman" w:cs="Times New Roman"/>
          <w:color w:val="auto"/>
          <w:sz w:val="22"/>
          <w:szCs w:val="22"/>
        </w:rPr>
        <w:t xml:space="preserve"> mülkiyet yapısının, Zeytinoğlu (2015) şirket hacmi ve kaldıraç oranının bilgi açıklama düzeyini ve kalitesini nasıl etkilediğini incelemişlerdir.</w:t>
      </w:r>
    </w:p>
    <w:p w14:paraId="2FE5699D" w14:textId="1A242253" w:rsidR="00063C05" w:rsidRPr="00DB0DEF" w:rsidRDefault="00AF1E21" w:rsidP="004F78C1">
      <w:pPr>
        <w:spacing w:before="120" w:after="120"/>
        <w:ind w:firstLine="425"/>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t>Bunlara ek olarak</w:t>
      </w:r>
      <w:r w:rsidR="00621F92" w:rsidRPr="00DB0DEF">
        <w:rPr>
          <w:rStyle w:val="fontstyle01"/>
          <w:rFonts w:ascii="Times New Roman" w:hAnsi="Times New Roman" w:cs="Times New Roman"/>
          <w:color w:val="auto"/>
          <w:sz w:val="22"/>
          <w:szCs w:val="22"/>
        </w:rPr>
        <w:t xml:space="preserve"> </w:t>
      </w:r>
      <w:r w:rsidR="00063C05" w:rsidRPr="00DB0DEF">
        <w:rPr>
          <w:rStyle w:val="fontstyle01"/>
          <w:rFonts w:ascii="Times New Roman" w:hAnsi="Times New Roman" w:cs="Times New Roman"/>
          <w:color w:val="auto"/>
          <w:sz w:val="22"/>
          <w:szCs w:val="22"/>
        </w:rPr>
        <w:fldChar w:fldCharType="begin" w:fldLock="1"/>
      </w:r>
      <w:r w:rsidR="00996826" w:rsidRPr="00DB0DEF">
        <w:rPr>
          <w:rStyle w:val="fontstyle01"/>
          <w:rFonts w:ascii="Times New Roman" w:hAnsi="Times New Roman" w:cs="Times New Roman"/>
          <w:color w:val="auto"/>
          <w:sz w:val="22"/>
          <w:szCs w:val="22"/>
        </w:rPr>
        <w:instrText>ADDIN CSL_CITATION {"citationItems":[{"id":"ITEM-1","itemData":{"ISBN":"0001551035","author":[{"dropping-particle":"","family":"Üçoğlu","given":"Derya","non-dropping-particle":"","parse-names":false,"suffix":""}],"container-title":"Muhasebe Bilim Dünyası Dergisi","id":"ITEM-1","issue":"3","issued":{"date-parts":[["2020"]]},"page":"506-528","title":"UFRS 8 FAALİYET BÖLÜMLERİ STANDARDI KAPSAMINDA BORSA İSTANBUL’DAKİ UYGULAMALARIN KARŞILAŞTIRMALI ANALİZİ","type":"article-journal","volume":"22"},"uris":["http://www.mendeley.com/documents/?uuid=51f0f76a-d889-4ab6-816b-587c0fa57149"]}],"mendeley":{"formattedCitation":"(Üçoğlu, 2020)","manualFormatting":"Üçoğlu (2020)","plainTextFormattedCitation":"(Üçoğlu, 2020)","previouslyFormattedCitation":"(Üçoğlu, 2020)"},"properties":{"noteIndex":0},"schema":"https://github.com/citation-style-language/schema/raw/master/csl-citation.json"}</w:instrText>
      </w:r>
      <w:r w:rsidR="00063C05" w:rsidRPr="00DB0DEF">
        <w:rPr>
          <w:rStyle w:val="fontstyle01"/>
          <w:rFonts w:ascii="Times New Roman" w:hAnsi="Times New Roman" w:cs="Times New Roman"/>
          <w:color w:val="auto"/>
          <w:sz w:val="22"/>
          <w:szCs w:val="22"/>
        </w:rPr>
        <w:fldChar w:fldCharType="separate"/>
      </w:r>
      <w:r w:rsidR="00063C05" w:rsidRPr="00DB0DEF">
        <w:rPr>
          <w:rStyle w:val="fontstyle01"/>
          <w:rFonts w:ascii="Times New Roman" w:hAnsi="Times New Roman" w:cs="Times New Roman"/>
          <w:color w:val="auto"/>
          <w:sz w:val="22"/>
          <w:szCs w:val="22"/>
        </w:rPr>
        <w:t>Üçoğlu (2020)</w:t>
      </w:r>
      <w:r w:rsidR="00063C05" w:rsidRPr="00DB0DEF">
        <w:rPr>
          <w:rStyle w:val="fontstyle01"/>
          <w:rFonts w:ascii="Times New Roman" w:hAnsi="Times New Roman" w:cs="Times New Roman"/>
          <w:color w:val="auto"/>
          <w:sz w:val="22"/>
          <w:szCs w:val="22"/>
        </w:rPr>
        <w:fldChar w:fldCharType="end"/>
      </w:r>
      <w:r w:rsidR="00063C05" w:rsidRPr="00DB0DEF">
        <w:rPr>
          <w:rStyle w:val="fontstyle01"/>
          <w:rFonts w:ascii="Times New Roman" w:hAnsi="Times New Roman" w:cs="Times New Roman"/>
          <w:color w:val="auto"/>
          <w:sz w:val="22"/>
          <w:szCs w:val="22"/>
        </w:rPr>
        <w:t xml:space="preserve"> </w:t>
      </w:r>
      <w:r w:rsidR="00621F92" w:rsidRPr="00DB0DEF">
        <w:rPr>
          <w:rStyle w:val="fontstyle01"/>
          <w:rFonts w:ascii="Times New Roman" w:hAnsi="Times New Roman" w:cs="Times New Roman"/>
          <w:color w:val="auto"/>
          <w:sz w:val="22"/>
          <w:szCs w:val="22"/>
        </w:rPr>
        <w:t xml:space="preserve">tarafından yapılan </w:t>
      </w:r>
      <w:r w:rsidR="00063C05" w:rsidRPr="00DB0DEF">
        <w:rPr>
          <w:rStyle w:val="fontstyle01"/>
          <w:rFonts w:ascii="Times New Roman" w:hAnsi="Times New Roman" w:cs="Times New Roman"/>
          <w:color w:val="auto"/>
          <w:sz w:val="22"/>
          <w:szCs w:val="22"/>
        </w:rPr>
        <w:t xml:space="preserve">çalışmada </w:t>
      </w:r>
      <w:r w:rsidR="00871D9B" w:rsidRPr="00DB0DEF">
        <w:rPr>
          <w:rStyle w:val="fontstyle01"/>
          <w:rFonts w:ascii="Times New Roman" w:hAnsi="Times New Roman" w:cs="Times New Roman"/>
          <w:color w:val="auto"/>
          <w:sz w:val="22"/>
          <w:szCs w:val="22"/>
        </w:rPr>
        <w:t>BİST’te</w:t>
      </w:r>
      <w:r w:rsidR="00063C05" w:rsidRPr="00DB0DEF">
        <w:rPr>
          <w:rStyle w:val="fontstyle01"/>
          <w:rFonts w:ascii="Times New Roman" w:hAnsi="Times New Roman" w:cs="Times New Roman"/>
          <w:color w:val="auto"/>
          <w:sz w:val="22"/>
          <w:szCs w:val="22"/>
        </w:rPr>
        <w:t xml:space="preserve"> </w:t>
      </w:r>
      <w:r w:rsidR="00871D9B" w:rsidRPr="00DB0DEF">
        <w:rPr>
          <w:rStyle w:val="fontstyle01"/>
          <w:rFonts w:ascii="Times New Roman" w:hAnsi="Times New Roman" w:cs="Times New Roman"/>
          <w:color w:val="auto"/>
          <w:sz w:val="22"/>
          <w:szCs w:val="22"/>
        </w:rPr>
        <w:t>işlem gören</w:t>
      </w:r>
      <w:r w:rsidR="00063C05" w:rsidRPr="00DB0DEF">
        <w:rPr>
          <w:rStyle w:val="fontstyle01"/>
          <w:rFonts w:ascii="Times New Roman" w:hAnsi="Times New Roman" w:cs="Times New Roman"/>
          <w:color w:val="auto"/>
          <w:sz w:val="22"/>
          <w:szCs w:val="22"/>
        </w:rPr>
        <w:t xml:space="preserve"> </w:t>
      </w:r>
      <w:r w:rsidR="00871D9B" w:rsidRPr="00DB0DEF">
        <w:rPr>
          <w:rStyle w:val="fontstyle01"/>
          <w:rFonts w:ascii="Times New Roman" w:hAnsi="Times New Roman" w:cs="Times New Roman"/>
          <w:color w:val="auto"/>
          <w:sz w:val="22"/>
          <w:szCs w:val="22"/>
        </w:rPr>
        <w:t>firmaların</w:t>
      </w:r>
      <w:r w:rsidR="00063C05" w:rsidRPr="00DB0DEF">
        <w:rPr>
          <w:rStyle w:val="fontstyle01"/>
          <w:rFonts w:ascii="Times New Roman" w:hAnsi="Times New Roman" w:cs="Times New Roman"/>
          <w:color w:val="auto"/>
          <w:sz w:val="22"/>
          <w:szCs w:val="22"/>
        </w:rPr>
        <w:t xml:space="preserve"> </w:t>
      </w:r>
      <w:r w:rsidR="0015672C" w:rsidRPr="00DB0DEF">
        <w:rPr>
          <w:rStyle w:val="fontstyle01"/>
          <w:rFonts w:ascii="Times New Roman" w:hAnsi="Times New Roman" w:cs="Times New Roman"/>
          <w:color w:val="auto"/>
          <w:sz w:val="22"/>
          <w:szCs w:val="22"/>
        </w:rPr>
        <w:t>T</w:t>
      </w:r>
      <w:r w:rsidR="00063C05" w:rsidRPr="00DB0DEF">
        <w:rPr>
          <w:rStyle w:val="fontstyle01"/>
          <w:rFonts w:ascii="Times New Roman" w:hAnsi="Times New Roman" w:cs="Times New Roman"/>
          <w:color w:val="auto"/>
          <w:sz w:val="22"/>
          <w:szCs w:val="22"/>
        </w:rPr>
        <w:t>FRS 8 kapsamında yaptıkları dipnot açıklamalarının, standartta</w:t>
      </w:r>
      <w:r w:rsidR="00871D9B" w:rsidRPr="00DB0DEF">
        <w:rPr>
          <w:rStyle w:val="fontstyle01"/>
          <w:rFonts w:ascii="Times New Roman" w:hAnsi="Times New Roman" w:cs="Times New Roman"/>
          <w:color w:val="auto"/>
          <w:sz w:val="22"/>
          <w:szCs w:val="22"/>
        </w:rPr>
        <w:t xml:space="preserve">ki </w:t>
      </w:r>
      <w:r w:rsidR="00063C05" w:rsidRPr="00DB0DEF">
        <w:rPr>
          <w:rStyle w:val="fontstyle01"/>
          <w:rFonts w:ascii="Times New Roman" w:hAnsi="Times New Roman" w:cs="Times New Roman"/>
          <w:color w:val="auto"/>
          <w:sz w:val="22"/>
          <w:szCs w:val="22"/>
        </w:rPr>
        <w:t>hükümlerle uyum dereceleri</w:t>
      </w:r>
      <w:r w:rsidR="00871D9B" w:rsidRPr="00DB0DEF">
        <w:rPr>
          <w:rStyle w:val="fontstyle01"/>
          <w:rFonts w:ascii="Times New Roman" w:hAnsi="Times New Roman" w:cs="Times New Roman"/>
          <w:color w:val="auto"/>
          <w:sz w:val="22"/>
          <w:szCs w:val="22"/>
        </w:rPr>
        <w:t xml:space="preserve"> </w:t>
      </w:r>
      <w:r w:rsidR="00FB2BB5" w:rsidRPr="00DB0DEF">
        <w:rPr>
          <w:rStyle w:val="fontstyle01"/>
          <w:rFonts w:ascii="Times New Roman" w:hAnsi="Times New Roman" w:cs="Times New Roman"/>
          <w:color w:val="auto"/>
          <w:sz w:val="22"/>
          <w:szCs w:val="22"/>
        </w:rPr>
        <w:t>konusunda</w:t>
      </w:r>
      <w:r w:rsidR="00063C05" w:rsidRPr="00DB0DEF">
        <w:rPr>
          <w:rStyle w:val="fontstyle01"/>
          <w:rFonts w:ascii="Times New Roman" w:hAnsi="Times New Roman" w:cs="Times New Roman"/>
          <w:color w:val="auto"/>
          <w:sz w:val="22"/>
          <w:szCs w:val="22"/>
        </w:rPr>
        <w:t xml:space="preserve"> Londra Borsası’nda </w:t>
      </w:r>
      <w:r w:rsidR="00871D9B" w:rsidRPr="00DB0DEF">
        <w:rPr>
          <w:rStyle w:val="fontstyle01"/>
          <w:rFonts w:ascii="Times New Roman" w:hAnsi="Times New Roman" w:cs="Times New Roman"/>
          <w:color w:val="auto"/>
          <w:sz w:val="22"/>
          <w:szCs w:val="22"/>
        </w:rPr>
        <w:t>faaliyet gösteren</w:t>
      </w:r>
      <w:r w:rsidR="00063C05" w:rsidRPr="00DB0DEF">
        <w:rPr>
          <w:rStyle w:val="fontstyle01"/>
          <w:rFonts w:ascii="Times New Roman" w:hAnsi="Times New Roman" w:cs="Times New Roman"/>
          <w:color w:val="auto"/>
          <w:sz w:val="22"/>
          <w:szCs w:val="22"/>
        </w:rPr>
        <w:t xml:space="preserve"> işletmelerle karşılaştırılmalı olarak analiz</w:t>
      </w:r>
      <w:r w:rsidR="00FB2BB5" w:rsidRPr="00DB0DEF">
        <w:rPr>
          <w:rStyle w:val="fontstyle01"/>
          <w:rFonts w:ascii="Times New Roman" w:hAnsi="Times New Roman" w:cs="Times New Roman"/>
          <w:color w:val="auto"/>
          <w:sz w:val="22"/>
          <w:szCs w:val="22"/>
        </w:rPr>
        <w:t>i yapılmıştır. Ayrıca çalışmada z</w:t>
      </w:r>
      <w:r w:rsidR="00063C05" w:rsidRPr="00DB0DEF">
        <w:rPr>
          <w:rStyle w:val="fontstyle01"/>
          <w:rFonts w:ascii="Times New Roman" w:hAnsi="Times New Roman" w:cs="Times New Roman"/>
          <w:color w:val="auto"/>
          <w:sz w:val="22"/>
          <w:szCs w:val="22"/>
        </w:rPr>
        <w:t>aman içinde dipnot açıklamalarının sayısında değişiklik olup olmadığı tespit e</w:t>
      </w:r>
      <w:r w:rsidR="00FB2BB5" w:rsidRPr="00DB0DEF">
        <w:rPr>
          <w:rStyle w:val="fontstyle01"/>
          <w:rFonts w:ascii="Times New Roman" w:hAnsi="Times New Roman" w:cs="Times New Roman"/>
          <w:color w:val="auto"/>
          <w:sz w:val="22"/>
          <w:szCs w:val="22"/>
        </w:rPr>
        <w:t>dilmeye</w:t>
      </w:r>
      <w:r w:rsidR="00063C05" w:rsidRPr="00DB0DEF">
        <w:rPr>
          <w:rStyle w:val="fontstyle01"/>
          <w:rFonts w:ascii="Times New Roman" w:hAnsi="Times New Roman" w:cs="Times New Roman"/>
          <w:color w:val="auto"/>
          <w:sz w:val="22"/>
          <w:szCs w:val="22"/>
        </w:rPr>
        <w:t xml:space="preserve"> çalış</w:t>
      </w:r>
      <w:r w:rsidR="00FB2BB5" w:rsidRPr="00DB0DEF">
        <w:rPr>
          <w:rStyle w:val="fontstyle01"/>
          <w:rFonts w:ascii="Times New Roman" w:hAnsi="Times New Roman" w:cs="Times New Roman"/>
          <w:color w:val="auto"/>
          <w:sz w:val="22"/>
          <w:szCs w:val="22"/>
        </w:rPr>
        <w:t>ıl</w:t>
      </w:r>
      <w:r w:rsidR="00063C05" w:rsidRPr="00DB0DEF">
        <w:rPr>
          <w:rStyle w:val="fontstyle01"/>
          <w:rFonts w:ascii="Times New Roman" w:hAnsi="Times New Roman" w:cs="Times New Roman"/>
          <w:color w:val="auto"/>
          <w:sz w:val="22"/>
          <w:szCs w:val="22"/>
        </w:rPr>
        <w:t>mıştır.</w:t>
      </w:r>
    </w:p>
    <w:p w14:paraId="14F79049" w14:textId="77777777" w:rsidR="00882622" w:rsidRPr="00DB0DEF" w:rsidRDefault="00621F92" w:rsidP="00882622">
      <w:pPr>
        <w:spacing w:after="120"/>
        <w:ind w:firstLine="426"/>
        <w:contextualSpacing/>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lastRenderedPageBreak/>
        <w:t xml:space="preserve">Literatür incelendiğinde TFRS </w:t>
      </w:r>
      <w:r w:rsidR="00615829" w:rsidRPr="00DB0DEF">
        <w:rPr>
          <w:rStyle w:val="fontstyle01"/>
          <w:rFonts w:ascii="Times New Roman" w:hAnsi="Times New Roman" w:cs="Times New Roman"/>
          <w:color w:val="auto"/>
          <w:sz w:val="22"/>
          <w:szCs w:val="22"/>
        </w:rPr>
        <w:t>8</w:t>
      </w:r>
      <w:r w:rsidRPr="00DB0DEF">
        <w:rPr>
          <w:rStyle w:val="fontstyle01"/>
          <w:rFonts w:ascii="Times New Roman" w:hAnsi="Times New Roman" w:cs="Times New Roman"/>
          <w:color w:val="auto"/>
          <w:sz w:val="22"/>
          <w:szCs w:val="22"/>
        </w:rPr>
        <w:t xml:space="preserve"> Faaliyet Bölümleri Standartının </w:t>
      </w:r>
      <w:r w:rsidR="00B37386" w:rsidRPr="00DB0DEF">
        <w:rPr>
          <w:rStyle w:val="fontstyle01"/>
          <w:rFonts w:ascii="Times New Roman" w:hAnsi="Times New Roman" w:cs="Times New Roman"/>
          <w:color w:val="auto"/>
          <w:sz w:val="22"/>
          <w:szCs w:val="22"/>
        </w:rPr>
        <w:t xml:space="preserve">farklı sektörlerdeki </w:t>
      </w:r>
      <w:r w:rsidRPr="00DB0DEF">
        <w:rPr>
          <w:rStyle w:val="fontstyle01"/>
          <w:rFonts w:ascii="Times New Roman" w:hAnsi="Times New Roman" w:cs="Times New Roman"/>
          <w:color w:val="auto"/>
          <w:sz w:val="22"/>
          <w:szCs w:val="22"/>
        </w:rPr>
        <w:t xml:space="preserve">işletmeler tarafından nasıl uygulandığı veya uygulanabileceğine yönelik çalışmalara rastlanmaktadır. </w:t>
      </w:r>
      <w:r w:rsidR="00882622" w:rsidRPr="00DB0DEF">
        <w:rPr>
          <w:rStyle w:val="fontstyle01"/>
          <w:rFonts w:ascii="Times New Roman" w:hAnsi="Times New Roman" w:cs="Times New Roman"/>
          <w:color w:val="auto"/>
          <w:sz w:val="22"/>
          <w:szCs w:val="22"/>
        </w:rPr>
        <w:t>Örneğin b</w:t>
      </w:r>
      <w:r w:rsidRPr="00DB0DEF">
        <w:rPr>
          <w:rStyle w:val="fontstyle01"/>
          <w:rFonts w:ascii="Times New Roman" w:hAnsi="Times New Roman" w:cs="Times New Roman"/>
          <w:color w:val="auto"/>
          <w:sz w:val="22"/>
          <w:szCs w:val="22"/>
        </w:rPr>
        <w:t xml:space="preserve">u çalışmalardan Ünal (2010) </w:t>
      </w:r>
      <w:r w:rsidR="00B37386" w:rsidRPr="00DB0DEF">
        <w:rPr>
          <w:rStyle w:val="fontstyle01"/>
          <w:rFonts w:ascii="Times New Roman" w:hAnsi="Times New Roman" w:cs="Times New Roman"/>
          <w:color w:val="auto"/>
          <w:sz w:val="22"/>
          <w:szCs w:val="22"/>
        </w:rPr>
        <w:t>t</w:t>
      </w:r>
      <w:r w:rsidRPr="00DB0DEF">
        <w:rPr>
          <w:rStyle w:val="fontstyle01"/>
          <w:rFonts w:ascii="Times New Roman" w:hAnsi="Times New Roman" w:cs="Times New Roman"/>
          <w:color w:val="auto"/>
          <w:sz w:val="22"/>
          <w:szCs w:val="22"/>
        </w:rPr>
        <w:t xml:space="preserve">ekstil ve </w:t>
      </w:r>
      <w:r w:rsidR="00B37386" w:rsidRPr="00DB0DEF">
        <w:rPr>
          <w:rStyle w:val="fontstyle01"/>
          <w:rFonts w:ascii="Times New Roman" w:hAnsi="Times New Roman" w:cs="Times New Roman"/>
          <w:color w:val="auto"/>
          <w:sz w:val="22"/>
          <w:szCs w:val="22"/>
        </w:rPr>
        <w:t>i</w:t>
      </w:r>
      <w:r w:rsidRPr="00DB0DEF">
        <w:rPr>
          <w:rStyle w:val="fontstyle01"/>
          <w:rFonts w:ascii="Times New Roman" w:hAnsi="Times New Roman" w:cs="Times New Roman"/>
          <w:color w:val="auto"/>
          <w:sz w:val="22"/>
          <w:szCs w:val="22"/>
        </w:rPr>
        <w:t>nşaat alanlarında faaliyet gösteren bir firmada</w:t>
      </w:r>
      <w:r w:rsidR="00882622" w:rsidRPr="00DB0DEF">
        <w:rPr>
          <w:rStyle w:val="fontstyle01"/>
          <w:rFonts w:ascii="Times New Roman" w:hAnsi="Times New Roman" w:cs="Times New Roman"/>
          <w:color w:val="auto"/>
          <w:sz w:val="22"/>
          <w:szCs w:val="22"/>
        </w:rPr>
        <w:t xml:space="preserve">, </w:t>
      </w:r>
      <w:r w:rsidR="00882622" w:rsidRPr="00DB0DEF">
        <w:rPr>
          <w:rStyle w:val="fontstyle01"/>
          <w:rFonts w:ascii="Times New Roman" w:hAnsi="Times New Roman" w:cs="Times New Roman"/>
          <w:color w:val="auto"/>
          <w:sz w:val="22"/>
          <w:szCs w:val="22"/>
        </w:rPr>
        <w:fldChar w:fldCharType="begin" w:fldLock="1"/>
      </w:r>
      <w:r w:rsidR="00882622" w:rsidRPr="00DB0DEF">
        <w:rPr>
          <w:rStyle w:val="fontstyle01"/>
          <w:rFonts w:ascii="Times New Roman" w:hAnsi="Times New Roman" w:cs="Times New Roman"/>
          <w:color w:val="auto"/>
          <w:sz w:val="22"/>
          <w:szCs w:val="22"/>
        </w:rPr>
        <w:instrText>ADDIN CSL_CITATION {"citationItems":[{"id":"ITEM-1","itemData":{"author":[{"dropping-particle":"","family":"Bekçi","given":"Ismail","non-dropping-particle":"","parse-names":false,"suffix":""},{"dropping-particle":"","family":"Tekşen","given":"Ömer","non-dropping-particle":"","parse-names":false,"suffix":""},{"dropping-particle":"","family":"Çil","given":"Reyhan","non-dropping-particle":"","parse-names":false,"suffix":""}],"container-title":"Muhasebe Bilim Dünyası Dergisi","id":"ITEM-1","issued":{"date-parts":[["2013"]]},"page":"123-152","title":"Tfrs 8 faali̇yet bölümleri̇ standardi ve i̇nşaat sektöründe bi̇r uygulama","type":"article-journal","volume":"1"},"uris":["http://www.mendeley.com/documents/?uuid=8565bc52-e5ba-4f3d-ad13-4bd9e156c55c"]}],"mendeley":{"formattedCitation":"(Bekçi et al., 2013)","manualFormatting":"Bekçi vd. (2013)","plainTextFormattedCitation":"(Bekçi et al., 2013)","previouslyFormattedCitation":"(Bekçi et al., 2013)"},"properties":{"noteIndex":0},"schema":"https://github.com/citation-style-language/schema/raw/master/csl-citation.json"}</w:instrText>
      </w:r>
      <w:r w:rsidR="00882622" w:rsidRPr="00DB0DEF">
        <w:rPr>
          <w:rStyle w:val="fontstyle01"/>
          <w:rFonts w:ascii="Times New Roman" w:hAnsi="Times New Roman" w:cs="Times New Roman"/>
          <w:color w:val="auto"/>
          <w:sz w:val="22"/>
          <w:szCs w:val="22"/>
        </w:rPr>
        <w:fldChar w:fldCharType="separate"/>
      </w:r>
      <w:r w:rsidR="00882622" w:rsidRPr="00DB0DEF">
        <w:rPr>
          <w:rStyle w:val="fontstyle01"/>
          <w:rFonts w:ascii="Times New Roman" w:hAnsi="Times New Roman" w:cs="Times New Roman"/>
          <w:color w:val="auto"/>
          <w:sz w:val="22"/>
          <w:szCs w:val="22"/>
        </w:rPr>
        <w:t>Bekçi vd. (2013)</w:t>
      </w:r>
      <w:r w:rsidR="00882622" w:rsidRPr="00DB0DEF">
        <w:rPr>
          <w:rStyle w:val="fontstyle01"/>
          <w:rFonts w:ascii="Times New Roman" w:hAnsi="Times New Roman" w:cs="Times New Roman"/>
          <w:color w:val="auto"/>
          <w:sz w:val="22"/>
          <w:szCs w:val="22"/>
        </w:rPr>
        <w:fldChar w:fldCharType="end"/>
      </w:r>
      <w:r w:rsidR="00882622" w:rsidRPr="00DB0DEF">
        <w:rPr>
          <w:rStyle w:val="fontstyle01"/>
          <w:rFonts w:ascii="Times New Roman" w:hAnsi="Times New Roman" w:cs="Times New Roman"/>
          <w:color w:val="auto"/>
          <w:sz w:val="22"/>
          <w:szCs w:val="22"/>
        </w:rPr>
        <w:t xml:space="preserve"> bir inşaat şirketinde, </w:t>
      </w:r>
      <w:r w:rsidR="00882622" w:rsidRPr="00DB0DEF">
        <w:rPr>
          <w:rStyle w:val="fontstyle01"/>
          <w:rFonts w:ascii="Times New Roman" w:hAnsi="Times New Roman" w:cs="Times New Roman"/>
          <w:color w:val="auto"/>
          <w:sz w:val="22"/>
          <w:szCs w:val="22"/>
        </w:rPr>
        <w:fldChar w:fldCharType="begin" w:fldLock="1"/>
      </w:r>
      <w:r w:rsidR="00882622" w:rsidRPr="00DB0DEF">
        <w:rPr>
          <w:rStyle w:val="fontstyle01"/>
          <w:rFonts w:ascii="Times New Roman" w:hAnsi="Times New Roman" w:cs="Times New Roman"/>
          <w:color w:val="auto"/>
          <w:sz w:val="22"/>
          <w:szCs w:val="22"/>
        </w:rPr>
        <w:instrText>ADDIN CSL_CITATION {"citationItems":[{"id":"ITEM-1","itemData":{"DOI":"10.29249/selcuksbmyd.306756","ISSN":"2564-7458","abstract":"ÖZ: Sorumluluk Muhasebesi; karmaşık yapıdaki işletmelerin yönetim kontrolünü sağlamak amacıyla oluşturulmuş yönetim muhasebesi ve maliyet muhasebesiyle birlikte kullanılan yönetim kontrol sistemidir. Bu sistem, karmaşık yapıdaki sağlık işletmelerinde merkezkaç yönetim sisteminin benimsenmesini ve alt düzey birimlerin yöneticilerine sorumluluk vererek performans artışını ve maliyetin azaltılmasını amaçlamaktadır. Bu çalışmada; ülkemiz kamu hastaneleri içerisinde büyük ölçekli sayılan bir “Şehir Hastanesinde” bir yıllık mali veriler, finansal tablolar, mizanlar ve muhasebe kayıtları incelenerek tüm birimlerin sorumluluk raporları hazırlanmıştır. Radyoloji ve Laboratuvar birimlerine ait gelirler “Transfer Fiyatlaması” yöntemiyle tüm birimlerin ödenmeyen istemler toplamı bulunarak aktarılmıştır. Bu sayede Radyoloji ve Laboratuvar birimleri kar merkezi olarak değerlendirilmekte ve diğer tüm birimlere sorumluluk raporlarının daha şeffaf şekilde incelenebilmesi imkanı verilmektedir. Maliyete dayanan transfer fiyatlaması sonunda;  Radyoloji biriminin gelirinin 15.807.741,45 tl, Laboratuvar biriminin ise 11.972.422,09 tl olduğu görülmektedir. Piyasa fiyatları esasına göre transfer fiyatlaması sonunda ise; Radyoloji biriminin gelirinin 17.704.670,42 tl, Laboratuvar biriminin ise 13.648.561,18 tl olduğu görülmektedir.","author":[{"dropping-particle":"","family":"Kahramanoğlu","given":"Ali","non-dropping-particle":"","parse-names":false,"suffix":""},{"dropping-particle":"","family":"Acar","given":"Durmuş","non-dropping-particle":"","parse-names":false,"suffix":""}],"container-title":"Selçuk Üniversitesi Sosyal Bilimler Meslek Yüksekokulu Dergisi","id":"ITEM-1","issue":"2","issued":{"date-parts":[["2017"]]},"page":"111-128","title":"Sağlık İşletmelerinde Sorumluluk Muhasebesi ve Faaliyet Bölümleri Standardına Göre Transfer Fiyatlaması: Bir Kamu Hastanesinde Uygulama","type":"article-journal","volume":"20"},"uris":["http://www.mendeley.com/documents/?uuid=675282d3-b3c2-4a84-9ca8-76a919bfddb3"]}],"mendeley":{"formattedCitation":"(Kahramanoğlu &amp; Acar, 2017)","manualFormatting":"Kahramanoğlu ve Acar (2017)","plainTextFormattedCitation":"(Kahramanoğlu &amp; Acar, 2017)","previouslyFormattedCitation":"(Kahramanoğlu &amp; Acar, 2017)"},"properties":{"noteIndex":0},"schema":"https://github.com/citation-style-language/schema/raw/master/csl-citation.json"}</w:instrText>
      </w:r>
      <w:r w:rsidR="00882622" w:rsidRPr="00DB0DEF">
        <w:rPr>
          <w:rStyle w:val="fontstyle01"/>
          <w:rFonts w:ascii="Times New Roman" w:hAnsi="Times New Roman" w:cs="Times New Roman"/>
          <w:color w:val="auto"/>
          <w:sz w:val="22"/>
          <w:szCs w:val="22"/>
        </w:rPr>
        <w:fldChar w:fldCharType="separate"/>
      </w:r>
      <w:r w:rsidR="00882622" w:rsidRPr="00DB0DEF">
        <w:rPr>
          <w:rStyle w:val="fontstyle01"/>
          <w:rFonts w:ascii="Times New Roman" w:hAnsi="Times New Roman" w:cs="Times New Roman"/>
          <w:color w:val="auto"/>
          <w:sz w:val="22"/>
          <w:szCs w:val="22"/>
        </w:rPr>
        <w:t>Kahramanoğlu ve Acar (2017)</w:t>
      </w:r>
      <w:r w:rsidR="00882622" w:rsidRPr="00DB0DEF">
        <w:rPr>
          <w:rStyle w:val="fontstyle01"/>
          <w:rFonts w:ascii="Times New Roman" w:hAnsi="Times New Roman" w:cs="Times New Roman"/>
          <w:color w:val="auto"/>
          <w:sz w:val="22"/>
          <w:szCs w:val="22"/>
        </w:rPr>
        <w:fldChar w:fldCharType="end"/>
      </w:r>
      <w:r w:rsidR="00882622" w:rsidRPr="00DB0DEF">
        <w:rPr>
          <w:rStyle w:val="fontstyle01"/>
          <w:rFonts w:ascii="Times New Roman" w:hAnsi="Times New Roman" w:cs="Times New Roman"/>
          <w:color w:val="auto"/>
          <w:sz w:val="22"/>
          <w:szCs w:val="22"/>
        </w:rPr>
        <w:t xml:space="preserve"> sağlık işletmelerinde, </w:t>
      </w:r>
      <w:r w:rsidR="00882622" w:rsidRPr="00DB0DEF">
        <w:rPr>
          <w:rStyle w:val="fontstyle01"/>
          <w:rFonts w:ascii="Times New Roman" w:hAnsi="Times New Roman" w:cs="Times New Roman"/>
          <w:color w:val="auto"/>
          <w:sz w:val="22"/>
          <w:szCs w:val="22"/>
        </w:rPr>
        <w:fldChar w:fldCharType="begin" w:fldLock="1"/>
      </w:r>
      <w:r w:rsidR="00882622" w:rsidRPr="00DB0DEF">
        <w:rPr>
          <w:rStyle w:val="fontstyle01"/>
          <w:rFonts w:ascii="Times New Roman" w:hAnsi="Times New Roman" w:cs="Times New Roman"/>
          <w:color w:val="auto"/>
          <w:sz w:val="22"/>
          <w:szCs w:val="22"/>
        </w:rPr>
        <w:instrText>ADDIN CSL_CITATION {"citationItems":[{"id":"ITEM-1","itemData":{"ISSN":"2528-8547","author":[{"dropping-particle":"","family":"İbiş","given":"Cemal","non-dropping-particle":"","parse-names":false,"suffix":""},{"dropping-particle":"","family":"Tutcu","given":"Burçin","non-dropping-particle":"","parse-names":false,"suffix":""}],"container-title":"Marmara İktisat Dergisi","id":"ITEM-1","issue":"Ekim","issued":{"date-parts":[["2017"]]},"page":"195-208","title":"Türkiye Finansal Raporlama Standardı (TFRS) 8 Faaliyet Bölümleri Standardının Eğitim Sektöründe Uygulanabilirliğinin Analiz Edilmesi","type":"article-journal","volume":"2"},"uris":["http://www.mendeley.com/documents/?uuid=130fc23f-39de-33c9-ae82-5b1f78c1a2ea"]}],"mendeley":{"formattedCitation":"(İbiş &amp; Tutcu, 2017)","manualFormatting":"İbiş ve Tutcu (2017)","plainTextFormattedCitation":"(İbiş &amp; Tutcu, 2017)","previouslyFormattedCitation":"(İbiş &amp; Tutcu, 2017)"},"properties":{"noteIndex":0},"schema":"https://github.com/citation-style-language/schema/raw/master/csl-citation.json"}</w:instrText>
      </w:r>
      <w:r w:rsidR="00882622" w:rsidRPr="00DB0DEF">
        <w:rPr>
          <w:rStyle w:val="fontstyle01"/>
          <w:rFonts w:ascii="Times New Roman" w:hAnsi="Times New Roman" w:cs="Times New Roman"/>
          <w:color w:val="auto"/>
          <w:sz w:val="22"/>
          <w:szCs w:val="22"/>
        </w:rPr>
        <w:fldChar w:fldCharType="separate"/>
      </w:r>
      <w:r w:rsidR="00882622" w:rsidRPr="00DB0DEF">
        <w:rPr>
          <w:rStyle w:val="fontstyle01"/>
          <w:rFonts w:ascii="Times New Roman" w:hAnsi="Times New Roman" w:cs="Times New Roman"/>
          <w:color w:val="auto"/>
          <w:sz w:val="22"/>
          <w:szCs w:val="22"/>
        </w:rPr>
        <w:t>İbiş ve Tutcu (2017)</w:t>
      </w:r>
      <w:r w:rsidR="00882622" w:rsidRPr="00DB0DEF">
        <w:rPr>
          <w:rStyle w:val="fontstyle01"/>
          <w:rFonts w:ascii="Times New Roman" w:hAnsi="Times New Roman" w:cs="Times New Roman"/>
          <w:color w:val="auto"/>
          <w:sz w:val="22"/>
          <w:szCs w:val="22"/>
        </w:rPr>
        <w:fldChar w:fldCharType="end"/>
      </w:r>
      <w:r w:rsidR="00882622" w:rsidRPr="00DB0DEF">
        <w:rPr>
          <w:rStyle w:val="fontstyle01"/>
          <w:rFonts w:ascii="Times New Roman" w:hAnsi="Times New Roman" w:cs="Times New Roman"/>
          <w:color w:val="auto"/>
          <w:sz w:val="22"/>
          <w:szCs w:val="22"/>
        </w:rPr>
        <w:t xml:space="preserve"> eğitim sektöründe (bir üniversite), </w:t>
      </w:r>
      <w:r w:rsidR="00882622" w:rsidRPr="00DB0DEF">
        <w:rPr>
          <w:rStyle w:val="fontstyle01"/>
          <w:rFonts w:ascii="Times New Roman" w:hAnsi="Times New Roman" w:cs="Times New Roman"/>
          <w:color w:val="auto"/>
          <w:sz w:val="22"/>
          <w:szCs w:val="22"/>
        </w:rPr>
        <w:fldChar w:fldCharType="begin" w:fldLock="1"/>
      </w:r>
      <w:r w:rsidR="00882622" w:rsidRPr="00DB0DEF">
        <w:rPr>
          <w:rStyle w:val="fontstyle01"/>
          <w:rFonts w:ascii="Times New Roman" w:hAnsi="Times New Roman" w:cs="Times New Roman"/>
          <w:color w:val="auto"/>
          <w:sz w:val="22"/>
          <w:szCs w:val="22"/>
        </w:rPr>
        <w:instrText>ADDIN CSL_CITATION {"citationItems":[{"id":"ITEM-1","itemData":{"author":[{"dropping-particle":"","family":"Güler","given":"Yasin","non-dropping-particle":"","parse-names":false,"suffix":""},{"dropping-particle":"","family":"Alagöz","given":"Ali","non-dropping-particle":"","parse-names":false,"suffix":""}],"container-title":"Al-Farabi International Journal on Social Sciences","id":"ITEM-1","issue":"4","issued":{"date-parts":[["2019"]]},"page":"41-55","title":"FAALİYET BÖLÜMLERİ STANDARDININ (TFRS 8) FUTBOL KULÜPLERİNDE UYGULANABİLİRLİGİ: FENERBAHÇE SPOR KULÜBÜ ÖRNEĞİ","type":"article-journal","volume":"3"},"uris":["http://www.mendeley.com/documents/?uuid=704e2206-1b10-4f2b-8ffb-fe5349b38132"]}],"mendeley":{"formattedCitation":"(Güler &amp; Alagöz, 2019a)","manualFormatting":"Güler ve Alagöz (2019)","plainTextFormattedCitation":"(Güler &amp; Alagöz, 2019a)","previouslyFormattedCitation":"(Güler &amp; Alagöz, 2019a)"},"properties":{"noteIndex":0},"schema":"https://github.com/citation-style-language/schema/raw/master/csl-citation.json"}</w:instrText>
      </w:r>
      <w:r w:rsidR="00882622" w:rsidRPr="00DB0DEF">
        <w:rPr>
          <w:rStyle w:val="fontstyle01"/>
          <w:rFonts w:ascii="Times New Roman" w:hAnsi="Times New Roman" w:cs="Times New Roman"/>
          <w:color w:val="auto"/>
          <w:sz w:val="22"/>
          <w:szCs w:val="22"/>
        </w:rPr>
        <w:fldChar w:fldCharType="separate"/>
      </w:r>
      <w:r w:rsidR="00882622" w:rsidRPr="00DB0DEF">
        <w:rPr>
          <w:rStyle w:val="fontstyle01"/>
          <w:rFonts w:ascii="Times New Roman" w:hAnsi="Times New Roman" w:cs="Times New Roman"/>
          <w:color w:val="auto"/>
          <w:sz w:val="22"/>
          <w:szCs w:val="22"/>
        </w:rPr>
        <w:t>Güler ve Alagöz (2019)</w:t>
      </w:r>
      <w:r w:rsidR="00882622" w:rsidRPr="00DB0DEF">
        <w:rPr>
          <w:rStyle w:val="fontstyle01"/>
          <w:rFonts w:ascii="Times New Roman" w:hAnsi="Times New Roman" w:cs="Times New Roman"/>
          <w:color w:val="auto"/>
          <w:sz w:val="22"/>
          <w:szCs w:val="22"/>
        </w:rPr>
        <w:fldChar w:fldCharType="end"/>
      </w:r>
      <w:r w:rsidR="00882622" w:rsidRPr="00DB0DEF">
        <w:rPr>
          <w:rStyle w:val="fontstyle01"/>
          <w:rFonts w:ascii="Times New Roman" w:hAnsi="Times New Roman" w:cs="Times New Roman"/>
          <w:color w:val="auto"/>
          <w:sz w:val="22"/>
          <w:szCs w:val="22"/>
        </w:rPr>
        <w:t xml:space="preserve"> ise BİST 'de işlem gören bir futbol kulübünde  </w:t>
      </w:r>
      <w:r w:rsidRPr="00DB0DEF">
        <w:rPr>
          <w:rStyle w:val="fontstyle01"/>
          <w:rFonts w:ascii="Times New Roman" w:hAnsi="Times New Roman" w:cs="Times New Roman"/>
          <w:color w:val="auto"/>
          <w:sz w:val="22"/>
          <w:szCs w:val="22"/>
        </w:rPr>
        <w:t>TFRS 8’e göre faaliyet bölümlerinin nasıl oluşturulacağı ve finansal tablolara etkisini ortaya koymaya çalışmıştır.</w:t>
      </w:r>
      <w:r w:rsidR="00110C35" w:rsidRPr="00DB0DEF">
        <w:rPr>
          <w:rStyle w:val="fontstyle01"/>
          <w:rFonts w:ascii="Times New Roman" w:hAnsi="Times New Roman" w:cs="Times New Roman"/>
          <w:color w:val="auto"/>
          <w:sz w:val="22"/>
          <w:szCs w:val="22"/>
        </w:rPr>
        <w:t xml:space="preserve"> Anlaşılacağı üzere bu çalışmalar TMS 14-TFRS 8’in anlaşılması ve farklı sektörlerde uygulanmasına yöneliktir. </w:t>
      </w:r>
    </w:p>
    <w:p w14:paraId="69C76909" w14:textId="7B7908B4" w:rsidR="00621F92" w:rsidRPr="00DB0DEF" w:rsidRDefault="00882622" w:rsidP="00882622">
      <w:pPr>
        <w:spacing w:after="120"/>
        <w:ind w:firstLine="426"/>
        <w:contextualSpacing/>
        <w:jc w:val="both"/>
        <w:rPr>
          <w:rStyle w:val="fontstyle01"/>
          <w:rFonts w:ascii="Times New Roman" w:hAnsi="Times New Roman" w:cs="Times New Roman"/>
          <w:color w:val="auto"/>
          <w:sz w:val="22"/>
          <w:szCs w:val="22"/>
        </w:rPr>
      </w:pPr>
      <w:r w:rsidRPr="00DB0DEF">
        <w:rPr>
          <w:rStyle w:val="fontstyle01"/>
          <w:rFonts w:ascii="Times New Roman" w:hAnsi="Times New Roman" w:cs="Times New Roman"/>
          <w:color w:val="auto"/>
          <w:sz w:val="22"/>
          <w:szCs w:val="22"/>
        </w:rPr>
        <w:t>Yukarıda yer verilenler ve benzer</w:t>
      </w:r>
      <w:r w:rsidR="00110C35" w:rsidRPr="00DB0DEF">
        <w:rPr>
          <w:rStyle w:val="fontstyle01"/>
          <w:rFonts w:ascii="Times New Roman" w:hAnsi="Times New Roman" w:cs="Times New Roman"/>
          <w:color w:val="auto"/>
          <w:sz w:val="22"/>
          <w:szCs w:val="22"/>
        </w:rPr>
        <w:t xml:space="preserve"> çalışmaların</w:t>
      </w:r>
      <w:r w:rsidRPr="00DB0DEF">
        <w:rPr>
          <w:rStyle w:val="fontstyle01"/>
          <w:rFonts w:ascii="Times New Roman" w:hAnsi="Times New Roman" w:cs="Times New Roman"/>
          <w:color w:val="auto"/>
          <w:sz w:val="22"/>
          <w:szCs w:val="22"/>
        </w:rPr>
        <w:t xml:space="preserve"> hiçbirinde faaliyet bölümleri bazında açıklanan finansal bilgiler </w:t>
      </w:r>
      <w:r w:rsidR="008D5478" w:rsidRPr="00DB0DEF">
        <w:rPr>
          <w:rStyle w:val="fontstyle01"/>
          <w:rFonts w:ascii="Times New Roman" w:hAnsi="Times New Roman" w:cs="Times New Roman"/>
          <w:color w:val="auto"/>
          <w:sz w:val="22"/>
          <w:szCs w:val="22"/>
        </w:rPr>
        <w:t>çerçevesinde</w:t>
      </w:r>
      <w:r w:rsidR="00110C35" w:rsidRPr="00DB0DEF">
        <w:rPr>
          <w:rStyle w:val="fontstyle01"/>
          <w:rFonts w:ascii="Times New Roman" w:hAnsi="Times New Roman" w:cs="Times New Roman"/>
          <w:color w:val="auto"/>
          <w:sz w:val="22"/>
          <w:szCs w:val="22"/>
        </w:rPr>
        <w:t xml:space="preserve"> </w:t>
      </w:r>
      <w:r w:rsidRPr="00DB0DEF">
        <w:rPr>
          <w:rStyle w:val="fontstyle01"/>
          <w:rFonts w:ascii="Times New Roman" w:hAnsi="Times New Roman" w:cs="Times New Roman"/>
          <w:color w:val="auto"/>
          <w:sz w:val="22"/>
          <w:szCs w:val="22"/>
        </w:rPr>
        <w:t>mali</w:t>
      </w:r>
      <w:r w:rsidR="00110C35" w:rsidRPr="00DB0DEF">
        <w:rPr>
          <w:rStyle w:val="fontstyle01"/>
          <w:rFonts w:ascii="Times New Roman" w:hAnsi="Times New Roman" w:cs="Times New Roman"/>
          <w:color w:val="auto"/>
          <w:sz w:val="22"/>
          <w:szCs w:val="22"/>
        </w:rPr>
        <w:t xml:space="preserve"> tablolar üzerine </w:t>
      </w:r>
      <w:r w:rsidRPr="00DB0DEF">
        <w:rPr>
          <w:rStyle w:val="fontstyle01"/>
          <w:rFonts w:ascii="Times New Roman" w:hAnsi="Times New Roman" w:cs="Times New Roman"/>
          <w:color w:val="auto"/>
          <w:sz w:val="22"/>
          <w:szCs w:val="22"/>
        </w:rPr>
        <w:t xml:space="preserve">yapılan </w:t>
      </w:r>
      <w:r w:rsidR="00110C35" w:rsidRPr="00DB0DEF">
        <w:rPr>
          <w:rStyle w:val="fontstyle01"/>
          <w:rFonts w:ascii="Times New Roman" w:hAnsi="Times New Roman" w:cs="Times New Roman"/>
          <w:color w:val="auto"/>
          <w:sz w:val="22"/>
          <w:szCs w:val="22"/>
        </w:rPr>
        <w:t>bir finansal analiz</w:t>
      </w:r>
      <w:r w:rsidRPr="00DB0DEF">
        <w:rPr>
          <w:rStyle w:val="fontstyle01"/>
          <w:rFonts w:ascii="Times New Roman" w:hAnsi="Times New Roman" w:cs="Times New Roman"/>
          <w:color w:val="auto"/>
          <w:sz w:val="22"/>
          <w:szCs w:val="22"/>
        </w:rPr>
        <w:t xml:space="preserve">e rastlanmamıştır. </w:t>
      </w:r>
      <w:r w:rsidR="00110C35" w:rsidRPr="00DB0DEF">
        <w:rPr>
          <w:rStyle w:val="fontstyle01"/>
          <w:rFonts w:ascii="Times New Roman" w:hAnsi="Times New Roman" w:cs="Times New Roman"/>
          <w:color w:val="auto"/>
          <w:sz w:val="22"/>
          <w:szCs w:val="22"/>
        </w:rPr>
        <w:t xml:space="preserve">Bu nedenle bu çalışmanın </w:t>
      </w:r>
      <w:r w:rsidR="00FB2BB5" w:rsidRPr="00DB0DEF">
        <w:rPr>
          <w:rStyle w:val="fontstyle01"/>
          <w:rFonts w:ascii="Times New Roman" w:hAnsi="Times New Roman" w:cs="Times New Roman"/>
          <w:color w:val="auto"/>
          <w:sz w:val="22"/>
          <w:szCs w:val="22"/>
        </w:rPr>
        <w:t>amaç ve kapsam a</w:t>
      </w:r>
      <w:r w:rsidR="00110C35" w:rsidRPr="00DB0DEF">
        <w:rPr>
          <w:rStyle w:val="fontstyle01"/>
          <w:rFonts w:ascii="Times New Roman" w:hAnsi="Times New Roman" w:cs="Times New Roman"/>
          <w:color w:val="auto"/>
          <w:sz w:val="22"/>
          <w:szCs w:val="22"/>
        </w:rPr>
        <w:t>çı</w:t>
      </w:r>
      <w:r w:rsidR="00FB2BB5" w:rsidRPr="00DB0DEF">
        <w:rPr>
          <w:rStyle w:val="fontstyle01"/>
          <w:rFonts w:ascii="Times New Roman" w:hAnsi="Times New Roman" w:cs="Times New Roman"/>
          <w:color w:val="auto"/>
          <w:sz w:val="22"/>
          <w:szCs w:val="22"/>
        </w:rPr>
        <w:t>sından</w:t>
      </w:r>
      <w:r w:rsidR="008D5478" w:rsidRPr="00DB0DEF">
        <w:rPr>
          <w:rStyle w:val="fontstyle01"/>
          <w:rFonts w:ascii="Times New Roman" w:hAnsi="Times New Roman" w:cs="Times New Roman"/>
          <w:color w:val="auto"/>
          <w:sz w:val="22"/>
          <w:szCs w:val="22"/>
        </w:rPr>
        <w:t xml:space="preserve"> bir</w:t>
      </w:r>
      <w:r w:rsidR="00110C35" w:rsidRPr="00DB0DEF">
        <w:rPr>
          <w:rStyle w:val="fontstyle01"/>
          <w:rFonts w:ascii="Times New Roman" w:hAnsi="Times New Roman" w:cs="Times New Roman"/>
          <w:color w:val="auto"/>
          <w:sz w:val="22"/>
          <w:szCs w:val="22"/>
        </w:rPr>
        <w:t xml:space="preserve"> ilk olacağı söylenebilir.</w:t>
      </w:r>
    </w:p>
    <w:p w14:paraId="710BB7F4" w14:textId="171CB740" w:rsidR="00067219" w:rsidRPr="00DB0DEF" w:rsidRDefault="006C3477" w:rsidP="00D40ACF">
      <w:pPr>
        <w:pStyle w:val="Balk1"/>
        <w:numPr>
          <w:ilvl w:val="0"/>
          <w:numId w:val="2"/>
        </w:numPr>
        <w:tabs>
          <w:tab w:val="left" w:pos="851"/>
        </w:tabs>
        <w:spacing w:before="0" w:after="120" w:line="276" w:lineRule="auto"/>
        <w:ind w:left="0" w:firstLine="426"/>
        <w:contextualSpacing/>
        <w:rPr>
          <w:rFonts w:cs="Times New Roman"/>
          <w:sz w:val="22"/>
          <w:szCs w:val="22"/>
        </w:rPr>
      </w:pPr>
      <w:r w:rsidRPr="00DB0DEF">
        <w:rPr>
          <w:rFonts w:cs="Times New Roman"/>
          <w:sz w:val="22"/>
          <w:szCs w:val="22"/>
        </w:rPr>
        <w:t>ARAŞTIRMANIN KAPSAMI VE YÖNTEMİ</w:t>
      </w:r>
    </w:p>
    <w:p w14:paraId="028D5131" w14:textId="41FB9C17" w:rsidR="00067219" w:rsidRPr="00DB0DEF" w:rsidRDefault="00453387" w:rsidP="00D40ACF">
      <w:pPr>
        <w:pStyle w:val="Balk1"/>
        <w:numPr>
          <w:ilvl w:val="1"/>
          <w:numId w:val="2"/>
        </w:numPr>
        <w:tabs>
          <w:tab w:val="clear" w:pos="709"/>
          <w:tab w:val="left" w:pos="993"/>
        </w:tabs>
        <w:spacing w:before="0" w:after="120" w:line="276" w:lineRule="auto"/>
        <w:ind w:left="0" w:firstLine="426"/>
        <w:contextualSpacing/>
        <w:rPr>
          <w:rFonts w:cs="Times New Roman"/>
          <w:sz w:val="22"/>
          <w:szCs w:val="22"/>
        </w:rPr>
      </w:pPr>
      <w:r w:rsidRPr="00DB0DEF">
        <w:rPr>
          <w:rFonts w:cs="Times New Roman"/>
          <w:sz w:val="22"/>
          <w:szCs w:val="22"/>
        </w:rPr>
        <w:t>Araştırmanın Kapsamı</w:t>
      </w:r>
    </w:p>
    <w:p w14:paraId="6C9FECBA" w14:textId="06570ACF" w:rsidR="00453387" w:rsidRPr="00DB0DEF" w:rsidRDefault="0048487A" w:rsidP="00AF1E21">
      <w:pPr>
        <w:spacing w:after="120"/>
        <w:ind w:firstLine="425"/>
        <w:jc w:val="both"/>
        <w:rPr>
          <w:rFonts w:ascii="Times New Roman" w:hAnsi="Times New Roman" w:cs="Times New Roman"/>
        </w:rPr>
      </w:pPr>
      <w:r w:rsidRPr="00DB0DEF">
        <w:rPr>
          <w:rFonts w:ascii="Times New Roman" w:hAnsi="Times New Roman" w:cs="Times New Roman"/>
        </w:rPr>
        <w:t>Yapılan incelemede l</w:t>
      </w:r>
      <w:r w:rsidR="006B1D2D" w:rsidRPr="00DB0DEF">
        <w:rPr>
          <w:rFonts w:ascii="Times New Roman" w:hAnsi="Times New Roman" w:cs="Times New Roman"/>
        </w:rPr>
        <w:t>iteratürdeki önceki çalışmalarla uyumlu olara</w:t>
      </w:r>
      <w:r w:rsidRPr="00DB0DEF">
        <w:rPr>
          <w:rFonts w:ascii="Times New Roman" w:hAnsi="Times New Roman" w:cs="Times New Roman"/>
        </w:rPr>
        <w:t>k</w:t>
      </w:r>
      <w:r w:rsidR="006B1D2D" w:rsidRPr="00DB0DEF">
        <w:rPr>
          <w:rFonts w:ascii="Times New Roman" w:hAnsi="Times New Roman" w:cs="Times New Roman"/>
        </w:rPr>
        <w:t xml:space="preserve"> </w:t>
      </w:r>
      <w:r w:rsidR="00453387" w:rsidRPr="00DB0DEF">
        <w:rPr>
          <w:rFonts w:ascii="Times New Roman" w:hAnsi="Times New Roman" w:cs="Times New Roman"/>
        </w:rPr>
        <w:t>BİST’d</w:t>
      </w:r>
      <w:r w:rsidR="00FB2BB5" w:rsidRPr="00DB0DEF">
        <w:rPr>
          <w:rFonts w:ascii="Times New Roman" w:hAnsi="Times New Roman" w:cs="Times New Roman"/>
        </w:rPr>
        <w:t>e</w:t>
      </w:r>
      <w:r w:rsidR="00453387" w:rsidRPr="00DB0DEF">
        <w:rPr>
          <w:rFonts w:ascii="Times New Roman" w:hAnsi="Times New Roman" w:cs="Times New Roman"/>
        </w:rPr>
        <w:t xml:space="preserve"> (Borsa İstanbul) işlem gören şirketlerin büyük çoğunluğunun bir veya birkaç alanda faaliyet göstermekte </w:t>
      </w:r>
      <w:r w:rsidR="006B1D2D" w:rsidRPr="00DB0DEF">
        <w:rPr>
          <w:rFonts w:ascii="Times New Roman" w:hAnsi="Times New Roman" w:cs="Times New Roman"/>
        </w:rPr>
        <w:t>olduğu, dolayısıyla</w:t>
      </w:r>
      <w:r w:rsidR="00453387" w:rsidRPr="00DB0DEF">
        <w:rPr>
          <w:rFonts w:ascii="Times New Roman" w:hAnsi="Times New Roman" w:cs="Times New Roman"/>
        </w:rPr>
        <w:t xml:space="preserve"> TFRS 8 “Faaliyet Bölümleri Standardı” kapsamında raporlamanın yaygın olarak uygulanmadığı belirlenmiştir. Bu nedenle birçok faaliyet alanında faaliyet gösteren şirket grupları olan </w:t>
      </w:r>
      <w:r w:rsidRPr="00DB0DEF">
        <w:rPr>
          <w:rFonts w:ascii="Times New Roman" w:hAnsi="Times New Roman" w:cs="Times New Roman"/>
        </w:rPr>
        <w:t>“</w:t>
      </w:r>
      <w:r w:rsidR="00453387" w:rsidRPr="00DB0DEF">
        <w:rPr>
          <w:rFonts w:ascii="Times New Roman" w:hAnsi="Times New Roman" w:cs="Times New Roman"/>
        </w:rPr>
        <w:t>Holdingler</w:t>
      </w:r>
      <w:r w:rsidRPr="00DB0DEF">
        <w:rPr>
          <w:rFonts w:ascii="Times New Roman" w:hAnsi="Times New Roman" w:cs="Times New Roman"/>
        </w:rPr>
        <w:t>”</w:t>
      </w:r>
      <w:r w:rsidR="00453387" w:rsidRPr="00DB0DEF">
        <w:rPr>
          <w:rFonts w:ascii="Times New Roman" w:hAnsi="Times New Roman" w:cs="Times New Roman"/>
        </w:rPr>
        <w:t xml:space="preserve"> ile araştırma kapsamı sınırlandırılmıştır. </w:t>
      </w:r>
      <w:r w:rsidRPr="00DB0DEF">
        <w:rPr>
          <w:rFonts w:ascii="Times New Roman" w:hAnsi="Times New Roman" w:cs="Times New Roman"/>
        </w:rPr>
        <w:t>Kamu Aydınlatma Platformu (</w:t>
      </w:r>
      <w:r w:rsidR="00BB47B2" w:rsidRPr="00DB0DEF">
        <w:rPr>
          <w:rFonts w:ascii="Times New Roman" w:hAnsi="Times New Roman" w:cs="Times New Roman"/>
        </w:rPr>
        <w:t>KAP</w:t>
      </w:r>
      <w:r w:rsidRPr="00DB0DEF">
        <w:rPr>
          <w:rFonts w:ascii="Times New Roman" w:hAnsi="Times New Roman" w:cs="Times New Roman"/>
        </w:rPr>
        <w:t>)</w:t>
      </w:r>
      <w:r w:rsidR="00BB47B2" w:rsidRPr="00DB0DEF">
        <w:rPr>
          <w:rFonts w:ascii="Times New Roman" w:hAnsi="Times New Roman" w:cs="Times New Roman"/>
        </w:rPr>
        <w:t xml:space="preserve"> tarafından </w:t>
      </w:r>
      <w:r w:rsidR="006B1D2D" w:rsidRPr="00DB0DEF">
        <w:rPr>
          <w:rFonts w:ascii="Times New Roman" w:hAnsi="Times New Roman" w:cs="Times New Roman"/>
        </w:rPr>
        <w:t>ya</w:t>
      </w:r>
      <w:r w:rsidRPr="00DB0DEF">
        <w:rPr>
          <w:rFonts w:ascii="Times New Roman" w:hAnsi="Times New Roman" w:cs="Times New Roman"/>
        </w:rPr>
        <w:t>pılan sınıflandırmada</w:t>
      </w:r>
      <w:r w:rsidR="006B1D2D" w:rsidRPr="00DB0DEF">
        <w:rPr>
          <w:rFonts w:ascii="Times New Roman" w:hAnsi="Times New Roman" w:cs="Times New Roman"/>
        </w:rPr>
        <w:t xml:space="preserve"> “</w:t>
      </w:r>
      <w:r w:rsidR="00BB47B2" w:rsidRPr="00DB0DEF">
        <w:rPr>
          <w:rFonts w:ascii="Times New Roman" w:hAnsi="Times New Roman" w:cs="Times New Roman"/>
        </w:rPr>
        <w:t>Sektörler</w:t>
      </w:r>
      <w:r w:rsidR="006B1D2D" w:rsidRPr="00DB0DEF">
        <w:rPr>
          <w:rFonts w:ascii="Times New Roman" w:hAnsi="Times New Roman" w:cs="Times New Roman"/>
        </w:rPr>
        <w:t>”</w:t>
      </w:r>
      <w:r w:rsidR="00BB47B2" w:rsidRPr="00DB0DEF">
        <w:rPr>
          <w:rFonts w:ascii="Times New Roman" w:hAnsi="Times New Roman" w:cs="Times New Roman"/>
        </w:rPr>
        <w:t xml:space="preserve"> bölümünde </w:t>
      </w:r>
      <w:r w:rsidR="006B1D2D" w:rsidRPr="00DB0DEF">
        <w:rPr>
          <w:rFonts w:ascii="Times New Roman" w:hAnsi="Times New Roman" w:cs="Times New Roman"/>
        </w:rPr>
        <w:t>“</w:t>
      </w:r>
      <w:r w:rsidR="00BB47B2" w:rsidRPr="00DB0DEF">
        <w:rPr>
          <w:rFonts w:ascii="Times New Roman" w:hAnsi="Times New Roman" w:cs="Times New Roman"/>
        </w:rPr>
        <w:t>Holdingler ve Yatırım Şirketleri</w:t>
      </w:r>
      <w:r w:rsidR="006B1D2D" w:rsidRPr="00DB0DEF">
        <w:rPr>
          <w:rFonts w:ascii="Times New Roman" w:hAnsi="Times New Roman" w:cs="Times New Roman"/>
        </w:rPr>
        <w:t>”</w:t>
      </w:r>
      <w:r w:rsidR="00BB47B2" w:rsidRPr="00DB0DEF">
        <w:rPr>
          <w:rFonts w:ascii="Times New Roman" w:hAnsi="Times New Roman" w:cs="Times New Roman"/>
        </w:rPr>
        <w:t xml:space="preserve"> başlığı altında </w:t>
      </w:r>
      <w:r w:rsidR="00BB47B2" w:rsidRPr="00DB0DEF">
        <w:rPr>
          <w:rFonts w:ascii="Times New Roman" w:hAnsi="Times New Roman" w:cs="Times New Roman"/>
          <w:b/>
          <w:bCs/>
        </w:rPr>
        <w:t>4</w:t>
      </w:r>
      <w:r w:rsidR="00FB2BB5" w:rsidRPr="00DB0DEF">
        <w:rPr>
          <w:rFonts w:ascii="Times New Roman" w:hAnsi="Times New Roman" w:cs="Times New Roman"/>
          <w:b/>
          <w:bCs/>
        </w:rPr>
        <w:t>8</w:t>
      </w:r>
      <w:r w:rsidR="00BB47B2" w:rsidRPr="00DB0DEF">
        <w:rPr>
          <w:rFonts w:ascii="Times New Roman" w:hAnsi="Times New Roman" w:cs="Times New Roman"/>
          <w:b/>
          <w:bCs/>
        </w:rPr>
        <w:t xml:space="preserve"> </w:t>
      </w:r>
      <w:r w:rsidR="00BB47B2" w:rsidRPr="00DB0DEF">
        <w:rPr>
          <w:rFonts w:ascii="Times New Roman" w:hAnsi="Times New Roman" w:cs="Times New Roman"/>
        </w:rPr>
        <w:t>holding ve şirket yer almaktadır</w:t>
      </w:r>
      <w:r w:rsidR="003877B8" w:rsidRPr="00DB0DEF">
        <w:rPr>
          <w:rFonts w:ascii="Times New Roman" w:hAnsi="Times New Roman" w:cs="Times New Roman"/>
        </w:rPr>
        <w:t>. KAP tarafından yayınlanan Konsolide</w:t>
      </w:r>
      <w:r w:rsidR="00811A7E" w:rsidRPr="00DB0DEF">
        <w:rPr>
          <w:rFonts w:ascii="Times New Roman" w:hAnsi="Times New Roman" w:cs="Times New Roman"/>
        </w:rPr>
        <w:t xml:space="preserve"> </w:t>
      </w:r>
      <w:r w:rsidR="003877B8" w:rsidRPr="00DB0DEF">
        <w:rPr>
          <w:rFonts w:ascii="Times New Roman" w:hAnsi="Times New Roman" w:cs="Times New Roman"/>
        </w:rPr>
        <w:t xml:space="preserve">Finansal Tablolar ve Bağımsız Denetçi Raporları incelenmiş, </w:t>
      </w:r>
      <w:r w:rsidR="00FB2BB5" w:rsidRPr="00DB0DEF">
        <w:rPr>
          <w:rFonts w:ascii="Times New Roman" w:hAnsi="Times New Roman" w:cs="Times New Roman"/>
        </w:rPr>
        <w:t xml:space="preserve">bu </w:t>
      </w:r>
      <w:r w:rsidR="003877B8" w:rsidRPr="00DB0DEF">
        <w:rPr>
          <w:rFonts w:ascii="Times New Roman" w:hAnsi="Times New Roman" w:cs="Times New Roman"/>
        </w:rPr>
        <w:t>holdinglerden</w:t>
      </w:r>
      <w:r w:rsidR="00BB47B2" w:rsidRPr="00DB0DEF">
        <w:rPr>
          <w:rFonts w:ascii="Times New Roman" w:hAnsi="Times New Roman" w:cs="Times New Roman"/>
        </w:rPr>
        <w:t xml:space="preserve"> </w:t>
      </w:r>
      <w:r w:rsidR="00BB47B2" w:rsidRPr="00DB0DEF">
        <w:rPr>
          <w:rFonts w:ascii="Times New Roman" w:hAnsi="Times New Roman" w:cs="Times New Roman"/>
          <w:b/>
          <w:bCs/>
        </w:rPr>
        <w:t>27</w:t>
      </w:r>
      <w:r w:rsidR="00BB47B2" w:rsidRPr="00DB0DEF">
        <w:rPr>
          <w:rFonts w:ascii="Times New Roman" w:hAnsi="Times New Roman" w:cs="Times New Roman"/>
        </w:rPr>
        <w:t xml:space="preserve"> Holdingin </w:t>
      </w:r>
      <w:r w:rsidR="006B1D2D" w:rsidRPr="00DB0DEF">
        <w:rPr>
          <w:rFonts w:ascii="Times New Roman" w:hAnsi="Times New Roman" w:cs="Times New Roman"/>
        </w:rPr>
        <w:t>f</w:t>
      </w:r>
      <w:r w:rsidR="00BB47B2" w:rsidRPr="00DB0DEF">
        <w:rPr>
          <w:rFonts w:ascii="Times New Roman" w:hAnsi="Times New Roman" w:cs="Times New Roman"/>
        </w:rPr>
        <w:t>aaliyet bölümlerine göre finansal raporlama yaptığı belirlenmiştir. Bu holdingler ve faaliyet bölümleri sayısı aşağıdaki şekildedir:</w:t>
      </w:r>
    </w:p>
    <w:p w14:paraId="41134108" w14:textId="369C50FB" w:rsidR="00D166C9" w:rsidRPr="00DB0DEF" w:rsidRDefault="00D166C9" w:rsidP="00AF1E21">
      <w:pPr>
        <w:spacing w:before="120" w:after="120"/>
        <w:ind w:firstLine="425"/>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1</w:t>
      </w:r>
      <w:r w:rsidRPr="00DB0DEF">
        <w:rPr>
          <w:rFonts w:ascii="Times New Roman" w:hAnsi="Times New Roman" w:cs="Times New Roman"/>
          <w:b/>
          <w:bCs/>
        </w:rPr>
        <w:t>: Faaliyet Bölümlerine Göre Raporlama Yapan Holdingler</w:t>
      </w:r>
    </w:p>
    <w:tbl>
      <w:tblPr>
        <w:tblW w:w="3501" w:type="pct"/>
        <w:jc w:val="center"/>
        <w:tblCellMar>
          <w:left w:w="70" w:type="dxa"/>
          <w:right w:w="70" w:type="dxa"/>
        </w:tblCellMar>
        <w:tblLook w:val="04A0" w:firstRow="1" w:lastRow="0" w:firstColumn="1" w:lastColumn="0" w:noHBand="0" w:noVBand="1"/>
      </w:tblPr>
      <w:tblGrid>
        <w:gridCol w:w="2738"/>
        <w:gridCol w:w="1022"/>
        <w:gridCol w:w="1654"/>
        <w:gridCol w:w="931"/>
      </w:tblGrid>
      <w:tr w:rsidR="003A1056" w:rsidRPr="00DB0DEF" w14:paraId="6A2B919C" w14:textId="77777777" w:rsidTr="008D5478">
        <w:trPr>
          <w:trHeight w:val="343"/>
          <w:jc w:val="center"/>
        </w:trPr>
        <w:tc>
          <w:tcPr>
            <w:tcW w:w="2158"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0B9B403" w14:textId="77777777" w:rsidR="00EF4A53" w:rsidRPr="00DB0DEF" w:rsidRDefault="00EF4A53" w:rsidP="00D40ACF">
            <w:pPr>
              <w:spacing w:after="120"/>
              <w:ind w:firstLine="426"/>
              <w:contextualSpacing/>
              <w:jc w:val="center"/>
              <w:rPr>
                <w:rFonts w:ascii="Times New Roman" w:eastAsia="Times New Roman" w:hAnsi="Times New Roman" w:cs="Times New Roman"/>
                <w:b/>
                <w:bCs/>
                <w:noProof w:val="0"/>
                <w:sz w:val="18"/>
                <w:szCs w:val="18"/>
                <w:lang w:eastAsia="tr-TR"/>
              </w:rPr>
            </w:pPr>
            <w:r w:rsidRPr="00DB0DEF">
              <w:rPr>
                <w:rFonts w:ascii="Times New Roman" w:eastAsia="Times New Roman" w:hAnsi="Times New Roman" w:cs="Times New Roman"/>
                <w:b/>
                <w:bCs/>
                <w:noProof w:val="0"/>
                <w:sz w:val="18"/>
                <w:szCs w:val="18"/>
                <w:lang w:eastAsia="tr-TR"/>
              </w:rPr>
              <w:t>HOLDİNG ADI</w:t>
            </w:r>
          </w:p>
        </w:tc>
        <w:tc>
          <w:tcPr>
            <w:tcW w:w="805" w:type="pct"/>
            <w:tcBorders>
              <w:top w:val="single" w:sz="4" w:space="0" w:color="auto"/>
              <w:left w:val="nil"/>
              <w:bottom w:val="single" w:sz="4" w:space="0" w:color="auto"/>
              <w:right w:val="single" w:sz="4" w:space="0" w:color="auto"/>
            </w:tcBorders>
            <w:shd w:val="clear" w:color="000000" w:fill="F2F2F2"/>
            <w:vAlign w:val="center"/>
            <w:hideMark/>
          </w:tcPr>
          <w:p w14:paraId="2F3B9FB2" w14:textId="00C960A3" w:rsidR="00EF4A53" w:rsidRPr="00DB0DEF" w:rsidRDefault="00EF4A53" w:rsidP="00D40ACF">
            <w:pPr>
              <w:spacing w:after="120"/>
              <w:ind w:firstLine="42"/>
              <w:contextualSpacing/>
              <w:jc w:val="center"/>
              <w:rPr>
                <w:rFonts w:ascii="Times New Roman" w:eastAsia="Times New Roman" w:hAnsi="Times New Roman" w:cs="Times New Roman"/>
                <w:b/>
                <w:bCs/>
                <w:noProof w:val="0"/>
                <w:sz w:val="18"/>
                <w:szCs w:val="18"/>
                <w:lang w:eastAsia="tr-TR"/>
              </w:rPr>
            </w:pPr>
            <w:r w:rsidRPr="00DB0DEF">
              <w:rPr>
                <w:rFonts w:ascii="Times New Roman" w:eastAsia="Times New Roman" w:hAnsi="Times New Roman" w:cs="Times New Roman"/>
                <w:b/>
                <w:bCs/>
                <w:noProof w:val="0"/>
                <w:sz w:val="18"/>
                <w:szCs w:val="18"/>
                <w:lang w:eastAsia="tr-TR"/>
              </w:rPr>
              <w:t>BÖLÜM SAYISI</w:t>
            </w:r>
          </w:p>
        </w:tc>
        <w:tc>
          <w:tcPr>
            <w:tcW w:w="1303" w:type="pct"/>
            <w:tcBorders>
              <w:top w:val="single" w:sz="4" w:space="0" w:color="auto"/>
              <w:left w:val="nil"/>
              <w:bottom w:val="single" w:sz="4" w:space="0" w:color="auto"/>
              <w:right w:val="single" w:sz="4" w:space="0" w:color="auto"/>
            </w:tcBorders>
            <w:shd w:val="clear" w:color="000000" w:fill="F2F2F2"/>
            <w:vAlign w:val="center"/>
            <w:hideMark/>
          </w:tcPr>
          <w:p w14:paraId="1D6A49E1" w14:textId="77777777" w:rsidR="00EF4A53" w:rsidRPr="00DB0DEF" w:rsidRDefault="00EF4A53" w:rsidP="00D40ACF">
            <w:pPr>
              <w:spacing w:after="120"/>
              <w:ind w:firstLine="21"/>
              <w:contextualSpacing/>
              <w:jc w:val="center"/>
              <w:rPr>
                <w:rFonts w:ascii="Times New Roman" w:eastAsia="Times New Roman" w:hAnsi="Times New Roman" w:cs="Times New Roman"/>
                <w:b/>
                <w:bCs/>
                <w:noProof w:val="0"/>
                <w:sz w:val="18"/>
                <w:szCs w:val="18"/>
                <w:lang w:eastAsia="tr-TR"/>
              </w:rPr>
            </w:pPr>
            <w:r w:rsidRPr="00DB0DEF">
              <w:rPr>
                <w:rFonts w:ascii="Times New Roman" w:eastAsia="Times New Roman" w:hAnsi="Times New Roman" w:cs="Times New Roman"/>
                <w:b/>
                <w:bCs/>
                <w:noProof w:val="0"/>
                <w:sz w:val="18"/>
                <w:szCs w:val="18"/>
                <w:lang w:eastAsia="tr-TR"/>
              </w:rPr>
              <w:t>HOLDİNG ADI</w:t>
            </w:r>
          </w:p>
        </w:tc>
        <w:tc>
          <w:tcPr>
            <w:tcW w:w="734" w:type="pct"/>
            <w:tcBorders>
              <w:top w:val="single" w:sz="4" w:space="0" w:color="auto"/>
              <w:left w:val="nil"/>
              <w:bottom w:val="single" w:sz="4" w:space="0" w:color="auto"/>
              <w:right w:val="single" w:sz="4" w:space="0" w:color="auto"/>
            </w:tcBorders>
            <w:shd w:val="clear" w:color="000000" w:fill="F2F2F2"/>
            <w:vAlign w:val="center"/>
            <w:hideMark/>
          </w:tcPr>
          <w:p w14:paraId="11A10AE4" w14:textId="65493BDE" w:rsidR="00EF4A53" w:rsidRPr="00DB0DEF" w:rsidRDefault="00EF4A53" w:rsidP="00D40ACF">
            <w:pPr>
              <w:spacing w:after="120"/>
              <w:contextualSpacing/>
              <w:jc w:val="center"/>
              <w:rPr>
                <w:rFonts w:ascii="Times New Roman" w:eastAsia="Times New Roman" w:hAnsi="Times New Roman" w:cs="Times New Roman"/>
                <w:b/>
                <w:bCs/>
                <w:noProof w:val="0"/>
                <w:sz w:val="18"/>
                <w:szCs w:val="18"/>
                <w:lang w:eastAsia="tr-TR"/>
              </w:rPr>
            </w:pPr>
            <w:r w:rsidRPr="00DB0DEF">
              <w:rPr>
                <w:rFonts w:ascii="Times New Roman" w:eastAsia="Times New Roman" w:hAnsi="Times New Roman" w:cs="Times New Roman"/>
                <w:b/>
                <w:bCs/>
                <w:noProof w:val="0"/>
                <w:sz w:val="18"/>
                <w:szCs w:val="18"/>
                <w:lang w:eastAsia="tr-TR"/>
              </w:rPr>
              <w:t>BÖLÜM SAYISI</w:t>
            </w:r>
          </w:p>
        </w:tc>
      </w:tr>
      <w:tr w:rsidR="003A1056" w:rsidRPr="00DB0DEF" w14:paraId="7125649A"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47E0423"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AG ANADOLU GRUBU </w:t>
            </w:r>
          </w:p>
        </w:tc>
        <w:tc>
          <w:tcPr>
            <w:tcW w:w="805" w:type="pct"/>
            <w:tcBorders>
              <w:top w:val="nil"/>
              <w:left w:val="nil"/>
              <w:bottom w:val="single" w:sz="4" w:space="0" w:color="auto"/>
              <w:right w:val="single" w:sz="4" w:space="0" w:color="auto"/>
            </w:tcBorders>
            <w:shd w:val="clear" w:color="auto" w:fill="auto"/>
            <w:vAlign w:val="center"/>
            <w:hideMark/>
          </w:tcPr>
          <w:p w14:paraId="11716CDD"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vAlign w:val="center"/>
            <w:hideMark/>
          </w:tcPr>
          <w:p w14:paraId="476A0BF6"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İŞBİR </w:t>
            </w:r>
          </w:p>
        </w:tc>
        <w:tc>
          <w:tcPr>
            <w:tcW w:w="734" w:type="pct"/>
            <w:tcBorders>
              <w:top w:val="nil"/>
              <w:left w:val="nil"/>
              <w:bottom w:val="single" w:sz="4" w:space="0" w:color="auto"/>
              <w:right w:val="single" w:sz="4" w:space="0" w:color="auto"/>
            </w:tcBorders>
            <w:shd w:val="clear" w:color="auto" w:fill="auto"/>
            <w:vAlign w:val="center"/>
            <w:hideMark/>
          </w:tcPr>
          <w:p w14:paraId="4A59C69D"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r>
      <w:tr w:rsidR="003A1056" w:rsidRPr="00DB0DEF" w14:paraId="02EA4554"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4291538B"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ALARKO </w:t>
            </w:r>
          </w:p>
        </w:tc>
        <w:tc>
          <w:tcPr>
            <w:tcW w:w="805" w:type="pct"/>
            <w:tcBorders>
              <w:top w:val="nil"/>
              <w:left w:val="nil"/>
              <w:bottom w:val="single" w:sz="4" w:space="0" w:color="auto"/>
              <w:right w:val="single" w:sz="4" w:space="0" w:color="auto"/>
            </w:tcBorders>
            <w:shd w:val="clear" w:color="auto" w:fill="auto"/>
            <w:vAlign w:val="center"/>
            <w:hideMark/>
          </w:tcPr>
          <w:p w14:paraId="5C3ECF0A"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vAlign w:val="center"/>
            <w:hideMark/>
          </w:tcPr>
          <w:p w14:paraId="7099A0C6"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İTTİFAK </w:t>
            </w:r>
          </w:p>
        </w:tc>
        <w:tc>
          <w:tcPr>
            <w:tcW w:w="734" w:type="pct"/>
            <w:tcBorders>
              <w:top w:val="nil"/>
              <w:left w:val="nil"/>
              <w:bottom w:val="single" w:sz="4" w:space="0" w:color="auto"/>
              <w:right w:val="single" w:sz="4" w:space="0" w:color="auto"/>
            </w:tcBorders>
            <w:shd w:val="clear" w:color="auto" w:fill="auto"/>
            <w:vAlign w:val="center"/>
            <w:hideMark/>
          </w:tcPr>
          <w:p w14:paraId="50B9CC95"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4</w:t>
            </w:r>
          </w:p>
        </w:tc>
      </w:tr>
      <w:tr w:rsidR="003A1056" w:rsidRPr="00DB0DEF" w14:paraId="12D437B5"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07248C8"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AVRUPA YATIRIM </w:t>
            </w:r>
          </w:p>
        </w:tc>
        <w:tc>
          <w:tcPr>
            <w:tcW w:w="805" w:type="pct"/>
            <w:tcBorders>
              <w:top w:val="nil"/>
              <w:left w:val="nil"/>
              <w:bottom w:val="single" w:sz="4" w:space="0" w:color="auto"/>
              <w:right w:val="single" w:sz="4" w:space="0" w:color="auto"/>
            </w:tcBorders>
            <w:shd w:val="clear" w:color="auto" w:fill="auto"/>
            <w:vAlign w:val="center"/>
            <w:hideMark/>
          </w:tcPr>
          <w:p w14:paraId="6B5F135F"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c>
          <w:tcPr>
            <w:tcW w:w="1303" w:type="pct"/>
            <w:tcBorders>
              <w:top w:val="nil"/>
              <w:left w:val="nil"/>
              <w:bottom w:val="single" w:sz="4" w:space="0" w:color="auto"/>
              <w:right w:val="single" w:sz="4" w:space="0" w:color="auto"/>
            </w:tcBorders>
            <w:shd w:val="clear" w:color="auto" w:fill="auto"/>
            <w:vAlign w:val="center"/>
            <w:hideMark/>
          </w:tcPr>
          <w:p w14:paraId="397717E0"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KOÇ </w:t>
            </w:r>
          </w:p>
        </w:tc>
        <w:tc>
          <w:tcPr>
            <w:tcW w:w="734" w:type="pct"/>
            <w:tcBorders>
              <w:top w:val="nil"/>
              <w:left w:val="nil"/>
              <w:bottom w:val="single" w:sz="4" w:space="0" w:color="auto"/>
              <w:right w:val="single" w:sz="4" w:space="0" w:color="auto"/>
            </w:tcBorders>
            <w:shd w:val="clear" w:color="auto" w:fill="auto"/>
            <w:vAlign w:val="center"/>
            <w:hideMark/>
          </w:tcPr>
          <w:p w14:paraId="28DBC9AA"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r>
      <w:tr w:rsidR="003A1056" w:rsidRPr="00DB0DEF" w14:paraId="03306E82"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269D006"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COSMOS YATIRIM </w:t>
            </w:r>
          </w:p>
        </w:tc>
        <w:tc>
          <w:tcPr>
            <w:tcW w:w="805" w:type="pct"/>
            <w:tcBorders>
              <w:top w:val="nil"/>
              <w:left w:val="nil"/>
              <w:bottom w:val="single" w:sz="4" w:space="0" w:color="auto"/>
              <w:right w:val="single" w:sz="4" w:space="0" w:color="auto"/>
            </w:tcBorders>
            <w:shd w:val="clear" w:color="auto" w:fill="auto"/>
            <w:vAlign w:val="center"/>
            <w:hideMark/>
          </w:tcPr>
          <w:p w14:paraId="605E7C00"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c>
          <w:tcPr>
            <w:tcW w:w="1303" w:type="pct"/>
            <w:tcBorders>
              <w:top w:val="nil"/>
              <w:left w:val="nil"/>
              <w:bottom w:val="single" w:sz="4" w:space="0" w:color="auto"/>
              <w:right w:val="single" w:sz="4" w:space="0" w:color="auto"/>
            </w:tcBorders>
            <w:shd w:val="clear" w:color="auto" w:fill="auto"/>
            <w:vAlign w:val="center"/>
            <w:hideMark/>
          </w:tcPr>
          <w:p w14:paraId="23C7F5BA"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KERVANSARAY </w:t>
            </w:r>
          </w:p>
        </w:tc>
        <w:tc>
          <w:tcPr>
            <w:tcW w:w="734" w:type="pct"/>
            <w:tcBorders>
              <w:top w:val="nil"/>
              <w:left w:val="nil"/>
              <w:bottom w:val="single" w:sz="4" w:space="0" w:color="auto"/>
              <w:right w:val="single" w:sz="4" w:space="0" w:color="auto"/>
            </w:tcBorders>
            <w:shd w:val="clear" w:color="auto" w:fill="auto"/>
            <w:vAlign w:val="center"/>
            <w:hideMark/>
          </w:tcPr>
          <w:p w14:paraId="492A9F5C"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2</w:t>
            </w:r>
          </w:p>
        </w:tc>
      </w:tr>
      <w:tr w:rsidR="003A1056" w:rsidRPr="00DB0DEF" w14:paraId="3B2F912D"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40C1BC8"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DENGE YATIRIM </w:t>
            </w:r>
          </w:p>
        </w:tc>
        <w:tc>
          <w:tcPr>
            <w:tcW w:w="805" w:type="pct"/>
            <w:tcBorders>
              <w:top w:val="nil"/>
              <w:left w:val="nil"/>
              <w:bottom w:val="single" w:sz="4" w:space="0" w:color="auto"/>
              <w:right w:val="single" w:sz="4" w:space="0" w:color="auto"/>
            </w:tcBorders>
            <w:shd w:val="clear" w:color="auto" w:fill="auto"/>
            <w:vAlign w:val="center"/>
            <w:hideMark/>
          </w:tcPr>
          <w:p w14:paraId="0F92CE75"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4</w:t>
            </w:r>
          </w:p>
        </w:tc>
        <w:tc>
          <w:tcPr>
            <w:tcW w:w="1303" w:type="pct"/>
            <w:tcBorders>
              <w:top w:val="nil"/>
              <w:left w:val="nil"/>
              <w:bottom w:val="single" w:sz="4" w:space="0" w:color="auto"/>
              <w:right w:val="single" w:sz="4" w:space="0" w:color="auto"/>
            </w:tcBorders>
            <w:shd w:val="clear" w:color="auto" w:fill="auto"/>
            <w:vAlign w:val="center"/>
            <w:hideMark/>
          </w:tcPr>
          <w:p w14:paraId="0E072038"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BERA </w:t>
            </w:r>
          </w:p>
        </w:tc>
        <w:tc>
          <w:tcPr>
            <w:tcW w:w="734" w:type="pct"/>
            <w:tcBorders>
              <w:top w:val="nil"/>
              <w:left w:val="nil"/>
              <w:bottom w:val="single" w:sz="4" w:space="0" w:color="auto"/>
              <w:right w:val="single" w:sz="4" w:space="0" w:color="auto"/>
            </w:tcBorders>
            <w:shd w:val="clear" w:color="auto" w:fill="auto"/>
            <w:vAlign w:val="center"/>
            <w:hideMark/>
          </w:tcPr>
          <w:p w14:paraId="426BC349"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9</w:t>
            </w:r>
          </w:p>
        </w:tc>
      </w:tr>
      <w:tr w:rsidR="003A1056" w:rsidRPr="00DB0DEF" w14:paraId="15337363"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AE13408"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DERLÜKS YATIRIM </w:t>
            </w:r>
          </w:p>
        </w:tc>
        <w:tc>
          <w:tcPr>
            <w:tcW w:w="805" w:type="pct"/>
            <w:tcBorders>
              <w:top w:val="nil"/>
              <w:left w:val="nil"/>
              <w:bottom w:val="single" w:sz="4" w:space="0" w:color="auto"/>
              <w:right w:val="single" w:sz="4" w:space="0" w:color="auto"/>
            </w:tcBorders>
            <w:shd w:val="clear" w:color="auto" w:fill="auto"/>
            <w:vAlign w:val="center"/>
            <w:hideMark/>
          </w:tcPr>
          <w:p w14:paraId="1C95D1BA"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c>
          <w:tcPr>
            <w:tcW w:w="1303" w:type="pct"/>
            <w:tcBorders>
              <w:top w:val="nil"/>
              <w:left w:val="nil"/>
              <w:bottom w:val="single" w:sz="4" w:space="0" w:color="auto"/>
              <w:right w:val="single" w:sz="4" w:space="0" w:color="auto"/>
            </w:tcBorders>
            <w:shd w:val="clear" w:color="auto" w:fill="auto"/>
            <w:vAlign w:val="center"/>
            <w:hideMark/>
          </w:tcPr>
          <w:p w14:paraId="3A9B969A"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NET </w:t>
            </w:r>
          </w:p>
        </w:tc>
        <w:tc>
          <w:tcPr>
            <w:tcW w:w="734" w:type="pct"/>
            <w:tcBorders>
              <w:top w:val="nil"/>
              <w:left w:val="nil"/>
              <w:bottom w:val="single" w:sz="4" w:space="0" w:color="auto"/>
              <w:right w:val="single" w:sz="4" w:space="0" w:color="auto"/>
            </w:tcBorders>
            <w:shd w:val="clear" w:color="auto" w:fill="auto"/>
            <w:vAlign w:val="center"/>
            <w:hideMark/>
          </w:tcPr>
          <w:p w14:paraId="7DED571A"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4</w:t>
            </w:r>
          </w:p>
        </w:tc>
      </w:tr>
      <w:tr w:rsidR="003A1056" w:rsidRPr="00DB0DEF" w14:paraId="427516A2"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1DE6904"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DOĞAN ŞİRKETLER GRUBU </w:t>
            </w:r>
          </w:p>
        </w:tc>
        <w:tc>
          <w:tcPr>
            <w:tcW w:w="805" w:type="pct"/>
            <w:tcBorders>
              <w:top w:val="nil"/>
              <w:left w:val="nil"/>
              <w:bottom w:val="single" w:sz="4" w:space="0" w:color="auto"/>
              <w:right w:val="single" w:sz="4" w:space="0" w:color="auto"/>
            </w:tcBorders>
            <w:shd w:val="clear" w:color="auto" w:fill="auto"/>
            <w:vAlign w:val="center"/>
            <w:hideMark/>
          </w:tcPr>
          <w:p w14:paraId="7C6FA64D"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7</w:t>
            </w:r>
          </w:p>
        </w:tc>
        <w:tc>
          <w:tcPr>
            <w:tcW w:w="1303" w:type="pct"/>
            <w:tcBorders>
              <w:top w:val="nil"/>
              <w:left w:val="nil"/>
              <w:bottom w:val="single" w:sz="4" w:space="0" w:color="auto"/>
              <w:right w:val="single" w:sz="4" w:space="0" w:color="auto"/>
            </w:tcBorders>
            <w:shd w:val="clear" w:color="auto" w:fill="auto"/>
            <w:vAlign w:val="center"/>
            <w:hideMark/>
          </w:tcPr>
          <w:p w14:paraId="624BCEE2"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POLİSAN </w:t>
            </w:r>
          </w:p>
        </w:tc>
        <w:tc>
          <w:tcPr>
            <w:tcW w:w="734" w:type="pct"/>
            <w:tcBorders>
              <w:top w:val="nil"/>
              <w:left w:val="nil"/>
              <w:bottom w:val="single" w:sz="4" w:space="0" w:color="auto"/>
              <w:right w:val="single" w:sz="4" w:space="0" w:color="auto"/>
            </w:tcBorders>
            <w:shd w:val="clear" w:color="auto" w:fill="auto"/>
            <w:vAlign w:val="center"/>
            <w:hideMark/>
          </w:tcPr>
          <w:p w14:paraId="114C9822"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4</w:t>
            </w:r>
          </w:p>
        </w:tc>
      </w:tr>
      <w:tr w:rsidR="003A1056" w:rsidRPr="00DB0DEF" w14:paraId="3CDBC9CA"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0F22D3B" w14:textId="6B198074"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EİS ECZACIBAŞI İLAÇ, SAN.TİC</w:t>
            </w:r>
            <w:r w:rsidR="006C3477" w:rsidRPr="00DB0DEF">
              <w:rPr>
                <w:rFonts w:ascii="Times New Roman" w:eastAsia="Times New Roman" w:hAnsi="Times New Roman" w:cs="Times New Roman"/>
                <w:noProof w:val="0"/>
                <w:sz w:val="18"/>
                <w:szCs w:val="18"/>
                <w:lang w:eastAsia="tr-TR"/>
              </w:rPr>
              <w:t>.</w:t>
            </w:r>
          </w:p>
        </w:tc>
        <w:tc>
          <w:tcPr>
            <w:tcW w:w="805" w:type="pct"/>
            <w:tcBorders>
              <w:top w:val="nil"/>
              <w:left w:val="nil"/>
              <w:bottom w:val="single" w:sz="4" w:space="0" w:color="auto"/>
              <w:right w:val="single" w:sz="4" w:space="0" w:color="auto"/>
            </w:tcBorders>
            <w:shd w:val="clear" w:color="auto" w:fill="auto"/>
            <w:vAlign w:val="center"/>
            <w:hideMark/>
          </w:tcPr>
          <w:p w14:paraId="05BDE4E3"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c>
          <w:tcPr>
            <w:tcW w:w="1303" w:type="pct"/>
            <w:tcBorders>
              <w:top w:val="nil"/>
              <w:left w:val="nil"/>
              <w:bottom w:val="single" w:sz="4" w:space="0" w:color="auto"/>
              <w:right w:val="single" w:sz="4" w:space="0" w:color="auto"/>
            </w:tcBorders>
            <w:shd w:val="clear" w:color="auto" w:fill="auto"/>
            <w:vAlign w:val="center"/>
            <w:hideMark/>
          </w:tcPr>
          <w:p w14:paraId="610291A2"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GSD </w:t>
            </w:r>
          </w:p>
        </w:tc>
        <w:tc>
          <w:tcPr>
            <w:tcW w:w="734" w:type="pct"/>
            <w:tcBorders>
              <w:top w:val="nil"/>
              <w:left w:val="nil"/>
              <w:bottom w:val="single" w:sz="4" w:space="0" w:color="auto"/>
              <w:right w:val="single" w:sz="4" w:space="0" w:color="auto"/>
            </w:tcBorders>
            <w:shd w:val="clear" w:color="auto" w:fill="auto"/>
            <w:vAlign w:val="center"/>
            <w:hideMark/>
          </w:tcPr>
          <w:p w14:paraId="3A99E465"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4</w:t>
            </w:r>
          </w:p>
        </w:tc>
      </w:tr>
      <w:tr w:rsidR="003A1056" w:rsidRPr="00DB0DEF" w14:paraId="727C5D54"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56D90EB7"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GLOBAL YATIRIM </w:t>
            </w:r>
          </w:p>
        </w:tc>
        <w:tc>
          <w:tcPr>
            <w:tcW w:w="805" w:type="pct"/>
            <w:tcBorders>
              <w:top w:val="nil"/>
              <w:left w:val="nil"/>
              <w:bottom w:val="single" w:sz="4" w:space="0" w:color="auto"/>
              <w:right w:val="single" w:sz="4" w:space="0" w:color="auto"/>
            </w:tcBorders>
            <w:shd w:val="clear" w:color="auto" w:fill="auto"/>
            <w:vAlign w:val="center"/>
            <w:hideMark/>
          </w:tcPr>
          <w:p w14:paraId="6016757E"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7</w:t>
            </w:r>
          </w:p>
        </w:tc>
        <w:tc>
          <w:tcPr>
            <w:tcW w:w="1303" w:type="pct"/>
            <w:tcBorders>
              <w:top w:val="nil"/>
              <w:left w:val="nil"/>
              <w:bottom w:val="single" w:sz="4" w:space="0" w:color="auto"/>
              <w:right w:val="single" w:sz="4" w:space="0" w:color="auto"/>
            </w:tcBorders>
            <w:shd w:val="clear" w:color="auto" w:fill="auto"/>
            <w:vAlign w:val="center"/>
            <w:hideMark/>
          </w:tcPr>
          <w:p w14:paraId="58A65C02"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İHLAS</w:t>
            </w:r>
          </w:p>
        </w:tc>
        <w:tc>
          <w:tcPr>
            <w:tcW w:w="734" w:type="pct"/>
            <w:tcBorders>
              <w:top w:val="nil"/>
              <w:left w:val="nil"/>
              <w:bottom w:val="single" w:sz="4" w:space="0" w:color="auto"/>
              <w:right w:val="single" w:sz="4" w:space="0" w:color="auto"/>
            </w:tcBorders>
            <w:shd w:val="clear" w:color="auto" w:fill="auto"/>
            <w:vAlign w:val="center"/>
            <w:hideMark/>
          </w:tcPr>
          <w:p w14:paraId="01248E86"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3</w:t>
            </w:r>
          </w:p>
        </w:tc>
      </w:tr>
      <w:tr w:rsidR="003A1056" w:rsidRPr="00DB0DEF" w14:paraId="39A42F7F"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81557A1"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IŞIKLAR ENERJİ VE YAPI </w:t>
            </w:r>
          </w:p>
        </w:tc>
        <w:tc>
          <w:tcPr>
            <w:tcW w:w="805" w:type="pct"/>
            <w:tcBorders>
              <w:top w:val="nil"/>
              <w:left w:val="nil"/>
              <w:bottom w:val="single" w:sz="4" w:space="0" w:color="auto"/>
              <w:right w:val="single" w:sz="4" w:space="0" w:color="auto"/>
            </w:tcBorders>
            <w:shd w:val="clear" w:color="auto" w:fill="auto"/>
            <w:vAlign w:val="center"/>
            <w:hideMark/>
          </w:tcPr>
          <w:p w14:paraId="55CF8118"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vAlign w:val="center"/>
            <w:hideMark/>
          </w:tcPr>
          <w:p w14:paraId="14986C1C"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İHLAS YAYIN </w:t>
            </w:r>
          </w:p>
        </w:tc>
        <w:tc>
          <w:tcPr>
            <w:tcW w:w="734" w:type="pct"/>
            <w:tcBorders>
              <w:top w:val="nil"/>
              <w:left w:val="nil"/>
              <w:bottom w:val="single" w:sz="4" w:space="0" w:color="auto"/>
              <w:right w:val="single" w:sz="4" w:space="0" w:color="auto"/>
            </w:tcBorders>
            <w:shd w:val="clear" w:color="auto" w:fill="auto"/>
            <w:vAlign w:val="center"/>
            <w:hideMark/>
          </w:tcPr>
          <w:p w14:paraId="36782159"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r>
      <w:tr w:rsidR="003A1056" w:rsidRPr="00DB0DEF" w14:paraId="6FD030FC"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6ABEDEA5"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TAV HAVALİMANLARI </w:t>
            </w:r>
          </w:p>
        </w:tc>
        <w:tc>
          <w:tcPr>
            <w:tcW w:w="805" w:type="pct"/>
            <w:tcBorders>
              <w:top w:val="nil"/>
              <w:left w:val="nil"/>
              <w:bottom w:val="single" w:sz="4" w:space="0" w:color="auto"/>
              <w:right w:val="single" w:sz="4" w:space="0" w:color="auto"/>
            </w:tcBorders>
            <w:shd w:val="clear" w:color="auto" w:fill="auto"/>
            <w:vAlign w:val="center"/>
            <w:hideMark/>
          </w:tcPr>
          <w:p w14:paraId="37705308"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vAlign w:val="center"/>
            <w:hideMark/>
          </w:tcPr>
          <w:p w14:paraId="6B2E33BE"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TEKFEN </w:t>
            </w:r>
          </w:p>
        </w:tc>
        <w:tc>
          <w:tcPr>
            <w:tcW w:w="734" w:type="pct"/>
            <w:tcBorders>
              <w:top w:val="nil"/>
              <w:left w:val="nil"/>
              <w:bottom w:val="single" w:sz="4" w:space="0" w:color="auto"/>
              <w:right w:val="single" w:sz="4" w:space="0" w:color="auto"/>
            </w:tcBorders>
            <w:shd w:val="clear" w:color="auto" w:fill="auto"/>
            <w:vAlign w:val="center"/>
            <w:hideMark/>
          </w:tcPr>
          <w:p w14:paraId="6683F80E"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r>
      <w:tr w:rsidR="003A1056" w:rsidRPr="00DB0DEF" w14:paraId="7497834A"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20F43613" w14:textId="77777777"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HACI ÖMER SABANCI </w:t>
            </w:r>
          </w:p>
        </w:tc>
        <w:tc>
          <w:tcPr>
            <w:tcW w:w="805" w:type="pct"/>
            <w:tcBorders>
              <w:top w:val="nil"/>
              <w:left w:val="nil"/>
              <w:bottom w:val="single" w:sz="4" w:space="0" w:color="auto"/>
              <w:right w:val="single" w:sz="4" w:space="0" w:color="auto"/>
            </w:tcBorders>
            <w:shd w:val="clear" w:color="auto" w:fill="auto"/>
            <w:vAlign w:val="center"/>
            <w:hideMark/>
          </w:tcPr>
          <w:p w14:paraId="53CB3A90"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vAlign w:val="center"/>
            <w:hideMark/>
          </w:tcPr>
          <w:p w14:paraId="369280FA"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TURCAS PETROL A.Ş.</w:t>
            </w:r>
          </w:p>
        </w:tc>
        <w:tc>
          <w:tcPr>
            <w:tcW w:w="734" w:type="pct"/>
            <w:tcBorders>
              <w:top w:val="nil"/>
              <w:left w:val="nil"/>
              <w:bottom w:val="single" w:sz="4" w:space="0" w:color="auto"/>
              <w:right w:val="single" w:sz="4" w:space="0" w:color="auto"/>
            </w:tcBorders>
            <w:shd w:val="clear" w:color="auto" w:fill="auto"/>
            <w:vAlign w:val="center"/>
            <w:hideMark/>
          </w:tcPr>
          <w:p w14:paraId="2D6AC86B"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3</w:t>
            </w:r>
          </w:p>
        </w:tc>
      </w:tr>
      <w:tr w:rsidR="003A1056" w:rsidRPr="00DB0DEF" w14:paraId="073FE1DB" w14:textId="77777777" w:rsidTr="008D5478">
        <w:trPr>
          <w:trHeight w:hRule="exact" w:val="295"/>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7394A697" w14:textId="6773C302"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METEMTUR OTEL.VE TUR. İŞL.</w:t>
            </w:r>
          </w:p>
        </w:tc>
        <w:tc>
          <w:tcPr>
            <w:tcW w:w="805" w:type="pct"/>
            <w:tcBorders>
              <w:top w:val="nil"/>
              <w:left w:val="nil"/>
              <w:bottom w:val="single" w:sz="4" w:space="0" w:color="auto"/>
              <w:right w:val="single" w:sz="4" w:space="0" w:color="auto"/>
            </w:tcBorders>
            <w:shd w:val="clear" w:color="auto" w:fill="auto"/>
            <w:vAlign w:val="center"/>
            <w:hideMark/>
          </w:tcPr>
          <w:p w14:paraId="28C7E0AC"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2</w:t>
            </w:r>
          </w:p>
        </w:tc>
        <w:tc>
          <w:tcPr>
            <w:tcW w:w="1303" w:type="pct"/>
            <w:tcBorders>
              <w:top w:val="nil"/>
              <w:left w:val="nil"/>
              <w:bottom w:val="single" w:sz="4" w:space="0" w:color="auto"/>
              <w:right w:val="single" w:sz="4" w:space="0" w:color="auto"/>
            </w:tcBorders>
            <w:shd w:val="clear" w:color="auto" w:fill="auto"/>
            <w:vAlign w:val="center"/>
            <w:hideMark/>
          </w:tcPr>
          <w:p w14:paraId="1702FD08"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xml:space="preserve">VERUSA </w:t>
            </w:r>
          </w:p>
        </w:tc>
        <w:tc>
          <w:tcPr>
            <w:tcW w:w="734" w:type="pct"/>
            <w:tcBorders>
              <w:top w:val="nil"/>
              <w:left w:val="nil"/>
              <w:bottom w:val="single" w:sz="4" w:space="0" w:color="auto"/>
              <w:right w:val="single" w:sz="4" w:space="0" w:color="auto"/>
            </w:tcBorders>
            <w:shd w:val="clear" w:color="auto" w:fill="auto"/>
            <w:vAlign w:val="center"/>
            <w:hideMark/>
          </w:tcPr>
          <w:p w14:paraId="68B1C783" w14:textId="77777777" w:rsidR="00EF4A53" w:rsidRPr="00DB0DEF" w:rsidRDefault="00EF4A53" w:rsidP="00D40ACF">
            <w:pPr>
              <w:spacing w:after="120"/>
              <w:ind w:hanging="13"/>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r>
      <w:tr w:rsidR="003A1056" w:rsidRPr="00DB0DEF" w14:paraId="381CD857" w14:textId="77777777" w:rsidTr="008D5478">
        <w:trPr>
          <w:trHeight w:hRule="exact" w:val="281"/>
          <w:jc w:val="center"/>
        </w:trPr>
        <w:tc>
          <w:tcPr>
            <w:tcW w:w="2158" w:type="pct"/>
            <w:tcBorders>
              <w:top w:val="nil"/>
              <w:left w:val="single" w:sz="4" w:space="0" w:color="auto"/>
              <w:bottom w:val="single" w:sz="4" w:space="0" w:color="auto"/>
              <w:right w:val="single" w:sz="4" w:space="0" w:color="auto"/>
            </w:tcBorders>
            <w:shd w:val="clear" w:color="auto" w:fill="auto"/>
            <w:vAlign w:val="center"/>
            <w:hideMark/>
          </w:tcPr>
          <w:p w14:paraId="38C84C4D" w14:textId="628EF599" w:rsidR="00EF4A53" w:rsidRPr="00DB0DEF" w:rsidRDefault="00EF4A53" w:rsidP="00D40ACF">
            <w:pPr>
              <w:spacing w:after="120"/>
              <w:ind w:firstLine="67"/>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TÜRKİYE ŞİŞE VE CAM FAB.</w:t>
            </w:r>
          </w:p>
        </w:tc>
        <w:tc>
          <w:tcPr>
            <w:tcW w:w="805" w:type="pct"/>
            <w:tcBorders>
              <w:top w:val="nil"/>
              <w:left w:val="nil"/>
              <w:bottom w:val="single" w:sz="4" w:space="0" w:color="auto"/>
              <w:right w:val="single" w:sz="4" w:space="0" w:color="auto"/>
            </w:tcBorders>
            <w:shd w:val="clear" w:color="auto" w:fill="auto"/>
            <w:vAlign w:val="center"/>
            <w:hideMark/>
          </w:tcPr>
          <w:p w14:paraId="7723F338" w14:textId="77777777" w:rsidR="00EF4A53" w:rsidRPr="00DB0DEF" w:rsidRDefault="00EF4A53" w:rsidP="00D40ACF">
            <w:pPr>
              <w:spacing w:after="120"/>
              <w:contextualSpacing/>
              <w:jc w:val="center"/>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5</w:t>
            </w:r>
          </w:p>
        </w:tc>
        <w:tc>
          <w:tcPr>
            <w:tcW w:w="1303" w:type="pct"/>
            <w:tcBorders>
              <w:top w:val="nil"/>
              <w:left w:val="nil"/>
              <w:bottom w:val="single" w:sz="4" w:space="0" w:color="auto"/>
              <w:right w:val="single" w:sz="4" w:space="0" w:color="auto"/>
            </w:tcBorders>
            <w:shd w:val="clear" w:color="auto" w:fill="auto"/>
            <w:noWrap/>
            <w:vAlign w:val="center"/>
            <w:hideMark/>
          </w:tcPr>
          <w:p w14:paraId="3936B5F6" w14:textId="77777777" w:rsidR="00EF4A53" w:rsidRPr="00DB0DEF" w:rsidRDefault="00EF4A53" w:rsidP="00D40ACF">
            <w:pPr>
              <w:spacing w:after="120"/>
              <w:ind w:firstLine="21"/>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w:t>
            </w:r>
          </w:p>
        </w:tc>
        <w:tc>
          <w:tcPr>
            <w:tcW w:w="734" w:type="pct"/>
            <w:tcBorders>
              <w:top w:val="nil"/>
              <w:left w:val="nil"/>
              <w:bottom w:val="single" w:sz="4" w:space="0" w:color="auto"/>
              <w:right w:val="single" w:sz="4" w:space="0" w:color="auto"/>
            </w:tcBorders>
            <w:shd w:val="clear" w:color="auto" w:fill="auto"/>
            <w:noWrap/>
            <w:vAlign w:val="center"/>
            <w:hideMark/>
          </w:tcPr>
          <w:p w14:paraId="02EF79B5" w14:textId="77777777" w:rsidR="00EF4A53" w:rsidRPr="00DB0DEF" w:rsidRDefault="00EF4A53" w:rsidP="00D40ACF">
            <w:pPr>
              <w:spacing w:after="120"/>
              <w:ind w:firstLineChars="300" w:firstLine="540"/>
              <w:contextualSpacing/>
              <w:rPr>
                <w:rFonts w:ascii="Times New Roman" w:eastAsia="Times New Roman" w:hAnsi="Times New Roman" w:cs="Times New Roman"/>
                <w:noProof w:val="0"/>
                <w:sz w:val="18"/>
                <w:szCs w:val="18"/>
                <w:lang w:eastAsia="tr-TR"/>
              </w:rPr>
            </w:pPr>
            <w:r w:rsidRPr="00DB0DEF">
              <w:rPr>
                <w:rFonts w:ascii="Times New Roman" w:eastAsia="Times New Roman" w:hAnsi="Times New Roman" w:cs="Times New Roman"/>
                <w:noProof w:val="0"/>
                <w:sz w:val="18"/>
                <w:szCs w:val="18"/>
                <w:lang w:eastAsia="tr-TR"/>
              </w:rPr>
              <w:t> </w:t>
            </w:r>
          </w:p>
        </w:tc>
      </w:tr>
    </w:tbl>
    <w:p w14:paraId="27D11550" w14:textId="77777777" w:rsidR="00D40ACF" w:rsidRPr="00DB0DEF" w:rsidRDefault="00D40ACF" w:rsidP="00D40ACF">
      <w:pPr>
        <w:spacing w:after="120"/>
        <w:ind w:firstLine="426"/>
        <w:contextualSpacing/>
        <w:jc w:val="both"/>
        <w:rPr>
          <w:rFonts w:ascii="Times New Roman" w:hAnsi="Times New Roman" w:cs="Times New Roman"/>
        </w:rPr>
      </w:pPr>
    </w:p>
    <w:p w14:paraId="79569537" w14:textId="662EADDE" w:rsidR="00373C99" w:rsidRPr="00DB0DEF" w:rsidRDefault="00BB47B2" w:rsidP="00D40ACF">
      <w:pPr>
        <w:spacing w:after="120"/>
        <w:ind w:firstLine="426"/>
        <w:contextualSpacing/>
        <w:jc w:val="both"/>
        <w:rPr>
          <w:rFonts w:ascii="Times New Roman" w:eastAsia="Times New Roman" w:hAnsi="Times New Roman" w:cs="Times New Roman"/>
          <w:noProof w:val="0"/>
          <w:lang w:eastAsia="tr-TR"/>
        </w:rPr>
      </w:pPr>
      <w:r w:rsidRPr="00DB0DEF">
        <w:rPr>
          <w:rFonts w:ascii="Times New Roman" w:hAnsi="Times New Roman" w:cs="Times New Roman"/>
        </w:rPr>
        <w:t xml:space="preserve">Yapılan incelemede bu holdinglerin büyük çoğunluğunun </w:t>
      </w:r>
      <w:r w:rsidR="003877B8" w:rsidRPr="00DB0DEF">
        <w:rPr>
          <w:rFonts w:ascii="Times New Roman" w:hAnsi="Times New Roman" w:cs="Times New Roman"/>
        </w:rPr>
        <w:t>sadece bazı “Kar veya Zarar ve Diğer Kapsamlı Gelir Tablosu”</w:t>
      </w:r>
      <w:r w:rsidR="003877B8" w:rsidRPr="00DB0DEF">
        <w:rPr>
          <w:rFonts w:ascii="Times New Roman" w:eastAsia="Times New Roman" w:hAnsi="Times New Roman" w:cs="Times New Roman"/>
          <w:noProof w:val="0"/>
          <w:lang w:eastAsia="tr-TR"/>
        </w:rPr>
        <w:t xml:space="preserve"> </w:t>
      </w:r>
      <w:r w:rsidR="003877B8" w:rsidRPr="00DB0DEF">
        <w:rPr>
          <w:rFonts w:ascii="Times New Roman" w:hAnsi="Times New Roman" w:cs="Times New Roman"/>
        </w:rPr>
        <w:t xml:space="preserve">bilgilerini </w:t>
      </w:r>
      <w:r w:rsidRPr="00DB0DEF">
        <w:rPr>
          <w:rFonts w:ascii="Times New Roman" w:hAnsi="Times New Roman" w:cs="Times New Roman"/>
        </w:rPr>
        <w:t xml:space="preserve">faaliyet bölümlerine göre </w:t>
      </w:r>
      <w:r w:rsidR="003877B8" w:rsidRPr="00DB0DEF">
        <w:rPr>
          <w:rFonts w:ascii="Times New Roman" w:hAnsi="Times New Roman" w:cs="Times New Roman"/>
        </w:rPr>
        <w:t>sunduğu</w:t>
      </w:r>
      <w:r w:rsidRPr="00DB0DEF">
        <w:rPr>
          <w:rFonts w:ascii="Times New Roman" w:hAnsi="Times New Roman" w:cs="Times New Roman"/>
        </w:rPr>
        <w:t xml:space="preserve">, </w:t>
      </w:r>
      <w:r w:rsidR="003877B8" w:rsidRPr="00DB0DEF">
        <w:rPr>
          <w:rFonts w:ascii="Times New Roman" w:hAnsi="Times New Roman" w:cs="Times New Roman"/>
        </w:rPr>
        <w:t>Finansal Durum Tablosu (Bilanço)</w:t>
      </w:r>
      <w:r w:rsidRPr="00DB0DEF">
        <w:rPr>
          <w:rFonts w:ascii="Times New Roman" w:hAnsi="Times New Roman" w:cs="Times New Roman"/>
        </w:rPr>
        <w:t xml:space="preserve"> verileri</w:t>
      </w:r>
      <w:r w:rsidR="00373C99" w:rsidRPr="00DB0DEF">
        <w:rPr>
          <w:rFonts w:ascii="Times New Roman" w:hAnsi="Times New Roman" w:cs="Times New Roman"/>
        </w:rPr>
        <w:t>ni</w:t>
      </w:r>
      <w:r w:rsidRPr="00DB0DEF">
        <w:rPr>
          <w:rFonts w:ascii="Times New Roman" w:hAnsi="Times New Roman" w:cs="Times New Roman"/>
        </w:rPr>
        <w:t xml:space="preserve"> faaliyet bölümlerine göre raporlamadığı belirlenmiştir. </w:t>
      </w:r>
      <w:r w:rsidR="00373C99" w:rsidRPr="00DB0DEF">
        <w:rPr>
          <w:rFonts w:ascii="Times New Roman" w:hAnsi="Times New Roman" w:cs="Times New Roman"/>
        </w:rPr>
        <w:t xml:space="preserve">Dolayısıyla mali tablo analizi ve özellikle finansal oran analizi için gerekli olan veriler </w:t>
      </w:r>
      <w:r w:rsidR="003877B8" w:rsidRPr="00DB0DEF">
        <w:rPr>
          <w:rFonts w:ascii="Times New Roman" w:hAnsi="Times New Roman" w:cs="Times New Roman"/>
        </w:rPr>
        <w:t xml:space="preserve">birçok holding tarafından faaliyet </w:t>
      </w:r>
      <w:r w:rsidR="00373C99" w:rsidRPr="00DB0DEF">
        <w:rPr>
          <w:rFonts w:ascii="Times New Roman" w:hAnsi="Times New Roman" w:cs="Times New Roman"/>
        </w:rPr>
        <w:t>bölüm</w:t>
      </w:r>
      <w:r w:rsidR="003877B8" w:rsidRPr="00DB0DEF">
        <w:rPr>
          <w:rFonts w:ascii="Times New Roman" w:hAnsi="Times New Roman" w:cs="Times New Roman"/>
        </w:rPr>
        <w:t>ü</w:t>
      </w:r>
      <w:r w:rsidR="00373C99" w:rsidRPr="00DB0DEF">
        <w:rPr>
          <w:rFonts w:ascii="Times New Roman" w:hAnsi="Times New Roman" w:cs="Times New Roman"/>
        </w:rPr>
        <w:t xml:space="preserve"> bazında raporlanmadığı için</w:t>
      </w:r>
      <w:r w:rsidR="003877B8" w:rsidRPr="00DB0DEF">
        <w:rPr>
          <w:rFonts w:ascii="Times New Roman" w:hAnsi="Times New Roman" w:cs="Times New Roman"/>
        </w:rPr>
        <w:t xml:space="preserve"> bu holdingler için</w:t>
      </w:r>
      <w:r w:rsidR="00373C99" w:rsidRPr="00DB0DEF">
        <w:rPr>
          <w:rFonts w:ascii="Times New Roman" w:hAnsi="Times New Roman" w:cs="Times New Roman"/>
        </w:rPr>
        <w:t xml:space="preserve"> faaliyet bölümleri açısından yeterli bir finansal analiz yapılamayacağı söylenebilir.</w:t>
      </w:r>
    </w:p>
    <w:p w14:paraId="78E40CEF" w14:textId="41553E2E" w:rsidR="00453387" w:rsidRPr="00DB0DEF" w:rsidRDefault="00BB47B2" w:rsidP="00D40ACF">
      <w:pPr>
        <w:spacing w:after="120"/>
        <w:ind w:firstLine="426"/>
        <w:contextualSpacing/>
        <w:jc w:val="both"/>
        <w:rPr>
          <w:rFonts w:ascii="Times New Roman" w:hAnsi="Times New Roman" w:cs="Times New Roman"/>
        </w:rPr>
      </w:pPr>
      <w:r w:rsidRPr="00DB0DEF">
        <w:rPr>
          <w:rFonts w:ascii="Times New Roman" w:hAnsi="Times New Roman" w:cs="Times New Roman"/>
        </w:rPr>
        <w:lastRenderedPageBreak/>
        <w:t xml:space="preserve">Hem </w:t>
      </w:r>
      <w:r w:rsidR="003877B8" w:rsidRPr="00DB0DEF">
        <w:rPr>
          <w:rFonts w:ascii="Times New Roman" w:hAnsi="Times New Roman" w:cs="Times New Roman"/>
        </w:rPr>
        <w:t xml:space="preserve">“Kar veya Zarar ve Diğer Kapsamlı Gelir Tablosu” </w:t>
      </w:r>
      <w:r w:rsidRPr="00DB0DEF">
        <w:rPr>
          <w:rFonts w:ascii="Times New Roman" w:hAnsi="Times New Roman" w:cs="Times New Roman"/>
        </w:rPr>
        <w:t xml:space="preserve">hem de </w:t>
      </w:r>
      <w:r w:rsidR="003877B8" w:rsidRPr="00DB0DEF">
        <w:rPr>
          <w:rFonts w:ascii="Times New Roman" w:hAnsi="Times New Roman" w:cs="Times New Roman"/>
        </w:rPr>
        <w:t>“F</w:t>
      </w:r>
      <w:r w:rsidR="00373C99" w:rsidRPr="00DB0DEF">
        <w:rPr>
          <w:rFonts w:ascii="Times New Roman" w:hAnsi="Times New Roman" w:cs="Times New Roman"/>
        </w:rPr>
        <w:t xml:space="preserve">inansal </w:t>
      </w:r>
      <w:r w:rsidR="003877B8" w:rsidRPr="00DB0DEF">
        <w:rPr>
          <w:rFonts w:ascii="Times New Roman" w:hAnsi="Times New Roman" w:cs="Times New Roman"/>
        </w:rPr>
        <w:t>D</w:t>
      </w:r>
      <w:r w:rsidR="00373C99" w:rsidRPr="00DB0DEF">
        <w:rPr>
          <w:rFonts w:ascii="Times New Roman" w:hAnsi="Times New Roman" w:cs="Times New Roman"/>
        </w:rPr>
        <w:t xml:space="preserve">urum </w:t>
      </w:r>
      <w:r w:rsidR="003877B8" w:rsidRPr="00DB0DEF">
        <w:rPr>
          <w:rFonts w:ascii="Times New Roman" w:hAnsi="Times New Roman" w:cs="Times New Roman"/>
        </w:rPr>
        <w:t>T</w:t>
      </w:r>
      <w:r w:rsidR="00373C99" w:rsidRPr="00DB0DEF">
        <w:rPr>
          <w:rFonts w:ascii="Times New Roman" w:hAnsi="Times New Roman" w:cs="Times New Roman"/>
        </w:rPr>
        <w:t>ablosu</w:t>
      </w:r>
      <w:r w:rsidR="003877B8" w:rsidRPr="00DB0DEF">
        <w:rPr>
          <w:rFonts w:ascii="Times New Roman" w:hAnsi="Times New Roman" w:cs="Times New Roman"/>
        </w:rPr>
        <w:t>”</w:t>
      </w:r>
      <w:r w:rsidR="00373C99" w:rsidRPr="00DB0DEF">
        <w:rPr>
          <w:rFonts w:ascii="Times New Roman" w:hAnsi="Times New Roman" w:cs="Times New Roman"/>
        </w:rPr>
        <w:t xml:space="preserve"> verilerini faaliyet bölümlerine göre raporlayan holdingler ise şunlardır:</w:t>
      </w:r>
    </w:p>
    <w:p w14:paraId="6E63947A" w14:textId="77777777" w:rsidR="00510E79" w:rsidRPr="00DB0DEF" w:rsidRDefault="00510E79" w:rsidP="00D40ACF">
      <w:pPr>
        <w:pStyle w:val="ListeParagraf"/>
        <w:numPr>
          <w:ilvl w:val="0"/>
          <w:numId w:val="4"/>
        </w:numPr>
        <w:tabs>
          <w:tab w:val="left" w:pos="851"/>
        </w:tabs>
        <w:spacing w:after="120"/>
        <w:ind w:left="0" w:firstLine="426"/>
        <w:rPr>
          <w:rFonts w:ascii="Times New Roman" w:hAnsi="Times New Roman" w:cs="Times New Roman"/>
        </w:rPr>
        <w:sectPr w:rsidR="00510E79" w:rsidRPr="00DB0DEF" w:rsidSect="00D40ACF">
          <w:footerReference w:type="default" r:id="rId8"/>
          <w:pgSz w:w="11906" w:h="16838"/>
          <w:pgMar w:top="1417" w:right="1417" w:bottom="1417" w:left="1417" w:header="709" w:footer="709" w:gutter="0"/>
          <w:cols w:space="708"/>
          <w:docGrid w:linePitch="360"/>
        </w:sectPr>
      </w:pPr>
    </w:p>
    <w:p w14:paraId="6FE85C94" w14:textId="54417CCD" w:rsidR="00373C99" w:rsidRPr="00DB0DEF" w:rsidRDefault="002A41B8" w:rsidP="00D40ACF">
      <w:pPr>
        <w:pStyle w:val="ListeParagraf"/>
        <w:numPr>
          <w:ilvl w:val="0"/>
          <w:numId w:val="4"/>
        </w:numPr>
        <w:tabs>
          <w:tab w:val="left" w:pos="851"/>
        </w:tabs>
        <w:spacing w:after="120"/>
        <w:ind w:left="0" w:firstLine="426"/>
        <w:rPr>
          <w:rFonts w:ascii="Times New Roman" w:hAnsi="Times New Roman" w:cs="Times New Roman"/>
        </w:rPr>
      </w:pPr>
      <w:r w:rsidRPr="00DB0DEF">
        <w:rPr>
          <w:rFonts w:ascii="Times New Roman" w:hAnsi="Times New Roman" w:cs="Times New Roman"/>
        </w:rPr>
        <w:t>Alarko  Holding A.Ş</w:t>
      </w:r>
    </w:p>
    <w:p w14:paraId="403493F9" w14:textId="56898952" w:rsidR="00373C99" w:rsidRPr="00DB0DEF" w:rsidRDefault="002A41B8" w:rsidP="00D40ACF">
      <w:pPr>
        <w:pStyle w:val="ListeParagraf"/>
        <w:numPr>
          <w:ilvl w:val="0"/>
          <w:numId w:val="4"/>
        </w:numPr>
        <w:tabs>
          <w:tab w:val="left" w:pos="851"/>
        </w:tabs>
        <w:spacing w:after="120"/>
        <w:ind w:left="0" w:firstLine="426"/>
        <w:rPr>
          <w:rFonts w:ascii="Times New Roman" w:hAnsi="Times New Roman" w:cs="Times New Roman"/>
        </w:rPr>
      </w:pPr>
      <w:r w:rsidRPr="00DB0DEF">
        <w:rPr>
          <w:rFonts w:ascii="Times New Roman" w:hAnsi="Times New Roman" w:cs="Times New Roman"/>
        </w:rPr>
        <w:t>Cosmos Yatırım  Holding A.Ş</w:t>
      </w:r>
    </w:p>
    <w:p w14:paraId="3C1D9B30" w14:textId="04521E6B" w:rsidR="00373C99" w:rsidRPr="00DB0DEF" w:rsidRDefault="002A41B8" w:rsidP="00AF1E21">
      <w:pPr>
        <w:pStyle w:val="ListeParagraf"/>
        <w:numPr>
          <w:ilvl w:val="0"/>
          <w:numId w:val="4"/>
        </w:numPr>
        <w:tabs>
          <w:tab w:val="left" w:pos="851"/>
        </w:tabs>
        <w:spacing w:after="120"/>
        <w:ind w:left="0" w:firstLine="425"/>
        <w:contextualSpacing w:val="0"/>
        <w:rPr>
          <w:rFonts w:ascii="Times New Roman" w:hAnsi="Times New Roman" w:cs="Times New Roman"/>
        </w:rPr>
      </w:pPr>
      <w:r w:rsidRPr="00DB0DEF">
        <w:rPr>
          <w:rFonts w:ascii="Times New Roman" w:hAnsi="Times New Roman" w:cs="Times New Roman"/>
        </w:rPr>
        <w:t>Işıklar Enerji Ve Yapı  Holding A.Ş</w:t>
      </w:r>
    </w:p>
    <w:p w14:paraId="56D75136" w14:textId="04EC879A" w:rsidR="00373C99" w:rsidRPr="00DB0DEF" w:rsidRDefault="002A41B8" w:rsidP="00D40ACF">
      <w:pPr>
        <w:pStyle w:val="ListeParagraf"/>
        <w:numPr>
          <w:ilvl w:val="0"/>
          <w:numId w:val="4"/>
        </w:numPr>
        <w:tabs>
          <w:tab w:val="left" w:pos="851"/>
        </w:tabs>
        <w:spacing w:after="120"/>
        <w:ind w:left="0" w:firstLine="426"/>
        <w:rPr>
          <w:rFonts w:ascii="Times New Roman" w:hAnsi="Times New Roman" w:cs="Times New Roman"/>
        </w:rPr>
      </w:pPr>
      <w:r w:rsidRPr="00DB0DEF">
        <w:rPr>
          <w:rFonts w:ascii="Times New Roman" w:hAnsi="Times New Roman" w:cs="Times New Roman"/>
        </w:rPr>
        <w:t>Hacı Ömer Sabancı  Holding A.Ş</w:t>
      </w:r>
    </w:p>
    <w:p w14:paraId="50D37AB9" w14:textId="55DF9C64" w:rsidR="00373C99" w:rsidRPr="00DB0DEF" w:rsidRDefault="002A41B8" w:rsidP="00D40ACF">
      <w:pPr>
        <w:pStyle w:val="ListeParagraf"/>
        <w:numPr>
          <w:ilvl w:val="0"/>
          <w:numId w:val="4"/>
        </w:numPr>
        <w:tabs>
          <w:tab w:val="left" w:pos="851"/>
        </w:tabs>
        <w:spacing w:after="120"/>
        <w:ind w:left="0" w:firstLine="426"/>
        <w:rPr>
          <w:rFonts w:ascii="Times New Roman" w:hAnsi="Times New Roman" w:cs="Times New Roman"/>
        </w:rPr>
      </w:pPr>
      <w:r w:rsidRPr="00DB0DEF">
        <w:rPr>
          <w:rFonts w:ascii="Times New Roman" w:hAnsi="Times New Roman" w:cs="Times New Roman"/>
        </w:rPr>
        <w:t>Tekfen Holding A.Ş</w:t>
      </w:r>
    </w:p>
    <w:p w14:paraId="7D440E05" w14:textId="77777777" w:rsidR="00510E79" w:rsidRPr="00DB0DEF" w:rsidRDefault="00510E79" w:rsidP="00D40ACF">
      <w:pPr>
        <w:pStyle w:val="ListeParagraf"/>
        <w:tabs>
          <w:tab w:val="left" w:pos="993"/>
        </w:tabs>
        <w:spacing w:after="120"/>
        <w:ind w:left="0" w:firstLine="426"/>
        <w:jc w:val="both"/>
        <w:rPr>
          <w:rFonts w:ascii="Times New Roman" w:hAnsi="Times New Roman" w:cs="Times New Roman"/>
        </w:rPr>
        <w:sectPr w:rsidR="00510E79" w:rsidRPr="00DB0DEF" w:rsidSect="009F46D8">
          <w:type w:val="continuous"/>
          <w:pgSz w:w="11906" w:h="16838"/>
          <w:pgMar w:top="1417" w:right="1417" w:bottom="1417" w:left="1417" w:header="709" w:footer="709" w:gutter="0"/>
          <w:cols w:num="2" w:space="708"/>
          <w:docGrid w:linePitch="360"/>
        </w:sectPr>
      </w:pPr>
    </w:p>
    <w:p w14:paraId="1FAF7C50" w14:textId="36DABFD7" w:rsidR="002A41B8" w:rsidRPr="00DB0DEF" w:rsidRDefault="002A41B8" w:rsidP="003B2352">
      <w:pPr>
        <w:pStyle w:val="ListeParagraf"/>
        <w:tabs>
          <w:tab w:val="left" w:pos="993"/>
        </w:tabs>
        <w:spacing w:after="120"/>
        <w:ind w:left="0" w:firstLine="425"/>
        <w:jc w:val="both"/>
        <w:rPr>
          <w:rFonts w:ascii="Times New Roman" w:hAnsi="Times New Roman" w:cs="Times New Roman"/>
        </w:rPr>
      </w:pPr>
      <w:r w:rsidRPr="00DB0DEF">
        <w:rPr>
          <w:rFonts w:ascii="Times New Roman" w:hAnsi="Times New Roman" w:cs="Times New Roman"/>
        </w:rPr>
        <w:t xml:space="preserve">Bu holdingler içinde araştırmanın yöntem bölümünde yer verilen finansal oranların hepsinin hesaplanabildiği düzeyde finansal bilgiyi faaliyet bölümlerine göre raporlayan Alarko Holding A.Ş. araştırma kapsamında incelemeye alınmıştır. </w:t>
      </w:r>
    </w:p>
    <w:p w14:paraId="42EAFB84" w14:textId="3233E346" w:rsidR="00BB47B2" w:rsidRPr="00DB0DEF" w:rsidRDefault="00F91D05" w:rsidP="00D40ACF">
      <w:pPr>
        <w:pStyle w:val="Balk1"/>
        <w:numPr>
          <w:ilvl w:val="1"/>
          <w:numId w:val="2"/>
        </w:numPr>
        <w:tabs>
          <w:tab w:val="clear" w:pos="709"/>
          <w:tab w:val="left" w:pos="993"/>
        </w:tabs>
        <w:spacing w:before="0" w:after="120" w:line="276" w:lineRule="auto"/>
        <w:ind w:left="0" w:firstLine="426"/>
        <w:contextualSpacing/>
        <w:rPr>
          <w:rFonts w:cs="Times New Roman"/>
          <w:sz w:val="22"/>
          <w:szCs w:val="22"/>
        </w:rPr>
      </w:pPr>
      <w:r w:rsidRPr="00DB0DEF">
        <w:rPr>
          <w:rFonts w:cs="Times New Roman"/>
          <w:sz w:val="22"/>
          <w:szCs w:val="22"/>
        </w:rPr>
        <w:t>Araştırmanın Yöntemi</w:t>
      </w:r>
    </w:p>
    <w:p w14:paraId="1A1AABD5" w14:textId="433BD44B" w:rsidR="007A3ECC" w:rsidRPr="00DB0DEF" w:rsidRDefault="007A3ECC" w:rsidP="00D40ACF">
      <w:pPr>
        <w:pStyle w:val="Balk1"/>
        <w:numPr>
          <w:ilvl w:val="2"/>
          <w:numId w:val="2"/>
        </w:numPr>
        <w:tabs>
          <w:tab w:val="clear" w:pos="709"/>
          <w:tab w:val="left" w:pos="1134"/>
        </w:tabs>
        <w:spacing w:before="0" w:after="120" w:line="276" w:lineRule="auto"/>
        <w:ind w:left="0" w:firstLine="426"/>
        <w:contextualSpacing/>
        <w:rPr>
          <w:rFonts w:cs="Times New Roman"/>
          <w:sz w:val="22"/>
          <w:szCs w:val="22"/>
        </w:rPr>
      </w:pPr>
      <w:r w:rsidRPr="00DB0DEF">
        <w:rPr>
          <w:rFonts w:cs="Times New Roman"/>
          <w:sz w:val="22"/>
          <w:szCs w:val="22"/>
        </w:rPr>
        <w:t>Araştırmada Kullanılan Oranlar</w:t>
      </w:r>
    </w:p>
    <w:p w14:paraId="41A42B41" w14:textId="04F22223" w:rsidR="00674849" w:rsidRPr="00DB0DEF" w:rsidRDefault="00CF3DA3" w:rsidP="000E3DA3">
      <w:pPr>
        <w:spacing w:before="120" w:after="120"/>
        <w:ind w:firstLine="425"/>
        <w:jc w:val="both"/>
        <w:rPr>
          <w:rFonts w:ascii="Times New Roman" w:hAnsi="Times New Roman" w:cs="Times New Roman"/>
        </w:rPr>
      </w:pPr>
      <w:r w:rsidRPr="00DB0DEF">
        <w:rPr>
          <w:rFonts w:ascii="Times New Roman" w:hAnsi="Times New Roman" w:cs="Times New Roman"/>
        </w:rPr>
        <w:t xml:space="preserve">Mali tablo analizi amacıyla yapılan birçok çalışmada yöntem olarak oran analizi yönteminin kullanıldığı görülmektedir. </w:t>
      </w:r>
      <w:r w:rsidR="00674849" w:rsidRPr="00DB0DEF">
        <w:rPr>
          <w:rFonts w:ascii="Times New Roman" w:hAnsi="Times New Roman" w:cs="Times New Roman"/>
        </w:rPr>
        <w:t xml:space="preserve">Bütün bilgilerin erişilebildiği bir mali tablo veri setinden 20’den fazla </w:t>
      </w:r>
      <w:r w:rsidRPr="00DB0DEF">
        <w:rPr>
          <w:rFonts w:ascii="Times New Roman" w:hAnsi="Times New Roman" w:cs="Times New Roman"/>
        </w:rPr>
        <w:t xml:space="preserve">temel </w:t>
      </w:r>
      <w:r w:rsidR="00674849" w:rsidRPr="00DB0DEF">
        <w:rPr>
          <w:rFonts w:ascii="Times New Roman" w:hAnsi="Times New Roman" w:cs="Times New Roman"/>
        </w:rPr>
        <w:t>finansal oran hesaplanabilmektedir.</w:t>
      </w:r>
      <w:r w:rsidRPr="00DB0DEF">
        <w:rPr>
          <w:rFonts w:ascii="Times New Roman" w:hAnsi="Times New Roman" w:cs="Times New Roman"/>
        </w:rPr>
        <w:t xml:space="preserve"> Ancak faaliyet bölümlerine göre finansal raporlamanın yapıldığı Bağımsız Denetim Raporu ve dipnotlarda finansal bilgilerin tam olarak açıklanmadığı görülmektedir. Bu açıdan kapsam olarak belirlenen Alarko Holding’in faaliyet bölümlerine göre yapılan finansal açıklamalarından aşağıdaki oranların hesaplanabildiği tespit edilmiştir.</w:t>
      </w:r>
    </w:p>
    <w:p w14:paraId="581442C0" w14:textId="732AF397" w:rsidR="000E3DA3" w:rsidRPr="00DB0DEF" w:rsidRDefault="000E3DA3" w:rsidP="000E3DA3">
      <w:pPr>
        <w:spacing w:before="120" w:after="120"/>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2</w:t>
      </w:r>
      <w:r w:rsidRPr="00DB0DEF">
        <w:rPr>
          <w:rFonts w:ascii="Times New Roman" w:hAnsi="Times New Roman" w:cs="Times New Roman"/>
          <w:b/>
          <w:bCs/>
        </w:rPr>
        <w:t>: Araştırmada Hesaplanan Finansal Oranlar</w:t>
      </w:r>
    </w:p>
    <w:tbl>
      <w:tblPr>
        <w:tblW w:w="6794" w:type="dxa"/>
        <w:jc w:val="center"/>
        <w:tblCellMar>
          <w:left w:w="70" w:type="dxa"/>
          <w:right w:w="70" w:type="dxa"/>
        </w:tblCellMar>
        <w:tblLook w:val="04A0" w:firstRow="1" w:lastRow="0" w:firstColumn="1" w:lastColumn="0" w:noHBand="0" w:noVBand="1"/>
      </w:tblPr>
      <w:tblGrid>
        <w:gridCol w:w="1176"/>
        <w:gridCol w:w="5618"/>
      </w:tblGrid>
      <w:tr w:rsidR="00674849" w:rsidRPr="00DB0DEF" w14:paraId="4CB4D5A1" w14:textId="77777777" w:rsidTr="00EB5E87">
        <w:trPr>
          <w:trHeight w:val="252"/>
          <w:jc w:val="center"/>
        </w:trPr>
        <w:tc>
          <w:tcPr>
            <w:tcW w:w="1176" w:type="dxa"/>
            <w:tcBorders>
              <w:top w:val="single" w:sz="8" w:space="0" w:color="auto"/>
              <w:left w:val="single" w:sz="8" w:space="0" w:color="auto"/>
              <w:bottom w:val="single" w:sz="8" w:space="0" w:color="auto"/>
              <w:right w:val="nil"/>
            </w:tcBorders>
            <w:shd w:val="clear" w:color="000000" w:fill="F2F2F2"/>
            <w:noWrap/>
            <w:vAlign w:val="center"/>
            <w:hideMark/>
          </w:tcPr>
          <w:p w14:paraId="0F1FD4F2"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Grup</w:t>
            </w:r>
          </w:p>
        </w:tc>
        <w:tc>
          <w:tcPr>
            <w:tcW w:w="5618"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5338FFA9"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Finansal Oranlar</w:t>
            </w:r>
          </w:p>
        </w:tc>
      </w:tr>
      <w:tr w:rsidR="00674849" w:rsidRPr="00DB0DEF" w14:paraId="774EBB5E" w14:textId="77777777" w:rsidTr="00EB5E87">
        <w:trPr>
          <w:trHeight w:val="240"/>
          <w:jc w:val="center"/>
        </w:trPr>
        <w:tc>
          <w:tcPr>
            <w:tcW w:w="1176" w:type="dxa"/>
            <w:vMerge w:val="restart"/>
            <w:tcBorders>
              <w:top w:val="nil"/>
              <w:left w:val="single" w:sz="8" w:space="0" w:color="auto"/>
              <w:bottom w:val="single" w:sz="8" w:space="0" w:color="000000"/>
              <w:right w:val="single" w:sz="4" w:space="0" w:color="auto"/>
            </w:tcBorders>
            <w:shd w:val="clear" w:color="auto" w:fill="auto"/>
            <w:vAlign w:val="center"/>
            <w:hideMark/>
          </w:tcPr>
          <w:p w14:paraId="50745628"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Likitide Oranları</w:t>
            </w:r>
          </w:p>
        </w:tc>
        <w:tc>
          <w:tcPr>
            <w:tcW w:w="5618" w:type="dxa"/>
            <w:tcBorders>
              <w:top w:val="nil"/>
              <w:left w:val="nil"/>
              <w:bottom w:val="single" w:sz="4" w:space="0" w:color="auto"/>
              <w:right w:val="single" w:sz="8" w:space="0" w:color="auto"/>
            </w:tcBorders>
            <w:shd w:val="clear" w:color="auto" w:fill="auto"/>
            <w:noWrap/>
            <w:vAlign w:val="bottom"/>
            <w:hideMark/>
          </w:tcPr>
          <w:p w14:paraId="1A1A201D"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Cari Oran (Dönen V./KVYK)</w:t>
            </w:r>
          </w:p>
        </w:tc>
      </w:tr>
      <w:tr w:rsidR="00674849" w:rsidRPr="00DB0DEF" w14:paraId="2FB10919" w14:textId="77777777" w:rsidTr="00EB5E87">
        <w:trPr>
          <w:trHeight w:val="240"/>
          <w:jc w:val="center"/>
        </w:trPr>
        <w:tc>
          <w:tcPr>
            <w:tcW w:w="1176" w:type="dxa"/>
            <w:vMerge/>
            <w:tcBorders>
              <w:top w:val="nil"/>
              <w:left w:val="single" w:sz="8" w:space="0" w:color="auto"/>
              <w:bottom w:val="single" w:sz="8" w:space="0" w:color="000000"/>
              <w:right w:val="single" w:sz="4" w:space="0" w:color="auto"/>
            </w:tcBorders>
            <w:vAlign w:val="center"/>
            <w:hideMark/>
          </w:tcPr>
          <w:p w14:paraId="22770641"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4" w:space="0" w:color="auto"/>
              <w:right w:val="single" w:sz="8" w:space="0" w:color="auto"/>
            </w:tcBorders>
            <w:shd w:val="clear" w:color="auto" w:fill="auto"/>
            <w:noWrap/>
            <w:vAlign w:val="bottom"/>
            <w:hideMark/>
          </w:tcPr>
          <w:p w14:paraId="4B379DE4"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Asit Test Oranı (Dönen V.-</w:t>
            </w:r>
            <w:proofErr w:type="gramStart"/>
            <w:r w:rsidRPr="00DB0DEF">
              <w:rPr>
                <w:rFonts w:ascii="Times New Roman" w:eastAsia="Times New Roman" w:hAnsi="Times New Roman" w:cs="Times New Roman"/>
                <w:noProof w:val="0"/>
                <w:color w:val="000000"/>
                <w:sz w:val="20"/>
                <w:szCs w:val="20"/>
                <w:lang w:eastAsia="tr-TR"/>
              </w:rPr>
              <w:t>Stoklar)/</w:t>
            </w:r>
            <w:proofErr w:type="gramEnd"/>
            <w:r w:rsidRPr="00DB0DEF">
              <w:rPr>
                <w:rFonts w:ascii="Times New Roman" w:eastAsia="Times New Roman" w:hAnsi="Times New Roman" w:cs="Times New Roman"/>
                <w:noProof w:val="0"/>
                <w:color w:val="000000"/>
                <w:sz w:val="20"/>
                <w:szCs w:val="20"/>
                <w:lang w:eastAsia="tr-TR"/>
              </w:rPr>
              <w:t>KVYK)</w:t>
            </w:r>
          </w:p>
        </w:tc>
      </w:tr>
      <w:tr w:rsidR="00674849" w:rsidRPr="00DB0DEF" w14:paraId="1611FB93" w14:textId="77777777" w:rsidTr="00EB5E87">
        <w:trPr>
          <w:trHeight w:val="252"/>
          <w:jc w:val="center"/>
        </w:trPr>
        <w:tc>
          <w:tcPr>
            <w:tcW w:w="1176" w:type="dxa"/>
            <w:vMerge/>
            <w:tcBorders>
              <w:top w:val="nil"/>
              <w:left w:val="single" w:sz="8" w:space="0" w:color="auto"/>
              <w:bottom w:val="single" w:sz="8" w:space="0" w:color="000000"/>
              <w:right w:val="single" w:sz="4" w:space="0" w:color="auto"/>
            </w:tcBorders>
            <w:vAlign w:val="center"/>
            <w:hideMark/>
          </w:tcPr>
          <w:p w14:paraId="35B6D2AF"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8" w:space="0" w:color="auto"/>
              <w:right w:val="single" w:sz="8" w:space="0" w:color="auto"/>
            </w:tcBorders>
            <w:shd w:val="clear" w:color="auto" w:fill="auto"/>
            <w:noWrap/>
            <w:vAlign w:val="bottom"/>
            <w:hideMark/>
          </w:tcPr>
          <w:p w14:paraId="41BD4BCE"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 xml:space="preserve">Nakit Oran (Hazır Değerler+ Serbest Menkul </w:t>
            </w:r>
            <w:proofErr w:type="gramStart"/>
            <w:r w:rsidRPr="00DB0DEF">
              <w:rPr>
                <w:rFonts w:ascii="Times New Roman" w:eastAsia="Times New Roman" w:hAnsi="Times New Roman" w:cs="Times New Roman"/>
                <w:noProof w:val="0"/>
                <w:color w:val="000000"/>
                <w:sz w:val="20"/>
                <w:szCs w:val="20"/>
                <w:lang w:eastAsia="tr-TR"/>
              </w:rPr>
              <w:t>Kıymetler)/</w:t>
            </w:r>
            <w:proofErr w:type="gramEnd"/>
            <w:r w:rsidRPr="00DB0DEF">
              <w:rPr>
                <w:rFonts w:ascii="Times New Roman" w:eastAsia="Times New Roman" w:hAnsi="Times New Roman" w:cs="Times New Roman"/>
                <w:noProof w:val="0"/>
                <w:color w:val="000000"/>
                <w:sz w:val="20"/>
                <w:szCs w:val="20"/>
                <w:lang w:eastAsia="tr-TR"/>
              </w:rPr>
              <w:t>KVYK</w:t>
            </w:r>
          </w:p>
        </w:tc>
      </w:tr>
      <w:tr w:rsidR="00674849" w:rsidRPr="00DB0DEF" w14:paraId="391D8486" w14:textId="77777777" w:rsidTr="00EB5E87">
        <w:trPr>
          <w:trHeight w:val="240"/>
          <w:jc w:val="center"/>
        </w:trPr>
        <w:tc>
          <w:tcPr>
            <w:tcW w:w="1176" w:type="dxa"/>
            <w:vMerge w:val="restart"/>
            <w:tcBorders>
              <w:top w:val="nil"/>
              <w:left w:val="single" w:sz="8" w:space="0" w:color="auto"/>
              <w:bottom w:val="nil"/>
              <w:right w:val="single" w:sz="4" w:space="0" w:color="auto"/>
            </w:tcBorders>
            <w:shd w:val="clear" w:color="auto" w:fill="auto"/>
            <w:vAlign w:val="center"/>
            <w:hideMark/>
          </w:tcPr>
          <w:p w14:paraId="4AECF2CB"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Faaliyet Oranları</w:t>
            </w:r>
          </w:p>
        </w:tc>
        <w:tc>
          <w:tcPr>
            <w:tcW w:w="5618" w:type="dxa"/>
            <w:tcBorders>
              <w:top w:val="nil"/>
              <w:left w:val="nil"/>
              <w:bottom w:val="single" w:sz="4" w:space="0" w:color="auto"/>
              <w:right w:val="single" w:sz="8" w:space="0" w:color="auto"/>
            </w:tcBorders>
            <w:shd w:val="clear" w:color="auto" w:fill="auto"/>
            <w:noWrap/>
            <w:vAlign w:val="bottom"/>
            <w:hideMark/>
          </w:tcPr>
          <w:p w14:paraId="7F2B3F04"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Alacak Devir Hızı (Net Satışlar/Ticari Alacaklar)</w:t>
            </w:r>
          </w:p>
        </w:tc>
      </w:tr>
      <w:tr w:rsidR="00674849" w:rsidRPr="00DB0DEF" w14:paraId="75E8D02B" w14:textId="77777777" w:rsidTr="00EB5E87">
        <w:trPr>
          <w:trHeight w:val="240"/>
          <w:jc w:val="center"/>
        </w:trPr>
        <w:tc>
          <w:tcPr>
            <w:tcW w:w="1176" w:type="dxa"/>
            <w:vMerge/>
            <w:tcBorders>
              <w:top w:val="nil"/>
              <w:left w:val="single" w:sz="8" w:space="0" w:color="auto"/>
              <w:bottom w:val="nil"/>
              <w:right w:val="single" w:sz="4" w:space="0" w:color="auto"/>
            </w:tcBorders>
            <w:vAlign w:val="center"/>
            <w:hideMark/>
          </w:tcPr>
          <w:p w14:paraId="3C71DD20"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4" w:space="0" w:color="auto"/>
              <w:right w:val="single" w:sz="8" w:space="0" w:color="auto"/>
            </w:tcBorders>
            <w:shd w:val="clear" w:color="auto" w:fill="auto"/>
            <w:noWrap/>
            <w:vAlign w:val="bottom"/>
            <w:hideMark/>
          </w:tcPr>
          <w:p w14:paraId="773CE34C"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Stok Devir Hızı (Satışların Maliyeti/ Ortalama Stok Miktarı)</w:t>
            </w:r>
          </w:p>
        </w:tc>
      </w:tr>
      <w:tr w:rsidR="00674849" w:rsidRPr="00DB0DEF" w14:paraId="4210CEB5" w14:textId="77777777" w:rsidTr="00EB5E87">
        <w:trPr>
          <w:trHeight w:val="252"/>
          <w:jc w:val="center"/>
        </w:trPr>
        <w:tc>
          <w:tcPr>
            <w:tcW w:w="1176" w:type="dxa"/>
            <w:vMerge/>
            <w:tcBorders>
              <w:top w:val="nil"/>
              <w:left w:val="single" w:sz="8" w:space="0" w:color="auto"/>
              <w:bottom w:val="nil"/>
              <w:right w:val="single" w:sz="4" w:space="0" w:color="auto"/>
            </w:tcBorders>
            <w:vAlign w:val="center"/>
            <w:hideMark/>
          </w:tcPr>
          <w:p w14:paraId="7F8701AC"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8" w:space="0" w:color="auto"/>
              <w:right w:val="single" w:sz="8" w:space="0" w:color="auto"/>
            </w:tcBorders>
            <w:shd w:val="clear" w:color="auto" w:fill="auto"/>
            <w:noWrap/>
            <w:vAlign w:val="bottom"/>
            <w:hideMark/>
          </w:tcPr>
          <w:p w14:paraId="79580DA8"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Aktif Devir Hızı (Net Satışlar/ Aktif Toplamı)</w:t>
            </w:r>
          </w:p>
        </w:tc>
      </w:tr>
      <w:tr w:rsidR="00674849" w:rsidRPr="00DB0DEF" w14:paraId="4A80A4FE" w14:textId="77777777" w:rsidTr="00EB5E87">
        <w:trPr>
          <w:trHeight w:val="240"/>
          <w:jc w:val="center"/>
        </w:trPr>
        <w:tc>
          <w:tcPr>
            <w:tcW w:w="1176" w:type="dxa"/>
            <w:vMerge w:val="restart"/>
            <w:tcBorders>
              <w:top w:val="single" w:sz="8" w:space="0" w:color="auto"/>
              <w:left w:val="single" w:sz="8" w:space="0" w:color="auto"/>
              <w:bottom w:val="nil"/>
              <w:right w:val="single" w:sz="4" w:space="0" w:color="auto"/>
            </w:tcBorders>
            <w:shd w:val="clear" w:color="auto" w:fill="auto"/>
            <w:vAlign w:val="center"/>
            <w:hideMark/>
          </w:tcPr>
          <w:p w14:paraId="19D6C628"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Mali Yapı Oranları</w:t>
            </w:r>
          </w:p>
        </w:tc>
        <w:tc>
          <w:tcPr>
            <w:tcW w:w="5618" w:type="dxa"/>
            <w:tcBorders>
              <w:top w:val="nil"/>
              <w:left w:val="nil"/>
              <w:bottom w:val="single" w:sz="4" w:space="0" w:color="auto"/>
              <w:right w:val="single" w:sz="8" w:space="0" w:color="auto"/>
            </w:tcBorders>
            <w:shd w:val="clear" w:color="auto" w:fill="auto"/>
            <w:noWrap/>
            <w:vAlign w:val="bottom"/>
            <w:hideMark/>
          </w:tcPr>
          <w:p w14:paraId="5F7C9C2F"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Kaldıraç Oranı (Toplam Borç / Toplam Varlık)</w:t>
            </w:r>
          </w:p>
        </w:tc>
      </w:tr>
      <w:tr w:rsidR="00674849" w:rsidRPr="00DB0DEF" w14:paraId="18A8D684" w14:textId="77777777" w:rsidTr="00EB5E87">
        <w:trPr>
          <w:trHeight w:val="240"/>
          <w:jc w:val="center"/>
        </w:trPr>
        <w:tc>
          <w:tcPr>
            <w:tcW w:w="1176" w:type="dxa"/>
            <w:vMerge/>
            <w:tcBorders>
              <w:top w:val="single" w:sz="8" w:space="0" w:color="auto"/>
              <w:left w:val="single" w:sz="8" w:space="0" w:color="auto"/>
              <w:bottom w:val="nil"/>
              <w:right w:val="single" w:sz="4" w:space="0" w:color="auto"/>
            </w:tcBorders>
            <w:vAlign w:val="center"/>
            <w:hideMark/>
          </w:tcPr>
          <w:p w14:paraId="44469005"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4" w:space="0" w:color="auto"/>
              <w:right w:val="single" w:sz="8" w:space="0" w:color="auto"/>
            </w:tcBorders>
            <w:shd w:val="clear" w:color="auto" w:fill="auto"/>
            <w:noWrap/>
            <w:vAlign w:val="bottom"/>
            <w:hideMark/>
          </w:tcPr>
          <w:p w14:paraId="620FF14C"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Özkaynak Oranı (Özkaynaklar/ Pasif Toplamı)</w:t>
            </w:r>
          </w:p>
        </w:tc>
      </w:tr>
      <w:tr w:rsidR="00674849" w:rsidRPr="00DB0DEF" w14:paraId="036A787F" w14:textId="77777777" w:rsidTr="00EB5E87">
        <w:trPr>
          <w:trHeight w:val="252"/>
          <w:jc w:val="center"/>
        </w:trPr>
        <w:tc>
          <w:tcPr>
            <w:tcW w:w="1176" w:type="dxa"/>
            <w:vMerge/>
            <w:tcBorders>
              <w:top w:val="single" w:sz="8" w:space="0" w:color="auto"/>
              <w:left w:val="single" w:sz="8" w:space="0" w:color="auto"/>
              <w:bottom w:val="nil"/>
              <w:right w:val="single" w:sz="4" w:space="0" w:color="auto"/>
            </w:tcBorders>
            <w:vAlign w:val="center"/>
            <w:hideMark/>
          </w:tcPr>
          <w:p w14:paraId="203A3AA1"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8" w:space="0" w:color="auto"/>
              <w:right w:val="single" w:sz="8" w:space="0" w:color="auto"/>
            </w:tcBorders>
            <w:shd w:val="clear" w:color="auto" w:fill="auto"/>
            <w:noWrap/>
            <w:vAlign w:val="bottom"/>
            <w:hideMark/>
          </w:tcPr>
          <w:p w14:paraId="74E80090"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Özkaynak/Yabancı Kaynak Oranı</w:t>
            </w:r>
          </w:p>
        </w:tc>
      </w:tr>
      <w:tr w:rsidR="00674849" w:rsidRPr="00DB0DEF" w14:paraId="60DE803C" w14:textId="77777777" w:rsidTr="00EB5E87">
        <w:trPr>
          <w:trHeight w:val="240"/>
          <w:jc w:val="center"/>
        </w:trPr>
        <w:tc>
          <w:tcPr>
            <w:tcW w:w="11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69D4E12"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Karlılık Oranları</w:t>
            </w:r>
          </w:p>
        </w:tc>
        <w:tc>
          <w:tcPr>
            <w:tcW w:w="5618" w:type="dxa"/>
            <w:tcBorders>
              <w:top w:val="nil"/>
              <w:left w:val="nil"/>
              <w:bottom w:val="single" w:sz="4" w:space="0" w:color="auto"/>
              <w:right w:val="single" w:sz="8" w:space="0" w:color="auto"/>
            </w:tcBorders>
            <w:shd w:val="clear" w:color="auto" w:fill="auto"/>
            <w:noWrap/>
            <w:vAlign w:val="bottom"/>
            <w:hideMark/>
          </w:tcPr>
          <w:p w14:paraId="7BC8C946"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Dönem Karı / Net Satışlar</w:t>
            </w:r>
          </w:p>
        </w:tc>
      </w:tr>
      <w:tr w:rsidR="00674849" w:rsidRPr="00DB0DEF" w14:paraId="58D6BC2A" w14:textId="77777777" w:rsidTr="00EB5E87">
        <w:trPr>
          <w:trHeight w:val="240"/>
          <w:jc w:val="center"/>
        </w:trPr>
        <w:tc>
          <w:tcPr>
            <w:tcW w:w="1176" w:type="dxa"/>
            <w:vMerge/>
            <w:tcBorders>
              <w:top w:val="single" w:sz="8" w:space="0" w:color="auto"/>
              <w:left w:val="single" w:sz="8" w:space="0" w:color="auto"/>
              <w:bottom w:val="single" w:sz="8" w:space="0" w:color="000000"/>
              <w:right w:val="single" w:sz="4" w:space="0" w:color="auto"/>
            </w:tcBorders>
            <w:vAlign w:val="center"/>
            <w:hideMark/>
          </w:tcPr>
          <w:p w14:paraId="52EA56BC"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4" w:space="0" w:color="auto"/>
              <w:right w:val="single" w:sz="8" w:space="0" w:color="auto"/>
            </w:tcBorders>
            <w:shd w:val="clear" w:color="auto" w:fill="auto"/>
            <w:noWrap/>
            <w:vAlign w:val="bottom"/>
            <w:hideMark/>
          </w:tcPr>
          <w:p w14:paraId="030E5B71"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Dönem Kârı / Aktif toplamı</w:t>
            </w:r>
          </w:p>
        </w:tc>
      </w:tr>
      <w:tr w:rsidR="00674849" w:rsidRPr="00DB0DEF" w14:paraId="4B1C2054" w14:textId="77777777" w:rsidTr="00EB5E87">
        <w:trPr>
          <w:trHeight w:val="252"/>
          <w:jc w:val="center"/>
        </w:trPr>
        <w:tc>
          <w:tcPr>
            <w:tcW w:w="1176" w:type="dxa"/>
            <w:vMerge/>
            <w:tcBorders>
              <w:top w:val="single" w:sz="8" w:space="0" w:color="auto"/>
              <w:left w:val="single" w:sz="8" w:space="0" w:color="auto"/>
              <w:bottom w:val="single" w:sz="8" w:space="0" w:color="000000"/>
              <w:right w:val="single" w:sz="4" w:space="0" w:color="auto"/>
            </w:tcBorders>
            <w:vAlign w:val="center"/>
            <w:hideMark/>
          </w:tcPr>
          <w:p w14:paraId="40FD875A"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20"/>
                <w:szCs w:val="20"/>
                <w:lang w:eastAsia="tr-TR"/>
              </w:rPr>
            </w:pPr>
          </w:p>
        </w:tc>
        <w:tc>
          <w:tcPr>
            <w:tcW w:w="5618" w:type="dxa"/>
            <w:tcBorders>
              <w:top w:val="nil"/>
              <w:left w:val="nil"/>
              <w:bottom w:val="single" w:sz="8" w:space="0" w:color="auto"/>
              <w:right w:val="single" w:sz="8" w:space="0" w:color="auto"/>
            </w:tcBorders>
            <w:shd w:val="clear" w:color="auto" w:fill="auto"/>
            <w:noWrap/>
            <w:vAlign w:val="bottom"/>
            <w:hideMark/>
          </w:tcPr>
          <w:p w14:paraId="593E6E59" w14:textId="77777777" w:rsidR="00674849" w:rsidRPr="00DB0DEF" w:rsidRDefault="00674849" w:rsidP="00674849">
            <w:pPr>
              <w:spacing w:after="0" w:line="240" w:lineRule="auto"/>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Dönem Kârı / Özkaynak Toplamı</w:t>
            </w:r>
          </w:p>
        </w:tc>
      </w:tr>
    </w:tbl>
    <w:p w14:paraId="3C0DB271" w14:textId="098C623A" w:rsidR="007526D6" w:rsidRPr="00DB0DEF" w:rsidRDefault="00607C37" w:rsidP="00655E52">
      <w:pPr>
        <w:pStyle w:val="Balk1"/>
        <w:numPr>
          <w:ilvl w:val="2"/>
          <w:numId w:val="2"/>
        </w:numPr>
        <w:tabs>
          <w:tab w:val="clear" w:pos="709"/>
          <w:tab w:val="left" w:pos="1134"/>
        </w:tabs>
        <w:spacing w:before="120" w:after="120" w:line="276" w:lineRule="auto"/>
        <w:ind w:left="0" w:firstLine="425"/>
        <w:jc w:val="both"/>
        <w:rPr>
          <w:rFonts w:cs="Times New Roman"/>
          <w:sz w:val="22"/>
          <w:szCs w:val="22"/>
        </w:rPr>
      </w:pPr>
      <w:r w:rsidRPr="00DB0DEF">
        <w:rPr>
          <w:rFonts w:cs="Times New Roman"/>
          <w:sz w:val="22"/>
          <w:szCs w:val="22"/>
        </w:rPr>
        <w:t>TOPSİS Yöntemi</w:t>
      </w:r>
    </w:p>
    <w:p w14:paraId="4A53B469" w14:textId="70C4F624" w:rsidR="00F10978" w:rsidRPr="00DB0DEF" w:rsidRDefault="003B2352" w:rsidP="003B2352">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Çalışmada bölümler arasında finansal performans sıralaması yapabilmek için TOPSİS yöntemi kullanılmıştır. </w:t>
      </w:r>
      <w:r w:rsidR="00782933" w:rsidRPr="00DB0DEF">
        <w:rPr>
          <w:rFonts w:ascii="Times New Roman" w:hAnsi="Times New Roman" w:cs="Times New Roman"/>
        </w:rPr>
        <w:t xml:space="preserve">1981 yılında </w:t>
      </w:r>
      <w:r w:rsidR="005A55C3" w:rsidRPr="00DB0DEF">
        <w:rPr>
          <w:rFonts w:ascii="Times New Roman" w:hAnsi="Times New Roman" w:cs="Times New Roman"/>
          <w:color w:val="FF0000"/>
        </w:rPr>
        <w:t xml:space="preserve">Hwang </w:t>
      </w:r>
      <w:r w:rsidR="009B2871" w:rsidRPr="00DB0DEF">
        <w:rPr>
          <w:rFonts w:ascii="Times New Roman" w:hAnsi="Times New Roman" w:cs="Times New Roman"/>
          <w:color w:val="FF0000"/>
        </w:rPr>
        <w:t>ve</w:t>
      </w:r>
      <w:r w:rsidR="005A55C3" w:rsidRPr="00DB0DEF">
        <w:rPr>
          <w:rFonts w:ascii="Times New Roman" w:hAnsi="Times New Roman" w:cs="Times New Roman"/>
          <w:color w:val="FF0000"/>
        </w:rPr>
        <w:t xml:space="preserve"> Yoon </w:t>
      </w:r>
      <w:r w:rsidR="005A55C3" w:rsidRPr="00DB0DEF">
        <w:rPr>
          <w:rFonts w:ascii="Times New Roman" w:hAnsi="Times New Roman" w:cs="Times New Roman"/>
        </w:rPr>
        <w:t>tarafından</w:t>
      </w:r>
      <w:r w:rsidR="005A55C3" w:rsidRPr="00DB0DEF">
        <w:rPr>
          <w:rFonts w:ascii="Times New Roman" w:hAnsi="Times New Roman" w:cs="Times New Roman"/>
          <w:i/>
          <w:iCs/>
        </w:rPr>
        <w:t xml:space="preserve"> </w:t>
      </w:r>
      <w:r w:rsidR="005A55C3" w:rsidRPr="00DB0DEF">
        <w:rPr>
          <w:rFonts w:ascii="Times New Roman" w:hAnsi="Times New Roman" w:cs="Times New Roman"/>
        </w:rPr>
        <w:t xml:space="preserve">geliştirilen </w:t>
      </w:r>
      <w:r w:rsidR="00607C37" w:rsidRPr="00DB0DEF">
        <w:rPr>
          <w:rFonts w:ascii="Times New Roman" w:hAnsi="Times New Roman" w:cs="Times New Roman"/>
        </w:rPr>
        <w:t xml:space="preserve">TOPSIS (Technique for Order Preference by Similarity to Ideal Solution) </w:t>
      </w:r>
      <w:r w:rsidR="00782933" w:rsidRPr="00DB0DEF">
        <w:rPr>
          <w:rFonts w:ascii="Times New Roman" w:hAnsi="Times New Roman" w:cs="Times New Roman"/>
        </w:rPr>
        <w:t>yöntemi</w:t>
      </w:r>
      <w:r w:rsidR="005A55C3" w:rsidRPr="00DB0DEF">
        <w:rPr>
          <w:rFonts w:ascii="Times New Roman" w:hAnsi="Times New Roman" w:cs="Times New Roman"/>
        </w:rPr>
        <w:t xml:space="preserve"> </w:t>
      </w:r>
      <w:r w:rsidR="00607C37" w:rsidRPr="00DB0DEF">
        <w:rPr>
          <w:rFonts w:ascii="Times New Roman" w:hAnsi="Times New Roman" w:cs="Times New Roman"/>
        </w:rPr>
        <w:t xml:space="preserve">çok kriterli karar verme </w:t>
      </w:r>
      <w:r w:rsidR="005A55C3" w:rsidRPr="00DB0DEF">
        <w:rPr>
          <w:rFonts w:ascii="Times New Roman" w:hAnsi="Times New Roman" w:cs="Times New Roman"/>
        </w:rPr>
        <w:t>yöntemlerinden biridir</w:t>
      </w:r>
      <w:r w:rsidR="00607C37" w:rsidRPr="00DB0DEF">
        <w:rPr>
          <w:rFonts w:ascii="Times New Roman" w:hAnsi="Times New Roman" w:cs="Times New Roman"/>
        </w:rPr>
        <w:t xml:space="preserve">. Yöntem </w:t>
      </w:r>
      <w:r w:rsidR="00F53D28" w:rsidRPr="00DB0DEF">
        <w:rPr>
          <w:rFonts w:ascii="Times New Roman" w:hAnsi="Times New Roman" w:cs="Times New Roman"/>
        </w:rPr>
        <w:t xml:space="preserve">pozitif ideal </w:t>
      </w:r>
      <w:r w:rsidR="00607C37" w:rsidRPr="00DB0DEF">
        <w:rPr>
          <w:rFonts w:ascii="Times New Roman" w:hAnsi="Times New Roman" w:cs="Times New Roman"/>
        </w:rPr>
        <w:t xml:space="preserve">çözüme en </w:t>
      </w:r>
      <w:r w:rsidR="00B80760" w:rsidRPr="00DB0DEF">
        <w:rPr>
          <w:rFonts w:ascii="Times New Roman" w:hAnsi="Times New Roman" w:cs="Times New Roman"/>
        </w:rPr>
        <w:t>yakın</w:t>
      </w:r>
      <w:r w:rsidR="00607C37" w:rsidRPr="00DB0DEF">
        <w:rPr>
          <w:rFonts w:ascii="Times New Roman" w:hAnsi="Times New Roman" w:cs="Times New Roman"/>
        </w:rPr>
        <w:t xml:space="preserve"> ve </w:t>
      </w:r>
      <w:r w:rsidR="00F53D28" w:rsidRPr="00DB0DEF">
        <w:rPr>
          <w:rFonts w:ascii="Times New Roman" w:hAnsi="Times New Roman" w:cs="Times New Roman"/>
        </w:rPr>
        <w:t xml:space="preserve">negatif ideal </w:t>
      </w:r>
      <w:r w:rsidR="00607C37" w:rsidRPr="00DB0DEF">
        <w:rPr>
          <w:rFonts w:ascii="Times New Roman" w:hAnsi="Times New Roman" w:cs="Times New Roman"/>
        </w:rPr>
        <w:t>çözüme en uzak mesafedeki alternatifi seçme</w:t>
      </w:r>
      <w:r w:rsidR="005A55C3" w:rsidRPr="00DB0DEF">
        <w:rPr>
          <w:rFonts w:ascii="Times New Roman" w:hAnsi="Times New Roman" w:cs="Times New Roman"/>
        </w:rPr>
        <w:t xml:space="preserve"> ilkesine</w:t>
      </w:r>
      <w:r w:rsidR="00607C37" w:rsidRPr="00DB0DEF">
        <w:rPr>
          <w:rFonts w:ascii="Times New Roman" w:hAnsi="Times New Roman" w:cs="Times New Roman"/>
        </w:rPr>
        <w:t xml:space="preserve"> dayanmaktadır. TOPSIS yönteminin adımları</w:t>
      </w:r>
      <w:r w:rsidR="005A55C3" w:rsidRPr="00DB0DEF">
        <w:rPr>
          <w:rFonts w:ascii="Times New Roman" w:hAnsi="Times New Roman" w:cs="Times New Roman"/>
        </w:rPr>
        <w:t xml:space="preserve"> şu şekildedir</w:t>
      </w:r>
      <w:r w:rsidR="00607C37" w:rsidRPr="00DB0DEF">
        <w:rPr>
          <w:rFonts w:ascii="Times New Roman" w:hAnsi="Times New Roman" w:cs="Times New Roman"/>
        </w:rPr>
        <w:t xml:space="preserve"> </w:t>
      </w:r>
      <w:r w:rsidR="00607C37" w:rsidRPr="00DB0DEF">
        <w:rPr>
          <w:rFonts w:ascii="Times New Roman" w:hAnsi="Times New Roman" w:cs="Times New Roman"/>
        </w:rPr>
        <w:fldChar w:fldCharType="begin" w:fldLock="1"/>
      </w:r>
      <w:r w:rsidR="00D548A7" w:rsidRPr="00DB0DEF">
        <w:rPr>
          <w:rFonts w:ascii="Times New Roman" w:hAnsi="Times New Roman" w:cs="Times New Roman"/>
        </w:rPr>
        <w:instrText>ADDIN CSL_CITATION {"citationItems":[{"id":"ITEM-1","itemData":{"author":[{"dropping-particle":"","family":"Dumanoğlu","given":"Sezayi","non-dropping-particle":"","parse-names":false,"suffix":""},{"dropping-particle":"","family":"Ergül","given":"Nuray","non-dropping-particle":"","parse-names":false,"suffix":""}],"container-title":"Muhasebe ve Finansman Dergisi","id":"ITEM-1","issue":"Ekim","issued":{"date-parts":[["2010"]]},"page":"101-111","title":"İMKB ’ de İşlem Gören Teknoloji Şirketlerinin Mali Performans Ölçümü","type":"article-journal","volume":"48"},"uris":["http://www.mendeley.com/documents/?uuid=19aed8b6-6f52-41bd-8b1d-a9c105cec7d2"]}],"mendeley":{"formattedCitation":"(Dumanoğlu &amp; Ergül, 2010)","manualFormatting":"(Dumanoğlu ve  Ergül, 2010: 105-107)","plainTextFormattedCitation":"(Dumanoğlu &amp; Ergül, 2010)","previouslyFormattedCitation":"(Dumanoğlu &amp; Ergül, 2010)"},"properties":{"noteIndex":0},"schema":"https://github.com/citation-style-language/schema/raw/master/csl-citation.json"}</w:instrText>
      </w:r>
      <w:r w:rsidR="00607C37" w:rsidRPr="00DB0DEF">
        <w:rPr>
          <w:rFonts w:ascii="Times New Roman" w:hAnsi="Times New Roman" w:cs="Times New Roman"/>
        </w:rPr>
        <w:fldChar w:fldCharType="separate"/>
      </w:r>
      <w:r w:rsidR="00607C37" w:rsidRPr="00DB0DEF">
        <w:rPr>
          <w:rFonts w:ascii="Times New Roman" w:hAnsi="Times New Roman" w:cs="Times New Roman"/>
        </w:rPr>
        <w:t xml:space="preserve">(Dumanoğlu </w:t>
      </w:r>
      <w:r w:rsidR="009B2871" w:rsidRPr="00DB0DEF">
        <w:rPr>
          <w:rFonts w:ascii="Times New Roman" w:hAnsi="Times New Roman" w:cs="Times New Roman"/>
        </w:rPr>
        <w:t>ve</w:t>
      </w:r>
      <w:r w:rsidR="00996826" w:rsidRPr="00DB0DEF">
        <w:rPr>
          <w:rFonts w:ascii="Times New Roman" w:hAnsi="Times New Roman" w:cs="Times New Roman"/>
        </w:rPr>
        <w:t xml:space="preserve"> </w:t>
      </w:r>
      <w:r w:rsidR="00607C37" w:rsidRPr="00DB0DEF">
        <w:rPr>
          <w:rFonts w:ascii="Times New Roman" w:hAnsi="Times New Roman" w:cs="Times New Roman"/>
        </w:rPr>
        <w:t xml:space="preserve"> Ergül, 2010: 105-107)</w:t>
      </w:r>
      <w:r w:rsidR="00607C37" w:rsidRPr="00DB0DEF">
        <w:rPr>
          <w:rFonts w:ascii="Times New Roman" w:hAnsi="Times New Roman" w:cs="Times New Roman"/>
        </w:rPr>
        <w:fldChar w:fldCharType="end"/>
      </w:r>
      <w:r w:rsidR="00607C37" w:rsidRPr="00DB0DEF">
        <w:rPr>
          <w:rFonts w:ascii="Times New Roman" w:hAnsi="Times New Roman" w:cs="Times New Roman"/>
        </w:rPr>
        <w:t xml:space="preserve">: </w:t>
      </w:r>
    </w:p>
    <w:p w14:paraId="65B12C8F" w14:textId="7B102405" w:rsidR="00B80760" w:rsidRPr="00DB0DEF" w:rsidRDefault="00607C37"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1</w:t>
      </w:r>
      <w:r w:rsidR="00782933" w:rsidRPr="00DB0DEF">
        <w:rPr>
          <w:rFonts w:ascii="Times New Roman" w:hAnsi="Times New Roman" w:cs="Times New Roman"/>
          <w:b/>
          <w:bCs/>
        </w:rPr>
        <w:t>--</w:t>
      </w:r>
      <w:r w:rsidRPr="00DB0DEF">
        <w:rPr>
          <w:rFonts w:ascii="Times New Roman" w:hAnsi="Times New Roman" w:cs="Times New Roman"/>
        </w:rPr>
        <w:t xml:space="preserve"> </w:t>
      </w:r>
      <w:r w:rsidRPr="00DB0DEF">
        <w:rPr>
          <w:rFonts w:ascii="Times New Roman" w:hAnsi="Times New Roman" w:cs="Times New Roman"/>
          <w:b/>
          <w:bCs/>
        </w:rPr>
        <w:t xml:space="preserve">Karar Matrisinin (A) </w:t>
      </w:r>
      <w:r w:rsidR="00782933" w:rsidRPr="00DB0DEF">
        <w:rPr>
          <w:rFonts w:ascii="Times New Roman" w:hAnsi="Times New Roman" w:cs="Times New Roman"/>
          <w:b/>
          <w:bCs/>
        </w:rPr>
        <w:t>Düzenlenmesi</w:t>
      </w:r>
      <w:r w:rsidRPr="00DB0DEF">
        <w:rPr>
          <w:rFonts w:ascii="Times New Roman" w:hAnsi="Times New Roman" w:cs="Times New Roman"/>
        </w:rPr>
        <w:t xml:space="preserve">: Karar matrisinin </w:t>
      </w:r>
      <w:r w:rsidR="005A55C3" w:rsidRPr="00DB0DEF">
        <w:rPr>
          <w:rFonts w:ascii="Times New Roman" w:hAnsi="Times New Roman" w:cs="Times New Roman"/>
        </w:rPr>
        <w:t>sütunla</w:t>
      </w:r>
      <w:r w:rsidR="00782933" w:rsidRPr="00DB0DEF">
        <w:rPr>
          <w:rFonts w:ascii="Times New Roman" w:hAnsi="Times New Roman" w:cs="Times New Roman"/>
        </w:rPr>
        <w:t>rı</w:t>
      </w:r>
      <w:r w:rsidR="005A55C3" w:rsidRPr="00DB0DEF">
        <w:rPr>
          <w:rFonts w:ascii="Times New Roman" w:hAnsi="Times New Roman" w:cs="Times New Roman"/>
        </w:rPr>
        <w:t xml:space="preserve"> karar verme</w:t>
      </w:r>
      <w:r w:rsidR="00782933" w:rsidRPr="00DB0DEF">
        <w:rPr>
          <w:rFonts w:ascii="Times New Roman" w:hAnsi="Times New Roman" w:cs="Times New Roman"/>
        </w:rPr>
        <w:t>k için</w:t>
      </w:r>
      <w:r w:rsidR="005A55C3" w:rsidRPr="00DB0DEF">
        <w:rPr>
          <w:rFonts w:ascii="Times New Roman" w:hAnsi="Times New Roman" w:cs="Times New Roman"/>
        </w:rPr>
        <w:t xml:space="preserve"> kullanılacak değerlendirme faktörleri</w:t>
      </w:r>
      <w:r w:rsidR="00782933" w:rsidRPr="00DB0DEF">
        <w:rPr>
          <w:rFonts w:ascii="Times New Roman" w:hAnsi="Times New Roman" w:cs="Times New Roman"/>
        </w:rPr>
        <w:t>ni</w:t>
      </w:r>
      <w:r w:rsidR="005A55C3" w:rsidRPr="00DB0DEF">
        <w:rPr>
          <w:rFonts w:ascii="Times New Roman" w:hAnsi="Times New Roman" w:cs="Times New Roman"/>
        </w:rPr>
        <w:t xml:space="preserve">, </w:t>
      </w:r>
      <w:r w:rsidRPr="00DB0DEF">
        <w:rPr>
          <w:rFonts w:ascii="Times New Roman" w:hAnsi="Times New Roman" w:cs="Times New Roman"/>
        </w:rPr>
        <w:t xml:space="preserve">satırları </w:t>
      </w:r>
      <w:r w:rsidR="005A55C3" w:rsidRPr="00DB0DEF">
        <w:rPr>
          <w:rFonts w:ascii="Times New Roman" w:hAnsi="Times New Roman" w:cs="Times New Roman"/>
        </w:rPr>
        <w:t xml:space="preserve">ise </w:t>
      </w:r>
      <w:r w:rsidRPr="00DB0DEF">
        <w:rPr>
          <w:rFonts w:ascii="Times New Roman" w:hAnsi="Times New Roman" w:cs="Times New Roman"/>
        </w:rPr>
        <w:t>üstünlükleri sıralanmak istenen karar noktaları</w:t>
      </w:r>
      <w:r w:rsidR="00782933" w:rsidRPr="00DB0DEF">
        <w:rPr>
          <w:rFonts w:ascii="Times New Roman" w:hAnsi="Times New Roman" w:cs="Times New Roman"/>
        </w:rPr>
        <w:t>nı içermektedir</w:t>
      </w:r>
      <w:r w:rsidRPr="00DB0DEF">
        <w:rPr>
          <w:rFonts w:ascii="Times New Roman" w:hAnsi="Times New Roman" w:cs="Times New Roman"/>
        </w:rPr>
        <w:t>. A matrisi karar verici</w:t>
      </w:r>
      <w:r w:rsidR="005A55C3" w:rsidRPr="00DB0DEF">
        <w:rPr>
          <w:rFonts w:ascii="Times New Roman" w:hAnsi="Times New Roman" w:cs="Times New Roman"/>
        </w:rPr>
        <w:t>ler</w:t>
      </w:r>
      <w:r w:rsidRPr="00DB0DEF">
        <w:rPr>
          <w:rFonts w:ascii="Times New Roman" w:hAnsi="Times New Roman" w:cs="Times New Roman"/>
        </w:rPr>
        <w:t xml:space="preserve"> tarafından oluşturu</w:t>
      </w:r>
      <w:r w:rsidR="005A55C3" w:rsidRPr="00DB0DEF">
        <w:rPr>
          <w:rFonts w:ascii="Times New Roman" w:hAnsi="Times New Roman" w:cs="Times New Roman"/>
        </w:rPr>
        <w:t>lacak</w:t>
      </w:r>
      <w:r w:rsidRPr="00DB0DEF">
        <w:rPr>
          <w:rFonts w:ascii="Times New Roman" w:hAnsi="Times New Roman" w:cs="Times New Roman"/>
        </w:rPr>
        <w:t xml:space="preserve"> başlangıç matrisidir. </w:t>
      </w:r>
    </w:p>
    <w:p w14:paraId="4B2D93BE" w14:textId="6AC4A67C" w:rsidR="00607C37" w:rsidRPr="00DB0DEF" w:rsidRDefault="00607C37"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Karar matrisi </w:t>
      </w:r>
      <w:r w:rsidR="005A55C3" w:rsidRPr="00DB0DEF">
        <w:rPr>
          <w:rFonts w:ascii="Times New Roman" w:hAnsi="Times New Roman" w:cs="Times New Roman"/>
        </w:rPr>
        <w:t xml:space="preserve">şu şekilde </w:t>
      </w:r>
      <w:r w:rsidRPr="00DB0DEF">
        <w:rPr>
          <w:rFonts w:ascii="Times New Roman" w:hAnsi="Times New Roman" w:cs="Times New Roman"/>
        </w:rPr>
        <w:t>gösterilir:</w:t>
      </w:r>
    </w:p>
    <w:p w14:paraId="1533E38D" w14:textId="77777777" w:rsidR="00505761" w:rsidRPr="00DB0DEF" w:rsidRDefault="00505761" w:rsidP="00D40ACF">
      <w:pPr>
        <w:spacing w:after="120"/>
        <w:ind w:firstLine="426"/>
        <w:contextualSpacing/>
        <w:jc w:val="both"/>
        <w:rPr>
          <w:rFonts w:ascii="Times New Roman" w:hAnsi="Times New Roman" w:cs="Times New Roman"/>
        </w:rPr>
      </w:pPr>
    </w:p>
    <w:tbl>
      <w:tblPr>
        <w:tblW w:w="5359" w:type="dxa"/>
        <w:jc w:val="center"/>
        <w:tblCellMar>
          <w:left w:w="70" w:type="dxa"/>
          <w:right w:w="70" w:type="dxa"/>
        </w:tblCellMar>
        <w:tblLook w:val="04A0" w:firstRow="1" w:lastRow="0" w:firstColumn="1" w:lastColumn="0" w:noHBand="0" w:noVBand="1"/>
      </w:tblPr>
      <w:tblGrid>
        <w:gridCol w:w="834"/>
        <w:gridCol w:w="670"/>
        <w:gridCol w:w="855"/>
        <w:gridCol w:w="814"/>
        <w:gridCol w:w="787"/>
        <w:gridCol w:w="857"/>
        <w:gridCol w:w="622"/>
      </w:tblGrid>
      <w:tr w:rsidR="00505761" w:rsidRPr="00DB0DEF" w14:paraId="600E331B" w14:textId="77777777" w:rsidTr="00EB5E87">
        <w:trPr>
          <w:trHeight w:hRule="exact" w:val="28"/>
          <w:jc w:val="center"/>
        </w:trPr>
        <w:tc>
          <w:tcPr>
            <w:tcW w:w="834" w:type="dxa"/>
            <w:tcBorders>
              <w:top w:val="nil"/>
              <w:left w:val="nil"/>
              <w:bottom w:val="nil"/>
              <w:right w:val="nil"/>
            </w:tcBorders>
            <w:shd w:val="clear" w:color="auto" w:fill="auto"/>
            <w:noWrap/>
            <w:vAlign w:val="bottom"/>
            <w:hideMark/>
          </w:tcPr>
          <w:p w14:paraId="1BFE1F64"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single" w:sz="4" w:space="0" w:color="auto"/>
              <w:left w:val="single" w:sz="4" w:space="0" w:color="auto"/>
              <w:bottom w:val="nil"/>
              <w:right w:val="nil"/>
            </w:tcBorders>
            <w:shd w:val="clear" w:color="auto" w:fill="auto"/>
            <w:noWrap/>
            <w:vAlign w:val="bottom"/>
            <w:hideMark/>
          </w:tcPr>
          <w:p w14:paraId="7F06F187"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486CBCB5"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14" w:type="dxa"/>
            <w:tcBorders>
              <w:top w:val="nil"/>
              <w:left w:val="nil"/>
              <w:bottom w:val="nil"/>
              <w:right w:val="nil"/>
            </w:tcBorders>
            <w:shd w:val="clear" w:color="auto" w:fill="auto"/>
            <w:noWrap/>
            <w:vAlign w:val="bottom"/>
            <w:hideMark/>
          </w:tcPr>
          <w:p w14:paraId="0E903E8E"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718" w:type="dxa"/>
            <w:tcBorders>
              <w:top w:val="nil"/>
              <w:left w:val="nil"/>
              <w:bottom w:val="nil"/>
              <w:right w:val="nil"/>
            </w:tcBorders>
            <w:shd w:val="clear" w:color="auto" w:fill="auto"/>
            <w:noWrap/>
            <w:vAlign w:val="bottom"/>
            <w:hideMark/>
          </w:tcPr>
          <w:p w14:paraId="4EBC760C"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57" w:type="dxa"/>
            <w:tcBorders>
              <w:top w:val="nil"/>
              <w:left w:val="nil"/>
              <w:bottom w:val="nil"/>
              <w:right w:val="nil"/>
            </w:tcBorders>
            <w:shd w:val="clear" w:color="auto" w:fill="auto"/>
            <w:noWrap/>
            <w:vAlign w:val="bottom"/>
            <w:hideMark/>
          </w:tcPr>
          <w:p w14:paraId="2F09877F"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16" w:type="dxa"/>
            <w:tcBorders>
              <w:top w:val="single" w:sz="4" w:space="0" w:color="auto"/>
              <w:left w:val="nil"/>
              <w:bottom w:val="nil"/>
              <w:right w:val="single" w:sz="4" w:space="0" w:color="auto"/>
            </w:tcBorders>
            <w:shd w:val="clear" w:color="auto" w:fill="auto"/>
            <w:noWrap/>
            <w:vAlign w:val="bottom"/>
            <w:hideMark/>
          </w:tcPr>
          <w:p w14:paraId="1B9FE483"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505761" w:rsidRPr="00DB0DEF" w14:paraId="60223906" w14:textId="77777777" w:rsidTr="00EB5E87">
        <w:trPr>
          <w:trHeight w:val="230"/>
          <w:jc w:val="center"/>
        </w:trPr>
        <w:tc>
          <w:tcPr>
            <w:tcW w:w="834" w:type="dxa"/>
            <w:tcBorders>
              <w:top w:val="nil"/>
              <w:left w:val="nil"/>
              <w:bottom w:val="nil"/>
              <w:right w:val="nil"/>
            </w:tcBorders>
            <w:shd w:val="clear" w:color="auto" w:fill="auto"/>
            <w:noWrap/>
            <w:vAlign w:val="bottom"/>
            <w:hideMark/>
          </w:tcPr>
          <w:p w14:paraId="1BCB7185"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nil"/>
              <w:left w:val="single" w:sz="4" w:space="0" w:color="auto"/>
              <w:bottom w:val="nil"/>
              <w:right w:val="nil"/>
            </w:tcBorders>
            <w:shd w:val="clear" w:color="auto" w:fill="auto"/>
            <w:noWrap/>
            <w:vAlign w:val="bottom"/>
            <w:hideMark/>
          </w:tcPr>
          <w:p w14:paraId="66CEC591" w14:textId="77777777" w:rsidR="00E326D9" w:rsidRPr="00DB0DEF" w:rsidRDefault="00E326D9" w:rsidP="00510E79">
            <w:pPr>
              <w:spacing w:after="120"/>
              <w:ind w:firstLine="475"/>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257E4C1B"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11</w:t>
            </w:r>
          </w:p>
        </w:tc>
        <w:tc>
          <w:tcPr>
            <w:tcW w:w="814" w:type="dxa"/>
            <w:tcBorders>
              <w:top w:val="nil"/>
              <w:left w:val="nil"/>
              <w:bottom w:val="nil"/>
              <w:right w:val="nil"/>
            </w:tcBorders>
            <w:shd w:val="clear" w:color="auto" w:fill="auto"/>
            <w:noWrap/>
            <w:vAlign w:val="bottom"/>
            <w:hideMark/>
          </w:tcPr>
          <w:p w14:paraId="793A6805"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12</w:t>
            </w:r>
          </w:p>
        </w:tc>
        <w:tc>
          <w:tcPr>
            <w:tcW w:w="718" w:type="dxa"/>
            <w:tcBorders>
              <w:top w:val="nil"/>
              <w:left w:val="nil"/>
              <w:bottom w:val="nil"/>
              <w:right w:val="nil"/>
            </w:tcBorders>
            <w:shd w:val="clear" w:color="auto" w:fill="auto"/>
            <w:noWrap/>
            <w:vAlign w:val="bottom"/>
            <w:hideMark/>
          </w:tcPr>
          <w:p w14:paraId="50B57B35"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w:t>
            </w:r>
          </w:p>
        </w:tc>
        <w:tc>
          <w:tcPr>
            <w:tcW w:w="857" w:type="dxa"/>
            <w:tcBorders>
              <w:top w:val="nil"/>
              <w:left w:val="nil"/>
              <w:bottom w:val="nil"/>
              <w:right w:val="nil"/>
            </w:tcBorders>
            <w:shd w:val="clear" w:color="auto" w:fill="auto"/>
            <w:noWrap/>
            <w:vAlign w:val="bottom"/>
            <w:hideMark/>
          </w:tcPr>
          <w:p w14:paraId="5D446F9A"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1n</w:t>
            </w:r>
          </w:p>
        </w:tc>
        <w:tc>
          <w:tcPr>
            <w:tcW w:w="616" w:type="dxa"/>
            <w:tcBorders>
              <w:top w:val="nil"/>
              <w:left w:val="nil"/>
              <w:bottom w:val="nil"/>
              <w:right w:val="single" w:sz="4" w:space="0" w:color="auto"/>
            </w:tcBorders>
            <w:shd w:val="clear" w:color="auto" w:fill="auto"/>
            <w:noWrap/>
            <w:vAlign w:val="bottom"/>
            <w:hideMark/>
          </w:tcPr>
          <w:p w14:paraId="257A4E80"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505761" w:rsidRPr="00DB0DEF" w14:paraId="5715CA06" w14:textId="77777777" w:rsidTr="00EB5E87">
        <w:trPr>
          <w:trHeight w:val="230"/>
          <w:jc w:val="center"/>
        </w:trPr>
        <w:tc>
          <w:tcPr>
            <w:tcW w:w="834" w:type="dxa"/>
            <w:tcBorders>
              <w:top w:val="nil"/>
              <w:left w:val="nil"/>
              <w:bottom w:val="nil"/>
              <w:right w:val="nil"/>
            </w:tcBorders>
            <w:shd w:val="clear" w:color="auto" w:fill="auto"/>
            <w:noWrap/>
            <w:vAlign w:val="bottom"/>
            <w:hideMark/>
          </w:tcPr>
          <w:p w14:paraId="1BF281AF"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nil"/>
              <w:left w:val="single" w:sz="4" w:space="0" w:color="auto"/>
              <w:bottom w:val="nil"/>
              <w:right w:val="nil"/>
            </w:tcBorders>
            <w:shd w:val="clear" w:color="auto" w:fill="auto"/>
            <w:noWrap/>
            <w:vAlign w:val="bottom"/>
            <w:hideMark/>
          </w:tcPr>
          <w:p w14:paraId="4165DCA2" w14:textId="77777777" w:rsidR="00E326D9" w:rsidRPr="00DB0DEF" w:rsidRDefault="00E326D9" w:rsidP="00510E79">
            <w:pPr>
              <w:spacing w:after="120"/>
              <w:ind w:firstLine="475"/>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7BCE0651"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21</w:t>
            </w:r>
          </w:p>
        </w:tc>
        <w:tc>
          <w:tcPr>
            <w:tcW w:w="814" w:type="dxa"/>
            <w:tcBorders>
              <w:top w:val="nil"/>
              <w:left w:val="nil"/>
              <w:bottom w:val="nil"/>
              <w:right w:val="nil"/>
            </w:tcBorders>
            <w:shd w:val="clear" w:color="auto" w:fill="auto"/>
            <w:noWrap/>
            <w:vAlign w:val="bottom"/>
            <w:hideMark/>
          </w:tcPr>
          <w:p w14:paraId="29D55EF8"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22</w:t>
            </w:r>
          </w:p>
        </w:tc>
        <w:tc>
          <w:tcPr>
            <w:tcW w:w="718" w:type="dxa"/>
            <w:tcBorders>
              <w:top w:val="nil"/>
              <w:left w:val="nil"/>
              <w:bottom w:val="nil"/>
              <w:right w:val="nil"/>
            </w:tcBorders>
            <w:shd w:val="clear" w:color="auto" w:fill="auto"/>
            <w:noWrap/>
            <w:vAlign w:val="bottom"/>
            <w:hideMark/>
          </w:tcPr>
          <w:p w14:paraId="79A90836"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w:t>
            </w:r>
          </w:p>
        </w:tc>
        <w:tc>
          <w:tcPr>
            <w:tcW w:w="857" w:type="dxa"/>
            <w:tcBorders>
              <w:top w:val="nil"/>
              <w:left w:val="nil"/>
              <w:bottom w:val="nil"/>
              <w:right w:val="nil"/>
            </w:tcBorders>
            <w:shd w:val="clear" w:color="auto" w:fill="auto"/>
            <w:noWrap/>
            <w:vAlign w:val="bottom"/>
            <w:hideMark/>
          </w:tcPr>
          <w:p w14:paraId="64AD01B1"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proofErr w:type="gramEnd"/>
            <w:r w:rsidRPr="00DB0DEF">
              <w:rPr>
                <w:rFonts w:ascii="Times New Roman" w:eastAsia="Times New Roman" w:hAnsi="Times New Roman" w:cs="Times New Roman"/>
                <w:noProof w:val="0"/>
                <w:vertAlign w:val="subscript"/>
                <w:lang w:eastAsia="tr-TR"/>
              </w:rPr>
              <w:t>2n</w:t>
            </w:r>
          </w:p>
        </w:tc>
        <w:tc>
          <w:tcPr>
            <w:tcW w:w="616" w:type="dxa"/>
            <w:tcBorders>
              <w:top w:val="nil"/>
              <w:left w:val="nil"/>
              <w:bottom w:val="nil"/>
              <w:right w:val="single" w:sz="4" w:space="0" w:color="auto"/>
            </w:tcBorders>
            <w:shd w:val="clear" w:color="auto" w:fill="auto"/>
            <w:noWrap/>
            <w:vAlign w:val="bottom"/>
            <w:hideMark/>
          </w:tcPr>
          <w:p w14:paraId="5C26C9BA"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505761" w:rsidRPr="00DB0DEF" w14:paraId="4BDF2ADB" w14:textId="77777777" w:rsidTr="00EB5E87">
        <w:trPr>
          <w:trHeight w:val="191"/>
          <w:jc w:val="center"/>
        </w:trPr>
        <w:tc>
          <w:tcPr>
            <w:tcW w:w="834" w:type="dxa"/>
            <w:tcBorders>
              <w:top w:val="nil"/>
              <w:left w:val="nil"/>
              <w:bottom w:val="nil"/>
              <w:right w:val="nil"/>
            </w:tcBorders>
            <w:shd w:val="clear" w:color="auto" w:fill="auto"/>
            <w:noWrap/>
            <w:vAlign w:val="bottom"/>
            <w:hideMark/>
          </w:tcPr>
          <w:p w14:paraId="31255382"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nil"/>
              <w:left w:val="single" w:sz="4" w:space="0" w:color="auto"/>
              <w:bottom w:val="nil"/>
              <w:right w:val="nil"/>
            </w:tcBorders>
            <w:shd w:val="clear" w:color="auto" w:fill="auto"/>
            <w:noWrap/>
            <w:vAlign w:val="bottom"/>
            <w:hideMark/>
          </w:tcPr>
          <w:p w14:paraId="00015CC0" w14:textId="77777777" w:rsidR="00E326D9" w:rsidRPr="00DB0DEF" w:rsidRDefault="00E326D9" w:rsidP="00510E79">
            <w:pPr>
              <w:spacing w:after="120"/>
              <w:ind w:firstLine="475"/>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4F4FDFE8"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w:t>
            </w:r>
          </w:p>
        </w:tc>
        <w:tc>
          <w:tcPr>
            <w:tcW w:w="814" w:type="dxa"/>
            <w:tcBorders>
              <w:top w:val="nil"/>
              <w:left w:val="nil"/>
              <w:bottom w:val="nil"/>
              <w:right w:val="nil"/>
            </w:tcBorders>
            <w:shd w:val="clear" w:color="auto" w:fill="auto"/>
            <w:noWrap/>
            <w:vAlign w:val="bottom"/>
            <w:hideMark/>
          </w:tcPr>
          <w:p w14:paraId="464D9CED"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718" w:type="dxa"/>
            <w:tcBorders>
              <w:top w:val="nil"/>
              <w:left w:val="nil"/>
              <w:bottom w:val="nil"/>
              <w:right w:val="nil"/>
            </w:tcBorders>
            <w:shd w:val="clear" w:color="auto" w:fill="auto"/>
            <w:noWrap/>
            <w:vAlign w:val="bottom"/>
            <w:hideMark/>
          </w:tcPr>
          <w:p w14:paraId="2A8A090A"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57" w:type="dxa"/>
            <w:tcBorders>
              <w:top w:val="nil"/>
              <w:left w:val="nil"/>
              <w:bottom w:val="nil"/>
              <w:right w:val="nil"/>
            </w:tcBorders>
            <w:shd w:val="clear" w:color="auto" w:fill="auto"/>
            <w:noWrap/>
            <w:vAlign w:val="bottom"/>
            <w:hideMark/>
          </w:tcPr>
          <w:p w14:paraId="0C898F6A"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w:t>
            </w:r>
          </w:p>
        </w:tc>
        <w:tc>
          <w:tcPr>
            <w:tcW w:w="616" w:type="dxa"/>
            <w:tcBorders>
              <w:top w:val="nil"/>
              <w:left w:val="nil"/>
              <w:bottom w:val="nil"/>
              <w:right w:val="single" w:sz="4" w:space="0" w:color="auto"/>
            </w:tcBorders>
            <w:shd w:val="clear" w:color="auto" w:fill="auto"/>
            <w:noWrap/>
            <w:vAlign w:val="bottom"/>
            <w:hideMark/>
          </w:tcPr>
          <w:p w14:paraId="144F93A0"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505761" w:rsidRPr="00DB0DEF" w14:paraId="4BA0C1CB" w14:textId="77777777" w:rsidTr="00EB5E87">
        <w:trPr>
          <w:trHeight w:val="230"/>
          <w:jc w:val="center"/>
        </w:trPr>
        <w:tc>
          <w:tcPr>
            <w:tcW w:w="834" w:type="dxa"/>
            <w:tcBorders>
              <w:top w:val="nil"/>
              <w:left w:val="nil"/>
              <w:bottom w:val="nil"/>
              <w:right w:val="nil"/>
            </w:tcBorders>
            <w:shd w:val="clear" w:color="auto" w:fill="auto"/>
            <w:noWrap/>
            <w:vAlign w:val="bottom"/>
            <w:hideMark/>
          </w:tcPr>
          <w:p w14:paraId="30D10FCB"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nil"/>
              <w:left w:val="single" w:sz="4" w:space="0" w:color="auto"/>
              <w:bottom w:val="nil"/>
              <w:right w:val="nil"/>
            </w:tcBorders>
            <w:shd w:val="clear" w:color="auto" w:fill="auto"/>
            <w:noWrap/>
            <w:vAlign w:val="bottom"/>
            <w:hideMark/>
          </w:tcPr>
          <w:p w14:paraId="5F57A2B4" w14:textId="77777777" w:rsidR="00E326D9" w:rsidRPr="00DB0DEF" w:rsidRDefault="00E326D9" w:rsidP="00510E79">
            <w:pPr>
              <w:spacing w:after="120"/>
              <w:ind w:firstLine="475"/>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4009C9ED"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r w:rsidRPr="00DB0DEF">
              <w:rPr>
                <w:rFonts w:ascii="Times New Roman" w:eastAsia="Times New Roman" w:hAnsi="Times New Roman" w:cs="Times New Roman"/>
                <w:noProof w:val="0"/>
                <w:vertAlign w:val="subscript"/>
                <w:lang w:eastAsia="tr-TR"/>
              </w:rPr>
              <w:t>m</w:t>
            </w:r>
            <w:proofErr w:type="gramEnd"/>
            <w:r w:rsidRPr="00DB0DEF">
              <w:rPr>
                <w:rFonts w:ascii="Times New Roman" w:eastAsia="Times New Roman" w:hAnsi="Times New Roman" w:cs="Times New Roman"/>
                <w:noProof w:val="0"/>
                <w:vertAlign w:val="subscript"/>
                <w:lang w:eastAsia="tr-TR"/>
              </w:rPr>
              <w:t>1</w:t>
            </w:r>
          </w:p>
        </w:tc>
        <w:tc>
          <w:tcPr>
            <w:tcW w:w="814" w:type="dxa"/>
            <w:tcBorders>
              <w:top w:val="nil"/>
              <w:left w:val="nil"/>
              <w:bottom w:val="nil"/>
              <w:right w:val="nil"/>
            </w:tcBorders>
            <w:shd w:val="clear" w:color="auto" w:fill="auto"/>
            <w:noWrap/>
            <w:vAlign w:val="bottom"/>
            <w:hideMark/>
          </w:tcPr>
          <w:p w14:paraId="52947093"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718" w:type="dxa"/>
            <w:tcBorders>
              <w:top w:val="nil"/>
              <w:left w:val="nil"/>
              <w:bottom w:val="nil"/>
              <w:right w:val="nil"/>
            </w:tcBorders>
            <w:shd w:val="clear" w:color="auto" w:fill="auto"/>
            <w:noWrap/>
            <w:vAlign w:val="bottom"/>
            <w:hideMark/>
          </w:tcPr>
          <w:p w14:paraId="23AF8B53"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57" w:type="dxa"/>
            <w:tcBorders>
              <w:top w:val="nil"/>
              <w:left w:val="nil"/>
              <w:bottom w:val="nil"/>
              <w:right w:val="nil"/>
            </w:tcBorders>
            <w:shd w:val="clear" w:color="auto" w:fill="auto"/>
            <w:noWrap/>
            <w:vAlign w:val="bottom"/>
            <w:hideMark/>
          </w:tcPr>
          <w:p w14:paraId="2080B36A"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roofErr w:type="gramStart"/>
            <w:r w:rsidRPr="00DB0DEF">
              <w:rPr>
                <w:rFonts w:ascii="Times New Roman" w:eastAsia="Times New Roman" w:hAnsi="Times New Roman" w:cs="Times New Roman"/>
                <w:noProof w:val="0"/>
                <w:lang w:eastAsia="tr-TR"/>
              </w:rPr>
              <w:t>a</w:t>
            </w:r>
            <w:r w:rsidRPr="00DB0DEF">
              <w:rPr>
                <w:rFonts w:ascii="Times New Roman" w:eastAsia="Times New Roman" w:hAnsi="Times New Roman" w:cs="Times New Roman"/>
                <w:noProof w:val="0"/>
                <w:vertAlign w:val="subscript"/>
                <w:lang w:eastAsia="tr-TR"/>
              </w:rPr>
              <w:t>mn</w:t>
            </w:r>
            <w:proofErr w:type="gramEnd"/>
          </w:p>
        </w:tc>
        <w:tc>
          <w:tcPr>
            <w:tcW w:w="616" w:type="dxa"/>
            <w:tcBorders>
              <w:top w:val="nil"/>
              <w:left w:val="nil"/>
              <w:bottom w:val="nil"/>
              <w:right w:val="single" w:sz="4" w:space="0" w:color="auto"/>
            </w:tcBorders>
            <w:shd w:val="clear" w:color="auto" w:fill="auto"/>
            <w:noWrap/>
            <w:vAlign w:val="bottom"/>
            <w:hideMark/>
          </w:tcPr>
          <w:p w14:paraId="046FAF32"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505761" w:rsidRPr="00DB0DEF" w14:paraId="0E54AD66" w14:textId="77777777" w:rsidTr="00EB5E87">
        <w:trPr>
          <w:trHeight w:hRule="exact" w:val="45"/>
          <w:jc w:val="center"/>
        </w:trPr>
        <w:tc>
          <w:tcPr>
            <w:tcW w:w="834" w:type="dxa"/>
            <w:tcBorders>
              <w:top w:val="nil"/>
              <w:left w:val="nil"/>
              <w:bottom w:val="nil"/>
              <w:right w:val="nil"/>
            </w:tcBorders>
            <w:shd w:val="clear" w:color="auto" w:fill="auto"/>
            <w:noWrap/>
            <w:vAlign w:val="bottom"/>
            <w:hideMark/>
          </w:tcPr>
          <w:p w14:paraId="71375E29"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65" w:type="dxa"/>
            <w:tcBorders>
              <w:top w:val="nil"/>
              <w:left w:val="single" w:sz="4" w:space="0" w:color="auto"/>
              <w:bottom w:val="single" w:sz="4" w:space="0" w:color="auto"/>
              <w:right w:val="nil"/>
            </w:tcBorders>
            <w:shd w:val="clear" w:color="auto" w:fill="auto"/>
            <w:noWrap/>
            <w:vAlign w:val="bottom"/>
            <w:hideMark/>
          </w:tcPr>
          <w:p w14:paraId="74244DCB"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855" w:type="dxa"/>
            <w:tcBorders>
              <w:top w:val="nil"/>
              <w:left w:val="nil"/>
              <w:bottom w:val="nil"/>
              <w:right w:val="nil"/>
            </w:tcBorders>
            <w:shd w:val="clear" w:color="auto" w:fill="auto"/>
            <w:noWrap/>
            <w:vAlign w:val="bottom"/>
            <w:hideMark/>
          </w:tcPr>
          <w:p w14:paraId="2FC94B2D"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14" w:type="dxa"/>
            <w:tcBorders>
              <w:top w:val="nil"/>
              <w:left w:val="nil"/>
              <w:bottom w:val="nil"/>
              <w:right w:val="nil"/>
            </w:tcBorders>
            <w:shd w:val="clear" w:color="auto" w:fill="auto"/>
            <w:noWrap/>
            <w:vAlign w:val="bottom"/>
            <w:hideMark/>
          </w:tcPr>
          <w:p w14:paraId="5855BC83"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718" w:type="dxa"/>
            <w:tcBorders>
              <w:top w:val="nil"/>
              <w:left w:val="nil"/>
              <w:bottom w:val="nil"/>
              <w:right w:val="nil"/>
            </w:tcBorders>
            <w:shd w:val="clear" w:color="auto" w:fill="auto"/>
            <w:noWrap/>
            <w:vAlign w:val="bottom"/>
            <w:hideMark/>
          </w:tcPr>
          <w:p w14:paraId="6C2DCC26"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857" w:type="dxa"/>
            <w:tcBorders>
              <w:top w:val="nil"/>
              <w:left w:val="nil"/>
              <w:bottom w:val="nil"/>
              <w:right w:val="nil"/>
            </w:tcBorders>
            <w:shd w:val="clear" w:color="auto" w:fill="auto"/>
            <w:noWrap/>
            <w:vAlign w:val="bottom"/>
            <w:hideMark/>
          </w:tcPr>
          <w:p w14:paraId="33FDB07C"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p>
        </w:tc>
        <w:tc>
          <w:tcPr>
            <w:tcW w:w="616" w:type="dxa"/>
            <w:tcBorders>
              <w:top w:val="nil"/>
              <w:left w:val="nil"/>
              <w:bottom w:val="single" w:sz="4" w:space="0" w:color="auto"/>
              <w:right w:val="single" w:sz="4" w:space="0" w:color="auto"/>
            </w:tcBorders>
            <w:shd w:val="clear" w:color="auto" w:fill="auto"/>
            <w:noWrap/>
            <w:vAlign w:val="bottom"/>
            <w:hideMark/>
          </w:tcPr>
          <w:p w14:paraId="2668676E" w14:textId="77777777" w:rsidR="00E326D9" w:rsidRPr="00DB0DEF" w:rsidRDefault="00E326D9"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bl>
    <w:p w14:paraId="6D5A98CC" w14:textId="77777777" w:rsidR="000E3DA3" w:rsidRPr="00DB0DEF" w:rsidRDefault="000E3DA3" w:rsidP="00D40ACF">
      <w:pPr>
        <w:spacing w:after="120"/>
        <w:ind w:firstLine="426"/>
        <w:contextualSpacing/>
        <w:jc w:val="both"/>
        <w:rPr>
          <w:rFonts w:ascii="Times New Roman" w:hAnsi="Times New Roman" w:cs="Times New Roman"/>
        </w:rPr>
      </w:pPr>
    </w:p>
    <w:p w14:paraId="01DF91FA" w14:textId="3CE9B892" w:rsidR="00F10978" w:rsidRPr="00DB0DEF" w:rsidRDefault="00996826"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A matrisinde </w:t>
      </w:r>
      <w:r w:rsidR="005A55C3" w:rsidRPr="00DB0DEF">
        <w:rPr>
          <w:rFonts w:ascii="Times New Roman" w:hAnsi="Times New Roman" w:cs="Times New Roman"/>
        </w:rPr>
        <w:t xml:space="preserve">n değerlendirme kriteri sayısını, </w:t>
      </w:r>
      <w:r w:rsidRPr="00DB0DEF">
        <w:rPr>
          <w:rFonts w:ascii="Times New Roman" w:hAnsi="Times New Roman" w:cs="Times New Roman"/>
        </w:rPr>
        <w:t>m alternatif sayısını</w:t>
      </w:r>
      <w:r w:rsidR="005A55C3" w:rsidRPr="00DB0DEF">
        <w:rPr>
          <w:rFonts w:ascii="Times New Roman" w:hAnsi="Times New Roman" w:cs="Times New Roman"/>
        </w:rPr>
        <w:t xml:space="preserve"> </w:t>
      </w:r>
      <w:r w:rsidRPr="00DB0DEF">
        <w:rPr>
          <w:rFonts w:ascii="Times New Roman" w:hAnsi="Times New Roman" w:cs="Times New Roman"/>
        </w:rPr>
        <w:t xml:space="preserve">vermektedir </w:t>
      </w:r>
      <w:r w:rsidRPr="00DB0DEF">
        <w:rPr>
          <w:rFonts w:ascii="Times New Roman" w:hAnsi="Times New Roman" w:cs="Times New Roman"/>
        </w:rPr>
        <w:fldChar w:fldCharType="begin" w:fldLock="1"/>
      </w:r>
      <w:r w:rsidR="002E0A42" w:rsidRPr="00DB0DEF">
        <w:rPr>
          <w:rFonts w:ascii="Times New Roman" w:hAnsi="Times New Roman" w:cs="Times New Roman"/>
        </w:rPr>
        <w:instrText>ADDIN CSL_CITATION {"citationItems":[{"id":"ITEM-1","itemData":{"author":[{"dropping-particle":"","family":"Özkan","given":"Gökmen","non-dropping-particle":"","parse-names":false,"suffix":""},{"dropping-particle":"","family":"Deliktaş","given":"Ertuğrul","non-dropping-particle":"","parse-names":false,"suffix":""}],"container-title":"İzmir Katip Çelebi Üniversitesi İktisadi ve İdari Bilimler Fakültesi Dergisi","id":"ITEM-1","issue":"1","issued":{"date-parts":[["2020"]]},"page":"31-40","title":"Banka performanslarinin topsi̇s yöntemi̇yle anali̇zi̇ an analysi̇s of the performance of the banks by topsis","type":"article-journal","volume":"3"},"uris":["http://www.mendeley.com/documents/?uuid=b1f27960-5c20-422c-b674-8ad461e2a0ea"]}],"mendeley":{"formattedCitation":"(Özkan &amp; Deliktaş, 2020)","manualFormatting":"(G. Özkan ve Deliktaş, 2020: 35)","plainTextFormattedCitation":"(Özkan &amp; Deliktaş, 2020)","previouslyFormattedCitation":"(Özkan &amp; Deliktaş, 2020)"},"properties":{"noteIndex":0},"schema":"https://github.com/citation-style-language/schema/raw/master/csl-citation.json"}</w:instrText>
      </w:r>
      <w:r w:rsidRPr="00DB0DEF">
        <w:rPr>
          <w:rFonts w:ascii="Times New Roman" w:hAnsi="Times New Roman" w:cs="Times New Roman"/>
        </w:rPr>
        <w:fldChar w:fldCharType="separate"/>
      </w:r>
      <w:r w:rsidRPr="00DB0DEF">
        <w:rPr>
          <w:rFonts w:ascii="Times New Roman" w:hAnsi="Times New Roman" w:cs="Times New Roman"/>
        </w:rPr>
        <w:t xml:space="preserve">(G. Özkan </w:t>
      </w:r>
      <w:r w:rsidR="009B2871" w:rsidRPr="00DB0DEF">
        <w:rPr>
          <w:rFonts w:ascii="Times New Roman" w:hAnsi="Times New Roman" w:cs="Times New Roman"/>
        </w:rPr>
        <w:t>ve</w:t>
      </w:r>
      <w:r w:rsidRPr="00DB0DEF">
        <w:rPr>
          <w:rFonts w:ascii="Times New Roman" w:hAnsi="Times New Roman" w:cs="Times New Roman"/>
        </w:rPr>
        <w:t xml:space="preserve"> Deliktaş, 2020: 35)</w:t>
      </w:r>
      <w:r w:rsidRPr="00DB0DEF">
        <w:rPr>
          <w:rFonts w:ascii="Times New Roman" w:hAnsi="Times New Roman" w:cs="Times New Roman"/>
        </w:rPr>
        <w:fldChar w:fldCharType="end"/>
      </w:r>
    </w:p>
    <w:p w14:paraId="6ECAA9CE" w14:textId="5C41B95F" w:rsidR="007526D6" w:rsidRPr="00DB0DEF" w:rsidRDefault="00607C37"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2</w:t>
      </w:r>
      <w:r w:rsidR="00782933" w:rsidRPr="00DB0DEF">
        <w:rPr>
          <w:rFonts w:ascii="Times New Roman" w:hAnsi="Times New Roman" w:cs="Times New Roman"/>
          <w:b/>
          <w:bCs/>
        </w:rPr>
        <w:t xml:space="preserve">-- </w:t>
      </w:r>
      <w:r w:rsidRPr="00DB0DEF">
        <w:rPr>
          <w:rFonts w:ascii="Times New Roman" w:hAnsi="Times New Roman" w:cs="Times New Roman"/>
          <w:b/>
          <w:bCs/>
        </w:rPr>
        <w:t>Normalize Edilmiş Karar Matrisinin (</w:t>
      </w:r>
      <w:r w:rsidR="00A063A3" w:rsidRPr="00DB0DEF">
        <w:rPr>
          <w:rFonts w:ascii="Times New Roman" w:hAnsi="Times New Roman" w:cs="Times New Roman"/>
          <w:b/>
          <w:bCs/>
        </w:rPr>
        <w:t>X</w:t>
      </w:r>
      <w:r w:rsidRPr="00DB0DEF">
        <w:rPr>
          <w:rFonts w:ascii="Times New Roman" w:hAnsi="Times New Roman" w:cs="Times New Roman"/>
          <w:b/>
          <w:bCs/>
        </w:rPr>
        <w:t xml:space="preserve">) </w:t>
      </w:r>
      <w:r w:rsidR="00782933" w:rsidRPr="00DB0DEF">
        <w:rPr>
          <w:rFonts w:ascii="Times New Roman" w:hAnsi="Times New Roman" w:cs="Times New Roman"/>
          <w:b/>
          <w:bCs/>
        </w:rPr>
        <w:t>Düzenlenmesi</w:t>
      </w:r>
      <w:r w:rsidRPr="00DB0DEF">
        <w:rPr>
          <w:rFonts w:ascii="Times New Roman" w:hAnsi="Times New Roman" w:cs="Times New Roman"/>
          <w:b/>
          <w:bCs/>
        </w:rPr>
        <w:t>:</w:t>
      </w:r>
      <w:r w:rsidRPr="00DB0DEF">
        <w:rPr>
          <w:rFonts w:ascii="Times New Roman" w:hAnsi="Times New Roman" w:cs="Times New Roman"/>
        </w:rPr>
        <w:t xml:space="preserve"> Normalize Edilmiş Karar Matrisi, A matrisinin </w:t>
      </w:r>
      <w:r w:rsidR="005A55C3" w:rsidRPr="00DB0DEF">
        <w:rPr>
          <w:rFonts w:ascii="Times New Roman" w:hAnsi="Times New Roman" w:cs="Times New Roman"/>
        </w:rPr>
        <w:t>bilgileri ile</w:t>
      </w:r>
      <w:r w:rsidRPr="00DB0DEF">
        <w:rPr>
          <w:rFonts w:ascii="Times New Roman" w:hAnsi="Times New Roman" w:cs="Times New Roman"/>
        </w:rPr>
        <w:t xml:space="preserve"> aşağıdaki formül kullanılarak hesaplan</w:t>
      </w:r>
      <w:r w:rsidR="005A55C3" w:rsidRPr="00DB0DEF">
        <w:rPr>
          <w:rFonts w:ascii="Times New Roman" w:hAnsi="Times New Roman" w:cs="Times New Roman"/>
        </w:rPr>
        <w:t>ır</w:t>
      </w:r>
      <w:r w:rsidR="00B80760" w:rsidRPr="00DB0DEF">
        <w:rPr>
          <w:rFonts w:ascii="Times New Roman" w:hAnsi="Times New Roman" w:cs="Times New Roman"/>
        </w:rPr>
        <w:t>:</w:t>
      </w:r>
    </w:p>
    <w:p w14:paraId="4B6F65BC" w14:textId="0CFDCE8E" w:rsidR="00505761" w:rsidRPr="00DB0DEF" w:rsidRDefault="00505761" w:rsidP="00D40ACF">
      <w:pPr>
        <w:spacing w:after="120"/>
        <w:ind w:firstLine="426"/>
        <w:contextualSpacing/>
        <w:jc w:val="both"/>
        <w:rPr>
          <w:rFonts w:ascii="Times New Roman" w:hAnsi="Times New Roman" w:cs="Times New Roman"/>
        </w:rPr>
      </w:pPr>
      <w:r w:rsidRPr="00DB0DEF">
        <w:rPr>
          <w:rFonts w:ascii="Times New Roman" w:hAnsi="Times New Roman" w:cs="Times New Roman"/>
          <w:szCs w:val="24"/>
        </w:rPr>
        <w:drawing>
          <wp:anchor distT="0" distB="0" distL="114300" distR="114300" simplePos="0" relativeHeight="251672576" behindDoc="0" locked="0" layoutInCell="1" allowOverlap="1" wp14:anchorId="1FDAF6B2" wp14:editId="1B1E5CA8">
            <wp:simplePos x="0" y="0"/>
            <wp:positionH relativeFrom="column">
              <wp:posOffset>2364105</wp:posOffset>
            </wp:positionH>
            <wp:positionV relativeFrom="paragraph">
              <wp:posOffset>146050</wp:posOffset>
            </wp:positionV>
            <wp:extent cx="1016000" cy="770959"/>
            <wp:effectExtent l="19050" t="19050" r="12700" b="1016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866" cy="773892"/>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E9D64E" w14:textId="77777777" w:rsidR="004F78C1" w:rsidRPr="00DB0DEF" w:rsidRDefault="004F78C1" w:rsidP="00D40ACF">
      <w:pPr>
        <w:spacing w:after="120"/>
        <w:ind w:firstLine="426"/>
        <w:contextualSpacing/>
        <w:jc w:val="both"/>
        <w:rPr>
          <w:rFonts w:ascii="Times New Roman" w:hAnsi="Times New Roman" w:cs="Times New Roman"/>
        </w:rPr>
      </w:pPr>
    </w:p>
    <w:p w14:paraId="63BF018E" w14:textId="7186775C" w:rsidR="00505761" w:rsidRPr="00DB0DEF" w:rsidRDefault="008E1450"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r>
      <w:r w:rsidRPr="00DB0DEF">
        <w:rPr>
          <w:rFonts w:ascii="Times New Roman" w:hAnsi="Times New Roman" w:cs="Times New Roman"/>
        </w:rPr>
        <w:tab/>
        <w:t>Formül (1)</w:t>
      </w:r>
    </w:p>
    <w:p w14:paraId="1C0188FF" w14:textId="23DD0324" w:rsidR="00A063A3" w:rsidRPr="00DB0DEF" w:rsidRDefault="00A063A3" w:rsidP="00D40ACF">
      <w:pPr>
        <w:spacing w:after="120"/>
        <w:ind w:firstLine="426"/>
        <w:contextualSpacing/>
        <w:jc w:val="both"/>
        <w:rPr>
          <w:rFonts w:ascii="Times New Roman" w:hAnsi="Times New Roman" w:cs="Times New Roman"/>
          <w:sz w:val="20"/>
          <w:szCs w:val="20"/>
        </w:rPr>
      </w:pPr>
    </w:p>
    <w:p w14:paraId="70CE4F78" w14:textId="3E31A6D2" w:rsidR="00505761" w:rsidRPr="00DB0DEF" w:rsidRDefault="00505761" w:rsidP="00D40ACF">
      <w:pPr>
        <w:spacing w:after="120"/>
        <w:ind w:firstLine="426"/>
        <w:contextualSpacing/>
        <w:jc w:val="both"/>
        <w:rPr>
          <w:rFonts w:ascii="Times New Roman" w:hAnsi="Times New Roman" w:cs="Times New Roman"/>
          <w:sz w:val="20"/>
          <w:szCs w:val="20"/>
        </w:rPr>
      </w:pPr>
    </w:p>
    <w:p w14:paraId="11D999B0" w14:textId="63E9AEC8" w:rsidR="00505761" w:rsidRPr="00DB0DEF" w:rsidRDefault="00505761" w:rsidP="00D40ACF">
      <w:pPr>
        <w:spacing w:after="120"/>
        <w:ind w:firstLine="426"/>
        <w:contextualSpacing/>
        <w:jc w:val="both"/>
        <w:rPr>
          <w:rFonts w:ascii="Times New Roman" w:hAnsi="Times New Roman" w:cs="Times New Roman"/>
          <w:sz w:val="20"/>
          <w:szCs w:val="20"/>
        </w:rPr>
      </w:pPr>
    </w:p>
    <w:p w14:paraId="73AD40EE" w14:textId="7BC104A4" w:rsidR="00607C37" w:rsidRPr="00DB0DEF" w:rsidRDefault="00B80760"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Yapılan hesaplama sonucunda oluşturulan </w:t>
      </w:r>
      <w:r w:rsidR="00A063A3" w:rsidRPr="00DB0DEF">
        <w:rPr>
          <w:rFonts w:ascii="Times New Roman" w:hAnsi="Times New Roman" w:cs="Times New Roman"/>
        </w:rPr>
        <w:t>X</w:t>
      </w:r>
      <w:r w:rsidR="00607C37" w:rsidRPr="00DB0DEF">
        <w:rPr>
          <w:rFonts w:ascii="Times New Roman" w:hAnsi="Times New Roman" w:cs="Times New Roman"/>
        </w:rPr>
        <w:t xml:space="preserve"> matrisi aşağıdaki </w:t>
      </w:r>
      <w:r w:rsidRPr="00DB0DEF">
        <w:rPr>
          <w:rFonts w:ascii="Times New Roman" w:hAnsi="Times New Roman" w:cs="Times New Roman"/>
        </w:rPr>
        <w:t>gibidir</w:t>
      </w:r>
      <w:r w:rsidR="00607C37" w:rsidRPr="00DB0DEF">
        <w:rPr>
          <w:rFonts w:ascii="Times New Roman" w:hAnsi="Times New Roman" w:cs="Times New Roman"/>
        </w:rPr>
        <w:t>:</w:t>
      </w:r>
    </w:p>
    <w:p w14:paraId="36DC07DB" w14:textId="77777777" w:rsidR="00505761" w:rsidRPr="00DB0DEF" w:rsidRDefault="00505761" w:rsidP="00D40ACF">
      <w:pPr>
        <w:spacing w:after="120"/>
        <w:ind w:firstLine="426"/>
        <w:contextualSpacing/>
        <w:jc w:val="both"/>
        <w:rPr>
          <w:rFonts w:ascii="Times New Roman" w:hAnsi="Times New Roman" w:cs="Times New Roman"/>
        </w:rPr>
      </w:pPr>
    </w:p>
    <w:tbl>
      <w:tblPr>
        <w:tblW w:w="5716" w:type="dxa"/>
        <w:jc w:val="center"/>
        <w:tblCellMar>
          <w:left w:w="70" w:type="dxa"/>
          <w:right w:w="70" w:type="dxa"/>
        </w:tblCellMar>
        <w:tblLook w:val="04A0" w:firstRow="1" w:lastRow="0" w:firstColumn="1" w:lastColumn="0" w:noHBand="0" w:noVBand="1"/>
      </w:tblPr>
      <w:tblGrid>
        <w:gridCol w:w="899"/>
        <w:gridCol w:w="622"/>
        <w:gridCol w:w="944"/>
        <w:gridCol w:w="894"/>
        <w:gridCol w:w="853"/>
        <w:gridCol w:w="944"/>
        <w:gridCol w:w="631"/>
      </w:tblGrid>
      <w:tr w:rsidR="003A1056" w:rsidRPr="00DB0DEF" w14:paraId="4FC77CED" w14:textId="77777777" w:rsidTr="001F5FB5">
        <w:trPr>
          <w:trHeight w:hRule="exact" w:val="73"/>
          <w:jc w:val="center"/>
        </w:trPr>
        <w:tc>
          <w:tcPr>
            <w:tcW w:w="830" w:type="dxa"/>
            <w:tcBorders>
              <w:top w:val="nil"/>
              <w:left w:val="nil"/>
              <w:bottom w:val="nil"/>
              <w:right w:val="nil"/>
            </w:tcBorders>
            <w:shd w:val="clear" w:color="auto" w:fill="auto"/>
            <w:noWrap/>
            <w:vAlign w:val="bottom"/>
            <w:hideMark/>
          </w:tcPr>
          <w:p w14:paraId="34A7C915" w14:textId="78E0DB63" w:rsidR="00BB767D" w:rsidRPr="00DB0DEF" w:rsidRDefault="00A063A3"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hAnsi="Times New Roman" w:cs="Times New Roman"/>
                <w:sz w:val="20"/>
                <w:szCs w:val="20"/>
                <w:lang w:eastAsia="tr-TR"/>
              </w:rPr>
              <w:drawing>
                <wp:anchor distT="0" distB="0" distL="114300" distR="114300" simplePos="0" relativeHeight="251662336" behindDoc="0" locked="0" layoutInCell="1" allowOverlap="1" wp14:anchorId="472384DD" wp14:editId="21C97984">
                  <wp:simplePos x="0" y="0"/>
                  <wp:positionH relativeFrom="column">
                    <wp:posOffset>2838450</wp:posOffset>
                  </wp:positionH>
                  <wp:positionV relativeFrom="paragraph">
                    <wp:posOffset>9381490</wp:posOffset>
                  </wp:positionV>
                  <wp:extent cx="1504950" cy="1142365"/>
                  <wp:effectExtent l="19050" t="19050" r="19050" b="19685"/>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4236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B0DEF">
              <w:rPr>
                <w:rFonts w:ascii="Times New Roman" w:hAnsi="Times New Roman" w:cs="Times New Roman"/>
                <w:sz w:val="20"/>
                <w:szCs w:val="20"/>
                <w:lang w:eastAsia="tr-TR"/>
              </w:rPr>
              <w:drawing>
                <wp:anchor distT="0" distB="0" distL="114300" distR="114300" simplePos="0" relativeHeight="251661312" behindDoc="0" locked="0" layoutInCell="1" allowOverlap="1" wp14:anchorId="472384DD" wp14:editId="279842FE">
                  <wp:simplePos x="0" y="0"/>
                  <wp:positionH relativeFrom="column">
                    <wp:posOffset>2838450</wp:posOffset>
                  </wp:positionH>
                  <wp:positionV relativeFrom="paragraph">
                    <wp:posOffset>9381490</wp:posOffset>
                  </wp:positionV>
                  <wp:extent cx="1504950" cy="1142365"/>
                  <wp:effectExtent l="19050" t="19050" r="19050" b="1968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4236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DB0DEF">
              <w:rPr>
                <w:rFonts w:ascii="Times New Roman" w:hAnsi="Times New Roman" w:cs="Times New Roman"/>
                <w:sz w:val="20"/>
                <w:szCs w:val="20"/>
                <w:lang w:eastAsia="tr-TR"/>
              </w:rPr>
              <w:drawing>
                <wp:anchor distT="0" distB="0" distL="114300" distR="114300" simplePos="0" relativeHeight="251660288" behindDoc="0" locked="0" layoutInCell="1" allowOverlap="1" wp14:anchorId="472384DD" wp14:editId="5368370D">
                  <wp:simplePos x="0" y="0"/>
                  <wp:positionH relativeFrom="column">
                    <wp:posOffset>2838450</wp:posOffset>
                  </wp:positionH>
                  <wp:positionV relativeFrom="paragraph">
                    <wp:posOffset>9381490</wp:posOffset>
                  </wp:positionV>
                  <wp:extent cx="1504950" cy="1142365"/>
                  <wp:effectExtent l="19050" t="19050" r="19050" b="1968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1142365"/>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c>
        <w:tc>
          <w:tcPr>
            <w:tcW w:w="620" w:type="dxa"/>
            <w:tcBorders>
              <w:top w:val="single" w:sz="4" w:space="0" w:color="auto"/>
              <w:left w:val="single" w:sz="4" w:space="0" w:color="auto"/>
              <w:bottom w:val="nil"/>
              <w:right w:val="nil"/>
            </w:tcBorders>
            <w:shd w:val="clear" w:color="auto" w:fill="auto"/>
            <w:noWrap/>
            <w:vAlign w:val="bottom"/>
            <w:hideMark/>
          </w:tcPr>
          <w:p w14:paraId="23D9EAB2"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7A0D6DC0"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p>
        </w:tc>
        <w:tc>
          <w:tcPr>
            <w:tcW w:w="894" w:type="dxa"/>
            <w:tcBorders>
              <w:top w:val="nil"/>
              <w:left w:val="nil"/>
              <w:bottom w:val="nil"/>
              <w:right w:val="nil"/>
            </w:tcBorders>
            <w:shd w:val="clear" w:color="auto" w:fill="auto"/>
            <w:noWrap/>
            <w:vAlign w:val="bottom"/>
            <w:hideMark/>
          </w:tcPr>
          <w:p w14:paraId="70385CB4" w14:textId="77777777" w:rsidR="00BB767D" w:rsidRPr="00DB0DEF" w:rsidRDefault="00BB767D" w:rsidP="00D40ACF">
            <w:pPr>
              <w:spacing w:after="120"/>
              <w:ind w:firstLine="426"/>
              <w:contextualSpacing/>
              <w:rPr>
                <w:rFonts w:ascii="Times New Roman" w:eastAsia="Times New Roman" w:hAnsi="Times New Roman" w:cs="Times New Roman"/>
                <w:noProof w:val="0"/>
                <w:sz w:val="20"/>
                <w:szCs w:val="20"/>
                <w:lang w:eastAsia="tr-TR"/>
              </w:rPr>
            </w:pPr>
          </w:p>
        </w:tc>
        <w:tc>
          <w:tcPr>
            <w:tcW w:w="853" w:type="dxa"/>
            <w:tcBorders>
              <w:top w:val="nil"/>
              <w:left w:val="nil"/>
              <w:bottom w:val="nil"/>
              <w:right w:val="nil"/>
            </w:tcBorders>
            <w:shd w:val="clear" w:color="auto" w:fill="auto"/>
            <w:noWrap/>
            <w:vAlign w:val="bottom"/>
            <w:hideMark/>
          </w:tcPr>
          <w:p w14:paraId="3D494C45" w14:textId="77777777" w:rsidR="00BB767D" w:rsidRPr="00DB0DEF" w:rsidRDefault="00BB767D" w:rsidP="00D40ACF">
            <w:pPr>
              <w:spacing w:after="120"/>
              <w:ind w:firstLine="426"/>
              <w:contextualSpacing/>
              <w:rPr>
                <w:rFonts w:ascii="Times New Roman" w:eastAsia="Times New Roman" w:hAnsi="Times New Roman" w:cs="Times New Roman"/>
                <w:noProof w:val="0"/>
                <w:sz w:val="20"/>
                <w:szCs w:val="20"/>
                <w:lang w:eastAsia="tr-TR"/>
              </w:rPr>
            </w:pPr>
          </w:p>
        </w:tc>
        <w:tc>
          <w:tcPr>
            <w:tcW w:w="944" w:type="dxa"/>
            <w:tcBorders>
              <w:top w:val="nil"/>
              <w:left w:val="nil"/>
              <w:bottom w:val="nil"/>
              <w:right w:val="nil"/>
            </w:tcBorders>
            <w:shd w:val="clear" w:color="auto" w:fill="auto"/>
            <w:noWrap/>
            <w:vAlign w:val="bottom"/>
            <w:hideMark/>
          </w:tcPr>
          <w:p w14:paraId="3FFFB5AE" w14:textId="77777777" w:rsidR="00BB767D" w:rsidRPr="00DB0DEF" w:rsidRDefault="00BB767D" w:rsidP="00D40ACF">
            <w:pPr>
              <w:spacing w:after="120"/>
              <w:ind w:firstLine="426"/>
              <w:contextualSpacing/>
              <w:rPr>
                <w:rFonts w:ascii="Times New Roman" w:eastAsia="Times New Roman" w:hAnsi="Times New Roman" w:cs="Times New Roman"/>
                <w:noProof w:val="0"/>
                <w:sz w:val="20"/>
                <w:szCs w:val="20"/>
                <w:lang w:eastAsia="tr-TR"/>
              </w:rPr>
            </w:pPr>
          </w:p>
        </w:tc>
        <w:tc>
          <w:tcPr>
            <w:tcW w:w="631" w:type="dxa"/>
            <w:tcBorders>
              <w:top w:val="single" w:sz="4" w:space="0" w:color="auto"/>
              <w:left w:val="nil"/>
              <w:bottom w:val="nil"/>
              <w:right w:val="single" w:sz="4" w:space="0" w:color="auto"/>
            </w:tcBorders>
            <w:shd w:val="clear" w:color="auto" w:fill="auto"/>
            <w:noWrap/>
            <w:vAlign w:val="bottom"/>
            <w:hideMark/>
          </w:tcPr>
          <w:p w14:paraId="4FE99A0B"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3A1056" w:rsidRPr="00DB0DEF" w14:paraId="78ED164A" w14:textId="77777777" w:rsidTr="001F5FB5">
        <w:trPr>
          <w:trHeight w:val="356"/>
          <w:jc w:val="center"/>
        </w:trPr>
        <w:tc>
          <w:tcPr>
            <w:tcW w:w="830" w:type="dxa"/>
            <w:tcBorders>
              <w:top w:val="nil"/>
              <w:left w:val="nil"/>
              <w:bottom w:val="nil"/>
              <w:right w:val="nil"/>
            </w:tcBorders>
            <w:shd w:val="clear" w:color="auto" w:fill="auto"/>
            <w:noWrap/>
            <w:vAlign w:val="bottom"/>
            <w:hideMark/>
          </w:tcPr>
          <w:p w14:paraId="33105D46"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p>
        </w:tc>
        <w:tc>
          <w:tcPr>
            <w:tcW w:w="620" w:type="dxa"/>
            <w:tcBorders>
              <w:top w:val="nil"/>
              <w:left w:val="single" w:sz="4" w:space="0" w:color="auto"/>
              <w:bottom w:val="nil"/>
              <w:right w:val="nil"/>
            </w:tcBorders>
            <w:shd w:val="clear" w:color="auto" w:fill="auto"/>
            <w:noWrap/>
            <w:vAlign w:val="bottom"/>
            <w:hideMark/>
          </w:tcPr>
          <w:p w14:paraId="15D723B8"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798202C9" w14:textId="7E0CC62E"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11</w:t>
            </w:r>
          </w:p>
        </w:tc>
        <w:tc>
          <w:tcPr>
            <w:tcW w:w="894" w:type="dxa"/>
            <w:tcBorders>
              <w:top w:val="nil"/>
              <w:left w:val="nil"/>
              <w:bottom w:val="nil"/>
              <w:right w:val="nil"/>
            </w:tcBorders>
            <w:shd w:val="clear" w:color="auto" w:fill="auto"/>
            <w:noWrap/>
            <w:vAlign w:val="bottom"/>
            <w:hideMark/>
          </w:tcPr>
          <w:p w14:paraId="0BB1DB06" w14:textId="05157128"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12</w:t>
            </w:r>
          </w:p>
        </w:tc>
        <w:tc>
          <w:tcPr>
            <w:tcW w:w="853" w:type="dxa"/>
            <w:tcBorders>
              <w:top w:val="nil"/>
              <w:left w:val="nil"/>
              <w:bottom w:val="nil"/>
              <w:right w:val="nil"/>
            </w:tcBorders>
            <w:shd w:val="clear" w:color="auto" w:fill="auto"/>
            <w:noWrap/>
            <w:vAlign w:val="bottom"/>
            <w:hideMark/>
          </w:tcPr>
          <w:p w14:paraId="412C2E5A"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r w:rsidRPr="00DB0DEF">
              <w:rPr>
                <w:rFonts w:ascii="Times New Roman" w:eastAsia="Times New Roman" w:hAnsi="Times New Roman" w:cs="Times New Roman"/>
                <w:noProof w:val="0"/>
                <w:sz w:val="28"/>
                <w:szCs w:val="28"/>
                <w:lang w:eastAsia="tr-TR"/>
              </w:rPr>
              <w:t>…</w:t>
            </w:r>
          </w:p>
        </w:tc>
        <w:tc>
          <w:tcPr>
            <w:tcW w:w="944" w:type="dxa"/>
            <w:tcBorders>
              <w:top w:val="nil"/>
              <w:left w:val="nil"/>
              <w:bottom w:val="nil"/>
              <w:right w:val="nil"/>
            </w:tcBorders>
            <w:shd w:val="clear" w:color="auto" w:fill="auto"/>
            <w:noWrap/>
            <w:vAlign w:val="bottom"/>
            <w:hideMark/>
          </w:tcPr>
          <w:p w14:paraId="56FAFCE0" w14:textId="5481090B"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1n</w:t>
            </w:r>
          </w:p>
        </w:tc>
        <w:tc>
          <w:tcPr>
            <w:tcW w:w="631" w:type="dxa"/>
            <w:tcBorders>
              <w:top w:val="nil"/>
              <w:left w:val="nil"/>
              <w:bottom w:val="nil"/>
              <w:right w:val="single" w:sz="4" w:space="0" w:color="auto"/>
            </w:tcBorders>
            <w:shd w:val="clear" w:color="auto" w:fill="auto"/>
            <w:noWrap/>
            <w:vAlign w:val="bottom"/>
            <w:hideMark/>
          </w:tcPr>
          <w:p w14:paraId="75C3F078"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r w:rsidR="003A1056" w:rsidRPr="00DB0DEF" w14:paraId="344EE01A" w14:textId="77777777" w:rsidTr="001F5FB5">
        <w:trPr>
          <w:trHeight w:val="131"/>
          <w:jc w:val="center"/>
        </w:trPr>
        <w:tc>
          <w:tcPr>
            <w:tcW w:w="830" w:type="dxa"/>
            <w:tcBorders>
              <w:top w:val="nil"/>
              <w:left w:val="nil"/>
              <w:bottom w:val="nil"/>
              <w:right w:val="nil"/>
            </w:tcBorders>
            <w:shd w:val="clear" w:color="auto" w:fill="auto"/>
            <w:noWrap/>
            <w:vAlign w:val="bottom"/>
            <w:hideMark/>
          </w:tcPr>
          <w:p w14:paraId="3A7D07E6"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p>
        </w:tc>
        <w:tc>
          <w:tcPr>
            <w:tcW w:w="620" w:type="dxa"/>
            <w:tcBorders>
              <w:top w:val="nil"/>
              <w:left w:val="single" w:sz="4" w:space="0" w:color="auto"/>
              <w:bottom w:val="nil"/>
              <w:right w:val="nil"/>
            </w:tcBorders>
            <w:shd w:val="clear" w:color="auto" w:fill="auto"/>
            <w:noWrap/>
            <w:vAlign w:val="bottom"/>
            <w:hideMark/>
          </w:tcPr>
          <w:p w14:paraId="69A4D580"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739F6C42" w14:textId="5780ED2A"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21</w:t>
            </w:r>
          </w:p>
        </w:tc>
        <w:tc>
          <w:tcPr>
            <w:tcW w:w="894" w:type="dxa"/>
            <w:tcBorders>
              <w:top w:val="nil"/>
              <w:left w:val="nil"/>
              <w:bottom w:val="nil"/>
              <w:right w:val="nil"/>
            </w:tcBorders>
            <w:shd w:val="clear" w:color="auto" w:fill="auto"/>
            <w:noWrap/>
            <w:vAlign w:val="bottom"/>
            <w:hideMark/>
          </w:tcPr>
          <w:p w14:paraId="46091B3C" w14:textId="031A0431"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22</w:t>
            </w:r>
          </w:p>
        </w:tc>
        <w:tc>
          <w:tcPr>
            <w:tcW w:w="853" w:type="dxa"/>
            <w:tcBorders>
              <w:top w:val="nil"/>
              <w:left w:val="nil"/>
              <w:bottom w:val="nil"/>
              <w:right w:val="nil"/>
            </w:tcBorders>
            <w:shd w:val="clear" w:color="auto" w:fill="auto"/>
            <w:noWrap/>
            <w:vAlign w:val="bottom"/>
            <w:hideMark/>
          </w:tcPr>
          <w:p w14:paraId="66669EFE"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r w:rsidRPr="00DB0DEF">
              <w:rPr>
                <w:rFonts w:ascii="Times New Roman" w:eastAsia="Times New Roman" w:hAnsi="Times New Roman" w:cs="Times New Roman"/>
                <w:noProof w:val="0"/>
                <w:sz w:val="28"/>
                <w:szCs w:val="28"/>
                <w:lang w:eastAsia="tr-TR"/>
              </w:rPr>
              <w:t>…</w:t>
            </w:r>
          </w:p>
        </w:tc>
        <w:tc>
          <w:tcPr>
            <w:tcW w:w="944" w:type="dxa"/>
            <w:tcBorders>
              <w:top w:val="nil"/>
              <w:left w:val="nil"/>
              <w:bottom w:val="nil"/>
              <w:right w:val="nil"/>
            </w:tcBorders>
            <w:shd w:val="clear" w:color="auto" w:fill="auto"/>
            <w:noWrap/>
            <w:vAlign w:val="bottom"/>
            <w:hideMark/>
          </w:tcPr>
          <w:p w14:paraId="09EE5A15" w14:textId="56F747A3"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proofErr w:type="gramEnd"/>
            <w:r w:rsidR="00BB767D" w:rsidRPr="00DB0DEF">
              <w:rPr>
                <w:rFonts w:ascii="Times New Roman" w:eastAsia="Times New Roman" w:hAnsi="Times New Roman" w:cs="Times New Roman"/>
                <w:noProof w:val="0"/>
                <w:sz w:val="28"/>
                <w:szCs w:val="28"/>
                <w:vertAlign w:val="subscript"/>
                <w:lang w:eastAsia="tr-TR"/>
              </w:rPr>
              <w:t>2n</w:t>
            </w:r>
          </w:p>
        </w:tc>
        <w:tc>
          <w:tcPr>
            <w:tcW w:w="631" w:type="dxa"/>
            <w:tcBorders>
              <w:top w:val="nil"/>
              <w:left w:val="nil"/>
              <w:bottom w:val="nil"/>
              <w:right w:val="single" w:sz="4" w:space="0" w:color="auto"/>
            </w:tcBorders>
            <w:shd w:val="clear" w:color="auto" w:fill="auto"/>
            <w:noWrap/>
            <w:vAlign w:val="bottom"/>
            <w:hideMark/>
          </w:tcPr>
          <w:p w14:paraId="18028902"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r w:rsidR="003A1056" w:rsidRPr="00DB0DEF" w14:paraId="4431F5D8" w14:textId="77777777" w:rsidTr="001F5FB5">
        <w:trPr>
          <w:trHeight w:val="452"/>
          <w:jc w:val="center"/>
        </w:trPr>
        <w:tc>
          <w:tcPr>
            <w:tcW w:w="830" w:type="dxa"/>
            <w:tcBorders>
              <w:top w:val="nil"/>
              <w:left w:val="nil"/>
              <w:bottom w:val="nil"/>
              <w:right w:val="nil"/>
            </w:tcBorders>
            <w:shd w:val="clear" w:color="auto" w:fill="auto"/>
            <w:noWrap/>
            <w:vAlign w:val="bottom"/>
            <w:hideMark/>
          </w:tcPr>
          <w:p w14:paraId="50F81F22" w14:textId="305D952E" w:rsidR="00BB767D" w:rsidRPr="00DB0DEF" w:rsidRDefault="00A063A3"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sz w:val="40"/>
                <w:szCs w:val="40"/>
                <w:vertAlign w:val="subscript"/>
                <w:lang w:eastAsia="tr-TR"/>
              </w:rPr>
              <w:t>X</w:t>
            </w:r>
            <w:r w:rsidR="00BB767D" w:rsidRPr="00DB0DEF">
              <w:rPr>
                <w:rFonts w:ascii="Times New Roman" w:eastAsia="Times New Roman" w:hAnsi="Times New Roman" w:cs="Times New Roman"/>
                <w:noProof w:val="0"/>
                <w:sz w:val="40"/>
                <w:szCs w:val="40"/>
                <w:vertAlign w:val="subscript"/>
                <w:lang w:eastAsia="tr-TR"/>
              </w:rPr>
              <w:t>ij</w:t>
            </w:r>
          </w:p>
        </w:tc>
        <w:tc>
          <w:tcPr>
            <w:tcW w:w="620" w:type="dxa"/>
            <w:tcBorders>
              <w:top w:val="nil"/>
              <w:left w:val="single" w:sz="4" w:space="0" w:color="auto"/>
              <w:bottom w:val="nil"/>
              <w:right w:val="nil"/>
            </w:tcBorders>
            <w:shd w:val="clear" w:color="auto" w:fill="auto"/>
            <w:noWrap/>
            <w:vAlign w:val="bottom"/>
            <w:hideMark/>
          </w:tcPr>
          <w:p w14:paraId="59CF4573"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7FA82E68"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r w:rsidRPr="00DB0DEF">
              <w:rPr>
                <w:rFonts w:ascii="Times New Roman" w:eastAsia="Times New Roman" w:hAnsi="Times New Roman" w:cs="Times New Roman"/>
                <w:noProof w:val="0"/>
                <w:sz w:val="28"/>
                <w:szCs w:val="28"/>
                <w:lang w:eastAsia="tr-TR"/>
              </w:rPr>
              <w:t>.</w:t>
            </w:r>
          </w:p>
        </w:tc>
        <w:tc>
          <w:tcPr>
            <w:tcW w:w="894" w:type="dxa"/>
            <w:tcBorders>
              <w:top w:val="nil"/>
              <w:left w:val="nil"/>
              <w:bottom w:val="nil"/>
              <w:right w:val="nil"/>
            </w:tcBorders>
            <w:shd w:val="clear" w:color="auto" w:fill="auto"/>
            <w:noWrap/>
            <w:vAlign w:val="bottom"/>
            <w:hideMark/>
          </w:tcPr>
          <w:p w14:paraId="72093F9E"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p>
        </w:tc>
        <w:tc>
          <w:tcPr>
            <w:tcW w:w="853" w:type="dxa"/>
            <w:tcBorders>
              <w:top w:val="nil"/>
              <w:left w:val="nil"/>
              <w:bottom w:val="nil"/>
              <w:right w:val="nil"/>
            </w:tcBorders>
            <w:shd w:val="clear" w:color="auto" w:fill="auto"/>
            <w:noWrap/>
            <w:vAlign w:val="bottom"/>
            <w:hideMark/>
          </w:tcPr>
          <w:p w14:paraId="67DA89B5"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p>
        </w:tc>
        <w:tc>
          <w:tcPr>
            <w:tcW w:w="944" w:type="dxa"/>
            <w:tcBorders>
              <w:top w:val="nil"/>
              <w:left w:val="nil"/>
              <w:bottom w:val="nil"/>
              <w:right w:val="nil"/>
            </w:tcBorders>
            <w:shd w:val="clear" w:color="auto" w:fill="auto"/>
            <w:noWrap/>
            <w:vAlign w:val="bottom"/>
            <w:hideMark/>
          </w:tcPr>
          <w:p w14:paraId="45E1C197"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r w:rsidRPr="00DB0DEF">
              <w:rPr>
                <w:rFonts w:ascii="Times New Roman" w:eastAsia="Times New Roman" w:hAnsi="Times New Roman" w:cs="Times New Roman"/>
                <w:noProof w:val="0"/>
                <w:sz w:val="28"/>
                <w:szCs w:val="28"/>
                <w:lang w:eastAsia="tr-TR"/>
              </w:rPr>
              <w:t>.</w:t>
            </w:r>
          </w:p>
        </w:tc>
        <w:tc>
          <w:tcPr>
            <w:tcW w:w="631" w:type="dxa"/>
            <w:tcBorders>
              <w:top w:val="nil"/>
              <w:left w:val="nil"/>
              <w:bottom w:val="nil"/>
              <w:right w:val="single" w:sz="4" w:space="0" w:color="auto"/>
            </w:tcBorders>
            <w:shd w:val="clear" w:color="auto" w:fill="auto"/>
            <w:noWrap/>
            <w:vAlign w:val="bottom"/>
            <w:hideMark/>
          </w:tcPr>
          <w:p w14:paraId="00CC99B9"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r w:rsidR="003A1056" w:rsidRPr="00DB0DEF" w14:paraId="5743E3CF" w14:textId="77777777" w:rsidTr="001F5FB5">
        <w:trPr>
          <w:trHeight w:val="356"/>
          <w:jc w:val="center"/>
        </w:trPr>
        <w:tc>
          <w:tcPr>
            <w:tcW w:w="830" w:type="dxa"/>
            <w:tcBorders>
              <w:top w:val="nil"/>
              <w:left w:val="nil"/>
              <w:bottom w:val="nil"/>
              <w:right w:val="nil"/>
            </w:tcBorders>
            <w:shd w:val="clear" w:color="auto" w:fill="auto"/>
            <w:noWrap/>
            <w:vAlign w:val="bottom"/>
            <w:hideMark/>
          </w:tcPr>
          <w:p w14:paraId="1D726CB5"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p>
        </w:tc>
        <w:tc>
          <w:tcPr>
            <w:tcW w:w="620" w:type="dxa"/>
            <w:tcBorders>
              <w:top w:val="nil"/>
              <w:left w:val="single" w:sz="4" w:space="0" w:color="auto"/>
              <w:bottom w:val="nil"/>
              <w:right w:val="nil"/>
            </w:tcBorders>
            <w:shd w:val="clear" w:color="auto" w:fill="auto"/>
            <w:noWrap/>
            <w:vAlign w:val="bottom"/>
            <w:hideMark/>
          </w:tcPr>
          <w:p w14:paraId="49C125EF"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11D914EC" w14:textId="0B4E7960"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r w:rsidR="00BB767D" w:rsidRPr="00DB0DEF">
              <w:rPr>
                <w:rFonts w:ascii="Times New Roman" w:eastAsia="Times New Roman" w:hAnsi="Times New Roman" w:cs="Times New Roman"/>
                <w:noProof w:val="0"/>
                <w:sz w:val="28"/>
                <w:szCs w:val="28"/>
                <w:vertAlign w:val="subscript"/>
                <w:lang w:eastAsia="tr-TR"/>
              </w:rPr>
              <w:t>m</w:t>
            </w:r>
            <w:proofErr w:type="gramEnd"/>
            <w:r w:rsidR="00BB767D" w:rsidRPr="00DB0DEF">
              <w:rPr>
                <w:rFonts w:ascii="Times New Roman" w:eastAsia="Times New Roman" w:hAnsi="Times New Roman" w:cs="Times New Roman"/>
                <w:noProof w:val="0"/>
                <w:sz w:val="28"/>
                <w:szCs w:val="28"/>
                <w:vertAlign w:val="subscript"/>
                <w:lang w:eastAsia="tr-TR"/>
              </w:rPr>
              <w:t>1</w:t>
            </w:r>
          </w:p>
        </w:tc>
        <w:tc>
          <w:tcPr>
            <w:tcW w:w="894" w:type="dxa"/>
            <w:tcBorders>
              <w:top w:val="nil"/>
              <w:left w:val="nil"/>
              <w:bottom w:val="nil"/>
              <w:right w:val="nil"/>
            </w:tcBorders>
            <w:shd w:val="clear" w:color="auto" w:fill="auto"/>
            <w:noWrap/>
            <w:vAlign w:val="bottom"/>
            <w:hideMark/>
          </w:tcPr>
          <w:p w14:paraId="50046611"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p>
        </w:tc>
        <w:tc>
          <w:tcPr>
            <w:tcW w:w="853" w:type="dxa"/>
            <w:tcBorders>
              <w:top w:val="nil"/>
              <w:left w:val="nil"/>
              <w:bottom w:val="nil"/>
              <w:right w:val="nil"/>
            </w:tcBorders>
            <w:shd w:val="clear" w:color="auto" w:fill="auto"/>
            <w:noWrap/>
            <w:vAlign w:val="bottom"/>
            <w:hideMark/>
          </w:tcPr>
          <w:p w14:paraId="53CC8D31" w14:textId="77777777" w:rsidR="00BB767D" w:rsidRPr="00DB0DEF" w:rsidRDefault="00BB767D" w:rsidP="00D40ACF">
            <w:pPr>
              <w:spacing w:after="120"/>
              <w:ind w:firstLine="426"/>
              <w:contextualSpacing/>
              <w:rPr>
                <w:rFonts w:ascii="Times New Roman" w:eastAsia="Times New Roman" w:hAnsi="Times New Roman" w:cs="Times New Roman"/>
                <w:noProof w:val="0"/>
                <w:sz w:val="28"/>
                <w:szCs w:val="28"/>
                <w:lang w:eastAsia="tr-TR"/>
              </w:rPr>
            </w:pPr>
          </w:p>
        </w:tc>
        <w:tc>
          <w:tcPr>
            <w:tcW w:w="944" w:type="dxa"/>
            <w:tcBorders>
              <w:top w:val="nil"/>
              <w:left w:val="nil"/>
              <w:bottom w:val="nil"/>
              <w:right w:val="nil"/>
            </w:tcBorders>
            <w:shd w:val="clear" w:color="auto" w:fill="auto"/>
            <w:noWrap/>
            <w:vAlign w:val="bottom"/>
            <w:hideMark/>
          </w:tcPr>
          <w:p w14:paraId="695163AB" w14:textId="121B76DE" w:rsidR="00BB767D" w:rsidRPr="00DB0DEF" w:rsidRDefault="00A063A3" w:rsidP="00D40ACF">
            <w:pPr>
              <w:spacing w:after="120"/>
              <w:ind w:firstLine="426"/>
              <w:contextualSpacing/>
              <w:rPr>
                <w:rFonts w:ascii="Times New Roman" w:eastAsia="Times New Roman" w:hAnsi="Times New Roman" w:cs="Times New Roman"/>
                <w:noProof w:val="0"/>
                <w:sz w:val="28"/>
                <w:szCs w:val="28"/>
                <w:lang w:eastAsia="tr-TR"/>
              </w:rPr>
            </w:pPr>
            <w:proofErr w:type="gramStart"/>
            <w:r w:rsidRPr="00DB0DEF">
              <w:rPr>
                <w:rFonts w:ascii="Times New Roman" w:eastAsia="Times New Roman" w:hAnsi="Times New Roman" w:cs="Times New Roman"/>
                <w:noProof w:val="0"/>
                <w:sz w:val="28"/>
                <w:szCs w:val="28"/>
                <w:lang w:eastAsia="tr-TR"/>
              </w:rPr>
              <w:t>x</w:t>
            </w:r>
            <w:r w:rsidR="00BB767D" w:rsidRPr="00DB0DEF">
              <w:rPr>
                <w:rFonts w:ascii="Times New Roman" w:eastAsia="Times New Roman" w:hAnsi="Times New Roman" w:cs="Times New Roman"/>
                <w:noProof w:val="0"/>
                <w:sz w:val="28"/>
                <w:szCs w:val="28"/>
                <w:vertAlign w:val="subscript"/>
                <w:lang w:eastAsia="tr-TR"/>
              </w:rPr>
              <w:t>mn</w:t>
            </w:r>
            <w:proofErr w:type="gramEnd"/>
          </w:p>
        </w:tc>
        <w:tc>
          <w:tcPr>
            <w:tcW w:w="631" w:type="dxa"/>
            <w:tcBorders>
              <w:top w:val="nil"/>
              <w:left w:val="nil"/>
              <w:bottom w:val="nil"/>
              <w:right w:val="single" w:sz="4" w:space="0" w:color="auto"/>
            </w:tcBorders>
            <w:shd w:val="clear" w:color="auto" w:fill="auto"/>
            <w:noWrap/>
            <w:vAlign w:val="bottom"/>
            <w:hideMark/>
          </w:tcPr>
          <w:p w14:paraId="72699346"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r w:rsidR="003A1056" w:rsidRPr="00DB0DEF" w14:paraId="1F30CFDE" w14:textId="77777777" w:rsidTr="001F5FB5">
        <w:trPr>
          <w:trHeight w:hRule="exact" w:val="73"/>
          <w:jc w:val="center"/>
        </w:trPr>
        <w:tc>
          <w:tcPr>
            <w:tcW w:w="830" w:type="dxa"/>
            <w:tcBorders>
              <w:top w:val="nil"/>
              <w:left w:val="nil"/>
              <w:bottom w:val="nil"/>
              <w:right w:val="nil"/>
            </w:tcBorders>
            <w:shd w:val="clear" w:color="auto" w:fill="auto"/>
            <w:noWrap/>
            <w:vAlign w:val="bottom"/>
            <w:hideMark/>
          </w:tcPr>
          <w:p w14:paraId="62874DF2"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p>
        </w:tc>
        <w:tc>
          <w:tcPr>
            <w:tcW w:w="620" w:type="dxa"/>
            <w:tcBorders>
              <w:top w:val="nil"/>
              <w:left w:val="single" w:sz="4" w:space="0" w:color="auto"/>
              <w:bottom w:val="single" w:sz="4" w:space="0" w:color="auto"/>
              <w:right w:val="nil"/>
            </w:tcBorders>
            <w:shd w:val="clear" w:color="auto" w:fill="auto"/>
            <w:noWrap/>
            <w:vAlign w:val="bottom"/>
            <w:hideMark/>
          </w:tcPr>
          <w:p w14:paraId="7BC61D45" w14:textId="77777777" w:rsidR="00BB767D" w:rsidRPr="00DB0DEF" w:rsidRDefault="00BB767D"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944" w:type="dxa"/>
            <w:tcBorders>
              <w:top w:val="nil"/>
              <w:left w:val="nil"/>
              <w:bottom w:val="nil"/>
              <w:right w:val="nil"/>
            </w:tcBorders>
            <w:shd w:val="clear" w:color="auto" w:fill="auto"/>
            <w:noWrap/>
            <w:vAlign w:val="bottom"/>
            <w:hideMark/>
          </w:tcPr>
          <w:p w14:paraId="7A5DD088"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p>
        </w:tc>
        <w:tc>
          <w:tcPr>
            <w:tcW w:w="894" w:type="dxa"/>
            <w:tcBorders>
              <w:top w:val="nil"/>
              <w:left w:val="nil"/>
              <w:bottom w:val="nil"/>
              <w:right w:val="nil"/>
            </w:tcBorders>
            <w:shd w:val="clear" w:color="auto" w:fill="auto"/>
            <w:noWrap/>
            <w:vAlign w:val="bottom"/>
            <w:hideMark/>
          </w:tcPr>
          <w:p w14:paraId="7C15E3F8"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p>
        </w:tc>
        <w:tc>
          <w:tcPr>
            <w:tcW w:w="853" w:type="dxa"/>
            <w:tcBorders>
              <w:top w:val="nil"/>
              <w:left w:val="nil"/>
              <w:bottom w:val="nil"/>
              <w:right w:val="nil"/>
            </w:tcBorders>
            <w:shd w:val="clear" w:color="auto" w:fill="auto"/>
            <w:noWrap/>
            <w:vAlign w:val="bottom"/>
            <w:hideMark/>
          </w:tcPr>
          <w:p w14:paraId="6ED796F4"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p>
        </w:tc>
        <w:tc>
          <w:tcPr>
            <w:tcW w:w="944" w:type="dxa"/>
            <w:tcBorders>
              <w:top w:val="nil"/>
              <w:left w:val="nil"/>
              <w:bottom w:val="nil"/>
              <w:right w:val="nil"/>
            </w:tcBorders>
            <w:shd w:val="clear" w:color="auto" w:fill="auto"/>
            <w:noWrap/>
            <w:vAlign w:val="bottom"/>
            <w:hideMark/>
          </w:tcPr>
          <w:p w14:paraId="5FC70434"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p>
        </w:tc>
        <w:tc>
          <w:tcPr>
            <w:tcW w:w="631" w:type="dxa"/>
            <w:tcBorders>
              <w:top w:val="nil"/>
              <w:left w:val="nil"/>
              <w:bottom w:val="single" w:sz="4" w:space="0" w:color="auto"/>
              <w:right w:val="single" w:sz="4" w:space="0" w:color="auto"/>
            </w:tcBorders>
            <w:shd w:val="clear" w:color="auto" w:fill="auto"/>
            <w:noWrap/>
            <w:vAlign w:val="bottom"/>
            <w:hideMark/>
          </w:tcPr>
          <w:p w14:paraId="70F91894" w14:textId="77777777" w:rsidR="00BB767D" w:rsidRPr="00DB0DEF" w:rsidRDefault="00BB767D"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bl>
    <w:p w14:paraId="432F40C1" w14:textId="77777777" w:rsidR="00510E79" w:rsidRPr="00DB0DEF" w:rsidRDefault="00510E79" w:rsidP="00D40ACF">
      <w:pPr>
        <w:spacing w:after="120"/>
        <w:ind w:firstLine="426"/>
        <w:contextualSpacing/>
        <w:jc w:val="both"/>
        <w:rPr>
          <w:rFonts w:ascii="Times New Roman" w:hAnsi="Times New Roman" w:cs="Times New Roman"/>
          <w:b/>
          <w:bCs/>
        </w:rPr>
      </w:pPr>
    </w:p>
    <w:p w14:paraId="1D1B31E0" w14:textId="4F23410B" w:rsidR="00F10978" w:rsidRPr="00DB0DEF" w:rsidRDefault="00607C37"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3</w:t>
      </w:r>
      <w:r w:rsidR="00782933" w:rsidRPr="00DB0DEF">
        <w:rPr>
          <w:rFonts w:ascii="Times New Roman" w:hAnsi="Times New Roman" w:cs="Times New Roman"/>
          <w:b/>
          <w:bCs/>
        </w:rPr>
        <w:t>--</w:t>
      </w:r>
      <w:r w:rsidRPr="00DB0DEF">
        <w:rPr>
          <w:rFonts w:ascii="Times New Roman" w:hAnsi="Times New Roman" w:cs="Times New Roman"/>
          <w:b/>
          <w:bCs/>
        </w:rPr>
        <w:t xml:space="preserve"> Ağırlıklı Standart Karar Matrisinin (V) </w:t>
      </w:r>
      <w:r w:rsidR="00782933" w:rsidRPr="00DB0DEF">
        <w:rPr>
          <w:rFonts w:ascii="Times New Roman" w:hAnsi="Times New Roman" w:cs="Times New Roman"/>
          <w:b/>
          <w:bCs/>
        </w:rPr>
        <w:t>Düzenlenmesi</w:t>
      </w:r>
      <w:r w:rsidR="005A55C3" w:rsidRPr="00DB0DEF">
        <w:rPr>
          <w:rFonts w:ascii="Times New Roman" w:hAnsi="Times New Roman" w:cs="Times New Roman"/>
          <w:b/>
          <w:bCs/>
        </w:rPr>
        <w:t xml:space="preserve">: </w:t>
      </w:r>
      <w:r w:rsidR="005A55C3" w:rsidRPr="00DB0DEF">
        <w:rPr>
          <w:rFonts w:ascii="Times New Roman" w:hAnsi="Times New Roman" w:cs="Times New Roman"/>
        </w:rPr>
        <w:t xml:space="preserve">Bu </w:t>
      </w:r>
      <w:r w:rsidR="00782933" w:rsidRPr="00DB0DEF">
        <w:rPr>
          <w:rFonts w:ascii="Times New Roman" w:hAnsi="Times New Roman" w:cs="Times New Roman"/>
        </w:rPr>
        <w:t xml:space="preserve">aşamada öncelikle </w:t>
      </w:r>
      <w:r w:rsidRPr="00DB0DEF">
        <w:rPr>
          <w:rFonts w:ascii="Times New Roman" w:hAnsi="Times New Roman" w:cs="Times New Roman"/>
        </w:rPr>
        <w:t xml:space="preserve"> değerlendirme </w:t>
      </w:r>
      <w:r w:rsidR="00680311" w:rsidRPr="00DB0DEF">
        <w:rPr>
          <w:rFonts w:ascii="Times New Roman" w:hAnsi="Times New Roman" w:cs="Times New Roman"/>
        </w:rPr>
        <w:t xml:space="preserve">faktörlerine ilişkin ağırlık dereceleri hesaplanır. Ağırlık dereceleri hesaplanırken </w:t>
      </w:r>
      <w:r w:rsidR="00782933" w:rsidRPr="00DB0DEF">
        <w:rPr>
          <w:rFonts w:ascii="Times New Roman" w:hAnsi="Times New Roman" w:cs="Times New Roman"/>
        </w:rPr>
        <w:t>ilk olarak</w:t>
      </w:r>
      <w:r w:rsidR="00680311" w:rsidRPr="00DB0DEF">
        <w:rPr>
          <w:rFonts w:ascii="Times New Roman" w:hAnsi="Times New Roman" w:cs="Times New Roman"/>
        </w:rPr>
        <w:t xml:space="preserve"> her bir kriterin sütun değerleri toplanır. Sonrasında her bir kriterin sütun toplamı bütün kritere ilişkin toplam kriter değerine bölünerek kriter ağırlıkları hesaplanır. Hesaplanan faktörlerine ait ağırlık değerleri ( </w:t>
      </w:r>
      <w:r w:rsidR="00680311" w:rsidRPr="00DB0DEF">
        <w:rPr>
          <w:rFonts w:ascii="Times New Roman" w:hAnsi="Times New Roman" w:cs="Times New Roman"/>
          <w:i/>
          <w:iCs/>
        </w:rPr>
        <w:t xml:space="preserve">wj </w:t>
      </w:r>
      <w:r w:rsidR="00680311" w:rsidRPr="00DB0DEF">
        <w:rPr>
          <w:rFonts w:ascii="Times New Roman" w:hAnsi="Times New Roman" w:cs="Times New Roman"/>
        </w:rPr>
        <w:t>)</w:t>
      </w:r>
      <w:r w:rsidR="00680311" w:rsidRPr="00DB0DEF">
        <w:rPr>
          <w:rFonts w:ascii="Times New Roman" w:hAnsi="Times New Roman" w:cs="Times New Roman"/>
          <w:sz w:val="28"/>
          <w:szCs w:val="28"/>
        </w:rPr>
        <w:t xml:space="preserve"> </w:t>
      </w:r>
      <w:r w:rsidR="00680311" w:rsidRPr="00DB0DEF">
        <w:rPr>
          <w:rFonts w:ascii="Times New Roman" w:hAnsi="Times New Roman" w:cs="Times New Roman"/>
        </w:rPr>
        <w:t xml:space="preserve">belirlenerek, bir önceki </w:t>
      </w:r>
      <w:r w:rsidR="00782933" w:rsidRPr="00DB0DEF">
        <w:rPr>
          <w:rFonts w:ascii="Times New Roman" w:hAnsi="Times New Roman" w:cs="Times New Roman"/>
        </w:rPr>
        <w:t>aşamada</w:t>
      </w:r>
      <w:r w:rsidR="00680311" w:rsidRPr="00DB0DEF">
        <w:rPr>
          <w:rFonts w:ascii="Times New Roman" w:hAnsi="Times New Roman" w:cs="Times New Roman"/>
        </w:rPr>
        <w:t xml:space="preserve"> hesaplanan normalize edilmiş değerler, (wj) değerleri ile çarpılarak ağırlıklandırılmış normalize edilmiş değerler bulunmaktadır. Bulunan değerler ile aşağıdaki şekilde </w:t>
      </w:r>
      <w:r w:rsidR="00F10978" w:rsidRPr="00DB0DEF">
        <w:rPr>
          <w:rFonts w:ascii="Times New Roman" w:hAnsi="Times New Roman" w:cs="Times New Roman"/>
        </w:rPr>
        <w:t xml:space="preserve">V matrisi </w:t>
      </w:r>
      <w:r w:rsidR="00680311" w:rsidRPr="00DB0DEF">
        <w:rPr>
          <w:rFonts w:ascii="Times New Roman" w:hAnsi="Times New Roman" w:cs="Times New Roman"/>
        </w:rPr>
        <w:t>elde edilir:</w:t>
      </w:r>
    </w:p>
    <w:p w14:paraId="5B0004C1" w14:textId="77777777" w:rsidR="00510E79" w:rsidRPr="00DB0DEF" w:rsidRDefault="00510E79" w:rsidP="00D40ACF">
      <w:pPr>
        <w:spacing w:after="120"/>
        <w:ind w:firstLine="426"/>
        <w:contextualSpacing/>
        <w:jc w:val="both"/>
        <w:rPr>
          <w:rFonts w:ascii="Times New Roman" w:hAnsi="Times New Roman" w:cs="Times New Roman"/>
        </w:rPr>
      </w:pPr>
    </w:p>
    <w:tbl>
      <w:tblPr>
        <w:tblW w:w="6015" w:type="dxa"/>
        <w:jc w:val="center"/>
        <w:tblCellMar>
          <w:left w:w="70" w:type="dxa"/>
          <w:right w:w="70" w:type="dxa"/>
        </w:tblCellMar>
        <w:tblLook w:val="04A0" w:firstRow="1" w:lastRow="0" w:firstColumn="1" w:lastColumn="0" w:noHBand="0" w:noVBand="1"/>
      </w:tblPr>
      <w:tblGrid>
        <w:gridCol w:w="862"/>
        <w:gridCol w:w="622"/>
        <w:gridCol w:w="1272"/>
        <w:gridCol w:w="1182"/>
        <w:gridCol w:w="809"/>
        <w:gridCol w:w="636"/>
        <w:gridCol w:w="637"/>
      </w:tblGrid>
      <w:tr w:rsidR="003A1056" w:rsidRPr="00DB0DEF" w14:paraId="285B2519" w14:textId="77777777" w:rsidTr="001F5FB5">
        <w:trPr>
          <w:trHeight w:hRule="exact" w:val="89"/>
          <w:jc w:val="center"/>
        </w:trPr>
        <w:tc>
          <w:tcPr>
            <w:tcW w:w="862" w:type="dxa"/>
            <w:tcBorders>
              <w:top w:val="nil"/>
              <w:left w:val="nil"/>
              <w:bottom w:val="nil"/>
              <w:right w:val="nil"/>
            </w:tcBorders>
            <w:shd w:val="clear" w:color="auto" w:fill="auto"/>
            <w:noWrap/>
            <w:vAlign w:val="bottom"/>
            <w:hideMark/>
          </w:tcPr>
          <w:p w14:paraId="1EEB48F6"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
        </w:tc>
        <w:tc>
          <w:tcPr>
            <w:tcW w:w="617" w:type="dxa"/>
            <w:tcBorders>
              <w:top w:val="single" w:sz="4" w:space="0" w:color="auto"/>
              <w:left w:val="single" w:sz="4" w:space="0" w:color="auto"/>
              <w:bottom w:val="nil"/>
              <w:right w:val="nil"/>
            </w:tcBorders>
            <w:shd w:val="clear" w:color="auto" w:fill="auto"/>
            <w:noWrap/>
            <w:vAlign w:val="bottom"/>
            <w:hideMark/>
          </w:tcPr>
          <w:p w14:paraId="435AC07C"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0B973AF4"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1182" w:type="dxa"/>
            <w:tcBorders>
              <w:top w:val="nil"/>
              <w:left w:val="nil"/>
              <w:bottom w:val="nil"/>
              <w:right w:val="nil"/>
            </w:tcBorders>
            <w:shd w:val="clear" w:color="auto" w:fill="auto"/>
            <w:noWrap/>
            <w:vAlign w:val="bottom"/>
            <w:hideMark/>
          </w:tcPr>
          <w:p w14:paraId="43BD5751"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809" w:type="dxa"/>
            <w:tcBorders>
              <w:top w:val="nil"/>
              <w:left w:val="nil"/>
              <w:bottom w:val="nil"/>
              <w:right w:val="nil"/>
            </w:tcBorders>
            <w:shd w:val="clear" w:color="auto" w:fill="auto"/>
            <w:noWrap/>
            <w:vAlign w:val="bottom"/>
            <w:hideMark/>
          </w:tcPr>
          <w:p w14:paraId="51CB8C80"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636" w:type="dxa"/>
            <w:tcBorders>
              <w:top w:val="nil"/>
              <w:left w:val="nil"/>
              <w:bottom w:val="nil"/>
              <w:right w:val="nil"/>
            </w:tcBorders>
            <w:shd w:val="clear" w:color="auto" w:fill="auto"/>
            <w:noWrap/>
            <w:vAlign w:val="bottom"/>
            <w:hideMark/>
          </w:tcPr>
          <w:p w14:paraId="08D9EEAF"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636" w:type="dxa"/>
            <w:tcBorders>
              <w:top w:val="single" w:sz="4" w:space="0" w:color="auto"/>
              <w:left w:val="nil"/>
              <w:bottom w:val="nil"/>
              <w:right w:val="single" w:sz="4" w:space="0" w:color="auto"/>
            </w:tcBorders>
            <w:shd w:val="clear" w:color="auto" w:fill="auto"/>
            <w:noWrap/>
            <w:vAlign w:val="bottom"/>
            <w:hideMark/>
          </w:tcPr>
          <w:p w14:paraId="2BA65D6F"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r w:rsidR="003A1056" w:rsidRPr="00DB0DEF" w14:paraId="248FB4C4" w14:textId="77777777" w:rsidTr="001F5FB5">
        <w:trPr>
          <w:trHeight w:val="388"/>
          <w:jc w:val="center"/>
        </w:trPr>
        <w:tc>
          <w:tcPr>
            <w:tcW w:w="862" w:type="dxa"/>
            <w:tcBorders>
              <w:top w:val="nil"/>
              <w:left w:val="nil"/>
              <w:bottom w:val="nil"/>
              <w:right w:val="nil"/>
            </w:tcBorders>
            <w:shd w:val="clear" w:color="auto" w:fill="auto"/>
            <w:noWrap/>
            <w:vAlign w:val="bottom"/>
            <w:hideMark/>
          </w:tcPr>
          <w:p w14:paraId="4BAAE548"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617" w:type="dxa"/>
            <w:tcBorders>
              <w:top w:val="nil"/>
              <w:left w:val="single" w:sz="4" w:space="0" w:color="auto"/>
              <w:bottom w:val="nil"/>
              <w:right w:val="nil"/>
            </w:tcBorders>
            <w:shd w:val="clear" w:color="auto" w:fill="auto"/>
            <w:noWrap/>
            <w:vAlign w:val="bottom"/>
            <w:hideMark/>
          </w:tcPr>
          <w:p w14:paraId="762AD3A5"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64064EA2" w14:textId="62D54430" w:rsidR="006077C5" w:rsidRPr="00DB0DEF" w:rsidRDefault="00680311"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006077C5" w:rsidRPr="00DB0DEF">
              <w:rPr>
                <w:rFonts w:ascii="Times New Roman" w:eastAsia="Times New Roman" w:hAnsi="Times New Roman" w:cs="Times New Roman"/>
                <w:noProof w:val="0"/>
                <w:sz w:val="24"/>
                <w:szCs w:val="24"/>
                <w:vertAlign w:val="subscript"/>
                <w:lang w:eastAsia="tr-TR"/>
              </w:rPr>
              <w:t>11</w:t>
            </w:r>
            <w:r w:rsidRPr="00DB0DEF">
              <w:rPr>
                <w:rFonts w:ascii="Times New Roman" w:eastAsia="Times New Roman" w:hAnsi="Times New Roman" w:cs="Times New Roman"/>
                <w:noProof w:val="0"/>
                <w:sz w:val="24"/>
                <w:szCs w:val="24"/>
                <w:lang w:eastAsia="tr-TR"/>
              </w:rPr>
              <w:t>x</w:t>
            </w:r>
            <w:r w:rsidR="006077C5" w:rsidRPr="00DB0DEF">
              <w:rPr>
                <w:rFonts w:ascii="Times New Roman" w:eastAsia="Times New Roman" w:hAnsi="Times New Roman" w:cs="Times New Roman"/>
                <w:noProof w:val="0"/>
                <w:sz w:val="24"/>
                <w:szCs w:val="24"/>
                <w:vertAlign w:val="subscript"/>
                <w:lang w:eastAsia="tr-TR"/>
              </w:rPr>
              <w:t>11</w:t>
            </w:r>
          </w:p>
        </w:tc>
        <w:tc>
          <w:tcPr>
            <w:tcW w:w="1182" w:type="dxa"/>
            <w:tcBorders>
              <w:top w:val="nil"/>
              <w:left w:val="nil"/>
              <w:bottom w:val="nil"/>
              <w:right w:val="nil"/>
            </w:tcBorders>
            <w:shd w:val="clear" w:color="auto" w:fill="auto"/>
            <w:noWrap/>
            <w:vAlign w:val="bottom"/>
            <w:hideMark/>
          </w:tcPr>
          <w:p w14:paraId="61039A0E" w14:textId="1FE8A2C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Pr="00DB0DEF">
              <w:rPr>
                <w:rFonts w:ascii="Times New Roman" w:eastAsia="Times New Roman" w:hAnsi="Times New Roman" w:cs="Times New Roman"/>
                <w:noProof w:val="0"/>
                <w:sz w:val="24"/>
                <w:szCs w:val="24"/>
                <w:vertAlign w:val="subscript"/>
                <w:lang w:eastAsia="tr-TR"/>
              </w:rPr>
              <w:t>12</w:t>
            </w:r>
            <w:r w:rsidR="00680311"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12</w:t>
            </w:r>
          </w:p>
        </w:tc>
        <w:tc>
          <w:tcPr>
            <w:tcW w:w="809" w:type="dxa"/>
            <w:tcBorders>
              <w:top w:val="nil"/>
              <w:left w:val="nil"/>
              <w:bottom w:val="nil"/>
              <w:right w:val="nil"/>
            </w:tcBorders>
            <w:shd w:val="clear" w:color="auto" w:fill="auto"/>
            <w:noWrap/>
            <w:vAlign w:val="bottom"/>
            <w:hideMark/>
          </w:tcPr>
          <w:p w14:paraId="6239F8EE"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w:t>
            </w:r>
          </w:p>
        </w:tc>
        <w:tc>
          <w:tcPr>
            <w:tcW w:w="1273" w:type="dxa"/>
            <w:gridSpan w:val="2"/>
            <w:tcBorders>
              <w:top w:val="nil"/>
              <w:left w:val="nil"/>
              <w:bottom w:val="nil"/>
              <w:right w:val="single" w:sz="4" w:space="0" w:color="000000"/>
            </w:tcBorders>
            <w:shd w:val="clear" w:color="auto" w:fill="auto"/>
            <w:noWrap/>
            <w:vAlign w:val="bottom"/>
            <w:hideMark/>
          </w:tcPr>
          <w:p w14:paraId="650FA73D" w14:textId="0FB005CA" w:rsidR="006077C5" w:rsidRPr="00DB0DEF" w:rsidRDefault="006D1BB7"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Pr="00DB0DEF">
              <w:rPr>
                <w:rFonts w:ascii="Times New Roman" w:eastAsia="Times New Roman" w:hAnsi="Times New Roman" w:cs="Times New Roman"/>
                <w:noProof w:val="0"/>
                <w:sz w:val="24"/>
                <w:szCs w:val="24"/>
                <w:vertAlign w:val="subscript"/>
                <w:lang w:eastAsia="tr-TR"/>
              </w:rPr>
              <w:t>1n</w:t>
            </w:r>
            <w:r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1n</w:t>
            </w:r>
          </w:p>
        </w:tc>
      </w:tr>
      <w:tr w:rsidR="003A1056" w:rsidRPr="00DB0DEF" w14:paraId="377FF748" w14:textId="77777777" w:rsidTr="001F5FB5">
        <w:trPr>
          <w:trHeight w:val="424"/>
          <w:jc w:val="center"/>
        </w:trPr>
        <w:tc>
          <w:tcPr>
            <w:tcW w:w="862" w:type="dxa"/>
            <w:tcBorders>
              <w:top w:val="nil"/>
              <w:left w:val="nil"/>
              <w:bottom w:val="nil"/>
              <w:right w:val="nil"/>
            </w:tcBorders>
            <w:shd w:val="clear" w:color="auto" w:fill="auto"/>
            <w:noWrap/>
            <w:vAlign w:val="bottom"/>
            <w:hideMark/>
          </w:tcPr>
          <w:p w14:paraId="3816825E"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617" w:type="dxa"/>
            <w:tcBorders>
              <w:top w:val="nil"/>
              <w:left w:val="single" w:sz="4" w:space="0" w:color="auto"/>
              <w:bottom w:val="nil"/>
              <w:right w:val="nil"/>
            </w:tcBorders>
            <w:shd w:val="clear" w:color="auto" w:fill="auto"/>
            <w:noWrap/>
            <w:vAlign w:val="bottom"/>
            <w:hideMark/>
          </w:tcPr>
          <w:p w14:paraId="52942EB5"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19D0B870" w14:textId="11ACC107" w:rsidR="006077C5" w:rsidRPr="00DB0DEF" w:rsidRDefault="00680311"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006077C5" w:rsidRPr="00DB0DEF">
              <w:rPr>
                <w:rFonts w:ascii="Times New Roman" w:eastAsia="Times New Roman" w:hAnsi="Times New Roman" w:cs="Times New Roman"/>
                <w:noProof w:val="0"/>
                <w:sz w:val="24"/>
                <w:szCs w:val="24"/>
                <w:vertAlign w:val="subscript"/>
                <w:lang w:eastAsia="tr-TR"/>
              </w:rPr>
              <w:t>21</w:t>
            </w:r>
            <w:r w:rsidRPr="00DB0DEF">
              <w:rPr>
                <w:rFonts w:ascii="Times New Roman" w:eastAsia="Times New Roman" w:hAnsi="Times New Roman" w:cs="Times New Roman"/>
                <w:noProof w:val="0"/>
                <w:sz w:val="24"/>
                <w:szCs w:val="24"/>
                <w:lang w:eastAsia="tr-TR"/>
              </w:rPr>
              <w:t>x</w:t>
            </w:r>
            <w:r w:rsidR="006077C5" w:rsidRPr="00DB0DEF">
              <w:rPr>
                <w:rFonts w:ascii="Times New Roman" w:eastAsia="Times New Roman" w:hAnsi="Times New Roman" w:cs="Times New Roman"/>
                <w:noProof w:val="0"/>
                <w:sz w:val="24"/>
                <w:szCs w:val="24"/>
                <w:vertAlign w:val="subscript"/>
                <w:lang w:eastAsia="tr-TR"/>
              </w:rPr>
              <w:t>21</w:t>
            </w:r>
          </w:p>
        </w:tc>
        <w:tc>
          <w:tcPr>
            <w:tcW w:w="1182" w:type="dxa"/>
            <w:tcBorders>
              <w:top w:val="nil"/>
              <w:left w:val="nil"/>
              <w:bottom w:val="nil"/>
              <w:right w:val="nil"/>
            </w:tcBorders>
            <w:shd w:val="clear" w:color="auto" w:fill="auto"/>
            <w:noWrap/>
            <w:vAlign w:val="bottom"/>
            <w:hideMark/>
          </w:tcPr>
          <w:p w14:paraId="77405CA1" w14:textId="144219B0"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Pr="00DB0DEF">
              <w:rPr>
                <w:rFonts w:ascii="Times New Roman" w:eastAsia="Times New Roman" w:hAnsi="Times New Roman" w:cs="Times New Roman"/>
                <w:noProof w:val="0"/>
                <w:sz w:val="24"/>
                <w:szCs w:val="24"/>
                <w:vertAlign w:val="subscript"/>
                <w:lang w:eastAsia="tr-TR"/>
              </w:rPr>
              <w:t>22</w:t>
            </w:r>
            <w:r w:rsidR="00680311"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22</w:t>
            </w:r>
          </w:p>
        </w:tc>
        <w:tc>
          <w:tcPr>
            <w:tcW w:w="809" w:type="dxa"/>
            <w:tcBorders>
              <w:top w:val="nil"/>
              <w:left w:val="nil"/>
              <w:bottom w:val="nil"/>
              <w:right w:val="nil"/>
            </w:tcBorders>
            <w:shd w:val="clear" w:color="auto" w:fill="auto"/>
            <w:noWrap/>
            <w:vAlign w:val="bottom"/>
            <w:hideMark/>
          </w:tcPr>
          <w:p w14:paraId="7B2E7250"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w:t>
            </w:r>
          </w:p>
        </w:tc>
        <w:tc>
          <w:tcPr>
            <w:tcW w:w="1273" w:type="dxa"/>
            <w:gridSpan w:val="2"/>
            <w:tcBorders>
              <w:top w:val="nil"/>
              <w:left w:val="nil"/>
              <w:bottom w:val="nil"/>
              <w:right w:val="single" w:sz="4" w:space="0" w:color="000000"/>
            </w:tcBorders>
            <w:shd w:val="clear" w:color="auto" w:fill="auto"/>
            <w:noWrap/>
            <w:vAlign w:val="bottom"/>
            <w:hideMark/>
          </w:tcPr>
          <w:p w14:paraId="3FE46192" w14:textId="229CB01F" w:rsidR="006077C5" w:rsidRPr="00DB0DEF" w:rsidRDefault="006D1BB7"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proofErr w:type="gramEnd"/>
            <w:r w:rsidRPr="00DB0DEF">
              <w:rPr>
                <w:rFonts w:ascii="Times New Roman" w:eastAsia="Times New Roman" w:hAnsi="Times New Roman" w:cs="Times New Roman"/>
                <w:noProof w:val="0"/>
                <w:sz w:val="24"/>
                <w:szCs w:val="24"/>
                <w:vertAlign w:val="subscript"/>
                <w:lang w:eastAsia="tr-TR"/>
              </w:rPr>
              <w:t>2n</w:t>
            </w:r>
            <w:r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2n</w:t>
            </w:r>
          </w:p>
        </w:tc>
      </w:tr>
      <w:tr w:rsidR="003A1056" w:rsidRPr="00DB0DEF" w14:paraId="77FD528B" w14:textId="77777777" w:rsidTr="001F5FB5">
        <w:trPr>
          <w:trHeight w:val="476"/>
          <w:jc w:val="center"/>
        </w:trPr>
        <w:tc>
          <w:tcPr>
            <w:tcW w:w="862" w:type="dxa"/>
            <w:tcBorders>
              <w:top w:val="nil"/>
              <w:left w:val="nil"/>
              <w:bottom w:val="nil"/>
              <w:right w:val="nil"/>
            </w:tcBorders>
            <w:shd w:val="clear" w:color="auto" w:fill="auto"/>
            <w:noWrap/>
            <w:vAlign w:val="bottom"/>
            <w:hideMark/>
          </w:tcPr>
          <w:p w14:paraId="433E4572" w14:textId="77777777" w:rsidR="006077C5" w:rsidRPr="00DB0DEF" w:rsidRDefault="006077C5" w:rsidP="00D40ACF">
            <w:pPr>
              <w:spacing w:after="120"/>
              <w:ind w:firstLine="426"/>
              <w:contextualSpacing/>
              <w:rPr>
                <w:rFonts w:ascii="Times New Roman" w:eastAsia="Times New Roman" w:hAnsi="Times New Roman" w:cs="Times New Roman"/>
                <w:noProof w:val="0"/>
                <w:sz w:val="36"/>
                <w:szCs w:val="36"/>
                <w:lang w:eastAsia="tr-TR"/>
              </w:rPr>
            </w:pPr>
            <w:r w:rsidRPr="00DB0DEF">
              <w:rPr>
                <w:rFonts w:ascii="Times New Roman" w:eastAsia="Times New Roman" w:hAnsi="Times New Roman" w:cs="Times New Roman"/>
                <w:noProof w:val="0"/>
                <w:sz w:val="36"/>
                <w:szCs w:val="36"/>
                <w:vertAlign w:val="subscript"/>
                <w:lang w:eastAsia="tr-TR"/>
              </w:rPr>
              <w:t>Vij</w:t>
            </w:r>
          </w:p>
        </w:tc>
        <w:tc>
          <w:tcPr>
            <w:tcW w:w="617" w:type="dxa"/>
            <w:tcBorders>
              <w:top w:val="nil"/>
              <w:left w:val="single" w:sz="4" w:space="0" w:color="auto"/>
              <w:bottom w:val="nil"/>
              <w:right w:val="nil"/>
            </w:tcBorders>
            <w:shd w:val="clear" w:color="auto" w:fill="auto"/>
            <w:noWrap/>
            <w:vAlign w:val="bottom"/>
            <w:hideMark/>
          </w:tcPr>
          <w:p w14:paraId="46FAFA69"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25655960"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w:t>
            </w:r>
          </w:p>
        </w:tc>
        <w:tc>
          <w:tcPr>
            <w:tcW w:w="1182" w:type="dxa"/>
            <w:tcBorders>
              <w:top w:val="nil"/>
              <w:left w:val="nil"/>
              <w:bottom w:val="nil"/>
              <w:right w:val="nil"/>
            </w:tcBorders>
            <w:shd w:val="clear" w:color="auto" w:fill="auto"/>
            <w:noWrap/>
            <w:vAlign w:val="bottom"/>
            <w:hideMark/>
          </w:tcPr>
          <w:p w14:paraId="3C227970"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
        </w:tc>
        <w:tc>
          <w:tcPr>
            <w:tcW w:w="809" w:type="dxa"/>
            <w:tcBorders>
              <w:top w:val="nil"/>
              <w:left w:val="nil"/>
              <w:bottom w:val="nil"/>
              <w:right w:val="nil"/>
            </w:tcBorders>
            <w:shd w:val="clear" w:color="auto" w:fill="auto"/>
            <w:noWrap/>
            <w:vAlign w:val="bottom"/>
            <w:hideMark/>
          </w:tcPr>
          <w:p w14:paraId="1199950F"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
        </w:tc>
        <w:tc>
          <w:tcPr>
            <w:tcW w:w="636" w:type="dxa"/>
            <w:tcBorders>
              <w:top w:val="nil"/>
              <w:left w:val="nil"/>
              <w:bottom w:val="nil"/>
              <w:right w:val="nil"/>
            </w:tcBorders>
            <w:shd w:val="clear" w:color="auto" w:fill="auto"/>
            <w:noWrap/>
            <w:vAlign w:val="bottom"/>
            <w:hideMark/>
          </w:tcPr>
          <w:p w14:paraId="4BF80BFB"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w:t>
            </w:r>
          </w:p>
        </w:tc>
        <w:tc>
          <w:tcPr>
            <w:tcW w:w="636" w:type="dxa"/>
            <w:tcBorders>
              <w:top w:val="nil"/>
              <w:left w:val="nil"/>
              <w:bottom w:val="nil"/>
              <w:right w:val="single" w:sz="4" w:space="0" w:color="auto"/>
            </w:tcBorders>
            <w:shd w:val="clear" w:color="auto" w:fill="auto"/>
            <w:noWrap/>
            <w:vAlign w:val="bottom"/>
            <w:hideMark/>
          </w:tcPr>
          <w:p w14:paraId="05F08A7B"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r w:rsidRPr="00DB0DEF">
              <w:rPr>
                <w:rFonts w:ascii="Times New Roman" w:eastAsia="Times New Roman" w:hAnsi="Times New Roman" w:cs="Times New Roman"/>
                <w:noProof w:val="0"/>
                <w:sz w:val="24"/>
                <w:szCs w:val="24"/>
                <w:lang w:eastAsia="tr-TR"/>
              </w:rPr>
              <w:t> </w:t>
            </w:r>
          </w:p>
        </w:tc>
      </w:tr>
      <w:tr w:rsidR="003A1056" w:rsidRPr="00DB0DEF" w14:paraId="265D73FF" w14:textId="77777777" w:rsidTr="001F5FB5">
        <w:trPr>
          <w:trHeight w:val="424"/>
          <w:jc w:val="center"/>
        </w:trPr>
        <w:tc>
          <w:tcPr>
            <w:tcW w:w="862" w:type="dxa"/>
            <w:tcBorders>
              <w:top w:val="nil"/>
              <w:left w:val="nil"/>
              <w:bottom w:val="nil"/>
              <w:right w:val="nil"/>
            </w:tcBorders>
            <w:shd w:val="clear" w:color="auto" w:fill="auto"/>
            <w:noWrap/>
            <w:vAlign w:val="bottom"/>
            <w:hideMark/>
          </w:tcPr>
          <w:p w14:paraId="7EC6C9E5"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617" w:type="dxa"/>
            <w:tcBorders>
              <w:top w:val="nil"/>
              <w:left w:val="single" w:sz="4" w:space="0" w:color="auto"/>
              <w:bottom w:val="nil"/>
              <w:right w:val="nil"/>
            </w:tcBorders>
            <w:shd w:val="clear" w:color="auto" w:fill="auto"/>
            <w:noWrap/>
            <w:vAlign w:val="bottom"/>
            <w:hideMark/>
          </w:tcPr>
          <w:p w14:paraId="2B3C5319"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444CB821" w14:textId="1D08041E"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r w:rsidRPr="00DB0DEF">
              <w:rPr>
                <w:rFonts w:ascii="Times New Roman" w:eastAsia="Times New Roman" w:hAnsi="Times New Roman" w:cs="Times New Roman"/>
                <w:noProof w:val="0"/>
                <w:sz w:val="24"/>
                <w:szCs w:val="24"/>
                <w:vertAlign w:val="subscript"/>
                <w:lang w:eastAsia="tr-TR"/>
              </w:rPr>
              <w:t>m</w:t>
            </w:r>
            <w:proofErr w:type="gramEnd"/>
            <w:r w:rsidRPr="00DB0DEF">
              <w:rPr>
                <w:rFonts w:ascii="Times New Roman" w:eastAsia="Times New Roman" w:hAnsi="Times New Roman" w:cs="Times New Roman"/>
                <w:noProof w:val="0"/>
                <w:sz w:val="24"/>
                <w:szCs w:val="24"/>
                <w:vertAlign w:val="subscript"/>
                <w:lang w:eastAsia="tr-TR"/>
              </w:rPr>
              <w:t>1</w:t>
            </w:r>
            <w:r w:rsidR="006D1BB7"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m1</w:t>
            </w:r>
          </w:p>
        </w:tc>
        <w:tc>
          <w:tcPr>
            <w:tcW w:w="1182" w:type="dxa"/>
            <w:tcBorders>
              <w:top w:val="nil"/>
              <w:left w:val="nil"/>
              <w:bottom w:val="nil"/>
              <w:right w:val="nil"/>
            </w:tcBorders>
            <w:shd w:val="clear" w:color="auto" w:fill="auto"/>
            <w:noWrap/>
            <w:vAlign w:val="bottom"/>
            <w:hideMark/>
          </w:tcPr>
          <w:p w14:paraId="4E409FDB"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
        </w:tc>
        <w:tc>
          <w:tcPr>
            <w:tcW w:w="809" w:type="dxa"/>
            <w:tcBorders>
              <w:top w:val="nil"/>
              <w:left w:val="nil"/>
              <w:bottom w:val="nil"/>
              <w:right w:val="nil"/>
            </w:tcBorders>
            <w:shd w:val="clear" w:color="auto" w:fill="auto"/>
            <w:noWrap/>
            <w:vAlign w:val="bottom"/>
            <w:hideMark/>
          </w:tcPr>
          <w:p w14:paraId="2041748B" w14:textId="77777777"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
        </w:tc>
        <w:tc>
          <w:tcPr>
            <w:tcW w:w="1273" w:type="dxa"/>
            <w:gridSpan w:val="2"/>
            <w:tcBorders>
              <w:top w:val="nil"/>
              <w:left w:val="nil"/>
              <w:bottom w:val="nil"/>
              <w:right w:val="single" w:sz="4" w:space="0" w:color="000000"/>
            </w:tcBorders>
            <w:shd w:val="clear" w:color="auto" w:fill="auto"/>
            <w:noWrap/>
            <w:vAlign w:val="bottom"/>
            <w:hideMark/>
          </w:tcPr>
          <w:p w14:paraId="0A20C620" w14:textId="31ACA79B" w:rsidR="006077C5" w:rsidRPr="00DB0DEF" w:rsidRDefault="006077C5" w:rsidP="00D40ACF">
            <w:pPr>
              <w:spacing w:after="120"/>
              <w:ind w:firstLine="426"/>
              <w:contextualSpacing/>
              <w:rPr>
                <w:rFonts w:ascii="Times New Roman" w:eastAsia="Times New Roman" w:hAnsi="Times New Roman" w:cs="Times New Roman"/>
                <w:noProof w:val="0"/>
                <w:sz w:val="24"/>
                <w:szCs w:val="24"/>
                <w:lang w:eastAsia="tr-TR"/>
              </w:rPr>
            </w:pPr>
            <w:proofErr w:type="gramStart"/>
            <w:r w:rsidRPr="00DB0DEF">
              <w:rPr>
                <w:rFonts w:ascii="Times New Roman" w:eastAsia="Times New Roman" w:hAnsi="Times New Roman" w:cs="Times New Roman"/>
                <w:noProof w:val="0"/>
                <w:sz w:val="24"/>
                <w:szCs w:val="24"/>
                <w:lang w:eastAsia="tr-TR"/>
              </w:rPr>
              <w:t>w</w:t>
            </w:r>
            <w:r w:rsidRPr="00DB0DEF">
              <w:rPr>
                <w:rFonts w:ascii="Times New Roman" w:eastAsia="Times New Roman" w:hAnsi="Times New Roman" w:cs="Times New Roman"/>
                <w:noProof w:val="0"/>
                <w:sz w:val="24"/>
                <w:szCs w:val="24"/>
                <w:vertAlign w:val="subscript"/>
                <w:lang w:eastAsia="tr-TR"/>
              </w:rPr>
              <w:t>mn</w:t>
            </w:r>
            <w:r w:rsidR="006D1BB7" w:rsidRPr="00DB0DEF">
              <w:rPr>
                <w:rFonts w:ascii="Times New Roman" w:eastAsia="Times New Roman" w:hAnsi="Times New Roman" w:cs="Times New Roman"/>
                <w:noProof w:val="0"/>
                <w:sz w:val="24"/>
                <w:szCs w:val="24"/>
                <w:lang w:eastAsia="tr-TR"/>
              </w:rPr>
              <w:t>x</w:t>
            </w:r>
            <w:r w:rsidRPr="00DB0DEF">
              <w:rPr>
                <w:rFonts w:ascii="Times New Roman" w:eastAsia="Times New Roman" w:hAnsi="Times New Roman" w:cs="Times New Roman"/>
                <w:noProof w:val="0"/>
                <w:sz w:val="24"/>
                <w:szCs w:val="24"/>
                <w:vertAlign w:val="subscript"/>
                <w:lang w:eastAsia="tr-TR"/>
              </w:rPr>
              <w:t>mn</w:t>
            </w:r>
            <w:proofErr w:type="gramEnd"/>
          </w:p>
        </w:tc>
      </w:tr>
      <w:tr w:rsidR="003A1056" w:rsidRPr="00DB0DEF" w14:paraId="3846E72D" w14:textId="77777777" w:rsidTr="001F5FB5">
        <w:trPr>
          <w:trHeight w:hRule="exact" w:val="66"/>
          <w:jc w:val="center"/>
        </w:trPr>
        <w:tc>
          <w:tcPr>
            <w:tcW w:w="862" w:type="dxa"/>
            <w:tcBorders>
              <w:top w:val="nil"/>
              <w:left w:val="nil"/>
              <w:bottom w:val="nil"/>
              <w:right w:val="nil"/>
            </w:tcBorders>
            <w:shd w:val="clear" w:color="auto" w:fill="auto"/>
            <w:noWrap/>
            <w:vAlign w:val="bottom"/>
            <w:hideMark/>
          </w:tcPr>
          <w:p w14:paraId="6A37C438"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617" w:type="dxa"/>
            <w:tcBorders>
              <w:top w:val="nil"/>
              <w:left w:val="single" w:sz="4" w:space="0" w:color="auto"/>
              <w:bottom w:val="single" w:sz="4" w:space="0" w:color="auto"/>
              <w:right w:val="nil"/>
            </w:tcBorders>
            <w:shd w:val="clear" w:color="auto" w:fill="auto"/>
            <w:noWrap/>
            <w:vAlign w:val="bottom"/>
            <w:hideMark/>
          </w:tcPr>
          <w:p w14:paraId="786F763A"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c>
          <w:tcPr>
            <w:tcW w:w="1272" w:type="dxa"/>
            <w:tcBorders>
              <w:top w:val="nil"/>
              <w:left w:val="nil"/>
              <w:bottom w:val="nil"/>
              <w:right w:val="nil"/>
            </w:tcBorders>
            <w:shd w:val="clear" w:color="auto" w:fill="auto"/>
            <w:noWrap/>
            <w:vAlign w:val="bottom"/>
            <w:hideMark/>
          </w:tcPr>
          <w:p w14:paraId="67177FC3"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p>
        </w:tc>
        <w:tc>
          <w:tcPr>
            <w:tcW w:w="1182" w:type="dxa"/>
            <w:tcBorders>
              <w:top w:val="nil"/>
              <w:left w:val="nil"/>
              <w:bottom w:val="nil"/>
              <w:right w:val="nil"/>
            </w:tcBorders>
            <w:shd w:val="clear" w:color="auto" w:fill="auto"/>
            <w:noWrap/>
            <w:vAlign w:val="bottom"/>
            <w:hideMark/>
          </w:tcPr>
          <w:p w14:paraId="0B8D3CE0"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809" w:type="dxa"/>
            <w:tcBorders>
              <w:top w:val="nil"/>
              <w:left w:val="nil"/>
              <w:bottom w:val="nil"/>
              <w:right w:val="nil"/>
            </w:tcBorders>
            <w:shd w:val="clear" w:color="auto" w:fill="auto"/>
            <w:noWrap/>
            <w:vAlign w:val="bottom"/>
            <w:hideMark/>
          </w:tcPr>
          <w:p w14:paraId="44651978"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636" w:type="dxa"/>
            <w:tcBorders>
              <w:top w:val="nil"/>
              <w:left w:val="nil"/>
              <w:bottom w:val="nil"/>
              <w:right w:val="nil"/>
            </w:tcBorders>
            <w:shd w:val="clear" w:color="auto" w:fill="auto"/>
            <w:noWrap/>
            <w:vAlign w:val="bottom"/>
            <w:hideMark/>
          </w:tcPr>
          <w:p w14:paraId="758EDDFE" w14:textId="77777777" w:rsidR="006077C5" w:rsidRPr="00DB0DEF" w:rsidRDefault="006077C5" w:rsidP="00D40ACF">
            <w:pPr>
              <w:spacing w:after="120"/>
              <w:ind w:firstLine="426"/>
              <w:contextualSpacing/>
              <w:rPr>
                <w:rFonts w:ascii="Times New Roman" w:eastAsia="Times New Roman" w:hAnsi="Times New Roman" w:cs="Times New Roman"/>
                <w:noProof w:val="0"/>
                <w:sz w:val="20"/>
                <w:szCs w:val="20"/>
                <w:lang w:eastAsia="tr-TR"/>
              </w:rPr>
            </w:pPr>
          </w:p>
        </w:tc>
        <w:tc>
          <w:tcPr>
            <w:tcW w:w="636" w:type="dxa"/>
            <w:tcBorders>
              <w:top w:val="nil"/>
              <w:left w:val="nil"/>
              <w:bottom w:val="single" w:sz="4" w:space="0" w:color="auto"/>
              <w:right w:val="single" w:sz="4" w:space="0" w:color="auto"/>
            </w:tcBorders>
            <w:shd w:val="clear" w:color="auto" w:fill="auto"/>
            <w:noWrap/>
            <w:vAlign w:val="bottom"/>
            <w:hideMark/>
          </w:tcPr>
          <w:p w14:paraId="04E74B78" w14:textId="77777777" w:rsidR="006077C5" w:rsidRPr="00DB0DEF" w:rsidRDefault="006077C5" w:rsidP="00D40ACF">
            <w:pPr>
              <w:spacing w:after="120"/>
              <w:ind w:firstLine="426"/>
              <w:contextualSpacing/>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 </w:t>
            </w:r>
          </w:p>
        </w:tc>
      </w:tr>
    </w:tbl>
    <w:p w14:paraId="63DE0E67" w14:textId="77777777" w:rsidR="00D40ACF" w:rsidRPr="00DB0DEF" w:rsidRDefault="00D40ACF" w:rsidP="00D40ACF">
      <w:pPr>
        <w:spacing w:after="120"/>
        <w:ind w:firstLine="426"/>
        <w:contextualSpacing/>
        <w:jc w:val="both"/>
        <w:rPr>
          <w:rFonts w:ascii="Times New Roman" w:hAnsi="Times New Roman" w:cs="Times New Roman"/>
          <w:b/>
          <w:bCs/>
        </w:rPr>
      </w:pPr>
    </w:p>
    <w:p w14:paraId="3DC29DB0" w14:textId="2625DFAB" w:rsidR="00F10978" w:rsidRPr="00DB0DEF" w:rsidRDefault="00F10978"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4</w:t>
      </w:r>
      <w:r w:rsidR="00782933" w:rsidRPr="00DB0DEF">
        <w:rPr>
          <w:rFonts w:ascii="Times New Roman" w:hAnsi="Times New Roman" w:cs="Times New Roman"/>
          <w:b/>
          <w:bCs/>
        </w:rPr>
        <w:t>--</w:t>
      </w:r>
      <w:r w:rsidRPr="00DB0DEF">
        <w:rPr>
          <w:rFonts w:ascii="Times New Roman" w:hAnsi="Times New Roman" w:cs="Times New Roman"/>
          <w:b/>
          <w:bCs/>
        </w:rPr>
        <w:t xml:space="preserve"> İdeal (</w:t>
      </w:r>
      <w:r w:rsidR="00B80760" w:rsidRPr="00DB0DEF">
        <w:rPr>
          <w:rFonts w:ascii="Times New Roman" w:hAnsi="Times New Roman" w:cs="Times New Roman"/>
          <w:b/>
          <w:bCs/>
        </w:rPr>
        <w:t>V</w:t>
      </w:r>
      <w:r w:rsidRPr="00DB0DEF">
        <w:rPr>
          <w:rFonts w:ascii="Times New Roman" w:hAnsi="Times New Roman" w:cs="Times New Roman"/>
          <w:b/>
          <w:bCs/>
        </w:rPr>
        <w:t>+) ve Negatif İdeal (</w:t>
      </w:r>
      <w:r w:rsidR="00B80760" w:rsidRPr="00DB0DEF">
        <w:rPr>
          <w:rFonts w:ascii="Times New Roman" w:hAnsi="Times New Roman" w:cs="Times New Roman"/>
          <w:b/>
          <w:bCs/>
        </w:rPr>
        <w:t>V</w:t>
      </w:r>
      <w:r w:rsidR="00820B52" w:rsidRPr="00DB0DEF">
        <w:rPr>
          <w:rFonts w:ascii="Times New Roman" w:hAnsi="Times New Roman" w:cs="Times New Roman"/>
          <w:b/>
          <w:bCs/>
        </w:rPr>
        <w:t>-</w:t>
      </w:r>
      <w:r w:rsidRPr="00DB0DEF">
        <w:rPr>
          <w:rFonts w:ascii="Times New Roman" w:hAnsi="Times New Roman" w:cs="Times New Roman"/>
          <w:b/>
          <w:bCs/>
        </w:rPr>
        <w:t xml:space="preserve">) Çözümlerin </w:t>
      </w:r>
      <w:r w:rsidR="00782933" w:rsidRPr="00DB0DEF">
        <w:rPr>
          <w:rFonts w:ascii="Times New Roman" w:hAnsi="Times New Roman" w:cs="Times New Roman"/>
          <w:b/>
          <w:bCs/>
        </w:rPr>
        <w:t>Düzenlenmesi</w:t>
      </w:r>
      <w:r w:rsidRPr="00DB0DEF">
        <w:rPr>
          <w:rFonts w:ascii="Times New Roman" w:hAnsi="Times New Roman" w:cs="Times New Roman"/>
          <w:b/>
          <w:bCs/>
        </w:rPr>
        <w:t xml:space="preserve">: </w:t>
      </w:r>
      <w:r w:rsidR="00722CD4" w:rsidRPr="00DB0DEF">
        <w:rPr>
          <w:rFonts w:ascii="Times New Roman" w:hAnsi="Times New Roman" w:cs="Times New Roman"/>
        </w:rPr>
        <w:t>TOPSİS</w:t>
      </w:r>
      <w:r w:rsidRPr="00DB0DEF">
        <w:rPr>
          <w:rFonts w:ascii="Times New Roman" w:hAnsi="Times New Roman" w:cs="Times New Roman"/>
        </w:rPr>
        <w:t xml:space="preserve"> yöntemi</w:t>
      </w:r>
      <w:r w:rsidR="00135205" w:rsidRPr="00DB0DEF">
        <w:rPr>
          <w:rFonts w:ascii="Times New Roman" w:hAnsi="Times New Roman" w:cs="Times New Roman"/>
        </w:rPr>
        <w:t>nde</w:t>
      </w:r>
      <w:r w:rsidRPr="00DB0DEF">
        <w:rPr>
          <w:rFonts w:ascii="Times New Roman" w:hAnsi="Times New Roman" w:cs="Times New Roman"/>
        </w:rPr>
        <w:t xml:space="preserve">, </w:t>
      </w:r>
      <w:r w:rsidR="00722CD4" w:rsidRPr="00DB0DEF">
        <w:rPr>
          <w:rFonts w:ascii="Times New Roman" w:hAnsi="Times New Roman" w:cs="Times New Roman"/>
        </w:rPr>
        <w:t xml:space="preserve">herbir </w:t>
      </w:r>
      <w:r w:rsidRPr="00DB0DEF">
        <w:rPr>
          <w:rFonts w:ascii="Times New Roman" w:hAnsi="Times New Roman" w:cs="Times New Roman"/>
        </w:rPr>
        <w:t>değerlendirme faktör</w:t>
      </w:r>
      <w:r w:rsidR="00135205" w:rsidRPr="00DB0DEF">
        <w:rPr>
          <w:rFonts w:ascii="Times New Roman" w:hAnsi="Times New Roman" w:cs="Times New Roman"/>
        </w:rPr>
        <w:t>lerini</w:t>
      </w:r>
      <w:r w:rsidR="00722CD4" w:rsidRPr="00DB0DEF">
        <w:rPr>
          <w:rFonts w:ascii="Times New Roman" w:hAnsi="Times New Roman" w:cs="Times New Roman"/>
        </w:rPr>
        <w:t>n</w:t>
      </w:r>
      <w:r w:rsidR="00135205" w:rsidRPr="00DB0DEF">
        <w:rPr>
          <w:rFonts w:ascii="Times New Roman" w:hAnsi="Times New Roman" w:cs="Times New Roman"/>
        </w:rPr>
        <w:t xml:space="preserve"> </w:t>
      </w:r>
      <w:r w:rsidRPr="00DB0DEF">
        <w:rPr>
          <w:rFonts w:ascii="Times New Roman" w:hAnsi="Times New Roman" w:cs="Times New Roman"/>
        </w:rPr>
        <w:t>artan veya azalan bir eğilime sahip olduğu varsay</w:t>
      </w:r>
      <w:r w:rsidR="00135205" w:rsidRPr="00DB0DEF">
        <w:rPr>
          <w:rFonts w:ascii="Times New Roman" w:hAnsi="Times New Roman" w:cs="Times New Roman"/>
        </w:rPr>
        <w:t>ıl</w:t>
      </w:r>
      <w:r w:rsidRPr="00DB0DEF">
        <w:rPr>
          <w:rFonts w:ascii="Times New Roman" w:hAnsi="Times New Roman" w:cs="Times New Roman"/>
        </w:rPr>
        <w:t xml:space="preserve">maktadır. İdeal çözüm setinin </w:t>
      </w:r>
      <w:r w:rsidR="00135205" w:rsidRPr="00DB0DEF">
        <w:rPr>
          <w:rFonts w:ascii="Times New Roman" w:hAnsi="Times New Roman" w:cs="Times New Roman"/>
        </w:rPr>
        <w:t xml:space="preserve">düzenlenebilmesi </w:t>
      </w:r>
      <w:r w:rsidRPr="00DB0DEF">
        <w:rPr>
          <w:rFonts w:ascii="Times New Roman" w:hAnsi="Times New Roman" w:cs="Times New Roman"/>
        </w:rPr>
        <w:t>için V matrisindeki ağırlıklandırılmış değerlendirme faktörlerinin yani sütun değerlerinin en büyükleri (ilgili değerlendirme faktörü</w:t>
      </w:r>
      <w:r w:rsidR="00722CD4" w:rsidRPr="00DB0DEF">
        <w:rPr>
          <w:rFonts w:ascii="Times New Roman" w:hAnsi="Times New Roman" w:cs="Times New Roman"/>
        </w:rPr>
        <w:t>nün</w:t>
      </w:r>
      <w:r w:rsidRPr="00DB0DEF">
        <w:rPr>
          <w:rFonts w:ascii="Times New Roman" w:hAnsi="Times New Roman" w:cs="Times New Roman"/>
        </w:rPr>
        <w:t xml:space="preserve"> minimizasyon yönlü</w:t>
      </w:r>
      <w:r w:rsidR="00722CD4" w:rsidRPr="00DB0DEF">
        <w:rPr>
          <w:rFonts w:ascii="Times New Roman" w:hAnsi="Times New Roman" w:cs="Times New Roman"/>
        </w:rPr>
        <w:t xml:space="preserve"> olması durumunda</w:t>
      </w:r>
      <w:r w:rsidRPr="00DB0DEF">
        <w:rPr>
          <w:rFonts w:ascii="Times New Roman" w:hAnsi="Times New Roman" w:cs="Times New Roman"/>
        </w:rPr>
        <w:t xml:space="preserve"> ise en küçüğü) seçilir. </w:t>
      </w:r>
    </w:p>
    <w:p w14:paraId="1BDAE0FC" w14:textId="1736B13F" w:rsidR="00F10978" w:rsidRPr="00DB0DEF" w:rsidRDefault="00F10978" w:rsidP="00D40ACF">
      <w:pPr>
        <w:spacing w:after="120"/>
        <w:ind w:firstLine="425"/>
        <w:contextualSpacing/>
        <w:jc w:val="both"/>
        <w:rPr>
          <w:rFonts w:ascii="Times New Roman" w:hAnsi="Times New Roman" w:cs="Times New Roman"/>
        </w:rPr>
      </w:pPr>
      <w:r w:rsidRPr="00DB0DEF">
        <w:rPr>
          <w:rFonts w:ascii="Times New Roman" w:hAnsi="Times New Roman" w:cs="Times New Roman"/>
          <w:b/>
          <w:bCs/>
        </w:rPr>
        <w:t>Adım 5</w:t>
      </w:r>
      <w:r w:rsidR="00782933" w:rsidRPr="00DB0DEF">
        <w:rPr>
          <w:rFonts w:ascii="Times New Roman" w:hAnsi="Times New Roman" w:cs="Times New Roman"/>
          <w:b/>
          <w:bCs/>
        </w:rPr>
        <w:t>--</w:t>
      </w:r>
      <w:r w:rsidRPr="00DB0DEF">
        <w:rPr>
          <w:rFonts w:ascii="Times New Roman" w:hAnsi="Times New Roman" w:cs="Times New Roman"/>
          <w:b/>
          <w:bCs/>
        </w:rPr>
        <w:t xml:space="preserve"> Ayırım Ölçülerinin Hesaplanması: </w:t>
      </w:r>
      <w:r w:rsidRPr="00DB0DEF">
        <w:rPr>
          <w:rFonts w:ascii="Times New Roman" w:hAnsi="Times New Roman" w:cs="Times New Roman"/>
        </w:rPr>
        <w:t>TOPS</w:t>
      </w:r>
      <w:r w:rsidR="00722CD4" w:rsidRPr="00DB0DEF">
        <w:rPr>
          <w:rFonts w:ascii="Times New Roman" w:hAnsi="Times New Roman" w:cs="Times New Roman"/>
        </w:rPr>
        <w:t>İ</w:t>
      </w:r>
      <w:r w:rsidRPr="00DB0DEF">
        <w:rPr>
          <w:rFonts w:ascii="Times New Roman" w:hAnsi="Times New Roman" w:cs="Times New Roman"/>
        </w:rPr>
        <w:t xml:space="preserve">S yönteminde her bir karar noktasına ilişkin değerlendirme faktör değerinin İdeal ve negatif ideal çözüm setinden sapmalarının </w:t>
      </w:r>
      <w:r w:rsidR="00722CD4" w:rsidRPr="00DB0DEF">
        <w:rPr>
          <w:rFonts w:ascii="Times New Roman" w:hAnsi="Times New Roman" w:cs="Times New Roman"/>
        </w:rPr>
        <w:t>tespit edilebilmesi</w:t>
      </w:r>
      <w:r w:rsidRPr="00DB0DEF">
        <w:rPr>
          <w:rFonts w:ascii="Times New Roman" w:hAnsi="Times New Roman" w:cs="Times New Roman"/>
        </w:rPr>
        <w:t xml:space="preserve"> için Euclidian Uzaklık Yaklaşımından yararlanılmaktadır. Buradan elde edilen karar noktalarına ilişkin sapma değerleri ise İdeal Ayrım ( </w:t>
      </w:r>
      <w:r w:rsidRPr="00DB0DEF">
        <w:rPr>
          <w:rFonts w:ascii="Times New Roman" w:hAnsi="Times New Roman" w:cs="Times New Roman"/>
          <w:i/>
          <w:iCs/>
        </w:rPr>
        <w:t>Si</w:t>
      </w:r>
      <w:r w:rsidRPr="00DB0DEF">
        <w:rPr>
          <w:rFonts w:ascii="Times New Roman" w:hAnsi="Times New Roman" w:cs="Times New Roman"/>
        </w:rPr>
        <w:sym w:font="Symbol" w:char="F02B"/>
      </w:r>
      <w:r w:rsidRPr="00DB0DEF">
        <w:rPr>
          <w:rFonts w:ascii="Times New Roman" w:hAnsi="Times New Roman" w:cs="Times New Roman"/>
        </w:rPr>
        <w:t xml:space="preserve"> ) </w:t>
      </w:r>
      <w:r w:rsidR="00722CD4" w:rsidRPr="00DB0DEF">
        <w:rPr>
          <w:rFonts w:ascii="Times New Roman" w:hAnsi="Times New Roman" w:cs="Times New Roman"/>
        </w:rPr>
        <w:t>ile</w:t>
      </w:r>
      <w:r w:rsidRPr="00DB0DEF">
        <w:rPr>
          <w:rFonts w:ascii="Times New Roman" w:hAnsi="Times New Roman" w:cs="Times New Roman"/>
        </w:rPr>
        <w:t xml:space="preserve"> Negatif İdeal Ayrım ( </w:t>
      </w:r>
      <w:r w:rsidRPr="00DB0DEF">
        <w:rPr>
          <w:rFonts w:ascii="Times New Roman" w:hAnsi="Times New Roman" w:cs="Times New Roman"/>
          <w:i/>
          <w:iCs/>
        </w:rPr>
        <w:t>Si</w:t>
      </w:r>
      <w:r w:rsidRPr="00DB0DEF">
        <w:rPr>
          <w:rFonts w:ascii="Times New Roman" w:hAnsi="Times New Roman" w:cs="Times New Roman"/>
        </w:rPr>
        <w:sym w:font="Symbol" w:char="F02D"/>
      </w:r>
      <w:r w:rsidRPr="00DB0DEF">
        <w:rPr>
          <w:rFonts w:ascii="Times New Roman" w:hAnsi="Times New Roman" w:cs="Times New Roman"/>
        </w:rPr>
        <w:t xml:space="preserve"> ) </w:t>
      </w:r>
      <w:r w:rsidR="00722CD4" w:rsidRPr="00DB0DEF">
        <w:rPr>
          <w:rFonts w:ascii="Times New Roman" w:hAnsi="Times New Roman" w:cs="Times New Roman"/>
        </w:rPr>
        <w:t>ö</w:t>
      </w:r>
      <w:r w:rsidRPr="00DB0DEF">
        <w:rPr>
          <w:rFonts w:ascii="Times New Roman" w:hAnsi="Times New Roman" w:cs="Times New Roman"/>
        </w:rPr>
        <w:t xml:space="preserve">lçüsü olarak adlandırılmaktadır. İdeal ayrım ( </w:t>
      </w:r>
      <w:r w:rsidRPr="00DB0DEF">
        <w:rPr>
          <w:rFonts w:ascii="Times New Roman" w:hAnsi="Times New Roman" w:cs="Times New Roman"/>
          <w:i/>
          <w:iCs/>
        </w:rPr>
        <w:t>Si</w:t>
      </w:r>
      <w:r w:rsidRPr="00DB0DEF">
        <w:rPr>
          <w:rFonts w:ascii="Times New Roman" w:hAnsi="Times New Roman" w:cs="Times New Roman"/>
        </w:rPr>
        <w:t xml:space="preserve">* ) ve negatif ideal ayrım ( </w:t>
      </w:r>
      <w:r w:rsidRPr="00DB0DEF">
        <w:rPr>
          <w:rFonts w:ascii="Times New Roman" w:hAnsi="Times New Roman" w:cs="Times New Roman"/>
          <w:i/>
          <w:iCs/>
        </w:rPr>
        <w:t>Si</w:t>
      </w:r>
      <w:r w:rsidRPr="00DB0DEF">
        <w:rPr>
          <w:rFonts w:ascii="Times New Roman" w:hAnsi="Times New Roman" w:cs="Times New Roman"/>
        </w:rPr>
        <w:sym w:font="Symbol" w:char="F02D"/>
      </w:r>
      <w:r w:rsidRPr="00DB0DEF">
        <w:rPr>
          <w:rFonts w:ascii="Times New Roman" w:hAnsi="Times New Roman" w:cs="Times New Roman"/>
        </w:rPr>
        <w:t xml:space="preserve"> ) ölçüleri aşağıdaki formüllere göre hesaplanm</w:t>
      </w:r>
      <w:r w:rsidR="00B80760" w:rsidRPr="00DB0DEF">
        <w:rPr>
          <w:rFonts w:ascii="Times New Roman" w:hAnsi="Times New Roman" w:cs="Times New Roman"/>
        </w:rPr>
        <w:t>aktadır</w:t>
      </w:r>
      <w:r w:rsidR="00F26E95" w:rsidRPr="00DB0DEF">
        <w:rPr>
          <w:rFonts w:ascii="Times New Roman" w:hAnsi="Times New Roman" w:cs="Times New Roman"/>
        </w:rPr>
        <w:t xml:space="preserve"> (2-3):</w:t>
      </w:r>
    </w:p>
    <w:p w14:paraId="23D5AA23" w14:textId="77777777" w:rsidR="004F78C1" w:rsidRPr="00DB0DEF" w:rsidRDefault="008F3455" w:rsidP="00D40ACF">
      <w:pPr>
        <w:spacing w:after="120"/>
        <w:ind w:firstLine="426"/>
        <w:contextualSpacing/>
        <w:jc w:val="both"/>
        <w:rPr>
          <w:rFonts w:ascii="Times New Roman" w:hAnsi="Times New Roman" w:cs="Times New Roman"/>
          <w:sz w:val="20"/>
          <w:szCs w:val="20"/>
        </w:rPr>
      </w:pPr>
      <w:r w:rsidRPr="00DB0DEF">
        <w:rPr>
          <w:rFonts w:ascii="Times New Roman" w:hAnsi="Times New Roman" w:cs="Times New Roman"/>
          <w:sz w:val="20"/>
          <w:szCs w:val="20"/>
        </w:rPr>
        <w:lastRenderedPageBreak/>
        <w:pict w14:anchorId="745FD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5" type="#_x0000_t75" style="position:absolute;left:0;text-align:left;margin-left:120.95pt;margin-top:4.65pt;width:184.2pt;height:36.3pt;z-index:251668480;mso-wrap-style:tight" filled="t" stroked="t">
            <v:imagedata r:id="rId10" o:title=""/>
          </v:shape>
        </w:pict>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r w:rsidR="008E1450" w:rsidRPr="00DB0DEF">
        <w:rPr>
          <w:rFonts w:ascii="Times New Roman" w:hAnsi="Times New Roman" w:cs="Times New Roman"/>
          <w:sz w:val="20"/>
          <w:szCs w:val="20"/>
        </w:rPr>
        <w:tab/>
      </w:r>
    </w:p>
    <w:p w14:paraId="32774424" w14:textId="73BFE589" w:rsidR="006D1BB7" w:rsidRPr="00DB0DEF" w:rsidRDefault="008E1450" w:rsidP="004F78C1">
      <w:pPr>
        <w:spacing w:after="120"/>
        <w:ind w:left="6372" w:firstLine="708"/>
        <w:contextualSpacing/>
        <w:jc w:val="both"/>
        <w:rPr>
          <w:rFonts w:ascii="Times New Roman" w:hAnsi="Times New Roman" w:cs="Times New Roman"/>
          <w:sz w:val="20"/>
          <w:szCs w:val="20"/>
        </w:rPr>
      </w:pPr>
      <w:r w:rsidRPr="00DB0DEF">
        <w:rPr>
          <w:rFonts w:ascii="Times New Roman" w:hAnsi="Times New Roman" w:cs="Times New Roman"/>
          <w:sz w:val="20"/>
          <w:szCs w:val="20"/>
        </w:rPr>
        <w:t xml:space="preserve">Formül </w:t>
      </w:r>
      <w:r w:rsidR="00A0459A" w:rsidRPr="00DB0DEF">
        <w:rPr>
          <w:rFonts w:ascii="Times New Roman" w:hAnsi="Times New Roman" w:cs="Times New Roman"/>
          <w:sz w:val="20"/>
          <w:szCs w:val="20"/>
        </w:rPr>
        <w:t>(</w:t>
      </w:r>
      <w:r w:rsidRPr="00DB0DEF">
        <w:rPr>
          <w:rFonts w:ascii="Times New Roman" w:hAnsi="Times New Roman" w:cs="Times New Roman"/>
          <w:sz w:val="20"/>
          <w:szCs w:val="20"/>
        </w:rPr>
        <w:t>2</w:t>
      </w:r>
      <w:r w:rsidR="00A0459A" w:rsidRPr="00DB0DEF">
        <w:rPr>
          <w:rFonts w:ascii="Times New Roman" w:hAnsi="Times New Roman" w:cs="Times New Roman"/>
          <w:sz w:val="20"/>
          <w:szCs w:val="20"/>
        </w:rPr>
        <w:t>)</w:t>
      </w:r>
    </w:p>
    <w:p w14:paraId="2D2EA0AD" w14:textId="714EC9AE" w:rsidR="00EB5E87" w:rsidRPr="00DB0DEF" w:rsidRDefault="00EB5E87" w:rsidP="00D40ACF">
      <w:pPr>
        <w:spacing w:after="120"/>
        <w:ind w:firstLine="426"/>
        <w:contextualSpacing/>
        <w:jc w:val="both"/>
        <w:rPr>
          <w:rFonts w:ascii="Times New Roman" w:hAnsi="Times New Roman" w:cs="Times New Roman"/>
        </w:rPr>
      </w:pPr>
    </w:p>
    <w:p w14:paraId="6DB30CE2" w14:textId="769C0CA6" w:rsidR="004F78C1" w:rsidRPr="00DB0DEF" w:rsidRDefault="00DB0DEF" w:rsidP="00D40ACF">
      <w:pPr>
        <w:spacing w:after="120"/>
        <w:ind w:firstLine="426"/>
        <w:contextualSpacing/>
        <w:jc w:val="both"/>
        <w:rPr>
          <w:rFonts w:ascii="Times New Roman" w:hAnsi="Times New Roman" w:cs="Times New Roman"/>
        </w:rPr>
      </w:pPr>
      <w:r w:rsidRPr="00DB0DEF">
        <w:rPr>
          <w:rFonts w:ascii="Times New Roman" w:hAnsi="Times New Roman" w:cs="Times New Roman"/>
          <w:sz w:val="20"/>
          <w:szCs w:val="20"/>
        </w:rPr>
        <w:pict w14:anchorId="5EF2BC51">
          <v:shape id="_x0000_s2096" type="#_x0000_t75" style="position:absolute;left:0;text-align:left;margin-left:120.95pt;margin-top:4.4pt;width:184.2pt;height:36.15pt;z-index:251669504;mso-wrap-style:tight;mso-position-horizontal-relative:text;mso-position-vertical-relative:text" filled="t" stroked="t">
            <v:imagedata r:id="rId11" o:title=""/>
          </v:shape>
        </w:pict>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r w:rsidR="00A0459A" w:rsidRPr="00DB0DEF">
        <w:rPr>
          <w:rFonts w:ascii="Times New Roman" w:hAnsi="Times New Roman" w:cs="Times New Roman"/>
        </w:rPr>
        <w:tab/>
      </w:r>
    </w:p>
    <w:p w14:paraId="08B08F23" w14:textId="77D6276A" w:rsidR="00D40ACF" w:rsidRPr="00DB0DEF" w:rsidRDefault="00A0459A" w:rsidP="004F78C1">
      <w:pPr>
        <w:spacing w:after="120"/>
        <w:ind w:left="6372" w:firstLine="708"/>
        <w:contextualSpacing/>
        <w:jc w:val="both"/>
        <w:rPr>
          <w:rFonts w:ascii="Times New Roman" w:hAnsi="Times New Roman" w:cs="Times New Roman"/>
        </w:rPr>
      </w:pPr>
      <w:r w:rsidRPr="00DB0DEF">
        <w:rPr>
          <w:rFonts w:ascii="Times New Roman" w:hAnsi="Times New Roman" w:cs="Times New Roman"/>
        </w:rPr>
        <w:t>Formül (3)</w:t>
      </w:r>
    </w:p>
    <w:p w14:paraId="78A9CF9B" w14:textId="0457C236" w:rsidR="00D40ACF" w:rsidRPr="00DB0DEF" w:rsidRDefault="00D40ACF" w:rsidP="00D40ACF">
      <w:pPr>
        <w:spacing w:after="120"/>
        <w:ind w:firstLine="426"/>
        <w:contextualSpacing/>
        <w:jc w:val="both"/>
        <w:rPr>
          <w:rFonts w:ascii="Times New Roman" w:hAnsi="Times New Roman" w:cs="Times New Roman"/>
        </w:rPr>
      </w:pPr>
    </w:p>
    <w:p w14:paraId="6EEA85FB" w14:textId="77777777" w:rsidR="00DB0DEF" w:rsidRPr="00DB0DEF" w:rsidRDefault="00DB0DEF" w:rsidP="001F5FB5">
      <w:pPr>
        <w:spacing w:after="120"/>
        <w:ind w:firstLine="425"/>
        <w:jc w:val="both"/>
        <w:rPr>
          <w:rFonts w:ascii="Times New Roman" w:hAnsi="Times New Roman" w:cs="Times New Roman"/>
        </w:rPr>
      </w:pPr>
    </w:p>
    <w:p w14:paraId="3664849D" w14:textId="316E48C5" w:rsidR="00F10978" w:rsidRPr="00DB0DEF" w:rsidRDefault="00F10978" w:rsidP="001F5FB5">
      <w:pPr>
        <w:spacing w:after="120"/>
        <w:ind w:firstLine="425"/>
        <w:jc w:val="both"/>
        <w:rPr>
          <w:rFonts w:ascii="Times New Roman" w:hAnsi="Times New Roman" w:cs="Times New Roman"/>
        </w:rPr>
      </w:pPr>
      <w:r w:rsidRPr="00DB0DEF">
        <w:rPr>
          <w:rFonts w:ascii="Times New Roman" w:hAnsi="Times New Roman" w:cs="Times New Roman"/>
        </w:rPr>
        <w:t xml:space="preserve">Burada hesaplanacak </w:t>
      </w:r>
      <w:r w:rsidRPr="00DB0DEF">
        <w:rPr>
          <w:rFonts w:ascii="Times New Roman" w:hAnsi="Times New Roman" w:cs="Times New Roman"/>
          <w:i/>
          <w:iCs/>
        </w:rPr>
        <w:t>Si</w:t>
      </w:r>
      <w:r w:rsidRPr="00DB0DEF">
        <w:rPr>
          <w:rFonts w:ascii="Times New Roman" w:hAnsi="Times New Roman" w:cs="Times New Roman"/>
        </w:rPr>
        <w:t xml:space="preserve">* ve </w:t>
      </w:r>
      <w:r w:rsidRPr="00DB0DEF">
        <w:rPr>
          <w:rFonts w:ascii="Times New Roman" w:hAnsi="Times New Roman" w:cs="Times New Roman"/>
          <w:i/>
          <w:iCs/>
        </w:rPr>
        <w:t>Si</w:t>
      </w:r>
      <w:r w:rsidRPr="00DB0DEF">
        <w:rPr>
          <w:rFonts w:ascii="Times New Roman" w:hAnsi="Times New Roman" w:cs="Times New Roman"/>
        </w:rPr>
        <w:sym w:font="Symbol" w:char="F02D"/>
      </w:r>
      <w:r w:rsidRPr="00DB0DEF">
        <w:rPr>
          <w:rFonts w:ascii="Times New Roman" w:hAnsi="Times New Roman" w:cs="Times New Roman"/>
        </w:rPr>
        <w:t xml:space="preserve"> sayısı karar noktası sayısı kadar olacaktır.</w:t>
      </w:r>
    </w:p>
    <w:p w14:paraId="04FBEEC6" w14:textId="2C77C006" w:rsidR="00F10978" w:rsidRPr="00DB0DEF" w:rsidRDefault="00F10978"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6</w:t>
      </w:r>
      <w:r w:rsidR="00722CD4" w:rsidRPr="00DB0DEF">
        <w:rPr>
          <w:rFonts w:ascii="Times New Roman" w:hAnsi="Times New Roman" w:cs="Times New Roman"/>
          <w:b/>
          <w:bCs/>
        </w:rPr>
        <w:t>--</w:t>
      </w:r>
      <w:r w:rsidRPr="00DB0DEF">
        <w:rPr>
          <w:rFonts w:ascii="Times New Roman" w:hAnsi="Times New Roman" w:cs="Times New Roman"/>
          <w:b/>
          <w:bCs/>
        </w:rPr>
        <w:t xml:space="preserve">İdeal Çözüme Göreli Yakınlığın Hesaplanması: </w:t>
      </w:r>
      <w:r w:rsidR="00722CD4" w:rsidRPr="00DB0DEF">
        <w:rPr>
          <w:rFonts w:ascii="Times New Roman" w:hAnsi="Times New Roman" w:cs="Times New Roman"/>
        </w:rPr>
        <w:t>Bu aşamada</w:t>
      </w:r>
      <w:r w:rsidR="00722CD4" w:rsidRPr="00DB0DEF">
        <w:rPr>
          <w:rFonts w:ascii="Times New Roman" w:hAnsi="Times New Roman" w:cs="Times New Roman"/>
          <w:b/>
          <w:bCs/>
        </w:rPr>
        <w:t xml:space="preserve"> </w:t>
      </w:r>
      <w:r w:rsidR="00722CD4" w:rsidRPr="00DB0DEF">
        <w:rPr>
          <w:rFonts w:ascii="Times New Roman" w:hAnsi="Times New Roman" w:cs="Times New Roman"/>
        </w:rPr>
        <w:t>h</w:t>
      </w:r>
      <w:r w:rsidRPr="00DB0DEF">
        <w:rPr>
          <w:rFonts w:ascii="Times New Roman" w:hAnsi="Times New Roman" w:cs="Times New Roman"/>
        </w:rPr>
        <w:t xml:space="preserve">er bir karar noktasının ideal çözüme </w:t>
      </w:r>
      <w:r w:rsidR="00722CD4" w:rsidRPr="00DB0DEF">
        <w:rPr>
          <w:rFonts w:ascii="Times New Roman" w:hAnsi="Times New Roman" w:cs="Times New Roman"/>
        </w:rPr>
        <w:t>göreceli</w:t>
      </w:r>
      <w:r w:rsidRPr="00DB0DEF">
        <w:rPr>
          <w:rFonts w:ascii="Times New Roman" w:hAnsi="Times New Roman" w:cs="Times New Roman"/>
        </w:rPr>
        <w:t xml:space="preserve"> yakınlığının ( </w:t>
      </w:r>
      <w:r w:rsidR="00B80760" w:rsidRPr="00DB0DEF">
        <w:rPr>
          <w:rFonts w:ascii="Times New Roman" w:hAnsi="Times New Roman" w:cs="Times New Roman"/>
          <w:i/>
          <w:iCs/>
        </w:rPr>
        <w:t>P</w:t>
      </w:r>
      <w:r w:rsidRPr="00DB0DEF">
        <w:rPr>
          <w:rFonts w:ascii="Times New Roman" w:hAnsi="Times New Roman" w:cs="Times New Roman"/>
          <w:i/>
          <w:iCs/>
        </w:rPr>
        <w:t>i</w:t>
      </w:r>
      <w:r w:rsidRPr="00DB0DEF">
        <w:rPr>
          <w:rFonts w:ascii="Times New Roman" w:hAnsi="Times New Roman" w:cs="Times New Roman"/>
        </w:rPr>
        <w:t>* ) hesaplanmasında ideal ve negatif ideal ayrım ölçülerinden yararlanılır. Bu</w:t>
      </w:r>
      <w:r w:rsidR="004C3AEA" w:rsidRPr="00DB0DEF">
        <w:rPr>
          <w:rFonts w:ascii="Times New Roman" w:hAnsi="Times New Roman" w:cs="Times New Roman"/>
        </w:rPr>
        <w:t xml:space="preserve"> aşamada</w:t>
      </w:r>
      <w:r w:rsidRPr="00DB0DEF">
        <w:rPr>
          <w:rFonts w:ascii="Times New Roman" w:hAnsi="Times New Roman" w:cs="Times New Roman"/>
        </w:rPr>
        <w:t xml:space="preserve"> kullanılan ölçüt, negatif ideal ayrım ölçüsünün toplam ayrım ölçüsü içindeki payıdır. İdeal çözüme göreli yakınlık değerinin hesaplanması aşağıdaki formülde gösterilmiştir</w:t>
      </w:r>
      <w:r w:rsidR="00F26E95" w:rsidRPr="00DB0DEF">
        <w:rPr>
          <w:rFonts w:ascii="Times New Roman" w:hAnsi="Times New Roman" w:cs="Times New Roman"/>
        </w:rPr>
        <w:t xml:space="preserve"> (4)</w:t>
      </w:r>
      <w:r w:rsidRPr="00DB0DEF">
        <w:rPr>
          <w:rFonts w:ascii="Times New Roman" w:hAnsi="Times New Roman" w:cs="Times New Roman"/>
        </w:rPr>
        <w:t>.</w:t>
      </w:r>
    </w:p>
    <w:p w14:paraId="162FF392" w14:textId="39E13EA1" w:rsidR="00505761" w:rsidRPr="00DB0DEF" w:rsidRDefault="008F3455" w:rsidP="00D40ACF">
      <w:pPr>
        <w:spacing w:after="120"/>
        <w:ind w:firstLine="426"/>
        <w:contextualSpacing/>
        <w:jc w:val="both"/>
        <w:rPr>
          <w:rFonts w:ascii="Times New Roman" w:hAnsi="Times New Roman" w:cs="Times New Roman"/>
        </w:rPr>
      </w:pPr>
      <w:r w:rsidRPr="00DB0DEF">
        <w:rPr>
          <w:rFonts w:ascii="Times New Roman" w:hAnsi="Times New Roman" w:cs="Times New Roman"/>
          <w:sz w:val="20"/>
          <w:szCs w:val="20"/>
        </w:rPr>
        <w:pict w14:anchorId="5BCD93BF">
          <v:shape id="_x0000_s2097" type="#_x0000_t75" style="position:absolute;left:0;text-align:left;margin-left:129.4pt;margin-top:6.35pt;width:175.75pt;height:40.55pt;z-index:251670528" filled="t" stroked="t">
            <v:imagedata r:id="rId12" o:title=""/>
          </v:shape>
        </w:pict>
      </w:r>
    </w:p>
    <w:p w14:paraId="3E20AA4F" w14:textId="484FD668" w:rsidR="00F10978" w:rsidRPr="00DB0DEF" w:rsidRDefault="00F10978" w:rsidP="00D40ACF">
      <w:pPr>
        <w:spacing w:after="120"/>
        <w:ind w:firstLine="426"/>
        <w:contextualSpacing/>
        <w:jc w:val="both"/>
        <w:rPr>
          <w:rFonts w:ascii="Times New Roman" w:hAnsi="Times New Roman" w:cs="Times New Roman"/>
          <w:sz w:val="20"/>
          <w:szCs w:val="20"/>
        </w:rPr>
      </w:pPr>
    </w:p>
    <w:p w14:paraId="513D4816" w14:textId="4941D961" w:rsidR="00B80760" w:rsidRPr="00DB0DEF" w:rsidRDefault="00A0459A" w:rsidP="00D40ACF">
      <w:pPr>
        <w:spacing w:after="120"/>
        <w:ind w:firstLine="426"/>
        <w:contextualSpacing/>
        <w:jc w:val="both"/>
        <w:rPr>
          <w:rFonts w:ascii="Times New Roman" w:hAnsi="Times New Roman" w:cs="Times New Roman"/>
          <w:sz w:val="20"/>
          <w:szCs w:val="20"/>
        </w:rPr>
      </w:pP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r>
      <w:r w:rsidRPr="00DB0DEF">
        <w:rPr>
          <w:rFonts w:ascii="Times New Roman" w:hAnsi="Times New Roman" w:cs="Times New Roman"/>
          <w:sz w:val="20"/>
          <w:szCs w:val="20"/>
        </w:rPr>
        <w:tab/>
        <w:t>Formül (4)</w:t>
      </w:r>
    </w:p>
    <w:p w14:paraId="3C0E62C0" w14:textId="77777777" w:rsidR="0014090C" w:rsidRPr="00DB0DEF" w:rsidRDefault="0014090C" w:rsidP="00D40ACF">
      <w:pPr>
        <w:spacing w:after="120"/>
        <w:ind w:firstLine="426"/>
        <w:contextualSpacing/>
        <w:jc w:val="both"/>
        <w:rPr>
          <w:rFonts w:ascii="Times New Roman" w:hAnsi="Times New Roman" w:cs="Times New Roman"/>
          <w:sz w:val="20"/>
          <w:szCs w:val="20"/>
        </w:rPr>
      </w:pPr>
    </w:p>
    <w:p w14:paraId="2F2F4E81" w14:textId="00485F1E" w:rsidR="00F10978" w:rsidRPr="00DB0DEF" w:rsidRDefault="00F10978" w:rsidP="001F5FB5">
      <w:pPr>
        <w:spacing w:after="120"/>
        <w:ind w:firstLine="425"/>
        <w:jc w:val="both"/>
        <w:rPr>
          <w:rFonts w:ascii="Times New Roman" w:hAnsi="Times New Roman" w:cs="Times New Roman"/>
        </w:rPr>
      </w:pPr>
      <w:r w:rsidRPr="00DB0DEF">
        <w:rPr>
          <w:rFonts w:ascii="Times New Roman" w:hAnsi="Times New Roman" w:cs="Times New Roman"/>
        </w:rPr>
        <w:t xml:space="preserve">Burada  </w:t>
      </w:r>
      <w:r w:rsidR="00B80760" w:rsidRPr="00DB0DEF">
        <w:rPr>
          <w:rFonts w:ascii="Times New Roman" w:hAnsi="Times New Roman" w:cs="Times New Roman"/>
          <w:i/>
          <w:iCs/>
        </w:rPr>
        <w:t>P</w:t>
      </w:r>
      <w:r w:rsidRPr="00DB0DEF">
        <w:rPr>
          <w:rFonts w:ascii="Times New Roman" w:hAnsi="Times New Roman" w:cs="Times New Roman"/>
          <w:i/>
          <w:iCs/>
        </w:rPr>
        <w:t>i</w:t>
      </w:r>
      <w:r w:rsidR="00B80760" w:rsidRPr="00DB0DEF">
        <w:rPr>
          <w:rFonts w:ascii="Times New Roman" w:hAnsi="Times New Roman" w:cs="Times New Roman"/>
        </w:rPr>
        <w:t>*</w:t>
      </w:r>
      <w:r w:rsidRPr="00DB0DEF">
        <w:rPr>
          <w:rFonts w:ascii="Times New Roman" w:hAnsi="Times New Roman" w:cs="Times New Roman"/>
          <w:i/>
          <w:iCs/>
        </w:rPr>
        <w:t xml:space="preserve"> </w:t>
      </w:r>
      <w:r w:rsidRPr="00DB0DEF">
        <w:rPr>
          <w:rFonts w:ascii="Times New Roman" w:hAnsi="Times New Roman" w:cs="Times New Roman"/>
        </w:rPr>
        <w:t xml:space="preserve">değeri 0 </w:t>
      </w:r>
      <w:r w:rsidRPr="00DB0DEF">
        <w:rPr>
          <w:rFonts w:ascii="Times New Roman" w:hAnsi="Times New Roman" w:cs="Times New Roman"/>
        </w:rPr>
        <w:sym w:font="Symbol" w:char="F0A3"/>
      </w:r>
      <w:r w:rsidRPr="00DB0DEF">
        <w:rPr>
          <w:rFonts w:ascii="Times New Roman" w:hAnsi="Times New Roman" w:cs="Times New Roman"/>
        </w:rPr>
        <w:t xml:space="preserve"> </w:t>
      </w:r>
      <w:r w:rsidR="00B80760" w:rsidRPr="00DB0DEF">
        <w:rPr>
          <w:rFonts w:ascii="Times New Roman" w:hAnsi="Times New Roman" w:cs="Times New Roman"/>
          <w:i/>
          <w:iCs/>
        </w:rPr>
        <w:t>P</w:t>
      </w:r>
      <w:r w:rsidRPr="00DB0DEF">
        <w:rPr>
          <w:rFonts w:ascii="Times New Roman" w:hAnsi="Times New Roman" w:cs="Times New Roman"/>
          <w:i/>
          <w:iCs/>
        </w:rPr>
        <w:t>i</w:t>
      </w:r>
      <w:r w:rsidRPr="00DB0DEF">
        <w:rPr>
          <w:rFonts w:ascii="Times New Roman" w:hAnsi="Times New Roman" w:cs="Times New Roman"/>
        </w:rPr>
        <w:t xml:space="preserve">* </w:t>
      </w:r>
      <w:r w:rsidRPr="00DB0DEF">
        <w:rPr>
          <w:rFonts w:ascii="Times New Roman" w:hAnsi="Times New Roman" w:cs="Times New Roman"/>
        </w:rPr>
        <w:sym w:font="Symbol" w:char="F0A3"/>
      </w:r>
      <w:r w:rsidRPr="00DB0DEF">
        <w:rPr>
          <w:rFonts w:ascii="Times New Roman" w:hAnsi="Times New Roman" w:cs="Times New Roman"/>
        </w:rPr>
        <w:t xml:space="preserve"> 1 aralığında değer alır ve </w:t>
      </w:r>
      <w:r w:rsidR="00B80760" w:rsidRPr="00DB0DEF">
        <w:rPr>
          <w:rFonts w:ascii="Times New Roman" w:hAnsi="Times New Roman" w:cs="Times New Roman"/>
          <w:i/>
          <w:iCs/>
        </w:rPr>
        <w:t>P</w:t>
      </w:r>
      <w:r w:rsidRPr="00DB0DEF">
        <w:rPr>
          <w:rFonts w:ascii="Times New Roman" w:hAnsi="Times New Roman" w:cs="Times New Roman"/>
          <w:i/>
          <w:iCs/>
        </w:rPr>
        <w:t>i</w:t>
      </w:r>
      <w:r w:rsidRPr="00DB0DEF">
        <w:rPr>
          <w:rFonts w:ascii="Times New Roman" w:hAnsi="Times New Roman" w:cs="Times New Roman"/>
        </w:rPr>
        <w:t xml:space="preserve">* </w:t>
      </w:r>
      <w:r w:rsidRPr="00DB0DEF">
        <w:rPr>
          <w:rFonts w:ascii="Times New Roman" w:hAnsi="Times New Roman" w:cs="Times New Roman"/>
        </w:rPr>
        <w:sym w:font="Symbol" w:char="F03D"/>
      </w:r>
      <w:r w:rsidRPr="00DB0DEF">
        <w:rPr>
          <w:rFonts w:ascii="Times New Roman" w:hAnsi="Times New Roman" w:cs="Times New Roman"/>
        </w:rPr>
        <w:t xml:space="preserve"> 1 ilgili karar noktasının ideal çözüme, </w:t>
      </w:r>
      <w:r w:rsidR="00B80760" w:rsidRPr="00DB0DEF">
        <w:rPr>
          <w:rFonts w:ascii="Times New Roman" w:hAnsi="Times New Roman" w:cs="Times New Roman"/>
          <w:i/>
          <w:iCs/>
        </w:rPr>
        <w:t>P</w:t>
      </w:r>
      <w:r w:rsidRPr="00DB0DEF">
        <w:rPr>
          <w:rFonts w:ascii="Times New Roman" w:hAnsi="Times New Roman" w:cs="Times New Roman"/>
          <w:i/>
          <w:iCs/>
        </w:rPr>
        <w:t>i</w:t>
      </w:r>
      <w:r w:rsidRPr="00DB0DEF">
        <w:rPr>
          <w:rFonts w:ascii="Times New Roman" w:hAnsi="Times New Roman" w:cs="Times New Roman"/>
        </w:rPr>
        <w:t xml:space="preserve">* </w:t>
      </w:r>
      <w:r w:rsidRPr="00DB0DEF">
        <w:rPr>
          <w:rFonts w:ascii="Times New Roman" w:hAnsi="Times New Roman" w:cs="Times New Roman"/>
        </w:rPr>
        <w:sym w:font="Symbol" w:char="F03D"/>
      </w:r>
      <w:r w:rsidRPr="00DB0DEF">
        <w:rPr>
          <w:rFonts w:ascii="Times New Roman" w:hAnsi="Times New Roman" w:cs="Times New Roman"/>
        </w:rPr>
        <w:t xml:space="preserve"> 0 ilgili karar noktasının negatif ideal çözüme mutlak yakınlığını göster</w:t>
      </w:r>
      <w:r w:rsidR="00722CD4" w:rsidRPr="00DB0DEF">
        <w:rPr>
          <w:rFonts w:ascii="Times New Roman" w:hAnsi="Times New Roman" w:cs="Times New Roman"/>
        </w:rPr>
        <w:t>mektedir.</w:t>
      </w:r>
    </w:p>
    <w:p w14:paraId="75087406" w14:textId="292E6D95" w:rsidR="00F10978" w:rsidRPr="00DB0DEF" w:rsidRDefault="00F10978" w:rsidP="001F5FB5">
      <w:pPr>
        <w:spacing w:before="120" w:after="120"/>
        <w:ind w:firstLine="425"/>
        <w:jc w:val="both"/>
        <w:rPr>
          <w:rFonts w:ascii="Times New Roman" w:hAnsi="Times New Roman" w:cs="Times New Roman"/>
        </w:rPr>
      </w:pPr>
      <w:r w:rsidRPr="00DB0DEF">
        <w:rPr>
          <w:rFonts w:ascii="Times New Roman" w:hAnsi="Times New Roman" w:cs="Times New Roman"/>
          <w:b/>
          <w:bCs/>
        </w:rPr>
        <w:t>Adım 7</w:t>
      </w:r>
      <w:r w:rsidR="00722CD4" w:rsidRPr="00DB0DEF">
        <w:rPr>
          <w:rFonts w:ascii="Times New Roman" w:hAnsi="Times New Roman" w:cs="Times New Roman"/>
          <w:b/>
          <w:bCs/>
        </w:rPr>
        <w:t>--</w:t>
      </w:r>
      <w:r w:rsidRPr="00DB0DEF">
        <w:rPr>
          <w:rFonts w:ascii="Times New Roman" w:hAnsi="Times New Roman" w:cs="Times New Roman"/>
          <w:b/>
          <w:bCs/>
        </w:rPr>
        <w:t xml:space="preserve"> Her Bir Alternatifin Göreceli Sıralamasının ve Puanının Bulunması:  </w:t>
      </w:r>
      <w:r w:rsidRPr="00DB0DEF">
        <w:rPr>
          <w:rFonts w:ascii="Times New Roman" w:hAnsi="Times New Roman" w:cs="Times New Roman"/>
        </w:rPr>
        <w:t>Bir önceki adımda elde edilen değerler, büyüklük sırasına göre dizilerek karar noktalarının (alternatiflerin) önem sıraları belirlenmektedir.</w:t>
      </w:r>
    </w:p>
    <w:p w14:paraId="2E6A1CFD" w14:textId="2E32E601" w:rsidR="00067219" w:rsidRPr="00DB0DEF" w:rsidRDefault="00615829" w:rsidP="00D40ACF">
      <w:pPr>
        <w:pStyle w:val="Balk1"/>
        <w:numPr>
          <w:ilvl w:val="0"/>
          <w:numId w:val="2"/>
        </w:numPr>
        <w:tabs>
          <w:tab w:val="left" w:pos="851"/>
        </w:tabs>
        <w:spacing w:before="0" w:after="120" w:line="276" w:lineRule="auto"/>
        <w:ind w:left="0" w:firstLine="426"/>
        <w:contextualSpacing/>
        <w:rPr>
          <w:rFonts w:cs="Times New Roman"/>
          <w:sz w:val="22"/>
          <w:szCs w:val="22"/>
        </w:rPr>
      </w:pPr>
      <w:r w:rsidRPr="00DB0DEF">
        <w:rPr>
          <w:rFonts w:cs="Times New Roman"/>
          <w:sz w:val="22"/>
          <w:szCs w:val="22"/>
        </w:rPr>
        <w:t>Araştırmanın Bulguları</w:t>
      </w:r>
    </w:p>
    <w:p w14:paraId="3A4F4CB8" w14:textId="6F797515" w:rsidR="005A4138" w:rsidRPr="00DB0DEF" w:rsidRDefault="00EF4A53" w:rsidP="004F78C1">
      <w:pPr>
        <w:pStyle w:val="ListeParagraf"/>
        <w:tabs>
          <w:tab w:val="left" w:pos="993"/>
        </w:tabs>
        <w:spacing w:before="120" w:after="120"/>
        <w:ind w:left="0" w:firstLine="425"/>
        <w:contextualSpacing w:val="0"/>
        <w:jc w:val="both"/>
        <w:rPr>
          <w:rFonts w:ascii="Times New Roman" w:hAnsi="Times New Roman" w:cs="Times New Roman"/>
        </w:rPr>
      </w:pPr>
      <w:r w:rsidRPr="00DB0DEF">
        <w:rPr>
          <w:rFonts w:ascii="Times New Roman" w:hAnsi="Times New Roman" w:cs="Times New Roman"/>
        </w:rPr>
        <w:t xml:space="preserve">Araştırmada kapsam olarak belirlenen </w:t>
      </w:r>
      <w:r w:rsidR="003877B8" w:rsidRPr="00DB0DEF">
        <w:rPr>
          <w:rFonts w:ascii="Times New Roman" w:hAnsi="Times New Roman" w:cs="Times New Roman"/>
        </w:rPr>
        <w:t>Alarko Holding A.Ş</w:t>
      </w:r>
      <w:r w:rsidRPr="00DB0DEF">
        <w:rPr>
          <w:rFonts w:ascii="Times New Roman" w:hAnsi="Times New Roman" w:cs="Times New Roman"/>
        </w:rPr>
        <w:t>’nin</w:t>
      </w:r>
      <w:r w:rsidR="003877B8" w:rsidRPr="00DB0DEF">
        <w:rPr>
          <w:rFonts w:ascii="Times New Roman" w:hAnsi="Times New Roman" w:cs="Times New Roman"/>
        </w:rPr>
        <w:t xml:space="preserve"> Konsolide Finansal Tablolar </w:t>
      </w:r>
      <w:r w:rsidRPr="00DB0DEF">
        <w:rPr>
          <w:rFonts w:ascii="Times New Roman" w:hAnsi="Times New Roman" w:cs="Times New Roman"/>
        </w:rPr>
        <w:t>v</w:t>
      </w:r>
      <w:r w:rsidR="003877B8" w:rsidRPr="00DB0DEF">
        <w:rPr>
          <w:rFonts w:ascii="Times New Roman" w:hAnsi="Times New Roman" w:cs="Times New Roman"/>
        </w:rPr>
        <w:t xml:space="preserve">e Bağımsız Denetçi Raporu’nda “Bölümlere Göre Raporlama” bölümünde </w:t>
      </w:r>
      <w:r w:rsidR="004C3AEA" w:rsidRPr="00DB0DEF">
        <w:rPr>
          <w:rFonts w:ascii="Times New Roman" w:hAnsi="Times New Roman" w:cs="Times New Roman"/>
        </w:rPr>
        <w:t>Holdingin bünyesinde</w:t>
      </w:r>
      <w:r w:rsidR="005A4138" w:rsidRPr="00DB0DEF">
        <w:rPr>
          <w:rFonts w:ascii="Times New Roman" w:hAnsi="Times New Roman" w:cs="Times New Roman"/>
          <w:color w:val="000000"/>
        </w:rPr>
        <w:t xml:space="preserve"> taahhüt, inşaat, </w:t>
      </w:r>
      <w:r w:rsidR="004C3AEA" w:rsidRPr="00DB0DEF">
        <w:rPr>
          <w:rFonts w:ascii="Times New Roman" w:hAnsi="Times New Roman" w:cs="Times New Roman"/>
          <w:color w:val="000000"/>
        </w:rPr>
        <w:t xml:space="preserve">sanayi ve ticaret, </w:t>
      </w:r>
      <w:r w:rsidR="005A4138" w:rsidRPr="00DB0DEF">
        <w:rPr>
          <w:rFonts w:ascii="Times New Roman" w:hAnsi="Times New Roman" w:cs="Times New Roman"/>
          <w:color w:val="000000"/>
        </w:rPr>
        <w:t xml:space="preserve">arazi geliştirme, </w:t>
      </w:r>
      <w:r w:rsidR="004C3AEA" w:rsidRPr="00DB0DEF">
        <w:rPr>
          <w:rFonts w:ascii="Times New Roman" w:hAnsi="Times New Roman" w:cs="Times New Roman"/>
          <w:color w:val="000000"/>
        </w:rPr>
        <w:t xml:space="preserve">enerji, </w:t>
      </w:r>
      <w:r w:rsidR="005A4138" w:rsidRPr="00DB0DEF">
        <w:rPr>
          <w:rFonts w:ascii="Times New Roman" w:hAnsi="Times New Roman" w:cs="Times New Roman"/>
          <w:color w:val="000000"/>
        </w:rPr>
        <w:t xml:space="preserve">turizm </w:t>
      </w:r>
      <w:r w:rsidR="004C3AEA" w:rsidRPr="00DB0DEF">
        <w:rPr>
          <w:rFonts w:ascii="Times New Roman" w:hAnsi="Times New Roman" w:cs="Times New Roman"/>
          <w:color w:val="000000"/>
        </w:rPr>
        <w:t xml:space="preserve">konularında </w:t>
      </w:r>
      <w:r w:rsidR="005A4138" w:rsidRPr="00DB0DEF">
        <w:rPr>
          <w:rFonts w:ascii="Times New Roman" w:hAnsi="Times New Roman" w:cs="Times New Roman"/>
          <w:color w:val="000000"/>
        </w:rPr>
        <w:t>faaliyet gösteren şirketler bulun</w:t>
      </w:r>
      <w:r w:rsidR="004C3AEA" w:rsidRPr="00DB0DEF">
        <w:rPr>
          <w:rFonts w:ascii="Times New Roman" w:hAnsi="Times New Roman" w:cs="Times New Roman"/>
          <w:color w:val="000000"/>
        </w:rPr>
        <w:t>duğu ifade edilmiştir. Ayrıca</w:t>
      </w:r>
      <w:r w:rsidR="005A4138" w:rsidRPr="00DB0DEF">
        <w:rPr>
          <w:rFonts w:ascii="Times New Roman" w:hAnsi="Times New Roman" w:cs="Times New Roman"/>
          <w:color w:val="000000"/>
        </w:rPr>
        <w:t xml:space="preserve"> </w:t>
      </w:r>
      <w:r w:rsidR="004C3AEA" w:rsidRPr="00DB0DEF">
        <w:rPr>
          <w:rFonts w:ascii="Times New Roman" w:hAnsi="Times New Roman" w:cs="Times New Roman"/>
          <w:color w:val="000000"/>
        </w:rPr>
        <w:t xml:space="preserve">Alarko </w:t>
      </w:r>
      <w:r w:rsidR="005A4138" w:rsidRPr="00DB0DEF">
        <w:rPr>
          <w:rFonts w:ascii="Times New Roman" w:hAnsi="Times New Roman" w:cs="Times New Roman"/>
          <w:color w:val="000000"/>
        </w:rPr>
        <w:t xml:space="preserve">Holding </w:t>
      </w:r>
      <w:r w:rsidR="004C3AEA" w:rsidRPr="00DB0DEF">
        <w:rPr>
          <w:rFonts w:ascii="Times New Roman" w:hAnsi="Times New Roman" w:cs="Times New Roman"/>
          <w:color w:val="000000"/>
        </w:rPr>
        <w:t xml:space="preserve">bünyesinde bulunan </w:t>
      </w:r>
      <w:r w:rsidR="005A4138" w:rsidRPr="00DB0DEF">
        <w:rPr>
          <w:rFonts w:ascii="Times New Roman" w:hAnsi="Times New Roman" w:cs="Times New Roman"/>
          <w:color w:val="000000"/>
        </w:rPr>
        <w:t xml:space="preserve"> </w:t>
      </w:r>
      <w:r w:rsidR="005A4138" w:rsidRPr="00DB0DEF">
        <w:rPr>
          <w:rFonts w:ascii="Times New Roman" w:hAnsi="Times New Roman" w:cs="Times New Roman"/>
          <w:b/>
          <w:bCs/>
          <w:color w:val="000000"/>
        </w:rPr>
        <w:t xml:space="preserve">Alyat </w:t>
      </w:r>
      <w:r w:rsidR="005A4138" w:rsidRPr="00DB0DEF">
        <w:rPr>
          <w:rFonts w:ascii="Times New Roman" w:hAnsi="Times New Roman" w:cs="Times New Roman"/>
          <w:color w:val="000000"/>
        </w:rPr>
        <w:t>Teknoloji Yatırımları Holding A.Ş.</w:t>
      </w:r>
      <w:r w:rsidR="004C3AEA" w:rsidRPr="00DB0DEF">
        <w:rPr>
          <w:rFonts w:ascii="Times New Roman" w:hAnsi="Times New Roman" w:cs="Times New Roman"/>
          <w:color w:val="000000"/>
        </w:rPr>
        <w:t>’nin faaliyet bölümlerinde “Holding” başlığı altında yer aldığı</w:t>
      </w:r>
      <w:r w:rsidR="005A4138" w:rsidRPr="00DB0DEF">
        <w:rPr>
          <w:rFonts w:ascii="Times New Roman" w:hAnsi="Times New Roman" w:cs="Times New Roman"/>
          <w:color w:val="000000"/>
        </w:rPr>
        <w:t xml:space="preserve"> </w:t>
      </w:r>
      <w:r w:rsidR="004C3AEA" w:rsidRPr="00DB0DEF">
        <w:rPr>
          <w:rFonts w:ascii="Times New Roman" w:hAnsi="Times New Roman" w:cs="Times New Roman"/>
          <w:color w:val="000000"/>
        </w:rPr>
        <w:t>beyan edilmiştir.</w:t>
      </w:r>
    </w:p>
    <w:p w14:paraId="7E824729" w14:textId="34D168AB" w:rsidR="005A4138" w:rsidRPr="00DB0DEF" w:rsidRDefault="005A4138" w:rsidP="001F5FB5">
      <w:pPr>
        <w:pStyle w:val="ListeParagraf"/>
        <w:tabs>
          <w:tab w:val="left" w:pos="993"/>
        </w:tabs>
        <w:spacing w:after="120"/>
        <w:ind w:left="0" w:firstLine="425"/>
        <w:contextualSpacing w:val="0"/>
        <w:jc w:val="both"/>
        <w:rPr>
          <w:rFonts w:ascii="Times New Roman" w:hAnsi="Times New Roman" w:cs="Times New Roman"/>
        </w:rPr>
      </w:pPr>
      <w:r w:rsidRPr="00DB0DEF">
        <w:rPr>
          <w:rFonts w:ascii="Times New Roman" w:hAnsi="Times New Roman" w:cs="Times New Roman"/>
        </w:rPr>
        <w:t>Bu açıklamalar çerçevesinden ALARKO Holding’in aşağıdaki bölümlere göre raporlama yaptığı görülmektedir:</w:t>
      </w:r>
    </w:p>
    <w:p w14:paraId="54D93FA1" w14:textId="1881B6E1" w:rsidR="005A4138" w:rsidRPr="00DB0DEF" w:rsidRDefault="005A4138" w:rsidP="00D40ACF">
      <w:pPr>
        <w:pStyle w:val="ListeParagraf"/>
        <w:numPr>
          <w:ilvl w:val="0"/>
          <w:numId w:val="4"/>
        </w:numPr>
        <w:tabs>
          <w:tab w:val="left" w:pos="709"/>
        </w:tabs>
        <w:spacing w:after="120"/>
        <w:ind w:left="0" w:firstLine="426"/>
        <w:rPr>
          <w:rFonts w:ascii="Times New Roman" w:hAnsi="Times New Roman" w:cs="Times New Roman"/>
        </w:rPr>
      </w:pPr>
      <w:r w:rsidRPr="00DB0DEF">
        <w:rPr>
          <w:rFonts w:ascii="Times New Roman" w:hAnsi="Times New Roman" w:cs="Times New Roman"/>
        </w:rPr>
        <w:t xml:space="preserve">Holding </w:t>
      </w:r>
    </w:p>
    <w:p w14:paraId="2CB1F10D" w14:textId="60A92ABB" w:rsidR="003877B8" w:rsidRPr="00DB0DEF" w:rsidRDefault="003877B8" w:rsidP="00D40ACF">
      <w:pPr>
        <w:pStyle w:val="ListeParagraf"/>
        <w:numPr>
          <w:ilvl w:val="0"/>
          <w:numId w:val="4"/>
        </w:numPr>
        <w:tabs>
          <w:tab w:val="left" w:pos="709"/>
        </w:tabs>
        <w:spacing w:after="120"/>
        <w:ind w:left="0" w:firstLine="426"/>
        <w:rPr>
          <w:rFonts w:ascii="Times New Roman" w:hAnsi="Times New Roman" w:cs="Times New Roman"/>
        </w:rPr>
      </w:pPr>
      <w:r w:rsidRPr="00DB0DEF">
        <w:rPr>
          <w:rFonts w:ascii="Times New Roman" w:hAnsi="Times New Roman" w:cs="Times New Roman"/>
        </w:rPr>
        <w:t xml:space="preserve">Turizm </w:t>
      </w:r>
    </w:p>
    <w:p w14:paraId="417946FB" w14:textId="7046F118" w:rsidR="003877B8" w:rsidRPr="00DB0DEF" w:rsidRDefault="003877B8" w:rsidP="00D40ACF">
      <w:pPr>
        <w:pStyle w:val="ListeParagraf"/>
        <w:numPr>
          <w:ilvl w:val="0"/>
          <w:numId w:val="4"/>
        </w:numPr>
        <w:tabs>
          <w:tab w:val="left" w:pos="709"/>
        </w:tabs>
        <w:spacing w:after="120"/>
        <w:ind w:left="0" w:firstLine="426"/>
        <w:rPr>
          <w:rFonts w:ascii="Times New Roman" w:hAnsi="Times New Roman" w:cs="Times New Roman"/>
        </w:rPr>
      </w:pPr>
      <w:r w:rsidRPr="00DB0DEF">
        <w:rPr>
          <w:rFonts w:ascii="Times New Roman" w:hAnsi="Times New Roman" w:cs="Times New Roman"/>
        </w:rPr>
        <w:t xml:space="preserve">Sanayi ve Ticaret </w:t>
      </w:r>
    </w:p>
    <w:p w14:paraId="64A4DB0E" w14:textId="77777777" w:rsidR="003877B8" w:rsidRPr="00DB0DEF" w:rsidRDefault="003877B8" w:rsidP="00D40ACF">
      <w:pPr>
        <w:pStyle w:val="ListeParagraf"/>
        <w:numPr>
          <w:ilvl w:val="0"/>
          <w:numId w:val="4"/>
        </w:numPr>
        <w:tabs>
          <w:tab w:val="left" w:pos="709"/>
        </w:tabs>
        <w:spacing w:after="120"/>
        <w:ind w:left="0" w:firstLine="426"/>
        <w:rPr>
          <w:rFonts w:ascii="Times New Roman" w:hAnsi="Times New Roman" w:cs="Times New Roman"/>
        </w:rPr>
      </w:pPr>
      <w:r w:rsidRPr="00DB0DEF">
        <w:rPr>
          <w:rFonts w:ascii="Times New Roman" w:hAnsi="Times New Roman" w:cs="Times New Roman"/>
        </w:rPr>
        <w:t>Enerji</w:t>
      </w:r>
    </w:p>
    <w:p w14:paraId="1DACE8E7" w14:textId="5142BDBC" w:rsidR="00BC0189" w:rsidRPr="00DB0DEF" w:rsidRDefault="003877B8" w:rsidP="00D40ACF">
      <w:pPr>
        <w:pStyle w:val="ListeParagraf"/>
        <w:numPr>
          <w:ilvl w:val="0"/>
          <w:numId w:val="4"/>
        </w:numPr>
        <w:tabs>
          <w:tab w:val="left" w:pos="709"/>
        </w:tabs>
        <w:spacing w:after="120"/>
        <w:ind w:left="0" w:firstLine="426"/>
        <w:rPr>
          <w:rFonts w:ascii="Times New Roman" w:hAnsi="Times New Roman" w:cs="Times New Roman"/>
        </w:rPr>
      </w:pPr>
      <w:r w:rsidRPr="00DB0DEF">
        <w:rPr>
          <w:rFonts w:ascii="Times New Roman" w:hAnsi="Times New Roman" w:cs="Times New Roman"/>
        </w:rPr>
        <w:t>Taahhüt ve Arazi Geliştirme</w:t>
      </w:r>
    </w:p>
    <w:p w14:paraId="757E7E5F" w14:textId="132787F9" w:rsidR="00EF4A53" w:rsidRPr="00DB0DEF" w:rsidRDefault="00EF4A53"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Bu araştırmada yukarıdaki bölümler bazında raporlanan mali tablo verileri</w:t>
      </w:r>
      <w:r w:rsidR="00BC0189" w:rsidRPr="00DB0DEF">
        <w:rPr>
          <w:rStyle w:val="DipnotBavurusu"/>
          <w:rFonts w:ascii="Times New Roman" w:hAnsi="Times New Roman" w:cs="Times New Roman"/>
        </w:rPr>
        <w:footnoteReference w:id="2"/>
      </w:r>
      <w:r w:rsidRPr="00DB0DEF">
        <w:rPr>
          <w:rFonts w:ascii="Times New Roman" w:hAnsi="Times New Roman" w:cs="Times New Roman"/>
        </w:rPr>
        <w:t xml:space="preserve"> yardımı ile Alarko Holding’in faaliyet bölümlerinin mali tablo analizi çeşitli yöntemlere göre yapılmıştır.</w:t>
      </w:r>
    </w:p>
    <w:p w14:paraId="667957DF" w14:textId="7C5D60A5" w:rsidR="0044078F" w:rsidRPr="00DB0DEF" w:rsidRDefault="0044078F" w:rsidP="0044078F">
      <w:pPr>
        <w:pStyle w:val="Balk1"/>
        <w:numPr>
          <w:ilvl w:val="1"/>
          <w:numId w:val="2"/>
        </w:numPr>
        <w:tabs>
          <w:tab w:val="clear" w:pos="709"/>
          <w:tab w:val="left" w:pos="851"/>
        </w:tabs>
        <w:spacing w:before="0" w:after="120" w:line="276" w:lineRule="auto"/>
        <w:ind w:left="0" w:firstLine="426"/>
        <w:contextualSpacing/>
        <w:rPr>
          <w:rFonts w:cs="Times New Roman"/>
        </w:rPr>
      </w:pPr>
      <w:r w:rsidRPr="00DB0DEF">
        <w:rPr>
          <w:rFonts w:cs="Times New Roman"/>
        </w:rPr>
        <w:t>Oran Analizi</w:t>
      </w:r>
    </w:p>
    <w:p w14:paraId="0664C3C1" w14:textId="69AFD802" w:rsidR="001F5FB5" w:rsidRPr="00DB0DEF" w:rsidRDefault="001F5FB5" w:rsidP="001F5FB5">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Oran analizi bazı mali tablo kalemleri arasında oranlama yapılarak firmaların finansal durumları hakkında görüş elde etmek amacıyla kullanılan bir mali tablo analizi yöntemidir. Aşağıdaki tabloda </w:t>
      </w:r>
      <w:r w:rsidRPr="00DB0DEF">
        <w:rPr>
          <w:rFonts w:ascii="Times New Roman" w:hAnsi="Times New Roman" w:cs="Times New Roman"/>
        </w:rPr>
        <w:lastRenderedPageBreak/>
        <w:t>örnek yıl olarak seçilen 2019 yılına ait bazı finansal oranlar yer almaktadır. Çalışmanın amacı kapsamında bu oranlar mümkün olduğu düzeyde yorumlanmaya çalışılmıştır.</w:t>
      </w:r>
    </w:p>
    <w:p w14:paraId="19FEA47D" w14:textId="77777777" w:rsidR="009A00DD" w:rsidRPr="00DB0DEF" w:rsidRDefault="009A00DD" w:rsidP="001F5FB5">
      <w:pPr>
        <w:spacing w:after="120"/>
        <w:ind w:firstLine="426"/>
        <w:contextualSpacing/>
        <w:jc w:val="both"/>
        <w:rPr>
          <w:rFonts w:ascii="Times New Roman" w:hAnsi="Times New Roman" w:cs="Times New Roman"/>
        </w:rPr>
      </w:pPr>
    </w:p>
    <w:p w14:paraId="01A00FE2" w14:textId="2C1286B8" w:rsidR="001F5FB5" w:rsidRPr="00DB0DEF" w:rsidRDefault="000E3DA3" w:rsidP="00DB0DEF">
      <w:pPr>
        <w:spacing w:after="120"/>
        <w:ind w:firstLine="426"/>
        <w:contextualSpacing/>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3</w:t>
      </w:r>
      <w:r w:rsidR="00DB0DEF" w:rsidRPr="00DB0DEF">
        <w:rPr>
          <w:rFonts w:ascii="Times New Roman" w:hAnsi="Times New Roman" w:cs="Times New Roman"/>
          <w:b/>
          <w:bCs/>
        </w:rPr>
        <w:t>: Alarko Holding Faaliyet Bölümlerinin 2019 Yılı Finansal Oranları</w:t>
      </w:r>
    </w:p>
    <w:tbl>
      <w:tblPr>
        <w:tblW w:w="8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8"/>
        <w:gridCol w:w="2776"/>
        <w:gridCol w:w="875"/>
        <w:gridCol w:w="828"/>
        <w:gridCol w:w="803"/>
        <w:gridCol w:w="759"/>
        <w:gridCol w:w="1105"/>
      </w:tblGrid>
      <w:tr w:rsidR="0044078F" w:rsidRPr="00DB0DEF" w14:paraId="2A80616B" w14:textId="77777777" w:rsidTr="00DB0DEF">
        <w:trPr>
          <w:trHeight w:val="340"/>
          <w:jc w:val="center"/>
        </w:trPr>
        <w:tc>
          <w:tcPr>
            <w:tcW w:w="3774" w:type="dxa"/>
            <w:gridSpan w:val="2"/>
            <w:vMerge w:val="restart"/>
            <w:shd w:val="clear" w:color="000000" w:fill="F2F2F2"/>
            <w:noWrap/>
            <w:vAlign w:val="center"/>
            <w:hideMark/>
          </w:tcPr>
          <w:p w14:paraId="5AC517AD"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Finansal Oran</w:t>
            </w:r>
          </w:p>
        </w:tc>
        <w:tc>
          <w:tcPr>
            <w:tcW w:w="4370" w:type="dxa"/>
            <w:gridSpan w:val="5"/>
            <w:shd w:val="clear" w:color="000000" w:fill="F2F2F2"/>
            <w:noWrap/>
            <w:vAlign w:val="center"/>
            <w:hideMark/>
          </w:tcPr>
          <w:p w14:paraId="562A2954" w14:textId="56A459A8" w:rsidR="0044078F" w:rsidRPr="00DB0DEF" w:rsidRDefault="00DB5FF5"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Faaliyet Bölümleri</w:t>
            </w:r>
          </w:p>
        </w:tc>
      </w:tr>
      <w:tr w:rsidR="0044078F" w:rsidRPr="00DB0DEF" w14:paraId="662A0EFD" w14:textId="77777777" w:rsidTr="00DB0DEF">
        <w:trPr>
          <w:trHeight w:val="751"/>
          <w:jc w:val="center"/>
        </w:trPr>
        <w:tc>
          <w:tcPr>
            <w:tcW w:w="3774" w:type="dxa"/>
            <w:gridSpan w:val="2"/>
            <w:vMerge/>
            <w:vAlign w:val="center"/>
            <w:hideMark/>
          </w:tcPr>
          <w:p w14:paraId="1A2620E9" w14:textId="77777777" w:rsidR="0044078F" w:rsidRPr="00DB0DEF" w:rsidRDefault="0044078F" w:rsidP="00AE30DE">
            <w:pPr>
              <w:spacing w:after="0" w:line="240" w:lineRule="auto"/>
              <w:rPr>
                <w:rFonts w:ascii="Times New Roman" w:eastAsia="Times New Roman" w:hAnsi="Times New Roman" w:cs="Times New Roman"/>
                <w:b/>
                <w:bCs/>
                <w:noProof w:val="0"/>
                <w:color w:val="000000"/>
                <w:sz w:val="18"/>
                <w:szCs w:val="18"/>
                <w:lang w:eastAsia="tr-TR"/>
              </w:rPr>
            </w:pPr>
          </w:p>
        </w:tc>
        <w:tc>
          <w:tcPr>
            <w:tcW w:w="875" w:type="dxa"/>
            <w:shd w:val="clear" w:color="000000" w:fill="F2F2F2"/>
            <w:vAlign w:val="center"/>
            <w:hideMark/>
          </w:tcPr>
          <w:p w14:paraId="43C958B8"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 xml:space="preserve">Holding </w:t>
            </w:r>
          </w:p>
        </w:tc>
        <w:tc>
          <w:tcPr>
            <w:tcW w:w="828" w:type="dxa"/>
            <w:shd w:val="clear" w:color="000000" w:fill="F2F2F2"/>
            <w:vAlign w:val="center"/>
            <w:hideMark/>
          </w:tcPr>
          <w:p w14:paraId="1E5D6F06"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 xml:space="preserve">Turizm </w:t>
            </w:r>
          </w:p>
        </w:tc>
        <w:tc>
          <w:tcPr>
            <w:tcW w:w="803" w:type="dxa"/>
            <w:shd w:val="clear" w:color="000000" w:fill="F2F2F2"/>
            <w:vAlign w:val="center"/>
            <w:hideMark/>
          </w:tcPr>
          <w:p w14:paraId="01790D67"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 xml:space="preserve">Sanayi ve Ticaret </w:t>
            </w:r>
          </w:p>
        </w:tc>
        <w:tc>
          <w:tcPr>
            <w:tcW w:w="759" w:type="dxa"/>
            <w:shd w:val="clear" w:color="000000" w:fill="F2F2F2"/>
            <w:vAlign w:val="center"/>
            <w:hideMark/>
          </w:tcPr>
          <w:p w14:paraId="1C03E231"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Enerji</w:t>
            </w:r>
          </w:p>
        </w:tc>
        <w:tc>
          <w:tcPr>
            <w:tcW w:w="1103" w:type="dxa"/>
            <w:shd w:val="clear" w:color="000000" w:fill="F2F2F2"/>
            <w:vAlign w:val="center"/>
            <w:hideMark/>
          </w:tcPr>
          <w:p w14:paraId="5C092700"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Taahhüt ve</w:t>
            </w:r>
            <w:r w:rsidRPr="00DB0DEF">
              <w:rPr>
                <w:rFonts w:ascii="Times New Roman" w:eastAsia="Times New Roman" w:hAnsi="Times New Roman" w:cs="Times New Roman"/>
                <w:b/>
                <w:bCs/>
                <w:noProof w:val="0"/>
                <w:color w:val="000000"/>
                <w:sz w:val="18"/>
                <w:szCs w:val="18"/>
                <w:lang w:eastAsia="tr-TR"/>
              </w:rPr>
              <w:br/>
              <w:t>Arazi Geliştirme</w:t>
            </w:r>
          </w:p>
        </w:tc>
      </w:tr>
      <w:tr w:rsidR="0044078F" w:rsidRPr="00DB0DEF" w14:paraId="740452D5" w14:textId="77777777" w:rsidTr="00DB0DEF">
        <w:trPr>
          <w:trHeight w:val="284"/>
          <w:jc w:val="center"/>
        </w:trPr>
        <w:tc>
          <w:tcPr>
            <w:tcW w:w="998" w:type="dxa"/>
            <w:vMerge w:val="restart"/>
            <w:shd w:val="clear" w:color="auto" w:fill="auto"/>
            <w:vAlign w:val="center"/>
            <w:hideMark/>
          </w:tcPr>
          <w:p w14:paraId="768DFC4A"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Likitide Oranları</w:t>
            </w:r>
          </w:p>
        </w:tc>
        <w:tc>
          <w:tcPr>
            <w:tcW w:w="2776" w:type="dxa"/>
            <w:shd w:val="clear" w:color="auto" w:fill="auto"/>
            <w:noWrap/>
            <w:vAlign w:val="bottom"/>
            <w:hideMark/>
          </w:tcPr>
          <w:p w14:paraId="401490CE" w14:textId="77777777" w:rsidR="0044078F" w:rsidRPr="00DB0DEF" w:rsidRDefault="0044078F" w:rsidP="00AE30DE">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Cari Oran </w:t>
            </w:r>
          </w:p>
        </w:tc>
        <w:tc>
          <w:tcPr>
            <w:tcW w:w="875" w:type="dxa"/>
            <w:shd w:val="clear" w:color="auto" w:fill="auto"/>
            <w:noWrap/>
            <w:vAlign w:val="bottom"/>
            <w:hideMark/>
          </w:tcPr>
          <w:p w14:paraId="7003F44B"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44,19</w:t>
            </w:r>
          </w:p>
        </w:tc>
        <w:tc>
          <w:tcPr>
            <w:tcW w:w="828" w:type="dxa"/>
            <w:shd w:val="clear" w:color="auto" w:fill="auto"/>
            <w:noWrap/>
            <w:vAlign w:val="bottom"/>
            <w:hideMark/>
          </w:tcPr>
          <w:p w14:paraId="62BFC9B2"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1,12</w:t>
            </w:r>
          </w:p>
        </w:tc>
        <w:tc>
          <w:tcPr>
            <w:tcW w:w="803" w:type="dxa"/>
            <w:shd w:val="clear" w:color="auto" w:fill="auto"/>
            <w:noWrap/>
            <w:vAlign w:val="bottom"/>
            <w:hideMark/>
          </w:tcPr>
          <w:p w14:paraId="72A99398"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1,17</w:t>
            </w:r>
          </w:p>
        </w:tc>
        <w:tc>
          <w:tcPr>
            <w:tcW w:w="759" w:type="dxa"/>
            <w:shd w:val="clear" w:color="auto" w:fill="auto"/>
            <w:noWrap/>
            <w:vAlign w:val="bottom"/>
            <w:hideMark/>
          </w:tcPr>
          <w:p w14:paraId="6E901791"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0,31</w:t>
            </w:r>
          </w:p>
        </w:tc>
        <w:tc>
          <w:tcPr>
            <w:tcW w:w="1103" w:type="dxa"/>
            <w:shd w:val="clear" w:color="auto" w:fill="auto"/>
            <w:noWrap/>
            <w:vAlign w:val="bottom"/>
            <w:hideMark/>
          </w:tcPr>
          <w:p w14:paraId="28E4FE81"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1,62</w:t>
            </w:r>
          </w:p>
        </w:tc>
      </w:tr>
      <w:tr w:rsidR="0044078F" w:rsidRPr="00DB0DEF" w14:paraId="7807CD77" w14:textId="77777777" w:rsidTr="00DB0DEF">
        <w:trPr>
          <w:trHeight w:val="284"/>
          <w:jc w:val="center"/>
        </w:trPr>
        <w:tc>
          <w:tcPr>
            <w:tcW w:w="998" w:type="dxa"/>
            <w:vMerge/>
            <w:vAlign w:val="center"/>
            <w:hideMark/>
          </w:tcPr>
          <w:p w14:paraId="64EAA984" w14:textId="77777777" w:rsidR="0044078F" w:rsidRPr="00DB0DEF" w:rsidRDefault="0044078F" w:rsidP="00AE30DE">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hideMark/>
          </w:tcPr>
          <w:p w14:paraId="19761BC6" w14:textId="77777777" w:rsidR="0044078F" w:rsidRPr="00DB0DEF" w:rsidRDefault="0044078F" w:rsidP="00AE30DE">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Asit Test Oranı </w:t>
            </w:r>
          </w:p>
        </w:tc>
        <w:tc>
          <w:tcPr>
            <w:tcW w:w="875" w:type="dxa"/>
            <w:shd w:val="clear" w:color="auto" w:fill="auto"/>
            <w:noWrap/>
            <w:vAlign w:val="bottom"/>
            <w:hideMark/>
          </w:tcPr>
          <w:p w14:paraId="63144734"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44,19</w:t>
            </w:r>
          </w:p>
        </w:tc>
        <w:tc>
          <w:tcPr>
            <w:tcW w:w="828" w:type="dxa"/>
            <w:shd w:val="clear" w:color="auto" w:fill="auto"/>
            <w:noWrap/>
            <w:vAlign w:val="bottom"/>
            <w:hideMark/>
          </w:tcPr>
          <w:p w14:paraId="1BFC92A6"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1,05</w:t>
            </w:r>
          </w:p>
        </w:tc>
        <w:tc>
          <w:tcPr>
            <w:tcW w:w="803" w:type="dxa"/>
            <w:shd w:val="clear" w:color="auto" w:fill="auto"/>
            <w:noWrap/>
            <w:vAlign w:val="bottom"/>
            <w:hideMark/>
          </w:tcPr>
          <w:p w14:paraId="4392AE57"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0,31</w:t>
            </w:r>
          </w:p>
        </w:tc>
        <w:tc>
          <w:tcPr>
            <w:tcW w:w="759" w:type="dxa"/>
            <w:shd w:val="clear" w:color="auto" w:fill="auto"/>
            <w:noWrap/>
            <w:vAlign w:val="bottom"/>
            <w:hideMark/>
          </w:tcPr>
          <w:p w14:paraId="6D3716BF"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0,29</w:t>
            </w:r>
          </w:p>
        </w:tc>
        <w:tc>
          <w:tcPr>
            <w:tcW w:w="1103" w:type="dxa"/>
            <w:shd w:val="clear" w:color="auto" w:fill="auto"/>
            <w:noWrap/>
            <w:vAlign w:val="bottom"/>
            <w:hideMark/>
          </w:tcPr>
          <w:p w14:paraId="757080BD"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1,55</w:t>
            </w:r>
          </w:p>
        </w:tc>
      </w:tr>
      <w:tr w:rsidR="0044078F" w:rsidRPr="00DB0DEF" w14:paraId="1347A411" w14:textId="77777777" w:rsidTr="00DB0DEF">
        <w:trPr>
          <w:trHeight w:val="284"/>
          <w:jc w:val="center"/>
        </w:trPr>
        <w:tc>
          <w:tcPr>
            <w:tcW w:w="998" w:type="dxa"/>
            <w:vMerge/>
            <w:vAlign w:val="center"/>
            <w:hideMark/>
          </w:tcPr>
          <w:p w14:paraId="5E624358" w14:textId="77777777" w:rsidR="0044078F" w:rsidRPr="00DB0DEF" w:rsidRDefault="0044078F" w:rsidP="00AE30DE">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hideMark/>
          </w:tcPr>
          <w:p w14:paraId="7ABE5D35" w14:textId="77777777" w:rsidR="0044078F" w:rsidRPr="00DB0DEF" w:rsidRDefault="0044078F" w:rsidP="00AE30DE">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Nakit Oran </w:t>
            </w:r>
          </w:p>
        </w:tc>
        <w:tc>
          <w:tcPr>
            <w:tcW w:w="875" w:type="dxa"/>
            <w:shd w:val="clear" w:color="auto" w:fill="auto"/>
            <w:noWrap/>
            <w:vAlign w:val="bottom"/>
            <w:hideMark/>
          </w:tcPr>
          <w:p w14:paraId="740ABD13"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39,53</w:t>
            </w:r>
          </w:p>
        </w:tc>
        <w:tc>
          <w:tcPr>
            <w:tcW w:w="828" w:type="dxa"/>
            <w:shd w:val="clear" w:color="auto" w:fill="auto"/>
            <w:noWrap/>
            <w:vAlign w:val="bottom"/>
            <w:hideMark/>
          </w:tcPr>
          <w:p w14:paraId="5B0487CC"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0,86</w:t>
            </w:r>
          </w:p>
        </w:tc>
        <w:tc>
          <w:tcPr>
            <w:tcW w:w="803" w:type="dxa"/>
            <w:shd w:val="clear" w:color="auto" w:fill="auto"/>
            <w:noWrap/>
            <w:vAlign w:val="bottom"/>
            <w:hideMark/>
          </w:tcPr>
          <w:p w14:paraId="57DA8DBA"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0,14</w:t>
            </w:r>
          </w:p>
        </w:tc>
        <w:tc>
          <w:tcPr>
            <w:tcW w:w="759" w:type="dxa"/>
            <w:shd w:val="clear" w:color="auto" w:fill="auto"/>
            <w:noWrap/>
            <w:vAlign w:val="bottom"/>
            <w:hideMark/>
          </w:tcPr>
          <w:p w14:paraId="767BF2A2"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0,01</w:t>
            </w:r>
          </w:p>
        </w:tc>
        <w:tc>
          <w:tcPr>
            <w:tcW w:w="1103" w:type="dxa"/>
            <w:shd w:val="clear" w:color="auto" w:fill="auto"/>
            <w:noWrap/>
            <w:vAlign w:val="bottom"/>
            <w:hideMark/>
          </w:tcPr>
          <w:p w14:paraId="0C18176F"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0,58</w:t>
            </w:r>
          </w:p>
        </w:tc>
      </w:tr>
      <w:tr w:rsidR="0044078F" w:rsidRPr="00DB0DEF" w14:paraId="27E25F2F" w14:textId="77777777" w:rsidTr="00DB0DEF">
        <w:trPr>
          <w:trHeight w:val="284"/>
          <w:jc w:val="center"/>
        </w:trPr>
        <w:tc>
          <w:tcPr>
            <w:tcW w:w="998" w:type="dxa"/>
            <w:vMerge w:val="restart"/>
            <w:shd w:val="clear" w:color="auto" w:fill="auto"/>
            <w:vAlign w:val="center"/>
            <w:hideMark/>
          </w:tcPr>
          <w:p w14:paraId="3E6DD021" w14:textId="77777777" w:rsidR="0044078F" w:rsidRPr="00DB0DEF" w:rsidRDefault="0044078F" w:rsidP="00AE30DE">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Faaliyet Oranları</w:t>
            </w:r>
          </w:p>
        </w:tc>
        <w:tc>
          <w:tcPr>
            <w:tcW w:w="2776" w:type="dxa"/>
            <w:shd w:val="clear" w:color="auto" w:fill="auto"/>
            <w:noWrap/>
            <w:vAlign w:val="bottom"/>
            <w:hideMark/>
          </w:tcPr>
          <w:p w14:paraId="15D6656C" w14:textId="77777777" w:rsidR="0044078F" w:rsidRPr="00DB0DEF" w:rsidRDefault="0044078F" w:rsidP="00AE30DE">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Alacak Devir Hızı </w:t>
            </w:r>
          </w:p>
        </w:tc>
        <w:tc>
          <w:tcPr>
            <w:tcW w:w="875" w:type="dxa"/>
            <w:shd w:val="clear" w:color="auto" w:fill="auto"/>
            <w:noWrap/>
            <w:vAlign w:val="bottom"/>
            <w:hideMark/>
          </w:tcPr>
          <w:p w14:paraId="5CFD9522"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1,50</w:t>
            </w:r>
          </w:p>
        </w:tc>
        <w:tc>
          <w:tcPr>
            <w:tcW w:w="828" w:type="dxa"/>
            <w:shd w:val="clear" w:color="auto" w:fill="auto"/>
            <w:noWrap/>
            <w:vAlign w:val="bottom"/>
            <w:hideMark/>
          </w:tcPr>
          <w:p w14:paraId="074F1C56"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773,06</w:t>
            </w:r>
          </w:p>
        </w:tc>
        <w:tc>
          <w:tcPr>
            <w:tcW w:w="803" w:type="dxa"/>
            <w:shd w:val="clear" w:color="auto" w:fill="auto"/>
            <w:noWrap/>
            <w:vAlign w:val="bottom"/>
            <w:hideMark/>
          </w:tcPr>
          <w:p w14:paraId="00FEC0B3"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14,20</w:t>
            </w:r>
          </w:p>
        </w:tc>
        <w:tc>
          <w:tcPr>
            <w:tcW w:w="759" w:type="dxa"/>
            <w:shd w:val="clear" w:color="auto" w:fill="auto"/>
            <w:noWrap/>
            <w:vAlign w:val="bottom"/>
            <w:hideMark/>
          </w:tcPr>
          <w:p w14:paraId="48334202"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12,26</w:t>
            </w:r>
          </w:p>
        </w:tc>
        <w:tc>
          <w:tcPr>
            <w:tcW w:w="1103" w:type="dxa"/>
            <w:shd w:val="clear" w:color="auto" w:fill="auto"/>
            <w:noWrap/>
            <w:vAlign w:val="bottom"/>
            <w:hideMark/>
          </w:tcPr>
          <w:p w14:paraId="71781C4B" w14:textId="77777777" w:rsidR="0044078F" w:rsidRPr="00DB0DEF" w:rsidRDefault="0044078F" w:rsidP="00AE30DE">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0,85</w:t>
            </w:r>
          </w:p>
        </w:tc>
      </w:tr>
      <w:tr w:rsidR="00674849" w:rsidRPr="00DB0DEF" w14:paraId="1D11E72F" w14:textId="77777777" w:rsidTr="00DB0DEF">
        <w:trPr>
          <w:trHeight w:val="284"/>
          <w:jc w:val="center"/>
        </w:trPr>
        <w:tc>
          <w:tcPr>
            <w:tcW w:w="998" w:type="dxa"/>
            <w:vMerge/>
            <w:vAlign w:val="center"/>
            <w:hideMark/>
          </w:tcPr>
          <w:p w14:paraId="326A6451"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369753E3" w14:textId="2D323106"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Stok Devir Hızı </w:t>
            </w:r>
          </w:p>
        </w:tc>
        <w:tc>
          <w:tcPr>
            <w:tcW w:w="875" w:type="dxa"/>
            <w:shd w:val="clear" w:color="auto" w:fill="auto"/>
            <w:noWrap/>
            <w:vAlign w:val="bottom"/>
          </w:tcPr>
          <w:p w14:paraId="667A0AD9" w14:textId="798F70C4"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7803,74</w:t>
            </w:r>
          </w:p>
        </w:tc>
        <w:tc>
          <w:tcPr>
            <w:tcW w:w="828" w:type="dxa"/>
            <w:shd w:val="clear" w:color="auto" w:fill="auto"/>
            <w:noWrap/>
            <w:vAlign w:val="bottom"/>
          </w:tcPr>
          <w:p w14:paraId="72FF096F" w14:textId="0EE61B3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29,41</w:t>
            </w:r>
          </w:p>
        </w:tc>
        <w:tc>
          <w:tcPr>
            <w:tcW w:w="803" w:type="dxa"/>
            <w:shd w:val="clear" w:color="auto" w:fill="auto"/>
            <w:noWrap/>
            <w:vAlign w:val="bottom"/>
          </w:tcPr>
          <w:p w14:paraId="3D19E907" w14:textId="2CB00619"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0,50</w:t>
            </w:r>
          </w:p>
        </w:tc>
        <w:tc>
          <w:tcPr>
            <w:tcW w:w="759" w:type="dxa"/>
            <w:shd w:val="clear" w:color="auto" w:fill="auto"/>
            <w:noWrap/>
            <w:vAlign w:val="bottom"/>
          </w:tcPr>
          <w:p w14:paraId="260D7535" w14:textId="77E6A81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71,46</w:t>
            </w:r>
          </w:p>
        </w:tc>
        <w:tc>
          <w:tcPr>
            <w:tcW w:w="1103" w:type="dxa"/>
            <w:shd w:val="clear" w:color="auto" w:fill="auto"/>
            <w:noWrap/>
            <w:vAlign w:val="bottom"/>
          </w:tcPr>
          <w:p w14:paraId="6D56268D" w14:textId="66CCB28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5,24</w:t>
            </w:r>
          </w:p>
        </w:tc>
      </w:tr>
      <w:tr w:rsidR="00674849" w:rsidRPr="00DB0DEF" w14:paraId="1B603F24" w14:textId="77777777" w:rsidTr="00DB0DEF">
        <w:trPr>
          <w:trHeight w:val="284"/>
          <w:jc w:val="center"/>
        </w:trPr>
        <w:tc>
          <w:tcPr>
            <w:tcW w:w="998" w:type="dxa"/>
            <w:vMerge/>
            <w:vAlign w:val="center"/>
            <w:hideMark/>
          </w:tcPr>
          <w:p w14:paraId="52DEC892"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47C1625A" w14:textId="63236D5C"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Aktif Devir Hızı </w:t>
            </w:r>
          </w:p>
        </w:tc>
        <w:tc>
          <w:tcPr>
            <w:tcW w:w="875" w:type="dxa"/>
            <w:shd w:val="clear" w:color="auto" w:fill="auto"/>
            <w:noWrap/>
            <w:vAlign w:val="bottom"/>
          </w:tcPr>
          <w:p w14:paraId="60E70450" w14:textId="612758E2"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0,02</w:t>
            </w:r>
          </w:p>
        </w:tc>
        <w:tc>
          <w:tcPr>
            <w:tcW w:w="828" w:type="dxa"/>
            <w:shd w:val="clear" w:color="auto" w:fill="auto"/>
            <w:noWrap/>
            <w:vAlign w:val="bottom"/>
          </w:tcPr>
          <w:p w14:paraId="199D674D" w14:textId="3D89B69C"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0,31</w:t>
            </w:r>
          </w:p>
        </w:tc>
        <w:tc>
          <w:tcPr>
            <w:tcW w:w="803" w:type="dxa"/>
            <w:shd w:val="clear" w:color="auto" w:fill="auto"/>
            <w:noWrap/>
            <w:vAlign w:val="bottom"/>
          </w:tcPr>
          <w:p w14:paraId="4690C093" w14:textId="672F56B6"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0,0033</w:t>
            </w:r>
          </w:p>
        </w:tc>
        <w:tc>
          <w:tcPr>
            <w:tcW w:w="759" w:type="dxa"/>
            <w:shd w:val="clear" w:color="auto" w:fill="auto"/>
            <w:noWrap/>
            <w:vAlign w:val="bottom"/>
          </w:tcPr>
          <w:p w14:paraId="3A38ABCF" w14:textId="1E1E6E5E"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0,49</w:t>
            </w:r>
          </w:p>
        </w:tc>
        <w:tc>
          <w:tcPr>
            <w:tcW w:w="1103" w:type="dxa"/>
            <w:shd w:val="clear" w:color="auto" w:fill="auto"/>
            <w:noWrap/>
            <w:vAlign w:val="bottom"/>
          </w:tcPr>
          <w:p w14:paraId="2B23E6F6" w14:textId="107CD55B"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0,23</w:t>
            </w:r>
          </w:p>
        </w:tc>
      </w:tr>
      <w:tr w:rsidR="00674849" w:rsidRPr="00DB0DEF" w14:paraId="02B65222" w14:textId="77777777" w:rsidTr="00DB0DEF">
        <w:trPr>
          <w:trHeight w:val="284"/>
          <w:jc w:val="center"/>
        </w:trPr>
        <w:tc>
          <w:tcPr>
            <w:tcW w:w="998" w:type="dxa"/>
            <w:vMerge w:val="restart"/>
            <w:shd w:val="clear" w:color="auto" w:fill="auto"/>
            <w:vAlign w:val="center"/>
            <w:hideMark/>
          </w:tcPr>
          <w:p w14:paraId="118B198F"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Mali Yapı Oranları</w:t>
            </w:r>
          </w:p>
        </w:tc>
        <w:tc>
          <w:tcPr>
            <w:tcW w:w="2776" w:type="dxa"/>
            <w:shd w:val="clear" w:color="auto" w:fill="auto"/>
            <w:noWrap/>
            <w:vAlign w:val="bottom"/>
            <w:hideMark/>
          </w:tcPr>
          <w:p w14:paraId="20604A6F" w14:textId="77777777"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Kaldıraç Oranı </w:t>
            </w:r>
          </w:p>
        </w:tc>
        <w:tc>
          <w:tcPr>
            <w:tcW w:w="875" w:type="dxa"/>
            <w:shd w:val="clear" w:color="auto" w:fill="auto"/>
            <w:noWrap/>
            <w:vAlign w:val="bottom"/>
            <w:hideMark/>
          </w:tcPr>
          <w:p w14:paraId="291442BE" w14:textId="7777777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0,02</w:t>
            </w:r>
          </w:p>
        </w:tc>
        <w:tc>
          <w:tcPr>
            <w:tcW w:w="828" w:type="dxa"/>
            <w:shd w:val="clear" w:color="auto" w:fill="auto"/>
            <w:noWrap/>
            <w:vAlign w:val="bottom"/>
            <w:hideMark/>
          </w:tcPr>
          <w:p w14:paraId="09513244" w14:textId="7777777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0,94</w:t>
            </w:r>
          </w:p>
        </w:tc>
        <w:tc>
          <w:tcPr>
            <w:tcW w:w="803" w:type="dxa"/>
            <w:shd w:val="clear" w:color="auto" w:fill="auto"/>
            <w:noWrap/>
            <w:vAlign w:val="bottom"/>
            <w:hideMark/>
          </w:tcPr>
          <w:p w14:paraId="0B0219DF" w14:textId="7777777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0,01</w:t>
            </w:r>
          </w:p>
        </w:tc>
        <w:tc>
          <w:tcPr>
            <w:tcW w:w="759" w:type="dxa"/>
            <w:shd w:val="clear" w:color="auto" w:fill="auto"/>
            <w:noWrap/>
            <w:vAlign w:val="bottom"/>
            <w:hideMark/>
          </w:tcPr>
          <w:p w14:paraId="6AA73835" w14:textId="7777777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0,40</w:t>
            </w:r>
          </w:p>
        </w:tc>
        <w:tc>
          <w:tcPr>
            <w:tcW w:w="1103" w:type="dxa"/>
            <w:shd w:val="clear" w:color="auto" w:fill="auto"/>
            <w:noWrap/>
            <w:vAlign w:val="bottom"/>
            <w:hideMark/>
          </w:tcPr>
          <w:p w14:paraId="2C242BF0" w14:textId="7777777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0,38</w:t>
            </w:r>
          </w:p>
        </w:tc>
      </w:tr>
      <w:tr w:rsidR="00674849" w:rsidRPr="00DB0DEF" w14:paraId="331CAAE8" w14:textId="77777777" w:rsidTr="00DB0DEF">
        <w:trPr>
          <w:trHeight w:val="284"/>
          <w:jc w:val="center"/>
        </w:trPr>
        <w:tc>
          <w:tcPr>
            <w:tcW w:w="998" w:type="dxa"/>
            <w:vMerge/>
            <w:vAlign w:val="center"/>
            <w:hideMark/>
          </w:tcPr>
          <w:p w14:paraId="2779A1D1"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0041A300" w14:textId="061326D3"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 xml:space="preserve">Özkaynak Oranı </w:t>
            </w:r>
          </w:p>
        </w:tc>
        <w:tc>
          <w:tcPr>
            <w:tcW w:w="875" w:type="dxa"/>
            <w:shd w:val="clear" w:color="auto" w:fill="auto"/>
            <w:noWrap/>
            <w:vAlign w:val="bottom"/>
          </w:tcPr>
          <w:p w14:paraId="7116F9D5" w14:textId="27C53316"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0,98</w:t>
            </w:r>
          </w:p>
        </w:tc>
        <w:tc>
          <w:tcPr>
            <w:tcW w:w="828" w:type="dxa"/>
            <w:shd w:val="clear" w:color="auto" w:fill="auto"/>
            <w:noWrap/>
            <w:vAlign w:val="bottom"/>
          </w:tcPr>
          <w:p w14:paraId="197B617C" w14:textId="5345A2F1"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0,06</w:t>
            </w:r>
          </w:p>
        </w:tc>
        <w:tc>
          <w:tcPr>
            <w:tcW w:w="803" w:type="dxa"/>
            <w:shd w:val="clear" w:color="auto" w:fill="auto"/>
            <w:noWrap/>
            <w:vAlign w:val="bottom"/>
          </w:tcPr>
          <w:p w14:paraId="2D5792B6" w14:textId="3188CA1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0,99</w:t>
            </w:r>
          </w:p>
        </w:tc>
        <w:tc>
          <w:tcPr>
            <w:tcW w:w="759" w:type="dxa"/>
            <w:shd w:val="clear" w:color="auto" w:fill="auto"/>
            <w:noWrap/>
            <w:vAlign w:val="bottom"/>
          </w:tcPr>
          <w:p w14:paraId="13A42098" w14:textId="67BEE78B"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0,60</w:t>
            </w:r>
          </w:p>
        </w:tc>
        <w:tc>
          <w:tcPr>
            <w:tcW w:w="1103" w:type="dxa"/>
            <w:shd w:val="clear" w:color="auto" w:fill="auto"/>
            <w:noWrap/>
            <w:vAlign w:val="bottom"/>
          </w:tcPr>
          <w:p w14:paraId="1A831DD8" w14:textId="21C5A8F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0,62</w:t>
            </w:r>
          </w:p>
        </w:tc>
      </w:tr>
      <w:tr w:rsidR="00674849" w:rsidRPr="00DB0DEF" w14:paraId="3E96BFC7" w14:textId="77777777" w:rsidTr="00DB0DEF">
        <w:trPr>
          <w:trHeight w:val="284"/>
          <w:jc w:val="center"/>
        </w:trPr>
        <w:tc>
          <w:tcPr>
            <w:tcW w:w="998" w:type="dxa"/>
            <w:vMerge/>
            <w:vAlign w:val="center"/>
            <w:hideMark/>
          </w:tcPr>
          <w:p w14:paraId="6DD54C09"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2AD2F998" w14:textId="36F10EE3"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Özkaynak/Yabancı Kaynak Oranı</w:t>
            </w:r>
          </w:p>
        </w:tc>
        <w:tc>
          <w:tcPr>
            <w:tcW w:w="875" w:type="dxa"/>
            <w:shd w:val="clear" w:color="auto" w:fill="auto"/>
            <w:noWrap/>
            <w:vAlign w:val="bottom"/>
          </w:tcPr>
          <w:p w14:paraId="7ABE0DAA" w14:textId="58D4E28B"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54,37</w:t>
            </w:r>
          </w:p>
        </w:tc>
        <w:tc>
          <w:tcPr>
            <w:tcW w:w="828" w:type="dxa"/>
            <w:shd w:val="clear" w:color="auto" w:fill="auto"/>
            <w:noWrap/>
            <w:vAlign w:val="bottom"/>
          </w:tcPr>
          <w:p w14:paraId="681F1D9A" w14:textId="7A03E4A8"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0,07</w:t>
            </w:r>
          </w:p>
        </w:tc>
        <w:tc>
          <w:tcPr>
            <w:tcW w:w="803" w:type="dxa"/>
            <w:shd w:val="clear" w:color="auto" w:fill="auto"/>
            <w:noWrap/>
            <w:vAlign w:val="bottom"/>
          </w:tcPr>
          <w:p w14:paraId="0CBF9E0D" w14:textId="0267EC08"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76,64</w:t>
            </w:r>
          </w:p>
        </w:tc>
        <w:tc>
          <w:tcPr>
            <w:tcW w:w="759" w:type="dxa"/>
            <w:shd w:val="clear" w:color="auto" w:fill="auto"/>
            <w:noWrap/>
            <w:vAlign w:val="bottom"/>
          </w:tcPr>
          <w:p w14:paraId="2E1F0AED" w14:textId="67D6B111"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1,52</w:t>
            </w:r>
          </w:p>
        </w:tc>
        <w:tc>
          <w:tcPr>
            <w:tcW w:w="1103" w:type="dxa"/>
            <w:shd w:val="clear" w:color="auto" w:fill="auto"/>
            <w:noWrap/>
            <w:vAlign w:val="bottom"/>
          </w:tcPr>
          <w:p w14:paraId="77F2F465" w14:textId="3253C1EE"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1,66</w:t>
            </w:r>
          </w:p>
        </w:tc>
      </w:tr>
      <w:tr w:rsidR="00674849" w:rsidRPr="00DB0DEF" w14:paraId="204F5210" w14:textId="77777777" w:rsidTr="00DB0DEF">
        <w:trPr>
          <w:trHeight w:val="284"/>
          <w:jc w:val="center"/>
        </w:trPr>
        <w:tc>
          <w:tcPr>
            <w:tcW w:w="998" w:type="dxa"/>
            <w:vMerge w:val="restart"/>
            <w:shd w:val="clear" w:color="auto" w:fill="auto"/>
            <w:vAlign w:val="center"/>
            <w:hideMark/>
          </w:tcPr>
          <w:p w14:paraId="0F6B66E3" w14:textId="77777777" w:rsidR="00674849" w:rsidRPr="00DB0DEF" w:rsidRDefault="00674849" w:rsidP="00674849">
            <w:pPr>
              <w:spacing w:after="0" w:line="240" w:lineRule="auto"/>
              <w:jc w:val="center"/>
              <w:rPr>
                <w:rFonts w:ascii="Times New Roman" w:eastAsia="Times New Roman" w:hAnsi="Times New Roman" w:cs="Times New Roman"/>
                <w:b/>
                <w:bCs/>
                <w:noProof w:val="0"/>
                <w:color w:val="000000"/>
                <w:sz w:val="18"/>
                <w:szCs w:val="18"/>
                <w:lang w:eastAsia="tr-TR"/>
              </w:rPr>
            </w:pPr>
            <w:r w:rsidRPr="00DB0DEF">
              <w:rPr>
                <w:rFonts w:ascii="Times New Roman" w:eastAsia="Times New Roman" w:hAnsi="Times New Roman" w:cs="Times New Roman"/>
                <w:b/>
                <w:bCs/>
                <w:noProof w:val="0"/>
                <w:color w:val="000000"/>
                <w:sz w:val="18"/>
                <w:szCs w:val="18"/>
                <w:lang w:eastAsia="tr-TR"/>
              </w:rPr>
              <w:t>Karlılık Oranları</w:t>
            </w:r>
          </w:p>
        </w:tc>
        <w:tc>
          <w:tcPr>
            <w:tcW w:w="2776" w:type="dxa"/>
            <w:shd w:val="clear" w:color="auto" w:fill="auto"/>
            <w:noWrap/>
            <w:vAlign w:val="bottom"/>
          </w:tcPr>
          <w:p w14:paraId="2656B8FB" w14:textId="4883B3EF"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Dönem Karı / Net Satışlar</w:t>
            </w:r>
          </w:p>
        </w:tc>
        <w:tc>
          <w:tcPr>
            <w:tcW w:w="875" w:type="dxa"/>
            <w:shd w:val="clear" w:color="auto" w:fill="auto"/>
            <w:noWrap/>
            <w:vAlign w:val="bottom"/>
          </w:tcPr>
          <w:p w14:paraId="68033698" w14:textId="7F9AB435"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2,12</w:t>
            </w:r>
          </w:p>
        </w:tc>
        <w:tc>
          <w:tcPr>
            <w:tcW w:w="828" w:type="dxa"/>
            <w:shd w:val="clear" w:color="auto" w:fill="auto"/>
            <w:noWrap/>
            <w:vAlign w:val="bottom"/>
          </w:tcPr>
          <w:p w14:paraId="5E525503" w14:textId="6D005408" w:rsidR="00674849" w:rsidRPr="00DB0DEF" w:rsidRDefault="00674849" w:rsidP="00674849">
            <w:pPr>
              <w:spacing w:after="0" w:line="240" w:lineRule="auto"/>
              <w:jc w:val="center"/>
              <w:rPr>
                <w:rFonts w:ascii="Times New Roman" w:eastAsia="Times New Roman" w:hAnsi="Times New Roman" w:cs="Times New Roman"/>
                <w:noProof w:val="0"/>
                <w:color w:val="FF0000"/>
                <w:sz w:val="18"/>
                <w:szCs w:val="18"/>
                <w:lang w:eastAsia="tr-TR"/>
              </w:rPr>
            </w:pPr>
            <w:r w:rsidRPr="00DB0DEF">
              <w:rPr>
                <w:rFonts w:ascii="Times New Roman" w:eastAsia="Times New Roman" w:hAnsi="Times New Roman" w:cs="Times New Roman"/>
                <w:noProof w:val="0"/>
                <w:color w:val="FF0000"/>
                <w:sz w:val="18"/>
                <w:szCs w:val="18"/>
                <w:lang w:eastAsia="tr-TR"/>
              </w:rPr>
              <w:t>-0,04</w:t>
            </w:r>
          </w:p>
        </w:tc>
        <w:tc>
          <w:tcPr>
            <w:tcW w:w="803" w:type="dxa"/>
            <w:shd w:val="clear" w:color="auto" w:fill="auto"/>
            <w:noWrap/>
            <w:vAlign w:val="bottom"/>
          </w:tcPr>
          <w:p w14:paraId="17942E3B" w14:textId="40A49DA2"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14,48</w:t>
            </w:r>
          </w:p>
        </w:tc>
        <w:tc>
          <w:tcPr>
            <w:tcW w:w="759" w:type="dxa"/>
            <w:shd w:val="clear" w:color="auto" w:fill="auto"/>
            <w:noWrap/>
            <w:vAlign w:val="bottom"/>
          </w:tcPr>
          <w:p w14:paraId="2ABE549E" w14:textId="06402AE5"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0,60</w:t>
            </w:r>
          </w:p>
        </w:tc>
        <w:tc>
          <w:tcPr>
            <w:tcW w:w="1103" w:type="dxa"/>
            <w:shd w:val="clear" w:color="auto" w:fill="auto"/>
            <w:noWrap/>
            <w:vAlign w:val="bottom"/>
          </w:tcPr>
          <w:p w14:paraId="62C0FA4D" w14:textId="66BA3AE7"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0,45</w:t>
            </w:r>
          </w:p>
        </w:tc>
      </w:tr>
      <w:tr w:rsidR="00674849" w:rsidRPr="00DB0DEF" w14:paraId="5B6745C2" w14:textId="77777777" w:rsidTr="00DB0DEF">
        <w:trPr>
          <w:trHeight w:val="284"/>
          <w:jc w:val="center"/>
        </w:trPr>
        <w:tc>
          <w:tcPr>
            <w:tcW w:w="998" w:type="dxa"/>
            <w:vMerge/>
            <w:vAlign w:val="center"/>
            <w:hideMark/>
          </w:tcPr>
          <w:p w14:paraId="1E0BED7B"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4AA24DF7" w14:textId="1172941A"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Dönem Kârı / Aktif toplamı</w:t>
            </w:r>
          </w:p>
        </w:tc>
        <w:tc>
          <w:tcPr>
            <w:tcW w:w="875" w:type="dxa"/>
            <w:shd w:val="clear" w:color="auto" w:fill="auto"/>
            <w:noWrap/>
            <w:vAlign w:val="bottom"/>
          </w:tcPr>
          <w:p w14:paraId="4F95E51B" w14:textId="73A8574C"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0,04</w:t>
            </w:r>
          </w:p>
        </w:tc>
        <w:tc>
          <w:tcPr>
            <w:tcW w:w="828" w:type="dxa"/>
            <w:shd w:val="clear" w:color="auto" w:fill="auto"/>
            <w:noWrap/>
            <w:vAlign w:val="bottom"/>
          </w:tcPr>
          <w:p w14:paraId="4483179F" w14:textId="1C2A051C" w:rsidR="00674849" w:rsidRPr="00DB0DEF" w:rsidRDefault="00674849" w:rsidP="00674849">
            <w:pPr>
              <w:spacing w:after="0" w:line="240" w:lineRule="auto"/>
              <w:jc w:val="center"/>
              <w:rPr>
                <w:rFonts w:ascii="Times New Roman" w:eastAsia="Times New Roman" w:hAnsi="Times New Roman" w:cs="Times New Roman"/>
                <w:noProof w:val="0"/>
                <w:color w:val="FF0000"/>
                <w:sz w:val="18"/>
                <w:szCs w:val="18"/>
                <w:lang w:eastAsia="tr-TR"/>
              </w:rPr>
            </w:pPr>
            <w:r w:rsidRPr="00DB0DEF">
              <w:rPr>
                <w:rFonts w:ascii="Times New Roman" w:eastAsia="Times New Roman" w:hAnsi="Times New Roman" w:cs="Times New Roman"/>
                <w:noProof w:val="0"/>
                <w:color w:val="FF0000"/>
                <w:sz w:val="18"/>
                <w:szCs w:val="18"/>
                <w:lang w:eastAsia="tr-TR"/>
              </w:rPr>
              <w:t>-0,01</w:t>
            </w:r>
          </w:p>
        </w:tc>
        <w:tc>
          <w:tcPr>
            <w:tcW w:w="803" w:type="dxa"/>
            <w:shd w:val="clear" w:color="auto" w:fill="auto"/>
            <w:noWrap/>
            <w:vAlign w:val="bottom"/>
          </w:tcPr>
          <w:p w14:paraId="742E0E4B" w14:textId="1312B873"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0,05</w:t>
            </w:r>
          </w:p>
        </w:tc>
        <w:tc>
          <w:tcPr>
            <w:tcW w:w="759" w:type="dxa"/>
            <w:shd w:val="clear" w:color="auto" w:fill="auto"/>
            <w:noWrap/>
            <w:vAlign w:val="bottom"/>
          </w:tcPr>
          <w:p w14:paraId="25E743CA" w14:textId="503ACCDF"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0,29</w:t>
            </w:r>
          </w:p>
        </w:tc>
        <w:tc>
          <w:tcPr>
            <w:tcW w:w="1103" w:type="dxa"/>
            <w:shd w:val="clear" w:color="auto" w:fill="auto"/>
            <w:noWrap/>
            <w:vAlign w:val="bottom"/>
          </w:tcPr>
          <w:p w14:paraId="34206FA1" w14:textId="7AD27095"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0,10</w:t>
            </w:r>
          </w:p>
        </w:tc>
      </w:tr>
      <w:tr w:rsidR="00674849" w:rsidRPr="00DB0DEF" w14:paraId="04CE9CAD" w14:textId="77777777" w:rsidTr="00DB0DEF">
        <w:trPr>
          <w:trHeight w:val="284"/>
          <w:jc w:val="center"/>
        </w:trPr>
        <w:tc>
          <w:tcPr>
            <w:tcW w:w="998" w:type="dxa"/>
            <w:vMerge/>
            <w:vAlign w:val="center"/>
            <w:hideMark/>
          </w:tcPr>
          <w:p w14:paraId="23EC0E40" w14:textId="77777777" w:rsidR="00674849" w:rsidRPr="00DB0DEF" w:rsidRDefault="00674849" w:rsidP="00674849">
            <w:pPr>
              <w:spacing w:after="0" w:line="240" w:lineRule="auto"/>
              <w:rPr>
                <w:rFonts w:ascii="Times New Roman" w:eastAsia="Times New Roman" w:hAnsi="Times New Roman" w:cs="Times New Roman"/>
                <w:b/>
                <w:bCs/>
                <w:noProof w:val="0"/>
                <w:color w:val="000000"/>
                <w:sz w:val="18"/>
                <w:szCs w:val="18"/>
                <w:lang w:eastAsia="tr-TR"/>
              </w:rPr>
            </w:pPr>
          </w:p>
        </w:tc>
        <w:tc>
          <w:tcPr>
            <w:tcW w:w="2776" w:type="dxa"/>
            <w:shd w:val="clear" w:color="auto" w:fill="auto"/>
            <w:noWrap/>
            <w:vAlign w:val="bottom"/>
          </w:tcPr>
          <w:p w14:paraId="31EB80DF" w14:textId="763601B5" w:rsidR="00674849" w:rsidRPr="00DB0DEF" w:rsidRDefault="00674849" w:rsidP="00674849">
            <w:pPr>
              <w:spacing w:after="0" w:line="240" w:lineRule="auto"/>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Dönem Kârı / Özkaynak Toplamı</w:t>
            </w:r>
          </w:p>
        </w:tc>
        <w:tc>
          <w:tcPr>
            <w:tcW w:w="875" w:type="dxa"/>
            <w:shd w:val="clear" w:color="auto" w:fill="auto"/>
            <w:noWrap/>
            <w:vAlign w:val="bottom"/>
          </w:tcPr>
          <w:p w14:paraId="32BBB9C3" w14:textId="10EC6715"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0,04</w:t>
            </w:r>
          </w:p>
        </w:tc>
        <w:tc>
          <w:tcPr>
            <w:tcW w:w="828" w:type="dxa"/>
            <w:shd w:val="clear" w:color="auto" w:fill="auto"/>
            <w:noWrap/>
            <w:vAlign w:val="bottom"/>
          </w:tcPr>
          <w:p w14:paraId="66D24401" w14:textId="583B3A83" w:rsidR="00674849" w:rsidRPr="00DB0DEF" w:rsidRDefault="00674849" w:rsidP="00674849">
            <w:pPr>
              <w:spacing w:after="0" w:line="240" w:lineRule="auto"/>
              <w:jc w:val="center"/>
              <w:rPr>
                <w:rFonts w:ascii="Times New Roman" w:eastAsia="Times New Roman" w:hAnsi="Times New Roman" w:cs="Times New Roman"/>
                <w:noProof w:val="0"/>
                <w:color w:val="FF0000"/>
                <w:sz w:val="18"/>
                <w:szCs w:val="18"/>
                <w:lang w:eastAsia="tr-TR"/>
              </w:rPr>
            </w:pPr>
            <w:r w:rsidRPr="00DB0DEF">
              <w:rPr>
                <w:rFonts w:ascii="Times New Roman" w:eastAsia="Times New Roman" w:hAnsi="Times New Roman" w:cs="Times New Roman"/>
                <w:noProof w:val="0"/>
                <w:color w:val="FF0000"/>
                <w:sz w:val="18"/>
                <w:szCs w:val="18"/>
                <w:lang w:eastAsia="tr-TR"/>
              </w:rPr>
              <w:t>-0,22</w:t>
            </w:r>
          </w:p>
        </w:tc>
        <w:tc>
          <w:tcPr>
            <w:tcW w:w="803" w:type="dxa"/>
            <w:shd w:val="clear" w:color="auto" w:fill="auto"/>
            <w:noWrap/>
            <w:vAlign w:val="bottom"/>
          </w:tcPr>
          <w:p w14:paraId="2B87D639" w14:textId="7340A208"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0,05</w:t>
            </w:r>
          </w:p>
        </w:tc>
        <w:tc>
          <w:tcPr>
            <w:tcW w:w="759" w:type="dxa"/>
            <w:shd w:val="clear" w:color="auto" w:fill="auto"/>
            <w:noWrap/>
            <w:vAlign w:val="bottom"/>
          </w:tcPr>
          <w:p w14:paraId="153205DA" w14:textId="11950312"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0,48</w:t>
            </w:r>
          </w:p>
        </w:tc>
        <w:tc>
          <w:tcPr>
            <w:tcW w:w="1103" w:type="dxa"/>
            <w:shd w:val="clear" w:color="auto" w:fill="auto"/>
            <w:noWrap/>
            <w:vAlign w:val="bottom"/>
          </w:tcPr>
          <w:p w14:paraId="3B173810" w14:textId="1CA38E40" w:rsidR="00674849" w:rsidRPr="00DB0DEF" w:rsidRDefault="00674849" w:rsidP="00674849">
            <w:pPr>
              <w:spacing w:after="0" w:line="240" w:lineRule="auto"/>
              <w:jc w:val="center"/>
              <w:rPr>
                <w:rFonts w:ascii="Times New Roman" w:eastAsia="Times New Roman" w:hAnsi="Times New Roman" w:cs="Times New Roman"/>
                <w:noProof w:val="0"/>
                <w:color w:val="000000"/>
                <w:sz w:val="18"/>
                <w:szCs w:val="18"/>
                <w:lang w:eastAsia="tr-TR"/>
              </w:rPr>
            </w:pPr>
            <w:r w:rsidRPr="00DB0DEF">
              <w:rPr>
                <w:rFonts w:ascii="Times New Roman" w:eastAsia="Times New Roman" w:hAnsi="Times New Roman" w:cs="Times New Roman"/>
                <w:noProof w:val="0"/>
                <w:color w:val="000000"/>
                <w:sz w:val="18"/>
                <w:szCs w:val="18"/>
                <w:lang w:eastAsia="tr-TR"/>
              </w:rPr>
              <w:t>0,16</w:t>
            </w:r>
          </w:p>
        </w:tc>
      </w:tr>
    </w:tbl>
    <w:p w14:paraId="3F5C80C7" w14:textId="0C33D6D9" w:rsidR="0044078F" w:rsidRPr="00DB0DEF" w:rsidRDefault="0044078F" w:rsidP="00DB0DEF">
      <w:pPr>
        <w:pStyle w:val="ListeParagraf"/>
        <w:numPr>
          <w:ilvl w:val="0"/>
          <w:numId w:val="12"/>
        </w:numPr>
        <w:spacing w:before="120" w:after="120"/>
        <w:ind w:left="0" w:firstLine="425"/>
        <w:contextualSpacing w:val="0"/>
        <w:jc w:val="both"/>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u w:val="single"/>
          <w:lang w:eastAsia="tr-TR"/>
        </w:rPr>
        <w:t>Liki</w:t>
      </w:r>
      <w:r w:rsidR="009A00DD" w:rsidRPr="00DB0DEF">
        <w:rPr>
          <w:rFonts w:ascii="Times New Roman" w:eastAsia="Times New Roman" w:hAnsi="Times New Roman" w:cs="Times New Roman"/>
          <w:noProof w:val="0"/>
          <w:color w:val="000000"/>
          <w:u w:val="single"/>
          <w:lang w:eastAsia="tr-TR"/>
        </w:rPr>
        <w:t>dit</w:t>
      </w:r>
      <w:r w:rsidRPr="00DB0DEF">
        <w:rPr>
          <w:rFonts w:ascii="Times New Roman" w:eastAsia="Times New Roman" w:hAnsi="Times New Roman" w:cs="Times New Roman"/>
          <w:noProof w:val="0"/>
          <w:color w:val="000000"/>
          <w:u w:val="single"/>
          <w:lang w:eastAsia="tr-TR"/>
        </w:rPr>
        <w:t>e Oranları ile ilgili şunlar söylenebilir:</w:t>
      </w:r>
      <w:r w:rsidR="00EB5E87" w:rsidRPr="00DB0DEF">
        <w:rPr>
          <w:rFonts w:ascii="Times New Roman" w:eastAsia="Times New Roman" w:hAnsi="Times New Roman" w:cs="Times New Roman"/>
          <w:noProof w:val="0"/>
          <w:color w:val="000000"/>
          <w:lang w:eastAsia="tr-TR"/>
        </w:rPr>
        <w:t xml:space="preserve"> </w:t>
      </w:r>
      <w:r w:rsidR="006F07FA" w:rsidRPr="00DB0DEF">
        <w:rPr>
          <w:rFonts w:ascii="Times New Roman" w:eastAsia="Times New Roman" w:hAnsi="Times New Roman" w:cs="Times New Roman"/>
          <w:noProof w:val="0"/>
          <w:color w:val="000000"/>
          <w:lang w:eastAsia="tr-TR"/>
        </w:rPr>
        <w:t>Genel olarak literatürde</w:t>
      </w:r>
      <w:r w:rsidR="00EB5E87" w:rsidRPr="00DB0DEF">
        <w:rPr>
          <w:rFonts w:ascii="Times New Roman" w:eastAsia="Times New Roman" w:hAnsi="Times New Roman" w:cs="Times New Roman"/>
          <w:noProof w:val="0"/>
          <w:color w:val="000000"/>
          <w:lang w:eastAsia="tr-TR"/>
        </w:rPr>
        <w:t xml:space="preserve"> </w:t>
      </w:r>
      <w:r w:rsidR="009A00DD" w:rsidRPr="00DB0DEF">
        <w:rPr>
          <w:rFonts w:ascii="Times New Roman" w:eastAsia="Times New Roman" w:hAnsi="Times New Roman" w:cs="Times New Roman"/>
          <w:noProof w:val="0"/>
          <w:color w:val="000000"/>
          <w:lang w:eastAsia="tr-TR"/>
        </w:rPr>
        <w:t>c</w:t>
      </w:r>
      <w:r w:rsidR="00EB5E87" w:rsidRPr="00DB0DEF">
        <w:rPr>
          <w:rFonts w:ascii="Times New Roman" w:eastAsia="Times New Roman" w:hAnsi="Times New Roman" w:cs="Times New Roman"/>
          <w:noProof w:val="0"/>
          <w:color w:val="000000"/>
          <w:lang w:eastAsia="tr-TR"/>
        </w:rPr>
        <w:t xml:space="preserve">ari oranın 1,5-2, likidite oranının 1, nakit oranın ise en az 0,2’in üstünde olması ideal olarak kabul edilmektedir. Bu açıdan bakıldığında incelenen yılda Holding faaliyet bölümü ile Taahhüt ve Arazi Geliştirme Faaliyet bölümlerinin </w:t>
      </w:r>
      <w:r w:rsidR="0003216D" w:rsidRPr="00DB0DEF">
        <w:rPr>
          <w:rFonts w:ascii="Times New Roman" w:eastAsia="Times New Roman" w:hAnsi="Times New Roman" w:cs="Times New Roman"/>
          <w:noProof w:val="0"/>
          <w:color w:val="000000"/>
          <w:lang w:eastAsia="tr-TR"/>
        </w:rPr>
        <w:t>idealin üzerinde oranlar</w:t>
      </w:r>
      <w:r w:rsidR="009A00DD" w:rsidRPr="00DB0DEF">
        <w:rPr>
          <w:rFonts w:ascii="Times New Roman" w:eastAsia="Times New Roman" w:hAnsi="Times New Roman" w:cs="Times New Roman"/>
          <w:noProof w:val="0"/>
          <w:color w:val="000000"/>
          <w:lang w:eastAsia="tr-TR"/>
        </w:rPr>
        <w:t>a</w:t>
      </w:r>
      <w:r w:rsidR="0003216D" w:rsidRPr="00DB0DEF">
        <w:rPr>
          <w:rFonts w:ascii="Times New Roman" w:eastAsia="Times New Roman" w:hAnsi="Times New Roman" w:cs="Times New Roman"/>
          <w:noProof w:val="0"/>
          <w:color w:val="000000"/>
          <w:lang w:eastAsia="tr-TR"/>
        </w:rPr>
        <w:t xml:space="preserve"> sahip olduğu, diğerlerinin sahip olmadığı görülmektedir. Özellikle Holding faaliyet bölümünün likidite oranlarının yüksek olduğu göze çarpmaktadır. </w:t>
      </w:r>
      <w:r w:rsidR="009A00DD" w:rsidRPr="00DB0DEF">
        <w:rPr>
          <w:rFonts w:ascii="Times New Roman" w:eastAsia="Times New Roman" w:hAnsi="Times New Roman" w:cs="Times New Roman"/>
          <w:noProof w:val="0"/>
          <w:color w:val="000000"/>
          <w:lang w:eastAsia="tr-TR"/>
        </w:rPr>
        <w:t>Likidite oranlarının yüksekliği</w:t>
      </w:r>
      <w:r w:rsidR="0003216D" w:rsidRPr="00DB0DEF">
        <w:rPr>
          <w:rFonts w:ascii="Times New Roman" w:eastAsia="Times New Roman" w:hAnsi="Times New Roman" w:cs="Times New Roman"/>
          <w:noProof w:val="0"/>
          <w:color w:val="000000"/>
          <w:lang w:eastAsia="tr-TR"/>
        </w:rPr>
        <w:t xml:space="preserve"> Holding faaliyet bölümümün 2019 yılında kısa vadeli borç ödeme gücü </w:t>
      </w:r>
      <w:r w:rsidR="009A00DD" w:rsidRPr="00DB0DEF">
        <w:rPr>
          <w:rFonts w:ascii="Times New Roman" w:eastAsia="Times New Roman" w:hAnsi="Times New Roman" w:cs="Times New Roman"/>
          <w:noProof w:val="0"/>
          <w:color w:val="000000"/>
          <w:lang w:eastAsia="tr-TR"/>
        </w:rPr>
        <w:t>en yüksek olan faaliyet bölümü olduğunu göstermektedir.</w:t>
      </w:r>
    </w:p>
    <w:p w14:paraId="359AFF86" w14:textId="1834D208" w:rsidR="0044078F" w:rsidRPr="00DB0DEF" w:rsidRDefault="0044078F" w:rsidP="00DB0DEF">
      <w:pPr>
        <w:pStyle w:val="ListeParagraf"/>
        <w:numPr>
          <w:ilvl w:val="0"/>
          <w:numId w:val="12"/>
        </w:numPr>
        <w:spacing w:before="120" w:after="120"/>
        <w:ind w:left="0" w:firstLine="425"/>
        <w:contextualSpacing w:val="0"/>
        <w:jc w:val="both"/>
        <w:rPr>
          <w:rFonts w:ascii="Times New Roman" w:eastAsia="Times New Roman" w:hAnsi="Times New Roman" w:cs="Times New Roman"/>
          <w:noProof w:val="0"/>
          <w:color w:val="000000"/>
          <w:u w:val="single"/>
          <w:lang w:eastAsia="tr-TR"/>
        </w:rPr>
      </w:pPr>
      <w:r w:rsidRPr="00DB0DEF">
        <w:rPr>
          <w:rFonts w:ascii="Times New Roman" w:eastAsia="Times New Roman" w:hAnsi="Times New Roman" w:cs="Times New Roman"/>
          <w:noProof w:val="0"/>
          <w:color w:val="000000"/>
          <w:u w:val="single"/>
          <w:lang w:eastAsia="tr-TR"/>
        </w:rPr>
        <w:t>Faaliyet Oranları ile ilgili şunlar söylenebilir:</w:t>
      </w:r>
      <w:r w:rsidR="009A00DD" w:rsidRPr="00DB0DEF">
        <w:rPr>
          <w:rFonts w:ascii="Times New Roman" w:eastAsia="Times New Roman" w:hAnsi="Times New Roman" w:cs="Times New Roman"/>
          <w:noProof w:val="0"/>
          <w:color w:val="000000"/>
          <w:lang w:eastAsia="tr-TR"/>
        </w:rPr>
        <w:t xml:space="preserve"> </w:t>
      </w:r>
      <w:r w:rsidR="006F07FA" w:rsidRPr="00DB0DEF">
        <w:rPr>
          <w:rFonts w:ascii="Times New Roman" w:eastAsia="Times New Roman" w:hAnsi="Times New Roman" w:cs="Times New Roman"/>
          <w:noProof w:val="0"/>
          <w:color w:val="000000"/>
          <w:lang w:eastAsia="tr-TR"/>
        </w:rPr>
        <w:t>Literatürde faaliyet oranlarının yüksek olması</w:t>
      </w:r>
      <w:r w:rsidR="009A00DD" w:rsidRPr="00DB0DEF">
        <w:rPr>
          <w:rFonts w:ascii="Times New Roman" w:eastAsia="Times New Roman" w:hAnsi="Times New Roman" w:cs="Times New Roman"/>
          <w:noProof w:val="0"/>
          <w:color w:val="000000"/>
          <w:lang w:eastAsia="tr-TR"/>
        </w:rPr>
        <w:t>nın</w:t>
      </w:r>
      <w:r w:rsidR="006F07FA" w:rsidRPr="00DB0DEF">
        <w:rPr>
          <w:rFonts w:ascii="Times New Roman" w:eastAsia="Times New Roman" w:hAnsi="Times New Roman" w:cs="Times New Roman"/>
          <w:noProof w:val="0"/>
          <w:color w:val="000000"/>
          <w:lang w:eastAsia="tr-TR"/>
        </w:rPr>
        <w:t xml:space="preserve"> istenilen bir durum olduğu görülmektedir. Tablo incelendiğinde faaliyet oranlarının faaliyet bölümlerine göre değişim gösterdiği </w:t>
      </w:r>
      <w:r w:rsidR="009A00DD" w:rsidRPr="00DB0DEF">
        <w:rPr>
          <w:rFonts w:ascii="Times New Roman" w:eastAsia="Times New Roman" w:hAnsi="Times New Roman" w:cs="Times New Roman"/>
          <w:noProof w:val="0"/>
          <w:color w:val="000000"/>
          <w:lang w:eastAsia="tr-TR"/>
        </w:rPr>
        <w:t>dikkati çekmektedir</w:t>
      </w:r>
      <w:r w:rsidR="006F07FA" w:rsidRPr="00DB0DEF">
        <w:rPr>
          <w:rFonts w:ascii="Times New Roman" w:eastAsia="Times New Roman" w:hAnsi="Times New Roman" w:cs="Times New Roman"/>
          <w:noProof w:val="0"/>
          <w:color w:val="000000"/>
          <w:lang w:eastAsia="tr-TR"/>
        </w:rPr>
        <w:t xml:space="preserve">. Örneğin stok devir hızı </w:t>
      </w:r>
      <w:r w:rsidR="007A7306" w:rsidRPr="00DB0DEF">
        <w:rPr>
          <w:rFonts w:ascii="Times New Roman" w:eastAsia="Times New Roman" w:hAnsi="Times New Roman" w:cs="Times New Roman"/>
          <w:noProof w:val="0"/>
          <w:color w:val="000000"/>
          <w:lang w:eastAsia="tr-TR"/>
        </w:rPr>
        <w:t>H</w:t>
      </w:r>
      <w:r w:rsidR="006F07FA" w:rsidRPr="00DB0DEF">
        <w:rPr>
          <w:rFonts w:ascii="Times New Roman" w:eastAsia="Times New Roman" w:hAnsi="Times New Roman" w:cs="Times New Roman"/>
          <w:noProof w:val="0"/>
          <w:color w:val="000000"/>
          <w:lang w:eastAsia="tr-TR"/>
        </w:rPr>
        <w:t xml:space="preserve">olding </w:t>
      </w:r>
      <w:r w:rsidR="007A7306" w:rsidRPr="00DB0DEF">
        <w:rPr>
          <w:rFonts w:ascii="Times New Roman" w:eastAsia="Times New Roman" w:hAnsi="Times New Roman" w:cs="Times New Roman"/>
          <w:noProof w:val="0"/>
          <w:color w:val="000000"/>
          <w:lang w:eastAsia="tr-TR"/>
        </w:rPr>
        <w:t xml:space="preserve">faaliyet bölümünde </w:t>
      </w:r>
      <w:r w:rsidR="006F07FA" w:rsidRPr="00DB0DEF">
        <w:rPr>
          <w:rFonts w:ascii="Times New Roman" w:eastAsia="Times New Roman" w:hAnsi="Times New Roman" w:cs="Times New Roman"/>
          <w:noProof w:val="0"/>
          <w:color w:val="000000"/>
          <w:lang w:eastAsia="tr-TR"/>
        </w:rPr>
        <w:t xml:space="preserve">en yüksek düzeyde iken, alacak devir hızı Turizm </w:t>
      </w:r>
      <w:r w:rsidR="007A7306" w:rsidRPr="00DB0DEF">
        <w:rPr>
          <w:rFonts w:ascii="Times New Roman" w:eastAsia="Times New Roman" w:hAnsi="Times New Roman" w:cs="Times New Roman"/>
          <w:noProof w:val="0"/>
          <w:color w:val="000000"/>
          <w:lang w:eastAsia="tr-TR"/>
        </w:rPr>
        <w:t xml:space="preserve">faaliyet </w:t>
      </w:r>
      <w:r w:rsidR="006F07FA" w:rsidRPr="00DB0DEF">
        <w:rPr>
          <w:rFonts w:ascii="Times New Roman" w:eastAsia="Times New Roman" w:hAnsi="Times New Roman" w:cs="Times New Roman"/>
          <w:noProof w:val="0"/>
          <w:color w:val="000000"/>
          <w:lang w:eastAsia="tr-TR"/>
        </w:rPr>
        <w:t>bölümünde en yüksek düzeyde</w:t>
      </w:r>
      <w:r w:rsidR="007A7306" w:rsidRPr="00DB0DEF">
        <w:rPr>
          <w:rFonts w:ascii="Times New Roman" w:eastAsia="Times New Roman" w:hAnsi="Times New Roman" w:cs="Times New Roman"/>
          <w:noProof w:val="0"/>
          <w:color w:val="000000"/>
          <w:lang w:eastAsia="tr-TR"/>
        </w:rPr>
        <w:t>dir</w:t>
      </w:r>
      <w:r w:rsidR="006F07FA" w:rsidRPr="00DB0DEF">
        <w:rPr>
          <w:rFonts w:ascii="Times New Roman" w:eastAsia="Times New Roman" w:hAnsi="Times New Roman" w:cs="Times New Roman"/>
          <w:noProof w:val="0"/>
          <w:color w:val="000000"/>
          <w:lang w:eastAsia="tr-TR"/>
        </w:rPr>
        <w:t xml:space="preserve">. Aktif devir hızı açısından da en yüksek orana sahip bölüm Enerji bölümüdür. Bu </w:t>
      </w:r>
      <w:r w:rsidR="003B235E" w:rsidRPr="00DB0DEF">
        <w:rPr>
          <w:rFonts w:ascii="Times New Roman" w:eastAsia="Times New Roman" w:hAnsi="Times New Roman" w:cs="Times New Roman"/>
          <w:noProof w:val="0"/>
          <w:color w:val="000000"/>
          <w:lang w:eastAsia="tr-TR"/>
        </w:rPr>
        <w:t>farklılıklar</w:t>
      </w:r>
      <w:r w:rsidR="007A7306" w:rsidRPr="00DB0DEF">
        <w:rPr>
          <w:rFonts w:ascii="Times New Roman" w:eastAsia="Times New Roman" w:hAnsi="Times New Roman" w:cs="Times New Roman"/>
          <w:noProof w:val="0"/>
          <w:color w:val="000000"/>
          <w:lang w:eastAsia="tr-TR"/>
        </w:rPr>
        <w:t>ın</w:t>
      </w:r>
      <w:r w:rsidR="003B235E" w:rsidRPr="00DB0DEF">
        <w:rPr>
          <w:rFonts w:ascii="Times New Roman" w:eastAsia="Times New Roman" w:hAnsi="Times New Roman" w:cs="Times New Roman"/>
          <w:noProof w:val="0"/>
          <w:color w:val="000000"/>
          <w:lang w:eastAsia="tr-TR"/>
        </w:rPr>
        <w:t xml:space="preserve"> faaliyet bölümlerinin çalışma şekillerinden kaynaklandığı düşünülebilir. Örneğin yüksek devir oranlarına sahip olan Turizm faaliyet bölümündeki firmalar genellikle düşük stok miktarı ile çalışmakta ve kısa vadeli müşteri ilişkileri nedeniyle büyük ölçüde nakit işlem yapmaktadırlar. Bu nedenle </w:t>
      </w:r>
      <w:r w:rsidR="007A7306" w:rsidRPr="00DB0DEF">
        <w:rPr>
          <w:rFonts w:ascii="Times New Roman" w:eastAsia="Times New Roman" w:hAnsi="Times New Roman" w:cs="Times New Roman"/>
          <w:noProof w:val="0"/>
          <w:color w:val="000000"/>
          <w:lang w:eastAsia="tr-TR"/>
        </w:rPr>
        <w:t xml:space="preserve">bu faaliyet bölümünde </w:t>
      </w:r>
      <w:r w:rsidR="003B235E" w:rsidRPr="00DB0DEF">
        <w:rPr>
          <w:rFonts w:ascii="Times New Roman" w:eastAsia="Times New Roman" w:hAnsi="Times New Roman" w:cs="Times New Roman"/>
          <w:noProof w:val="0"/>
          <w:color w:val="000000"/>
          <w:lang w:eastAsia="tr-TR"/>
        </w:rPr>
        <w:t>faaliyet oranların</w:t>
      </w:r>
      <w:r w:rsidR="007A7306" w:rsidRPr="00DB0DEF">
        <w:rPr>
          <w:rFonts w:ascii="Times New Roman" w:eastAsia="Times New Roman" w:hAnsi="Times New Roman" w:cs="Times New Roman"/>
          <w:noProof w:val="0"/>
          <w:color w:val="000000"/>
          <w:lang w:eastAsia="tr-TR"/>
        </w:rPr>
        <w:t>ın</w:t>
      </w:r>
      <w:r w:rsidR="003B235E" w:rsidRPr="00DB0DEF">
        <w:rPr>
          <w:rFonts w:ascii="Times New Roman" w:eastAsia="Times New Roman" w:hAnsi="Times New Roman" w:cs="Times New Roman"/>
          <w:noProof w:val="0"/>
          <w:color w:val="000000"/>
          <w:lang w:eastAsia="tr-TR"/>
        </w:rPr>
        <w:t xml:space="preserve"> yüksek çıktığı söylenebilir.</w:t>
      </w:r>
    </w:p>
    <w:p w14:paraId="558C3BDB" w14:textId="241FE747" w:rsidR="0044078F" w:rsidRPr="00DB0DEF" w:rsidRDefault="0044078F" w:rsidP="00DB0DEF">
      <w:pPr>
        <w:pStyle w:val="ListeParagraf"/>
        <w:numPr>
          <w:ilvl w:val="0"/>
          <w:numId w:val="12"/>
        </w:numPr>
        <w:spacing w:before="120" w:after="120"/>
        <w:ind w:left="0" w:firstLine="425"/>
        <w:contextualSpacing w:val="0"/>
        <w:jc w:val="both"/>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u w:val="single"/>
          <w:lang w:eastAsia="tr-TR"/>
        </w:rPr>
        <w:t>Mali Yapı Oranları ile ilgili şunlar söylenebilir</w:t>
      </w:r>
      <w:r w:rsidRPr="00DB0DEF">
        <w:rPr>
          <w:rFonts w:ascii="Times New Roman" w:eastAsia="Times New Roman" w:hAnsi="Times New Roman" w:cs="Times New Roman"/>
          <w:noProof w:val="0"/>
          <w:color w:val="000000"/>
          <w:lang w:eastAsia="tr-TR"/>
        </w:rPr>
        <w:t>:</w:t>
      </w:r>
      <w:r w:rsidR="003B235E" w:rsidRPr="00DB0DEF">
        <w:rPr>
          <w:rFonts w:ascii="Times New Roman" w:eastAsia="Times New Roman" w:hAnsi="Times New Roman" w:cs="Times New Roman"/>
          <w:noProof w:val="0"/>
          <w:color w:val="000000"/>
          <w:lang w:eastAsia="tr-TR"/>
        </w:rPr>
        <w:t xml:space="preserve"> Literatür incelendiğinde Kaldıraç oranının düşük, özkaynak oranlarının ise yüksek olması gerektiği görülmektedir. </w:t>
      </w:r>
      <w:r w:rsidR="001F5FB5" w:rsidRPr="00DB0DEF">
        <w:rPr>
          <w:rFonts w:ascii="Times New Roman" w:eastAsia="Times New Roman" w:hAnsi="Times New Roman" w:cs="Times New Roman"/>
          <w:noProof w:val="0"/>
          <w:color w:val="000000"/>
          <w:lang w:eastAsia="tr-TR"/>
        </w:rPr>
        <w:t>Tabloya b</w:t>
      </w:r>
      <w:r w:rsidR="003B235E" w:rsidRPr="00DB0DEF">
        <w:rPr>
          <w:rFonts w:ascii="Times New Roman" w:eastAsia="Times New Roman" w:hAnsi="Times New Roman" w:cs="Times New Roman"/>
          <w:noProof w:val="0"/>
          <w:color w:val="000000"/>
          <w:lang w:eastAsia="tr-TR"/>
        </w:rPr>
        <w:t>u açıdan bakıldığında en iyi mali yapı oranlarına sahip bölüm</w:t>
      </w:r>
      <w:r w:rsidR="007A7306" w:rsidRPr="00DB0DEF">
        <w:rPr>
          <w:rFonts w:ascii="Times New Roman" w:eastAsia="Times New Roman" w:hAnsi="Times New Roman" w:cs="Times New Roman"/>
          <w:noProof w:val="0"/>
          <w:color w:val="000000"/>
          <w:lang w:eastAsia="tr-TR"/>
        </w:rPr>
        <w:t xml:space="preserve">lerin </w:t>
      </w:r>
      <w:r w:rsidR="003B235E" w:rsidRPr="00DB0DEF">
        <w:rPr>
          <w:rFonts w:ascii="Times New Roman" w:eastAsia="Times New Roman" w:hAnsi="Times New Roman" w:cs="Times New Roman"/>
          <w:noProof w:val="0"/>
          <w:color w:val="000000"/>
          <w:lang w:eastAsia="tr-TR"/>
        </w:rPr>
        <w:t xml:space="preserve">Sanayi ve Ticaret ile Holding Bölümleri </w:t>
      </w:r>
      <w:r w:rsidR="007A7306" w:rsidRPr="00DB0DEF">
        <w:rPr>
          <w:rFonts w:ascii="Times New Roman" w:eastAsia="Times New Roman" w:hAnsi="Times New Roman" w:cs="Times New Roman"/>
          <w:noProof w:val="0"/>
          <w:color w:val="000000"/>
          <w:lang w:eastAsia="tr-TR"/>
        </w:rPr>
        <w:t>olduğu,</w:t>
      </w:r>
      <w:r w:rsidR="003B235E" w:rsidRPr="00DB0DEF">
        <w:rPr>
          <w:rFonts w:ascii="Times New Roman" w:eastAsia="Times New Roman" w:hAnsi="Times New Roman" w:cs="Times New Roman"/>
          <w:noProof w:val="0"/>
          <w:color w:val="000000"/>
          <w:lang w:eastAsia="tr-TR"/>
        </w:rPr>
        <w:t xml:space="preserve"> en kötü oranlara sahip bölüm</w:t>
      </w:r>
      <w:r w:rsidR="007A7306" w:rsidRPr="00DB0DEF">
        <w:rPr>
          <w:rFonts w:ascii="Times New Roman" w:eastAsia="Times New Roman" w:hAnsi="Times New Roman" w:cs="Times New Roman"/>
          <w:noProof w:val="0"/>
          <w:color w:val="000000"/>
          <w:lang w:eastAsia="tr-TR"/>
        </w:rPr>
        <w:t xml:space="preserve">ün ise </w:t>
      </w:r>
      <w:r w:rsidR="003B235E" w:rsidRPr="00DB0DEF">
        <w:rPr>
          <w:rFonts w:ascii="Times New Roman" w:eastAsia="Times New Roman" w:hAnsi="Times New Roman" w:cs="Times New Roman"/>
          <w:noProof w:val="0"/>
          <w:color w:val="000000"/>
          <w:lang w:eastAsia="tr-TR"/>
        </w:rPr>
        <w:t>Turizm olduğu dikkati çekmektedir.</w:t>
      </w:r>
    </w:p>
    <w:p w14:paraId="08A236CD" w14:textId="0BE153B3" w:rsidR="0044078F" w:rsidRPr="00DB0DEF" w:rsidRDefault="0044078F" w:rsidP="008E1450">
      <w:pPr>
        <w:pStyle w:val="ListeParagraf"/>
        <w:numPr>
          <w:ilvl w:val="0"/>
          <w:numId w:val="12"/>
        </w:numPr>
        <w:spacing w:after="120"/>
        <w:ind w:left="0" w:firstLine="426"/>
        <w:jc w:val="both"/>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u w:val="single"/>
          <w:lang w:eastAsia="tr-TR"/>
        </w:rPr>
        <w:t>Karlılık Oranları ile ilgili şunlar söylenebilir</w:t>
      </w:r>
      <w:r w:rsidRPr="00DB0DEF">
        <w:rPr>
          <w:rFonts w:ascii="Times New Roman" w:eastAsia="Times New Roman" w:hAnsi="Times New Roman" w:cs="Times New Roman"/>
          <w:noProof w:val="0"/>
          <w:color w:val="000000"/>
          <w:lang w:eastAsia="tr-TR"/>
        </w:rPr>
        <w:t>:</w:t>
      </w:r>
      <w:r w:rsidR="001F5FB5" w:rsidRPr="00DB0DEF">
        <w:rPr>
          <w:rFonts w:ascii="Times New Roman" w:eastAsia="Times New Roman" w:hAnsi="Times New Roman" w:cs="Times New Roman"/>
          <w:noProof w:val="0"/>
          <w:color w:val="000000"/>
          <w:lang w:eastAsia="tr-TR"/>
        </w:rPr>
        <w:t xml:space="preserve"> Karlılık oranlarırın yüksek olması literatürde istenilen bir durumdur. Tablo incelendiğinde </w:t>
      </w:r>
      <w:r w:rsidR="007A7306" w:rsidRPr="00DB0DEF">
        <w:rPr>
          <w:rFonts w:ascii="Times New Roman" w:eastAsia="Times New Roman" w:hAnsi="Times New Roman" w:cs="Times New Roman"/>
          <w:noProof w:val="0"/>
          <w:color w:val="000000"/>
          <w:lang w:eastAsia="tr-TR"/>
        </w:rPr>
        <w:t xml:space="preserve">2019 </w:t>
      </w:r>
      <w:r w:rsidR="0060206C" w:rsidRPr="00DB0DEF">
        <w:rPr>
          <w:rFonts w:ascii="Times New Roman" w:eastAsia="Times New Roman" w:hAnsi="Times New Roman" w:cs="Times New Roman"/>
          <w:noProof w:val="0"/>
          <w:color w:val="000000"/>
          <w:lang w:eastAsia="tr-TR"/>
        </w:rPr>
        <w:t>yıl</w:t>
      </w:r>
      <w:r w:rsidR="007A7306" w:rsidRPr="00DB0DEF">
        <w:rPr>
          <w:rFonts w:ascii="Times New Roman" w:eastAsia="Times New Roman" w:hAnsi="Times New Roman" w:cs="Times New Roman"/>
          <w:noProof w:val="0"/>
          <w:color w:val="000000"/>
          <w:lang w:eastAsia="tr-TR"/>
        </w:rPr>
        <w:t>ın</w:t>
      </w:r>
      <w:r w:rsidR="0060206C" w:rsidRPr="00DB0DEF">
        <w:rPr>
          <w:rFonts w:ascii="Times New Roman" w:eastAsia="Times New Roman" w:hAnsi="Times New Roman" w:cs="Times New Roman"/>
          <w:noProof w:val="0"/>
          <w:color w:val="000000"/>
          <w:lang w:eastAsia="tr-TR"/>
        </w:rPr>
        <w:t xml:space="preserve">da en iyi karlılık oranlarına sahip olan faaliyet bölümü Enerji iken en kötü oranlara sahip faaliyet bölümünün ise Turizm olduğu </w:t>
      </w:r>
      <w:r w:rsidR="007A7306" w:rsidRPr="00DB0DEF">
        <w:rPr>
          <w:rFonts w:ascii="Times New Roman" w:eastAsia="Times New Roman" w:hAnsi="Times New Roman" w:cs="Times New Roman"/>
          <w:noProof w:val="0"/>
          <w:color w:val="000000"/>
          <w:lang w:eastAsia="tr-TR"/>
        </w:rPr>
        <w:t>görülmektedir</w:t>
      </w:r>
      <w:r w:rsidR="0060206C" w:rsidRPr="00DB0DEF">
        <w:rPr>
          <w:rFonts w:ascii="Times New Roman" w:eastAsia="Times New Roman" w:hAnsi="Times New Roman" w:cs="Times New Roman"/>
          <w:noProof w:val="0"/>
          <w:color w:val="000000"/>
          <w:lang w:eastAsia="tr-TR"/>
        </w:rPr>
        <w:t>.</w:t>
      </w:r>
    </w:p>
    <w:p w14:paraId="69488B22" w14:textId="37D6AD36" w:rsidR="005A6E81" w:rsidRPr="00DB0DEF" w:rsidRDefault="005A6E81" w:rsidP="00D40ACF">
      <w:pPr>
        <w:pStyle w:val="Balk1"/>
        <w:numPr>
          <w:ilvl w:val="1"/>
          <w:numId w:val="2"/>
        </w:numPr>
        <w:tabs>
          <w:tab w:val="clear" w:pos="709"/>
          <w:tab w:val="left" w:pos="851"/>
        </w:tabs>
        <w:spacing w:before="0" w:after="120" w:line="276" w:lineRule="auto"/>
        <w:ind w:left="0" w:firstLine="426"/>
        <w:contextualSpacing/>
        <w:rPr>
          <w:rFonts w:cs="Times New Roman"/>
          <w:sz w:val="22"/>
          <w:szCs w:val="22"/>
        </w:rPr>
      </w:pPr>
      <w:r w:rsidRPr="00DB0DEF">
        <w:rPr>
          <w:rFonts w:cs="Times New Roman"/>
          <w:sz w:val="22"/>
          <w:szCs w:val="22"/>
        </w:rPr>
        <w:lastRenderedPageBreak/>
        <w:t>Topsis Yöntemi ile Finansal Performans Analizi</w:t>
      </w:r>
    </w:p>
    <w:p w14:paraId="6BBBCAED" w14:textId="07C3379A" w:rsidR="008E1450" w:rsidRPr="00DB0DEF" w:rsidRDefault="0060206C" w:rsidP="00824CB3">
      <w:pPr>
        <w:spacing w:after="120"/>
        <w:ind w:firstLine="425"/>
        <w:jc w:val="both"/>
        <w:rPr>
          <w:rFonts w:ascii="Times New Roman" w:hAnsi="Times New Roman" w:cs="Times New Roman"/>
        </w:rPr>
      </w:pPr>
      <w:r w:rsidRPr="00DB0DEF">
        <w:rPr>
          <w:rFonts w:ascii="Times New Roman" w:hAnsi="Times New Roman" w:cs="Times New Roman"/>
        </w:rPr>
        <w:t xml:space="preserve">Bir önceki bölümde örnek yıl olarak seçilen 2019 yılına ait bazı finansal oranlar hesaplanarak yorumlanmaya çalışılmıştır. </w:t>
      </w:r>
      <w:r w:rsidR="00275E26" w:rsidRPr="00DB0DEF">
        <w:rPr>
          <w:rFonts w:ascii="Times New Roman" w:hAnsi="Times New Roman" w:cs="Times New Roman"/>
        </w:rPr>
        <w:t xml:space="preserve">Bu bölümde </w:t>
      </w:r>
      <w:r w:rsidR="00824CB3" w:rsidRPr="00DB0DEF">
        <w:rPr>
          <w:rFonts w:ascii="Times New Roman" w:hAnsi="Times New Roman" w:cs="Times New Roman"/>
        </w:rPr>
        <w:t xml:space="preserve">ise </w:t>
      </w:r>
      <w:r w:rsidRPr="00DB0DEF">
        <w:rPr>
          <w:rFonts w:ascii="Times New Roman" w:hAnsi="Times New Roman" w:cs="Times New Roman"/>
        </w:rPr>
        <w:t>finansal oran</w:t>
      </w:r>
      <w:r w:rsidR="0065176D" w:rsidRPr="00DB0DEF">
        <w:rPr>
          <w:rFonts w:ascii="Times New Roman" w:hAnsi="Times New Roman" w:cs="Times New Roman"/>
        </w:rPr>
        <w:t>lar</w:t>
      </w:r>
      <w:r w:rsidR="00824CB3" w:rsidRPr="00DB0DEF">
        <w:rPr>
          <w:rFonts w:ascii="Times New Roman" w:hAnsi="Times New Roman" w:cs="Times New Roman"/>
        </w:rPr>
        <w:t xml:space="preserve"> içinden </w:t>
      </w:r>
      <w:r w:rsidR="008E1450" w:rsidRPr="00DB0DEF">
        <w:rPr>
          <w:rFonts w:ascii="Times New Roman" w:hAnsi="Times New Roman" w:cs="Times New Roman"/>
        </w:rPr>
        <w:t xml:space="preserve">aşağıdaki </w:t>
      </w:r>
      <w:r w:rsidR="00824CB3" w:rsidRPr="00DB0DEF">
        <w:rPr>
          <w:rFonts w:ascii="Times New Roman" w:hAnsi="Times New Roman" w:cs="Times New Roman"/>
        </w:rPr>
        <w:t>8 temel oran kriter olarak kullanılarak</w:t>
      </w:r>
      <w:r w:rsidRPr="00DB0DEF">
        <w:rPr>
          <w:rFonts w:ascii="Times New Roman" w:hAnsi="Times New Roman" w:cs="Times New Roman"/>
        </w:rPr>
        <w:t xml:space="preserve"> son 3 yıl</w:t>
      </w:r>
      <w:r w:rsidR="00824CB3" w:rsidRPr="00DB0DEF">
        <w:rPr>
          <w:rFonts w:ascii="Times New Roman" w:hAnsi="Times New Roman" w:cs="Times New Roman"/>
        </w:rPr>
        <w:t>ın</w:t>
      </w:r>
      <w:r w:rsidRPr="00DB0DEF">
        <w:rPr>
          <w:rFonts w:ascii="Times New Roman" w:hAnsi="Times New Roman" w:cs="Times New Roman"/>
        </w:rPr>
        <w:t xml:space="preserve"> (2019-2021 yılları</w:t>
      </w:r>
      <w:r w:rsidR="00824CB3" w:rsidRPr="00DB0DEF">
        <w:rPr>
          <w:rFonts w:ascii="Times New Roman" w:hAnsi="Times New Roman" w:cs="Times New Roman"/>
        </w:rPr>
        <w:t>)</w:t>
      </w:r>
      <w:r w:rsidRPr="00DB0DEF">
        <w:rPr>
          <w:rFonts w:ascii="Times New Roman" w:hAnsi="Times New Roman" w:cs="Times New Roman"/>
        </w:rPr>
        <w:t xml:space="preserve"> </w:t>
      </w:r>
      <w:r w:rsidR="00BC0189" w:rsidRPr="00DB0DEF">
        <w:rPr>
          <w:rFonts w:ascii="Times New Roman" w:hAnsi="Times New Roman" w:cs="Times New Roman"/>
        </w:rPr>
        <w:t xml:space="preserve"> </w:t>
      </w:r>
      <w:r w:rsidR="00824CB3" w:rsidRPr="00DB0DEF">
        <w:rPr>
          <w:rFonts w:ascii="Times New Roman" w:hAnsi="Times New Roman" w:cs="Times New Roman"/>
        </w:rPr>
        <w:t>finansal performans analizi yapılmıştır</w:t>
      </w:r>
      <w:r w:rsidR="0065176D" w:rsidRPr="00DB0DEF">
        <w:rPr>
          <w:rFonts w:ascii="Times New Roman" w:hAnsi="Times New Roman" w:cs="Times New Roman"/>
        </w:rPr>
        <w:t>:</w:t>
      </w:r>
    </w:p>
    <w:p w14:paraId="227DF702" w14:textId="77777777" w:rsidR="0065176D" w:rsidRPr="00DB0DEF" w:rsidRDefault="0065176D" w:rsidP="0065176D">
      <w:pPr>
        <w:pStyle w:val="ListeParagraf"/>
        <w:numPr>
          <w:ilvl w:val="0"/>
          <w:numId w:val="13"/>
        </w:numPr>
        <w:spacing w:after="120"/>
        <w:jc w:val="both"/>
        <w:rPr>
          <w:rFonts w:ascii="Times New Roman" w:hAnsi="Times New Roman" w:cs="Times New Roman"/>
        </w:rPr>
        <w:sectPr w:rsidR="0065176D" w:rsidRPr="00DB0DEF" w:rsidSect="00510E79">
          <w:type w:val="continuous"/>
          <w:pgSz w:w="11906" w:h="16838"/>
          <w:pgMar w:top="1417" w:right="1417" w:bottom="1417" w:left="1417" w:header="709" w:footer="709" w:gutter="0"/>
          <w:cols w:space="708"/>
          <w:docGrid w:linePitch="360"/>
        </w:sectPr>
      </w:pPr>
    </w:p>
    <w:p w14:paraId="6738CA5D" w14:textId="0EBF2EF3" w:rsidR="0065176D" w:rsidRPr="00DB0DEF" w:rsidRDefault="0065176D" w:rsidP="0065176D">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Cari Oran (CO)</w:t>
      </w:r>
    </w:p>
    <w:p w14:paraId="5778CCDC" w14:textId="2ABA55C9" w:rsidR="0065176D" w:rsidRPr="00DB0DEF" w:rsidRDefault="0065176D" w:rsidP="0065176D">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Nakit Oran (NO)</w:t>
      </w:r>
    </w:p>
    <w:p w14:paraId="4979C4E1" w14:textId="0433256B" w:rsidR="0065176D" w:rsidRPr="00DB0DEF" w:rsidRDefault="0065176D" w:rsidP="0065176D">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Stok Devir Hızı (SD)</w:t>
      </w:r>
    </w:p>
    <w:p w14:paraId="392F3D4F" w14:textId="18BAEE3B" w:rsidR="0065176D" w:rsidRPr="00DB0DEF" w:rsidRDefault="0065176D" w:rsidP="0065176D">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Aktif Devir Hızı (AD)</w:t>
      </w:r>
    </w:p>
    <w:p w14:paraId="5652088D" w14:textId="06A1C122" w:rsidR="0065176D" w:rsidRPr="00DB0DEF" w:rsidRDefault="0065176D" w:rsidP="00DB0DEF">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Kaldıraç Oranı (KO)</w:t>
      </w:r>
    </w:p>
    <w:p w14:paraId="067AF7D1" w14:textId="23046947" w:rsidR="0065176D" w:rsidRPr="00DB0DEF" w:rsidRDefault="0065176D" w:rsidP="00DB0DEF">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Finansman Oranı (FO)</w:t>
      </w:r>
    </w:p>
    <w:p w14:paraId="7B477DEA" w14:textId="608C1D80" w:rsidR="0065176D" w:rsidRPr="00DB0DEF" w:rsidRDefault="0065176D" w:rsidP="00DB0DEF">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Aktif Karlılık Oranı (AK)</w:t>
      </w:r>
    </w:p>
    <w:p w14:paraId="7A54B454" w14:textId="6E976725" w:rsidR="0065176D" w:rsidRPr="00DB0DEF" w:rsidRDefault="0065176D" w:rsidP="00DB0DEF">
      <w:pPr>
        <w:pStyle w:val="ListeParagraf"/>
        <w:numPr>
          <w:ilvl w:val="0"/>
          <w:numId w:val="13"/>
        </w:numPr>
        <w:spacing w:after="120"/>
        <w:jc w:val="both"/>
        <w:rPr>
          <w:rFonts w:ascii="Times New Roman" w:hAnsi="Times New Roman" w:cs="Times New Roman"/>
        </w:rPr>
      </w:pPr>
      <w:r w:rsidRPr="00DB0DEF">
        <w:rPr>
          <w:rFonts w:ascii="Times New Roman" w:hAnsi="Times New Roman" w:cs="Times New Roman"/>
        </w:rPr>
        <w:t>Özsermaye Karlılık Oranı (ÖK)</w:t>
      </w:r>
    </w:p>
    <w:p w14:paraId="5579D5CD" w14:textId="77777777" w:rsidR="0065176D" w:rsidRPr="00DB0DEF" w:rsidRDefault="0065176D" w:rsidP="004F78C1">
      <w:pPr>
        <w:spacing w:before="120" w:after="120"/>
        <w:ind w:firstLine="425"/>
        <w:jc w:val="both"/>
        <w:rPr>
          <w:rFonts w:ascii="Times New Roman" w:hAnsi="Times New Roman" w:cs="Times New Roman"/>
        </w:rPr>
        <w:sectPr w:rsidR="0065176D" w:rsidRPr="00DB0DEF" w:rsidSect="0065176D">
          <w:type w:val="continuous"/>
          <w:pgSz w:w="11906" w:h="16838"/>
          <w:pgMar w:top="1417" w:right="1417" w:bottom="1417" w:left="1417" w:header="709" w:footer="709" w:gutter="0"/>
          <w:cols w:num="2" w:space="286"/>
          <w:docGrid w:linePitch="360"/>
        </w:sectPr>
      </w:pPr>
    </w:p>
    <w:p w14:paraId="0F1ADE31" w14:textId="5B64AF6D" w:rsidR="00275E26" w:rsidRPr="00DB0DEF" w:rsidRDefault="000E3DA3" w:rsidP="004F78C1">
      <w:pPr>
        <w:spacing w:before="120" w:after="120"/>
        <w:ind w:firstLine="425"/>
        <w:jc w:val="both"/>
        <w:rPr>
          <w:rFonts w:ascii="Times New Roman" w:hAnsi="Times New Roman" w:cs="Times New Roman"/>
        </w:rPr>
      </w:pPr>
      <w:r w:rsidRPr="00DB0DEF">
        <w:rPr>
          <w:rFonts w:ascii="Times New Roman" w:hAnsi="Times New Roman" w:cs="Times New Roman"/>
        </w:rPr>
        <w:t>Araştırmanın yöntem bölümünde bahsedildiği üzere finansal performans analizinde Çok Kriterli Karar Verme yöntemlerinden biri olan TOPSİS yöntemi tercih edilmiştir. Bu bölümde</w:t>
      </w:r>
      <w:r w:rsidR="0065176D" w:rsidRPr="00DB0DEF">
        <w:rPr>
          <w:rFonts w:ascii="Times New Roman" w:hAnsi="Times New Roman" w:cs="Times New Roman"/>
        </w:rPr>
        <w:t xml:space="preserve"> </w:t>
      </w:r>
      <w:r w:rsidR="00824CB3" w:rsidRPr="00DB0DEF">
        <w:rPr>
          <w:rFonts w:ascii="Times New Roman" w:hAnsi="Times New Roman" w:cs="Times New Roman"/>
        </w:rPr>
        <w:t>TOPSİS yönteminin aşamaları şu şekilde uygulanmıştır:</w:t>
      </w:r>
    </w:p>
    <w:p w14:paraId="4C141A99" w14:textId="0BF5B19F" w:rsidR="0026136E" w:rsidRPr="00DB0DEF" w:rsidRDefault="0026136E" w:rsidP="00D40ACF">
      <w:pPr>
        <w:spacing w:after="120"/>
        <w:ind w:firstLine="426"/>
        <w:contextualSpacing/>
        <w:rPr>
          <w:rFonts w:ascii="Times New Roman" w:hAnsi="Times New Roman" w:cs="Times New Roman"/>
        </w:rPr>
      </w:pPr>
      <w:r w:rsidRPr="00DB0DEF">
        <w:rPr>
          <w:rFonts w:ascii="Times New Roman" w:hAnsi="Times New Roman" w:cs="Times New Roman"/>
          <w:b/>
          <w:bCs/>
        </w:rPr>
        <w:t>Adım 1:</w:t>
      </w:r>
      <w:r w:rsidRPr="00DB0DEF">
        <w:rPr>
          <w:rFonts w:ascii="Times New Roman" w:hAnsi="Times New Roman" w:cs="Times New Roman"/>
        </w:rPr>
        <w:t xml:space="preserve"> </w:t>
      </w:r>
      <w:r w:rsidRPr="00DB0DEF">
        <w:rPr>
          <w:rFonts w:ascii="Times New Roman" w:hAnsi="Times New Roman" w:cs="Times New Roman"/>
          <w:b/>
          <w:bCs/>
        </w:rPr>
        <w:t>Karar Matrisinin (A) Oluşturulması</w:t>
      </w:r>
      <w:r w:rsidRPr="00DB0DEF">
        <w:rPr>
          <w:rFonts w:ascii="Times New Roman" w:hAnsi="Times New Roman" w:cs="Times New Roman"/>
        </w:rPr>
        <w:t>:</w:t>
      </w:r>
    </w:p>
    <w:p w14:paraId="6BABDFED" w14:textId="2D641454" w:rsidR="0026136E" w:rsidRPr="00DB0DEF" w:rsidRDefault="00336098" w:rsidP="000E3DA3">
      <w:pPr>
        <w:spacing w:before="120" w:after="120"/>
        <w:ind w:firstLine="425"/>
        <w:jc w:val="both"/>
        <w:rPr>
          <w:rFonts w:ascii="Times New Roman" w:hAnsi="Times New Roman" w:cs="Times New Roman"/>
        </w:rPr>
      </w:pPr>
      <w:r>
        <w:rPr>
          <w:rFonts w:ascii="Times New Roman" w:hAnsi="Times New Roman" w:cs="Times New Roman"/>
        </w:rPr>
        <w:t xml:space="preserve">Bu adımda </w:t>
      </w:r>
      <w:r w:rsidR="000960ED">
        <w:rPr>
          <w:rFonts w:ascii="Times New Roman" w:hAnsi="Times New Roman" w:cs="Times New Roman"/>
        </w:rPr>
        <w:t xml:space="preserve">satırlarında </w:t>
      </w:r>
      <w:r w:rsidR="0026136E" w:rsidRPr="00DB0DEF">
        <w:rPr>
          <w:rFonts w:ascii="Times New Roman" w:hAnsi="Times New Roman" w:cs="Times New Roman"/>
        </w:rPr>
        <w:t xml:space="preserve">üstünlükleri sıralanmak istenen </w:t>
      </w:r>
      <w:r>
        <w:rPr>
          <w:rFonts w:ascii="Times New Roman" w:hAnsi="Times New Roman" w:cs="Times New Roman"/>
        </w:rPr>
        <w:t xml:space="preserve">15 </w:t>
      </w:r>
      <w:r w:rsidR="0026136E" w:rsidRPr="00DB0DEF">
        <w:rPr>
          <w:rFonts w:ascii="Times New Roman" w:hAnsi="Times New Roman" w:cs="Times New Roman"/>
        </w:rPr>
        <w:t>karar nokta</w:t>
      </w:r>
      <w:r>
        <w:rPr>
          <w:rFonts w:ascii="Times New Roman" w:hAnsi="Times New Roman" w:cs="Times New Roman"/>
        </w:rPr>
        <w:t xml:space="preserve">sı </w:t>
      </w:r>
      <w:r w:rsidRPr="00DB0DEF">
        <w:rPr>
          <w:rFonts w:ascii="Times New Roman" w:hAnsi="Times New Roman" w:cs="Times New Roman"/>
        </w:rPr>
        <w:t>noktası (5 faaliyet bölümü x 3 yıl)</w:t>
      </w:r>
      <w:r w:rsidR="0026136E" w:rsidRPr="00DB0DEF">
        <w:rPr>
          <w:rFonts w:ascii="Times New Roman" w:hAnsi="Times New Roman" w:cs="Times New Roman"/>
        </w:rPr>
        <w:t xml:space="preserve">, sütunlarında ise karar vermede kullanılacak </w:t>
      </w:r>
      <w:r w:rsidR="008E1450" w:rsidRPr="00DB0DEF">
        <w:rPr>
          <w:rFonts w:ascii="Times New Roman" w:hAnsi="Times New Roman" w:cs="Times New Roman"/>
        </w:rPr>
        <w:t xml:space="preserve">8 değerlendirme </w:t>
      </w:r>
      <w:r w:rsidR="000960ED">
        <w:rPr>
          <w:rFonts w:ascii="Times New Roman" w:hAnsi="Times New Roman" w:cs="Times New Roman"/>
        </w:rPr>
        <w:t>kriterlerinin</w:t>
      </w:r>
      <w:r w:rsidR="008E1450" w:rsidRPr="00DB0DEF">
        <w:rPr>
          <w:rFonts w:ascii="Times New Roman" w:hAnsi="Times New Roman" w:cs="Times New Roman"/>
        </w:rPr>
        <w:t xml:space="preserve"> (finansal oranlar) </w:t>
      </w:r>
      <w:r>
        <w:rPr>
          <w:rFonts w:ascii="Times New Roman" w:hAnsi="Times New Roman" w:cs="Times New Roman"/>
        </w:rPr>
        <w:t>yer al</w:t>
      </w:r>
      <w:r w:rsidR="000960ED">
        <w:rPr>
          <w:rFonts w:ascii="Times New Roman" w:hAnsi="Times New Roman" w:cs="Times New Roman"/>
        </w:rPr>
        <w:t>dığı</w:t>
      </w:r>
      <w:r w:rsidR="000E3DA3" w:rsidRPr="00DB0DEF">
        <w:rPr>
          <w:rFonts w:ascii="Times New Roman" w:hAnsi="Times New Roman" w:cs="Times New Roman"/>
        </w:rPr>
        <w:t xml:space="preserve"> aşağıdaki şekilde</w:t>
      </w:r>
      <w:r w:rsidR="0026136E" w:rsidRPr="00DB0DEF">
        <w:rPr>
          <w:rFonts w:ascii="Times New Roman" w:hAnsi="Times New Roman" w:cs="Times New Roman"/>
        </w:rPr>
        <w:t xml:space="preserve"> (</w:t>
      </w:r>
      <w:r w:rsidR="003A4423" w:rsidRPr="00DB0DEF">
        <w:rPr>
          <w:rFonts w:ascii="Times New Roman" w:hAnsi="Times New Roman" w:cs="Times New Roman"/>
        </w:rPr>
        <w:t>15</w:t>
      </w:r>
      <w:r w:rsidR="0026136E" w:rsidRPr="00DB0DEF">
        <w:rPr>
          <w:rFonts w:ascii="Times New Roman" w:hAnsi="Times New Roman" w:cs="Times New Roman"/>
        </w:rPr>
        <w:t xml:space="preserve"> x 8) boyutlu Standart Karar Matrisi oluşturulmuştur.</w:t>
      </w:r>
    </w:p>
    <w:p w14:paraId="25F94404" w14:textId="68F2FA42" w:rsidR="00F25F6A" w:rsidRPr="00DB0DEF" w:rsidRDefault="00F25F6A" w:rsidP="00655E52">
      <w:pPr>
        <w:spacing w:before="120" w:after="120"/>
        <w:ind w:firstLine="425"/>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4</w:t>
      </w:r>
      <w:r w:rsidRPr="00DB0DEF">
        <w:rPr>
          <w:rFonts w:ascii="Times New Roman" w:hAnsi="Times New Roman" w:cs="Times New Roman"/>
          <w:b/>
          <w:bCs/>
        </w:rPr>
        <w:t>: Standart Karar Matrisi</w:t>
      </w:r>
    </w:p>
    <w:tbl>
      <w:tblPr>
        <w:tblW w:w="7820" w:type="dxa"/>
        <w:jc w:val="center"/>
        <w:tblCellMar>
          <w:left w:w="70" w:type="dxa"/>
          <w:right w:w="70" w:type="dxa"/>
        </w:tblCellMar>
        <w:tblLook w:val="04A0" w:firstRow="1" w:lastRow="0" w:firstColumn="1" w:lastColumn="0" w:noHBand="0" w:noVBand="1"/>
      </w:tblPr>
      <w:tblGrid>
        <w:gridCol w:w="541"/>
        <w:gridCol w:w="1725"/>
        <w:gridCol w:w="687"/>
        <w:gridCol w:w="687"/>
        <w:gridCol w:w="855"/>
        <w:gridCol w:w="669"/>
        <w:gridCol w:w="538"/>
        <w:gridCol w:w="836"/>
        <w:gridCol w:w="638"/>
        <w:gridCol w:w="644"/>
      </w:tblGrid>
      <w:tr w:rsidR="003A4423" w:rsidRPr="00DB0DEF" w14:paraId="057F9DA5" w14:textId="77777777" w:rsidTr="000E3DA3">
        <w:trPr>
          <w:trHeight w:val="324"/>
          <w:jc w:val="center"/>
        </w:trPr>
        <w:tc>
          <w:tcPr>
            <w:tcW w:w="541"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40ED675"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Yıl</w:t>
            </w:r>
          </w:p>
        </w:tc>
        <w:tc>
          <w:tcPr>
            <w:tcW w:w="1725"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84630F9" w14:textId="77777777" w:rsidR="003A4423" w:rsidRPr="00DB0DEF" w:rsidRDefault="003A4423" w:rsidP="00D40ACF">
            <w:pPr>
              <w:spacing w:after="120"/>
              <w:contextualSpacing/>
              <w:jc w:val="center"/>
              <w:rPr>
                <w:rFonts w:ascii="Times New Roman" w:eastAsia="Times New Roman" w:hAnsi="Times New Roman" w:cs="Times New Roman"/>
                <w:b/>
                <w:bCs/>
                <w:noProof w:val="0"/>
                <w:sz w:val="20"/>
                <w:szCs w:val="20"/>
                <w:lang w:eastAsia="tr-TR"/>
              </w:rPr>
            </w:pPr>
            <w:r w:rsidRPr="00DB0DEF">
              <w:rPr>
                <w:rFonts w:ascii="Times New Roman" w:eastAsia="Times New Roman" w:hAnsi="Times New Roman" w:cs="Times New Roman"/>
                <w:b/>
                <w:bCs/>
                <w:noProof w:val="0"/>
                <w:sz w:val="20"/>
                <w:szCs w:val="20"/>
                <w:lang w:eastAsia="tr-TR"/>
              </w:rPr>
              <w:t>Faaliyet Bölümleri</w:t>
            </w:r>
          </w:p>
        </w:tc>
        <w:tc>
          <w:tcPr>
            <w:tcW w:w="5554"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37D1C502" w14:textId="3E644674" w:rsidR="003A4423" w:rsidRPr="00DB0DEF" w:rsidRDefault="000960ED" w:rsidP="00D40ACF">
            <w:pPr>
              <w:spacing w:after="120"/>
              <w:contextualSpacing/>
              <w:jc w:val="center"/>
              <w:rPr>
                <w:rFonts w:ascii="Times New Roman" w:eastAsia="Times New Roman" w:hAnsi="Times New Roman" w:cs="Times New Roman"/>
                <w:b/>
                <w:bCs/>
                <w:noProof w:val="0"/>
                <w:color w:val="000000"/>
                <w:sz w:val="20"/>
                <w:szCs w:val="20"/>
                <w:lang w:eastAsia="tr-TR"/>
              </w:rPr>
            </w:pPr>
            <w:r>
              <w:rPr>
                <w:rFonts w:ascii="Times New Roman" w:eastAsia="Times New Roman" w:hAnsi="Times New Roman" w:cs="Times New Roman"/>
                <w:b/>
                <w:bCs/>
                <w:noProof w:val="0"/>
                <w:color w:val="000000"/>
                <w:sz w:val="20"/>
                <w:szCs w:val="20"/>
                <w:lang w:eastAsia="tr-TR"/>
              </w:rPr>
              <w:t xml:space="preserve">Değerlendirme Kriterleri </w:t>
            </w:r>
            <w:r w:rsidR="003A4423" w:rsidRPr="00DB0DEF">
              <w:rPr>
                <w:rFonts w:ascii="Times New Roman" w:eastAsia="Times New Roman" w:hAnsi="Times New Roman" w:cs="Times New Roman"/>
                <w:b/>
                <w:bCs/>
                <w:noProof w:val="0"/>
                <w:color w:val="000000"/>
                <w:sz w:val="20"/>
                <w:szCs w:val="20"/>
                <w:lang w:eastAsia="tr-TR"/>
              </w:rPr>
              <w:t>(</w:t>
            </w:r>
            <w:r>
              <w:rPr>
                <w:rFonts w:ascii="Times New Roman" w:eastAsia="Times New Roman" w:hAnsi="Times New Roman" w:cs="Times New Roman"/>
                <w:b/>
                <w:bCs/>
                <w:noProof w:val="0"/>
                <w:color w:val="000000"/>
                <w:sz w:val="20"/>
                <w:szCs w:val="20"/>
                <w:lang w:eastAsia="tr-TR"/>
              </w:rPr>
              <w:t>Finansal Oranlar</w:t>
            </w:r>
            <w:r w:rsidR="003A4423" w:rsidRPr="00DB0DEF">
              <w:rPr>
                <w:rFonts w:ascii="Times New Roman" w:eastAsia="Times New Roman" w:hAnsi="Times New Roman" w:cs="Times New Roman"/>
                <w:b/>
                <w:bCs/>
                <w:noProof w:val="0"/>
                <w:color w:val="000000"/>
                <w:sz w:val="20"/>
                <w:szCs w:val="20"/>
                <w:lang w:eastAsia="tr-TR"/>
              </w:rPr>
              <w:t>)</w:t>
            </w:r>
          </w:p>
        </w:tc>
      </w:tr>
      <w:tr w:rsidR="003A4423" w:rsidRPr="00DB0DEF" w14:paraId="36137DE8" w14:textId="77777777" w:rsidTr="000E3DA3">
        <w:trPr>
          <w:trHeight w:val="324"/>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14:paraId="0BCF7419" w14:textId="77777777" w:rsidR="003A4423" w:rsidRPr="00DB0DEF" w:rsidRDefault="003A4423" w:rsidP="00D40ACF">
            <w:pPr>
              <w:spacing w:after="120"/>
              <w:contextualSpacing/>
              <w:rPr>
                <w:rFonts w:ascii="Times New Roman" w:eastAsia="Times New Roman" w:hAnsi="Times New Roman" w:cs="Times New Roman"/>
                <w:b/>
                <w:bCs/>
                <w:noProof w:val="0"/>
                <w:color w:val="000000"/>
                <w:sz w:val="20"/>
                <w:szCs w:val="20"/>
                <w:lang w:eastAsia="tr-TR"/>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30A59C8E" w14:textId="77777777" w:rsidR="003A4423" w:rsidRPr="00DB0DEF" w:rsidRDefault="003A4423" w:rsidP="00D40ACF">
            <w:pPr>
              <w:spacing w:after="120"/>
              <w:contextualSpacing/>
              <w:rPr>
                <w:rFonts w:ascii="Times New Roman" w:eastAsia="Times New Roman" w:hAnsi="Times New Roman" w:cs="Times New Roman"/>
                <w:b/>
                <w:bCs/>
                <w:noProof w:val="0"/>
                <w:sz w:val="20"/>
                <w:szCs w:val="20"/>
                <w:lang w:eastAsia="tr-TR"/>
              </w:rPr>
            </w:pPr>
          </w:p>
        </w:tc>
        <w:tc>
          <w:tcPr>
            <w:tcW w:w="687" w:type="dxa"/>
            <w:tcBorders>
              <w:top w:val="nil"/>
              <w:left w:val="nil"/>
              <w:bottom w:val="single" w:sz="4" w:space="0" w:color="auto"/>
              <w:right w:val="single" w:sz="4" w:space="0" w:color="auto"/>
            </w:tcBorders>
            <w:shd w:val="clear" w:color="000000" w:fill="F2F2F2"/>
            <w:noWrap/>
            <w:vAlign w:val="center"/>
            <w:hideMark/>
          </w:tcPr>
          <w:p w14:paraId="5C73B346"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CO</w:t>
            </w:r>
          </w:p>
        </w:tc>
        <w:tc>
          <w:tcPr>
            <w:tcW w:w="687" w:type="dxa"/>
            <w:tcBorders>
              <w:top w:val="nil"/>
              <w:left w:val="nil"/>
              <w:bottom w:val="single" w:sz="4" w:space="0" w:color="auto"/>
              <w:right w:val="single" w:sz="4" w:space="0" w:color="auto"/>
            </w:tcBorders>
            <w:shd w:val="clear" w:color="000000" w:fill="F2F2F2"/>
            <w:noWrap/>
            <w:vAlign w:val="center"/>
            <w:hideMark/>
          </w:tcPr>
          <w:p w14:paraId="5DB16D67"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NO</w:t>
            </w:r>
          </w:p>
        </w:tc>
        <w:tc>
          <w:tcPr>
            <w:tcW w:w="855" w:type="dxa"/>
            <w:tcBorders>
              <w:top w:val="nil"/>
              <w:left w:val="nil"/>
              <w:bottom w:val="single" w:sz="4" w:space="0" w:color="auto"/>
              <w:right w:val="single" w:sz="4" w:space="0" w:color="auto"/>
            </w:tcBorders>
            <w:shd w:val="clear" w:color="000000" w:fill="F2F2F2"/>
            <w:noWrap/>
            <w:vAlign w:val="center"/>
            <w:hideMark/>
          </w:tcPr>
          <w:p w14:paraId="7ABEF49C"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SD</w:t>
            </w:r>
          </w:p>
        </w:tc>
        <w:tc>
          <w:tcPr>
            <w:tcW w:w="669" w:type="dxa"/>
            <w:tcBorders>
              <w:top w:val="nil"/>
              <w:left w:val="nil"/>
              <w:bottom w:val="single" w:sz="4" w:space="0" w:color="auto"/>
              <w:right w:val="single" w:sz="4" w:space="0" w:color="auto"/>
            </w:tcBorders>
            <w:shd w:val="clear" w:color="000000" w:fill="F2F2F2"/>
            <w:noWrap/>
            <w:vAlign w:val="center"/>
            <w:hideMark/>
          </w:tcPr>
          <w:p w14:paraId="0ABB0FF8"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AD</w:t>
            </w:r>
          </w:p>
        </w:tc>
        <w:tc>
          <w:tcPr>
            <w:tcW w:w="538" w:type="dxa"/>
            <w:tcBorders>
              <w:top w:val="nil"/>
              <w:left w:val="nil"/>
              <w:bottom w:val="single" w:sz="4" w:space="0" w:color="auto"/>
              <w:right w:val="single" w:sz="4" w:space="0" w:color="auto"/>
            </w:tcBorders>
            <w:shd w:val="clear" w:color="000000" w:fill="F2F2F2"/>
            <w:noWrap/>
            <w:vAlign w:val="center"/>
            <w:hideMark/>
          </w:tcPr>
          <w:p w14:paraId="456043FB"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KO</w:t>
            </w:r>
          </w:p>
        </w:tc>
        <w:tc>
          <w:tcPr>
            <w:tcW w:w="836" w:type="dxa"/>
            <w:tcBorders>
              <w:top w:val="nil"/>
              <w:left w:val="nil"/>
              <w:bottom w:val="single" w:sz="4" w:space="0" w:color="auto"/>
              <w:right w:val="single" w:sz="4" w:space="0" w:color="auto"/>
            </w:tcBorders>
            <w:shd w:val="clear" w:color="000000" w:fill="F2F2F2"/>
            <w:noWrap/>
            <w:vAlign w:val="center"/>
            <w:hideMark/>
          </w:tcPr>
          <w:p w14:paraId="191CD87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FO</w:t>
            </w:r>
          </w:p>
        </w:tc>
        <w:tc>
          <w:tcPr>
            <w:tcW w:w="638" w:type="dxa"/>
            <w:tcBorders>
              <w:top w:val="nil"/>
              <w:left w:val="nil"/>
              <w:bottom w:val="single" w:sz="4" w:space="0" w:color="auto"/>
              <w:right w:val="single" w:sz="4" w:space="0" w:color="auto"/>
            </w:tcBorders>
            <w:shd w:val="clear" w:color="000000" w:fill="F2F2F2"/>
            <w:noWrap/>
            <w:vAlign w:val="center"/>
            <w:hideMark/>
          </w:tcPr>
          <w:p w14:paraId="02A81BE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AK</w:t>
            </w:r>
          </w:p>
        </w:tc>
        <w:tc>
          <w:tcPr>
            <w:tcW w:w="642" w:type="dxa"/>
            <w:tcBorders>
              <w:top w:val="nil"/>
              <w:left w:val="nil"/>
              <w:bottom w:val="single" w:sz="4" w:space="0" w:color="auto"/>
              <w:right w:val="single" w:sz="4" w:space="0" w:color="auto"/>
            </w:tcBorders>
            <w:shd w:val="clear" w:color="000000" w:fill="F2F2F2"/>
            <w:noWrap/>
            <w:vAlign w:val="center"/>
            <w:hideMark/>
          </w:tcPr>
          <w:p w14:paraId="06423C64"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ÖK</w:t>
            </w:r>
          </w:p>
        </w:tc>
      </w:tr>
      <w:tr w:rsidR="003A4423" w:rsidRPr="00DB0DEF" w14:paraId="4F54325F" w14:textId="77777777" w:rsidTr="000E3DA3">
        <w:trPr>
          <w:trHeight w:val="145"/>
          <w:jc w:val="center"/>
        </w:trPr>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D1F2E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2019</w:t>
            </w:r>
          </w:p>
        </w:tc>
        <w:tc>
          <w:tcPr>
            <w:tcW w:w="1725" w:type="dxa"/>
            <w:tcBorders>
              <w:top w:val="nil"/>
              <w:left w:val="nil"/>
              <w:bottom w:val="single" w:sz="4" w:space="0" w:color="auto"/>
              <w:right w:val="single" w:sz="4" w:space="0" w:color="auto"/>
            </w:tcBorders>
            <w:shd w:val="clear" w:color="auto" w:fill="auto"/>
            <w:noWrap/>
            <w:hideMark/>
          </w:tcPr>
          <w:p w14:paraId="255F88D7"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7" w:type="dxa"/>
            <w:tcBorders>
              <w:top w:val="nil"/>
              <w:left w:val="nil"/>
              <w:bottom w:val="single" w:sz="4" w:space="0" w:color="auto"/>
              <w:right w:val="single" w:sz="4" w:space="0" w:color="auto"/>
            </w:tcBorders>
            <w:shd w:val="clear" w:color="auto" w:fill="auto"/>
            <w:noWrap/>
            <w:hideMark/>
          </w:tcPr>
          <w:p w14:paraId="5D11778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44,19</w:t>
            </w:r>
          </w:p>
        </w:tc>
        <w:tc>
          <w:tcPr>
            <w:tcW w:w="687" w:type="dxa"/>
            <w:tcBorders>
              <w:top w:val="nil"/>
              <w:left w:val="nil"/>
              <w:bottom w:val="single" w:sz="4" w:space="0" w:color="auto"/>
              <w:right w:val="single" w:sz="4" w:space="0" w:color="auto"/>
            </w:tcBorders>
            <w:shd w:val="clear" w:color="auto" w:fill="auto"/>
            <w:noWrap/>
            <w:hideMark/>
          </w:tcPr>
          <w:p w14:paraId="02240EBA"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39,53</w:t>
            </w:r>
          </w:p>
        </w:tc>
        <w:tc>
          <w:tcPr>
            <w:tcW w:w="855" w:type="dxa"/>
            <w:tcBorders>
              <w:top w:val="nil"/>
              <w:left w:val="nil"/>
              <w:bottom w:val="single" w:sz="4" w:space="0" w:color="auto"/>
              <w:right w:val="single" w:sz="4" w:space="0" w:color="auto"/>
            </w:tcBorders>
            <w:shd w:val="clear" w:color="auto" w:fill="auto"/>
            <w:noWrap/>
            <w:hideMark/>
          </w:tcPr>
          <w:p w14:paraId="3C55B96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7803,74</w:t>
            </w:r>
          </w:p>
        </w:tc>
        <w:tc>
          <w:tcPr>
            <w:tcW w:w="669" w:type="dxa"/>
            <w:tcBorders>
              <w:top w:val="nil"/>
              <w:left w:val="nil"/>
              <w:bottom w:val="single" w:sz="4" w:space="0" w:color="auto"/>
              <w:right w:val="single" w:sz="4" w:space="0" w:color="auto"/>
            </w:tcBorders>
            <w:shd w:val="clear" w:color="auto" w:fill="auto"/>
            <w:noWrap/>
            <w:hideMark/>
          </w:tcPr>
          <w:p w14:paraId="3FB5A6D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0,02</w:t>
            </w:r>
          </w:p>
        </w:tc>
        <w:tc>
          <w:tcPr>
            <w:tcW w:w="538" w:type="dxa"/>
            <w:tcBorders>
              <w:top w:val="nil"/>
              <w:left w:val="nil"/>
              <w:bottom w:val="single" w:sz="4" w:space="0" w:color="auto"/>
              <w:right w:val="single" w:sz="4" w:space="0" w:color="auto"/>
            </w:tcBorders>
            <w:shd w:val="clear" w:color="auto" w:fill="auto"/>
            <w:noWrap/>
            <w:hideMark/>
          </w:tcPr>
          <w:p w14:paraId="36CE667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0,02</w:t>
            </w:r>
          </w:p>
        </w:tc>
        <w:tc>
          <w:tcPr>
            <w:tcW w:w="836" w:type="dxa"/>
            <w:tcBorders>
              <w:top w:val="nil"/>
              <w:left w:val="nil"/>
              <w:bottom w:val="single" w:sz="4" w:space="0" w:color="auto"/>
              <w:right w:val="single" w:sz="4" w:space="0" w:color="auto"/>
            </w:tcBorders>
            <w:shd w:val="clear" w:color="auto" w:fill="auto"/>
            <w:noWrap/>
            <w:hideMark/>
          </w:tcPr>
          <w:p w14:paraId="273DAD5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54,37</w:t>
            </w:r>
          </w:p>
        </w:tc>
        <w:tc>
          <w:tcPr>
            <w:tcW w:w="638" w:type="dxa"/>
            <w:tcBorders>
              <w:top w:val="nil"/>
              <w:left w:val="nil"/>
              <w:bottom w:val="single" w:sz="4" w:space="0" w:color="auto"/>
              <w:right w:val="single" w:sz="4" w:space="0" w:color="auto"/>
            </w:tcBorders>
            <w:shd w:val="clear" w:color="auto" w:fill="auto"/>
            <w:noWrap/>
            <w:hideMark/>
          </w:tcPr>
          <w:p w14:paraId="042F8860"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0,04</w:t>
            </w:r>
          </w:p>
        </w:tc>
        <w:tc>
          <w:tcPr>
            <w:tcW w:w="642" w:type="dxa"/>
            <w:tcBorders>
              <w:top w:val="nil"/>
              <w:left w:val="nil"/>
              <w:bottom w:val="single" w:sz="4" w:space="0" w:color="auto"/>
              <w:right w:val="single" w:sz="4" w:space="0" w:color="auto"/>
            </w:tcBorders>
            <w:shd w:val="clear" w:color="auto" w:fill="auto"/>
            <w:noWrap/>
            <w:hideMark/>
          </w:tcPr>
          <w:p w14:paraId="2E8F6CF8"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0,04</w:t>
            </w:r>
          </w:p>
        </w:tc>
      </w:tr>
      <w:tr w:rsidR="003A4423" w:rsidRPr="00DB0DEF" w14:paraId="41546261"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6C1D3CE7"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38B65451"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7" w:type="dxa"/>
            <w:tcBorders>
              <w:top w:val="nil"/>
              <w:left w:val="nil"/>
              <w:bottom w:val="single" w:sz="4" w:space="0" w:color="auto"/>
              <w:right w:val="single" w:sz="4" w:space="0" w:color="auto"/>
            </w:tcBorders>
            <w:shd w:val="clear" w:color="auto" w:fill="auto"/>
            <w:noWrap/>
            <w:hideMark/>
          </w:tcPr>
          <w:p w14:paraId="45CD7E9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1,12</w:t>
            </w:r>
          </w:p>
        </w:tc>
        <w:tc>
          <w:tcPr>
            <w:tcW w:w="687" w:type="dxa"/>
            <w:tcBorders>
              <w:top w:val="nil"/>
              <w:left w:val="nil"/>
              <w:bottom w:val="single" w:sz="4" w:space="0" w:color="auto"/>
              <w:right w:val="single" w:sz="4" w:space="0" w:color="auto"/>
            </w:tcBorders>
            <w:shd w:val="clear" w:color="auto" w:fill="auto"/>
            <w:noWrap/>
            <w:hideMark/>
          </w:tcPr>
          <w:p w14:paraId="777D640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0,86</w:t>
            </w:r>
          </w:p>
        </w:tc>
        <w:tc>
          <w:tcPr>
            <w:tcW w:w="855" w:type="dxa"/>
            <w:tcBorders>
              <w:top w:val="nil"/>
              <w:left w:val="nil"/>
              <w:bottom w:val="single" w:sz="4" w:space="0" w:color="auto"/>
              <w:right w:val="single" w:sz="4" w:space="0" w:color="auto"/>
            </w:tcBorders>
            <w:shd w:val="clear" w:color="auto" w:fill="auto"/>
            <w:noWrap/>
            <w:hideMark/>
          </w:tcPr>
          <w:p w14:paraId="20735B34"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29,41</w:t>
            </w:r>
          </w:p>
        </w:tc>
        <w:tc>
          <w:tcPr>
            <w:tcW w:w="669" w:type="dxa"/>
            <w:tcBorders>
              <w:top w:val="nil"/>
              <w:left w:val="nil"/>
              <w:bottom w:val="single" w:sz="4" w:space="0" w:color="auto"/>
              <w:right w:val="single" w:sz="4" w:space="0" w:color="auto"/>
            </w:tcBorders>
            <w:shd w:val="clear" w:color="auto" w:fill="auto"/>
            <w:noWrap/>
            <w:hideMark/>
          </w:tcPr>
          <w:p w14:paraId="047E9AB5"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0,31</w:t>
            </w:r>
          </w:p>
        </w:tc>
        <w:tc>
          <w:tcPr>
            <w:tcW w:w="538" w:type="dxa"/>
            <w:tcBorders>
              <w:top w:val="nil"/>
              <w:left w:val="nil"/>
              <w:bottom w:val="single" w:sz="4" w:space="0" w:color="auto"/>
              <w:right w:val="single" w:sz="4" w:space="0" w:color="auto"/>
            </w:tcBorders>
            <w:shd w:val="clear" w:color="auto" w:fill="auto"/>
            <w:noWrap/>
            <w:hideMark/>
          </w:tcPr>
          <w:p w14:paraId="0801C9C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0,94</w:t>
            </w:r>
          </w:p>
        </w:tc>
        <w:tc>
          <w:tcPr>
            <w:tcW w:w="836" w:type="dxa"/>
            <w:tcBorders>
              <w:top w:val="nil"/>
              <w:left w:val="nil"/>
              <w:bottom w:val="single" w:sz="4" w:space="0" w:color="auto"/>
              <w:right w:val="single" w:sz="4" w:space="0" w:color="auto"/>
            </w:tcBorders>
            <w:shd w:val="clear" w:color="auto" w:fill="auto"/>
            <w:noWrap/>
            <w:hideMark/>
          </w:tcPr>
          <w:p w14:paraId="47A7923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0,07</w:t>
            </w:r>
          </w:p>
        </w:tc>
        <w:tc>
          <w:tcPr>
            <w:tcW w:w="638" w:type="dxa"/>
            <w:tcBorders>
              <w:top w:val="nil"/>
              <w:left w:val="nil"/>
              <w:bottom w:val="single" w:sz="4" w:space="0" w:color="auto"/>
              <w:right w:val="single" w:sz="4" w:space="0" w:color="auto"/>
            </w:tcBorders>
            <w:shd w:val="clear" w:color="auto" w:fill="auto"/>
            <w:noWrap/>
            <w:hideMark/>
          </w:tcPr>
          <w:p w14:paraId="02A13288"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642" w:type="dxa"/>
            <w:tcBorders>
              <w:top w:val="nil"/>
              <w:left w:val="nil"/>
              <w:bottom w:val="single" w:sz="4" w:space="0" w:color="auto"/>
              <w:right w:val="single" w:sz="4" w:space="0" w:color="auto"/>
            </w:tcBorders>
            <w:shd w:val="clear" w:color="auto" w:fill="auto"/>
            <w:noWrap/>
            <w:hideMark/>
          </w:tcPr>
          <w:p w14:paraId="7D1C4A1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-0,22</w:t>
            </w:r>
          </w:p>
        </w:tc>
      </w:tr>
      <w:tr w:rsidR="003A4423" w:rsidRPr="00DB0DEF" w14:paraId="6AC8294C"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5D4EE8FF"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374D5C9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7" w:type="dxa"/>
            <w:tcBorders>
              <w:top w:val="nil"/>
              <w:left w:val="nil"/>
              <w:bottom w:val="single" w:sz="4" w:space="0" w:color="auto"/>
              <w:right w:val="single" w:sz="4" w:space="0" w:color="auto"/>
            </w:tcBorders>
            <w:shd w:val="clear" w:color="auto" w:fill="auto"/>
            <w:noWrap/>
            <w:hideMark/>
          </w:tcPr>
          <w:p w14:paraId="2DE62AE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1,17</w:t>
            </w:r>
          </w:p>
        </w:tc>
        <w:tc>
          <w:tcPr>
            <w:tcW w:w="687" w:type="dxa"/>
            <w:tcBorders>
              <w:top w:val="nil"/>
              <w:left w:val="nil"/>
              <w:bottom w:val="single" w:sz="4" w:space="0" w:color="auto"/>
              <w:right w:val="single" w:sz="4" w:space="0" w:color="auto"/>
            </w:tcBorders>
            <w:shd w:val="clear" w:color="auto" w:fill="auto"/>
            <w:noWrap/>
            <w:hideMark/>
          </w:tcPr>
          <w:p w14:paraId="7207D6A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0,14</w:t>
            </w:r>
          </w:p>
        </w:tc>
        <w:tc>
          <w:tcPr>
            <w:tcW w:w="855" w:type="dxa"/>
            <w:tcBorders>
              <w:top w:val="nil"/>
              <w:left w:val="nil"/>
              <w:bottom w:val="single" w:sz="4" w:space="0" w:color="auto"/>
              <w:right w:val="single" w:sz="4" w:space="0" w:color="auto"/>
            </w:tcBorders>
            <w:shd w:val="clear" w:color="auto" w:fill="auto"/>
            <w:noWrap/>
            <w:hideMark/>
          </w:tcPr>
          <w:p w14:paraId="31C28123"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0,50</w:t>
            </w:r>
          </w:p>
        </w:tc>
        <w:tc>
          <w:tcPr>
            <w:tcW w:w="669" w:type="dxa"/>
            <w:tcBorders>
              <w:top w:val="nil"/>
              <w:left w:val="nil"/>
              <w:bottom w:val="single" w:sz="4" w:space="0" w:color="auto"/>
              <w:right w:val="single" w:sz="4" w:space="0" w:color="auto"/>
            </w:tcBorders>
            <w:shd w:val="clear" w:color="auto" w:fill="auto"/>
            <w:noWrap/>
            <w:hideMark/>
          </w:tcPr>
          <w:p w14:paraId="0DE0E5A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0,00</w:t>
            </w:r>
          </w:p>
        </w:tc>
        <w:tc>
          <w:tcPr>
            <w:tcW w:w="538" w:type="dxa"/>
            <w:tcBorders>
              <w:top w:val="nil"/>
              <w:left w:val="nil"/>
              <w:bottom w:val="single" w:sz="4" w:space="0" w:color="auto"/>
              <w:right w:val="single" w:sz="4" w:space="0" w:color="auto"/>
            </w:tcBorders>
            <w:shd w:val="clear" w:color="auto" w:fill="auto"/>
            <w:noWrap/>
            <w:hideMark/>
          </w:tcPr>
          <w:p w14:paraId="07D7B5A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836" w:type="dxa"/>
            <w:tcBorders>
              <w:top w:val="nil"/>
              <w:left w:val="nil"/>
              <w:bottom w:val="single" w:sz="4" w:space="0" w:color="auto"/>
              <w:right w:val="single" w:sz="4" w:space="0" w:color="auto"/>
            </w:tcBorders>
            <w:shd w:val="clear" w:color="auto" w:fill="auto"/>
            <w:noWrap/>
            <w:hideMark/>
          </w:tcPr>
          <w:p w14:paraId="79617E8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76,64</w:t>
            </w:r>
          </w:p>
        </w:tc>
        <w:tc>
          <w:tcPr>
            <w:tcW w:w="638" w:type="dxa"/>
            <w:tcBorders>
              <w:top w:val="nil"/>
              <w:left w:val="nil"/>
              <w:bottom w:val="single" w:sz="4" w:space="0" w:color="auto"/>
              <w:right w:val="single" w:sz="4" w:space="0" w:color="auto"/>
            </w:tcBorders>
            <w:shd w:val="clear" w:color="auto" w:fill="auto"/>
            <w:noWrap/>
            <w:hideMark/>
          </w:tcPr>
          <w:p w14:paraId="2C408C63"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0,05</w:t>
            </w:r>
          </w:p>
        </w:tc>
        <w:tc>
          <w:tcPr>
            <w:tcW w:w="642" w:type="dxa"/>
            <w:tcBorders>
              <w:top w:val="nil"/>
              <w:left w:val="nil"/>
              <w:bottom w:val="single" w:sz="4" w:space="0" w:color="auto"/>
              <w:right w:val="single" w:sz="4" w:space="0" w:color="auto"/>
            </w:tcBorders>
            <w:shd w:val="clear" w:color="auto" w:fill="auto"/>
            <w:noWrap/>
            <w:hideMark/>
          </w:tcPr>
          <w:p w14:paraId="43568F6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0,05</w:t>
            </w:r>
          </w:p>
        </w:tc>
      </w:tr>
      <w:tr w:rsidR="003A4423" w:rsidRPr="00DB0DEF" w14:paraId="5C88559D"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1BE5425F"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452FF06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7" w:type="dxa"/>
            <w:tcBorders>
              <w:top w:val="nil"/>
              <w:left w:val="nil"/>
              <w:bottom w:val="single" w:sz="4" w:space="0" w:color="auto"/>
              <w:right w:val="single" w:sz="4" w:space="0" w:color="auto"/>
            </w:tcBorders>
            <w:shd w:val="clear" w:color="auto" w:fill="auto"/>
            <w:noWrap/>
            <w:hideMark/>
          </w:tcPr>
          <w:p w14:paraId="5B279575"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0,31</w:t>
            </w:r>
          </w:p>
        </w:tc>
        <w:tc>
          <w:tcPr>
            <w:tcW w:w="687" w:type="dxa"/>
            <w:tcBorders>
              <w:top w:val="nil"/>
              <w:left w:val="nil"/>
              <w:bottom w:val="single" w:sz="4" w:space="0" w:color="auto"/>
              <w:right w:val="single" w:sz="4" w:space="0" w:color="auto"/>
            </w:tcBorders>
            <w:shd w:val="clear" w:color="auto" w:fill="auto"/>
            <w:noWrap/>
            <w:hideMark/>
          </w:tcPr>
          <w:p w14:paraId="189DA01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855" w:type="dxa"/>
            <w:tcBorders>
              <w:top w:val="nil"/>
              <w:left w:val="nil"/>
              <w:bottom w:val="single" w:sz="4" w:space="0" w:color="auto"/>
              <w:right w:val="single" w:sz="4" w:space="0" w:color="auto"/>
            </w:tcBorders>
            <w:shd w:val="clear" w:color="auto" w:fill="auto"/>
            <w:noWrap/>
            <w:hideMark/>
          </w:tcPr>
          <w:p w14:paraId="721466FA"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71,46</w:t>
            </w:r>
          </w:p>
        </w:tc>
        <w:tc>
          <w:tcPr>
            <w:tcW w:w="669" w:type="dxa"/>
            <w:tcBorders>
              <w:top w:val="nil"/>
              <w:left w:val="nil"/>
              <w:bottom w:val="single" w:sz="4" w:space="0" w:color="auto"/>
              <w:right w:val="single" w:sz="4" w:space="0" w:color="auto"/>
            </w:tcBorders>
            <w:shd w:val="clear" w:color="auto" w:fill="auto"/>
            <w:noWrap/>
            <w:hideMark/>
          </w:tcPr>
          <w:p w14:paraId="13BF7AF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0,49</w:t>
            </w:r>
          </w:p>
        </w:tc>
        <w:tc>
          <w:tcPr>
            <w:tcW w:w="538" w:type="dxa"/>
            <w:tcBorders>
              <w:top w:val="nil"/>
              <w:left w:val="nil"/>
              <w:bottom w:val="single" w:sz="4" w:space="0" w:color="auto"/>
              <w:right w:val="single" w:sz="4" w:space="0" w:color="auto"/>
            </w:tcBorders>
            <w:shd w:val="clear" w:color="auto" w:fill="auto"/>
            <w:noWrap/>
            <w:hideMark/>
          </w:tcPr>
          <w:p w14:paraId="33DDDA4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0,40</w:t>
            </w:r>
          </w:p>
        </w:tc>
        <w:tc>
          <w:tcPr>
            <w:tcW w:w="836" w:type="dxa"/>
            <w:tcBorders>
              <w:top w:val="nil"/>
              <w:left w:val="nil"/>
              <w:bottom w:val="single" w:sz="4" w:space="0" w:color="auto"/>
              <w:right w:val="single" w:sz="4" w:space="0" w:color="auto"/>
            </w:tcBorders>
            <w:shd w:val="clear" w:color="auto" w:fill="auto"/>
            <w:noWrap/>
            <w:hideMark/>
          </w:tcPr>
          <w:p w14:paraId="610ADF1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1,52</w:t>
            </w:r>
          </w:p>
        </w:tc>
        <w:tc>
          <w:tcPr>
            <w:tcW w:w="638" w:type="dxa"/>
            <w:tcBorders>
              <w:top w:val="nil"/>
              <w:left w:val="nil"/>
              <w:bottom w:val="single" w:sz="4" w:space="0" w:color="auto"/>
              <w:right w:val="single" w:sz="4" w:space="0" w:color="auto"/>
            </w:tcBorders>
            <w:shd w:val="clear" w:color="auto" w:fill="auto"/>
            <w:noWrap/>
            <w:hideMark/>
          </w:tcPr>
          <w:p w14:paraId="791DF36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0,29</w:t>
            </w:r>
          </w:p>
        </w:tc>
        <w:tc>
          <w:tcPr>
            <w:tcW w:w="642" w:type="dxa"/>
            <w:tcBorders>
              <w:top w:val="nil"/>
              <w:left w:val="nil"/>
              <w:bottom w:val="single" w:sz="4" w:space="0" w:color="auto"/>
              <w:right w:val="single" w:sz="4" w:space="0" w:color="auto"/>
            </w:tcBorders>
            <w:shd w:val="clear" w:color="auto" w:fill="auto"/>
            <w:noWrap/>
            <w:hideMark/>
          </w:tcPr>
          <w:p w14:paraId="0D10E75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0,48</w:t>
            </w:r>
          </w:p>
        </w:tc>
      </w:tr>
      <w:tr w:rsidR="003A4423" w:rsidRPr="00DB0DEF" w14:paraId="72D03E2D"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754953C7"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19200124"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7" w:type="dxa"/>
            <w:tcBorders>
              <w:top w:val="nil"/>
              <w:left w:val="nil"/>
              <w:bottom w:val="single" w:sz="4" w:space="0" w:color="auto"/>
              <w:right w:val="single" w:sz="4" w:space="0" w:color="auto"/>
            </w:tcBorders>
            <w:shd w:val="clear" w:color="auto" w:fill="auto"/>
            <w:noWrap/>
            <w:hideMark/>
          </w:tcPr>
          <w:p w14:paraId="7BD881B0"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1,62</w:t>
            </w:r>
          </w:p>
        </w:tc>
        <w:tc>
          <w:tcPr>
            <w:tcW w:w="687" w:type="dxa"/>
            <w:tcBorders>
              <w:top w:val="nil"/>
              <w:left w:val="nil"/>
              <w:bottom w:val="single" w:sz="4" w:space="0" w:color="auto"/>
              <w:right w:val="single" w:sz="4" w:space="0" w:color="auto"/>
            </w:tcBorders>
            <w:shd w:val="clear" w:color="auto" w:fill="auto"/>
            <w:noWrap/>
            <w:hideMark/>
          </w:tcPr>
          <w:p w14:paraId="3BF4454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0,58</w:t>
            </w:r>
          </w:p>
        </w:tc>
        <w:tc>
          <w:tcPr>
            <w:tcW w:w="855" w:type="dxa"/>
            <w:tcBorders>
              <w:top w:val="nil"/>
              <w:left w:val="nil"/>
              <w:bottom w:val="single" w:sz="4" w:space="0" w:color="auto"/>
              <w:right w:val="single" w:sz="4" w:space="0" w:color="auto"/>
            </w:tcBorders>
            <w:shd w:val="clear" w:color="auto" w:fill="auto"/>
            <w:noWrap/>
            <w:hideMark/>
          </w:tcPr>
          <w:p w14:paraId="2513B1A8"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5,24</w:t>
            </w:r>
          </w:p>
        </w:tc>
        <w:tc>
          <w:tcPr>
            <w:tcW w:w="669" w:type="dxa"/>
            <w:tcBorders>
              <w:top w:val="nil"/>
              <w:left w:val="nil"/>
              <w:bottom w:val="single" w:sz="4" w:space="0" w:color="auto"/>
              <w:right w:val="single" w:sz="4" w:space="0" w:color="auto"/>
            </w:tcBorders>
            <w:shd w:val="clear" w:color="auto" w:fill="auto"/>
            <w:noWrap/>
            <w:hideMark/>
          </w:tcPr>
          <w:p w14:paraId="7F933838"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0,23</w:t>
            </w:r>
          </w:p>
        </w:tc>
        <w:tc>
          <w:tcPr>
            <w:tcW w:w="538" w:type="dxa"/>
            <w:tcBorders>
              <w:top w:val="nil"/>
              <w:left w:val="nil"/>
              <w:bottom w:val="single" w:sz="4" w:space="0" w:color="auto"/>
              <w:right w:val="single" w:sz="4" w:space="0" w:color="auto"/>
            </w:tcBorders>
            <w:shd w:val="clear" w:color="auto" w:fill="auto"/>
            <w:noWrap/>
            <w:hideMark/>
          </w:tcPr>
          <w:p w14:paraId="4DE0B367"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0,38</w:t>
            </w:r>
          </w:p>
        </w:tc>
        <w:tc>
          <w:tcPr>
            <w:tcW w:w="836" w:type="dxa"/>
            <w:tcBorders>
              <w:top w:val="nil"/>
              <w:left w:val="nil"/>
              <w:bottom w:val="single" w:sz="4" w:space="0" w:color="auto"/>
              <w:right w:val="single" w:sz="4" w:space="0" w:color="auto"/>
            </w:tcBorders>
            <w:shd w:val="clear" w:color="auto" w:fill="auto"/>
            <w:noWrap/>
            <w:hideMark/>
          </w:tcPr>
          <w:p w14:paraId="404F686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1,66</w:t>
            </w:r>
          </w:p>
        </w:tc>
        <w:tc>
          <w:tcPr>
            <w:tcW w:w="638" w:type="dxa"/>
            <w:tcBorders>
              <w:top w:val="nil"/>
              <w:left w:val="nil"/>
              <w:bottom w:val="single" w:sz="4" w:space="0" w:color="auto"/>
              <w:right w:val="single" w:sz="4" w:space="0" w:color="auto"/>
            </w:tcBorders>
            <w:shd w:val="clear" w:color="auto" w:fill="auto"/>
            <w:noWrap/>
            <w:hideMark/>
          </w:tcPr>
          <w:p w14:paraId="41645C0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0,10</w:t>
            </w:r>
          </w:p>
        </w:tc>
        <w:tc>
          <w:tcPr>
            <w:tcW w:w="642" w:type="dxa"/>
            <w:tcBorders>
              <w:top w:val="nil"/>
              <w:left w:val="nil"/>
              <w:bottom w:val="single" w:sz="4" w:space="0" w:color="auto"/>
              <w:right w:val="single" w:sz="4" w:space="0" w:color="auto"/>
            </w:tcBorders>
            <w:shd w:val="clear" w:color="auto" w:fill="auto"/>
            <w:noWrap/>
            <w:hideMark/>
          </w:tcPr>
          <w:p w14:paraId="422A7B7D"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0,16</w:t>
            </w:r>
          </w:p>
        </w:tc>
      </w:tr>
      <w:tr w:rsidR="003A4423" w:rsidRPr="00DB0DEF" w14:paraId="39B70288" w14:textId="77777777" w:rsidTr="000E3DA3">
        <w:trPr>
          <w:trHeight w:val="145"/>
          <w:jc w:val="center"/>
        </w:trPr>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EE476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2020</w:t>
            </w:r>
          </w:p>
        </w:tc>
        <w:tc>
          <w:tcPr>
            <w:tcW w:w="1725" w:type="dxa"/>
            <w:tcBorders>
              <w:top w:val="nil"/>
              <w:left w:val="nil"/>
              <w:bottom w:val="single" w:sz="4" w:space="0" w:color="auto"/>
              <w:right w:val="single" w:sz="4" w:space="0" w:color="auto"/>
            </w:tcBorders>
            <w:shd w:val="clear" w:color="auto" w:fill="auto"/>
            <w:noWrap/>
            <w:hideMark/>
          </w:tcPr>
          <w:p w14:paraId="0535E20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7" w:type="dxa"/>
            <w:tcBorders>
              <w:top w:val="nil"/>
              <w:left w:val="nil"/>
              <w:bottom w:val="single" w:sz="4" w:space="0" w:color="auto"/>
              <w:right w:val="single" w:sz="4" w:space="0" w:color="auto"/>
            </w:tcBorders>
            <w:shd w:val="clear" w:color="auto" w:fill="auto"/>
            <w:noWrap/>
            <w:hideMark/>
          </w:tcPr>
          <w:p w14:paraId="7F2E104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36,05</w:t>
            </w:r>
          </w:p>
        </w:tc>
        <w:tc>
          <w:tcPr>
            <w:tcW w:w="687" w:type="dxa"/>
            <w:tcBorders>
              <w:top w:val="nil"/>
              <w:left w:val="nil"/>
              <w:bottom w:val="single" w:sz="4" w:space="0" w:color="auto"/>
              <w:right w:val="single" w:sz="4" w:space="0" w:color="auto"/>
            </w:tcBorders>
            <w:shd w:val="clear" w:color="auto" w:fill="auto"/>
            <w:noWrap/>
            <w:hideMark/>
          </w:tcPr>
          <w:p w14:paraId="25340BF4"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35,41</w:t>
            </w:r>
          </w:p>
        </w:tc>
        <w:tc>
          <w:tcPr>
            <w:tcW w:w="855" w:type="dxa"/>
            <w:tcBorders>
              <w:top w:val="nil"/>
              <w:left w:val="nil"/>
              <w:bottom w:val="single" w:sz="4" w:space="0" w:color="auto"/>
              <w:right w:val="single" w:sz="4" w:space="0" w:color="auto"/>
            </w:tcBorders>
            <w:shd w:val="clear" w:color="auto" w:fill="auto"/>
            <w:noWrap/>
            <w:hideMark/>
          </w:tcPr>
          <w:p w14:paraId="58BB491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5159,45</w:t>
            </w:r>
          </w:p>
        </w:tc>
        <w:tc>
          <w:tcPr>
            <w:tcW w:w="669" w:type="dxa"/>
            <w:tcBorders>
              <w:top w:val="nil"/>
              <w:left w:val="nil"/>
              <w:bottom w:val="single" w:sz="4" w:space="0" w:color="auto"/>
              <w:right w:val="single" w:sz="4" w:space="0" w:color="auto"/>
            </w:tcBorders>
            <w:shd w:val="clear" w:color="auto" w:fill="auto"/>
            <w:noWrap/>
            <w:hideMark/>
          </w:tcPr>
          <w:p w14:paraId="23F09D3A"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538" w:type="dxa"/>
            <w:tcBorders>
              <w:top w:val="nil"/>
              <w:left w:val="nil"/>
              <w:bottom w:val="single" w:sz="4" w:space="0" w:color="auto"/>
              <w:right w:val="single" w:sz="4" w:space="0" w:color="auto"/>
            </w:tcBorders>
            <w:shd w:val="clear" w:color="auto" w:fill="auto"/>
            <w:noWrap/>
            <w:hideMark/>
          </w:tcPr>
          <w:p w14:paraId="60CC7CA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836" w:type="dxa"/>
            <w:tcBorders>
              <w:top w:val="nil"/>
              <w:left w:val="nil"/>
              <w:bottom w:val="single" w:sz="4" w:space="0" w:color="auto"/>
              <w:right w:val="single" w:sz="4" w:space="0" w:color="auto"/>
            </w:tcBorders>
            <w:shd w:val="clear" w:color="auto" w:fill="auto"/>
            <w:noWrap/>
            <w:hideMark/>
          </w:tcPr>
          <w:p w14:paraId="1FD80B69"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137,99</w:t>
            </w:r>
          </w:p>
        </w:tc>
        <w:tc>
          <w:tcPr>
            <w:tcW w:w="638" w:type="dxa"/>
            <w:tcBorders>
              <w:top w:val="nil"/>
              <w:left w:val="nil"/>
              <w:bottom w:val="single" w:sz="4" w:space="0" w:color="auto"/>
              <w:right w:val="single" w:sz="4" w:space="0" w:color="auto"/>
            </w:tcBorders>
            <w:shd w:val="clear" w:color="auto" w:fill="auto"/>
            <w:noWrap/>
            <w:hideMark/>
          </w:tcPr>
          <w:p w14:paraId="3E3A79B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0,07</w:t>
            </w:r>
          </w:p>
        </w:tc>
        <w:tc>
          <w:tcPr>
            <w:tcW w:w="642" w:type="dxa"/>
            <w:tcBorders>
              <w:top w:val="nil"/>
              <w:left w:val="nil"/>
              <w:bottom w:val="single" w:sz="4" w:space="0" w:color="auto"/>
              <w:right w:val="single" w:sz="4" w:space="0" w:color="auto"/>
            </w:tcBorders>
            <w:shd w:val="clear" w:color="auto" w:fill="auto"/>
            <w:noWrap/>
            <w:hideMark/>
          </w:tcPr>
          <w:p w14:paraId="645C084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0,07</w:t>
            </w:r>
          </w:p>
        </w:tc>
      </w:tr>
      <w:tr w:rsidR="003A4423" w:rsidRPr="00DB0DEF" w14:paraId="4D071020"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3CE8FAB7"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50E71A1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7" w:type="dxa"/>
            <w:tcBorders>
              <w:top w:val="nil"/>
              <w:left w:val="nil"/>
              <w:bottom w:val="single" w:sz="4" w:space="0" w:color="auto"/>
              <w:right w:val="single" w:sz="4" w:space="0" w:color="auto"/>
            </w:tcBorders>
            <w:shd w:val="clear" w:color="auto" w:fill="auto"/>
            <w:noWrap/>
            <w:hideMark/>
          </w:tcPr>
          <w:p w14:paraId="4CE1D05B"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1,11</w:t>
            </w:r>
          </w:p>
        </w:tc>
        <w:tc>
          <w:tcPr>
            <w:tcW w:w="687" w:type="dxa"/>
            <w:tcBorders>
              <w:top w:val="nil"/>
              <w:left w:val="nil"/>
              <w:bottom w:val="single" w:sz="4" w:space="0" w:color="auto"/>
              <w:right w:val="single" w:sz="4" w:space="0" w:color="auto"/>
            </w:tcBorders>
            <w:shd w:val="clear" w:color="auto" w:fill="auto"/>
            <w:noWrap/>
            <w:hideMark/>
          </w:tcPr>
          <w:p w14:paraId="0E031CA3"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0,75</w:t>
            </w:r>
          </w:p>
        </w:tc>
        <w:tc>
          <w:tcPr>
            <w:tcW w:w="855" w:type="dxa"/>
            <w:tcBorders>
              <w:top w:val="nil"/>
              <w:left w:val="nil"/>
              <w:bottom w:val="single" w:sz="4" w:space="0" w:color="auto"/>
              <w:right w:val="single" w:sz="4" w:space="0" w:color="auto"/>
            </w:tcBorders>
            <w:shd w:val="clear" w:color="auto" w:fill="auto"/>
            <w:noWrap/>
            <w:hideMark/>
          </w:tcPr>
          <w:p w14:paraId="286E4A1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26,29</w:t>
            </w:r>
          </w:p>
        </w:tc>
        <w:tc>
          <w:tcPr>
            <w:tcW w:w="669" w:type="dxa"/>
            <w:tcBorders>
              <w:top w:val="nil"/>
              <w:left w:val="nil"/>
              <w:bottom w:val="single" w:sz="4" w:space="0" w:color="auto"/>
              <w:right w:val="single" w:sz="4" w:space="0" w:color="auto"/>
            </w:tcBorders>
            <w:shd w:val="clear" w:color="auto" w:fill="auto"/>
            <w:noWrap/>
            <w:hideMark/>
          </w:tcPr>
          <w:p w14:paraId="2A1C5880"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0,26</w:t>
            </w:r>
          </w:p>
        </w:tc>
        <w:tc>
          <w:tcPr>
            <w:tcW w:w="538" w:type="dxa"/>
            <w:tcBorders>
              <w:top w:val="nil"/>
              <w:left w:val="nil"/>
              <w:bottom w:val="single" w:sz="4" w:space="0" w:color="auto"/>
              <w:right w:val="single" w:sz="4" w:space="0" w:color="auto"/>
            </w:tcBorders>
            <w:shd w:val="clear" w:color="auto" w:fill="auto"/>
            <w:noWrap/>
            <w:hideMark/>
          </w:tcPr>
          <w:p w14:paraId="1C7BF6AD"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1,08</w:t>
            </w:r>
          </w:p>
        </w:tc>
        <w:tc>
          <w:tcPr>
            <w:tcW w:w="836" w:type="dxa"/>
            <w:tcBorders>
              <w:top w:val="nil"/>
              <w:left w:val="nil"/>
              <w:bottom w:val="single" w:sz="4" w:space="0" w:color="auto"/>
              <w:right w:val="single" w:sz="4" w:space="0" w:color="auto"/>
            </w:tcBorders>
            <w:shd w:val="clear" w:color="auto" w:fill="auto"/>
            <w:noWrap/>
            <w:hideMark/>
          </w:tcPr>
          <w:p w14:paraId="5AB30BF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-0,07</w:t>
            </w:r>
          </w:p>
        </w:tc>
        <w:tc>
          <w:tcPr>
            <w:tcW w:w="638" w:type="dxa"/>
            <w:tcBorders>
              <w:top w:val="nil"/>
              <w:left w:val="nil"/>
              <w:bottom w:val="single" w:sz="4" w:space="0" w:color="auto"/>
              <w:right w:val="single" w:sz="4" w:space="0" w:color="auto"/>
            </w:tcBorders>
            <w:shd w:val="clear" w:color="auto" w:fill="auto"/>
            <w:noWrap/>
            <w:hideMark/>
          </w:tcPr>
          <w:p w14:paraId="21DEB04A"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-0,14</w:t>
            </w:r>
          </w:p>
        </w:tc>
        <w:tc>
          <w:tcPr>
            <w:tcW w:w="642" w:type="dxa"/>
            <w:tcBorders>
              <w:top w:val="nil"/>
              <w:left w:val="nil"/>
              <w:bottom w:val="single" w:sz="4" w:space="0" w:color="auto"/>
              <w:right w:val="single" w:sz="4" w:space="0" w:color="auto"/>
            </w:tcBorders>
            <w:shd w:val="clear" w:color="auto" w:fill="auto"/>
            <w:noWrap/>
            <w:hideMark/>
          </w:tcPr>
          <w:p w14:paraId="771DCB24"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-1,70</w:t>
            </w:r>
          </w:p>
        </w:tc>
      </w:tr>
      <w:tr w:rsidR="003A4423" w:rsidRPr="00DB0DEF" w14:paraId="5DE139A0"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230272C5"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2FF9AC8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7" w:type="dxa"/>
            <w:tcBorders>
              <w:top w:val="nil"/>
              <w:left w:val="nil"/>
              <w:bottom w:val="single" w:sz="4" w:space="0" w:color="auto"/>
              <w:right w:val="single" w:sz="4" w:space="0" w:color="auto"/>
            </w:tcBorders>
            <w:shd w:val="clear" w:color="auto" w:fill="auto"/>
            <w:noWrap/>
            <w:hideMark/>
          </w:tcPr>
          <w:p w14:paraId="185DBE3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1,76</w:t>
            </w:r>
          </w:p>
        </w:tc>
        <w:tc>
          <w:tcPr>
            <w:tcW w:w="687" w:type="dxa"/>
            <w:tcBorders>
              <w:top w:val="nil"/>
              <w:left w:val="nil"/>
              <w:bottom w:val="single" w:sz="4" w:space="0" w:color="auto"/>
              <w:right w:val="single" w:sz="4" w:space="0" w:color="auto"/>
            </w:tcBorders>
            <w:shd w:val="clear" w:color="auto" w:fill="auto"/>
            <w:noWrap/>
            <w:hideMark/>
          </w:tcPr>
          <w:p w14:paraId="5F5837A0"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0,35</w:t>
            </w:r>
          </w:p>
        </w:tc>
        <w:tc>
          <w:tcPr>
            <w:tcW w:w="855" w:type="dxa"/>
            <w:tcBorders>
              <w:top w:val="nil"/>
              <w:left w:val="nil"/>
              <w:bottom w:val="single" w:sz="4" w:space="0" w:color="auto"/>
              <w:right w:val="single" w:sz="4" w:space="0" w:color="auto"/>
            </w:tcBorders>
            <w:shd w:val="clear" w:color="auto" w:fill="auto"/>
            <w:noWrap/>
            <w:hideMark/>
          </w:tcPr>
          <w:p w14:paraId="565ACC9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0,40</w:t>
            </w:r>
          </w:p>
        </w:tc>
        <w:tc>
          <w:tcPr>
            <w:tcW w:w="669" w:type="dxa"/>
            <w:tcBorders>
              <w:top w:val="nil"/>
              <w:left w:val="nil"/>
              <w:bottom w:val="single" w:sz="4" w:space="0" w:color="auto"/>
              <w:right w:val="single" w:sz="4" w:space="0" w:color="auto"/>
            </w:tcBorders>
            <w:shd w:val="clear" w:color="auto" w:fill="auto"/>
            <w:noWrap/>
            <w:hideMark/>
          </w:tcPr>
          <w:p w14:paraId="7466AF8A"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0,00</w:t>
            </w:r>
          </w:p>
        </w:tc>
        <w:tc>
          <w:tcPr>
            <w:tcW w:w="538" w:type="dxa"/>
            <w:tcBorders>
              <w:top w:val="nil"/>
              <w:left w:val="nil"/>
              <w:bottom w:val="single" w:sz="4" w:space="0" w:color="auto"/>
              <w:right w:val="single" w:sz="4" w:space="0" w:color="auto"/>
            </w:tcBorders>
            <w:shd w:val="clear" w:color="auto" w:fill="auto"/>
            <w:noWrap/>
            <w:hideMark/>
          </w:tcPr>
          <w:p w14:paraId="22692B4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0,01</w:t>
            </w:r>
          </w:p>
        </w:tc>
        <w:tc>
          <w:tcPr>
            <w:tcW w:w="836" w:type="dxa"/>
            <w:tcBorders>
              <w:top w:val="nil"/>
              <w:left w:val="nil"/>
              <w:bottom w:val="single" w:sz="4" w:space="0" w:color="auto"/>
              <w:right w:val="single" w:sz="4" w:space="0" w:color="auto"/>
            </w:tcBorders>
            <w:shd w:val="clear" w:color="auto" w:fill="auto"/>
            <w:noWrap/>
            <w:hideMark/>
          </w:tcPr>
          <w:p w14:paraId="37AF3803"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176,17</w:t>
            </w:r>
          </w:p>
        </w:tc>
        <w:tc>
          <w:tcPr>
            <w:tcW w:w="638" w:type="dxa"/>
            <w:tcBorders>
              <w:top w:val="nil"/>
              <w:left w:val="nil"/>
              <w:bottom w:val="single" w:sz="4" w:space="0" w:color="auto"/>
              <w:right w:val="single" w:sz="4" w:space="0" w:color="auto"/>
            </w:tcBorders>
            <w:shd w:val="clear" w:color="auto" w:fill="auto"/>
            <w:noWrap/>
            <w:hideMark/>
          </w:tcPr>
          <w:p w14:paraId="58049B69"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0,15</w:t>
            </w:r>
          </w:p>
        </w:tc>
        <w:tc>
          <w:tcPr>
            <w:tcW w:w="642" w:type="dxa"/>
            <w:tcBorders>
              <w:top w:val="nil"/>
              <w:left w:val="nil"/>
              <w:bottom w:val="single" w:sz="4" w:space="0" w:color="auto"/>
              <w:right w:val="single" w:sz="4" w:space="0" w:color="auto"/>
            </w:tcBorders>
            <w:shd w:val="clear" w:color="auto" w:fill="auto"/>
            <w:noWrap/>
            <w:hideMark/>
          </w:tcPr>
          <w:p w14:paraId="43CB008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0,15</w:t>
            </w:r>
          </w:p>
        </w:tc>
      </w:tr>
      <w:tr w:rsidR="003A4423" w:rsidRPr="00DB0DEF" w14:paraId="56D10C82"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246C9A80"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756FDF2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7" w:type="dxa"/>
            <w:tcBorders>
              <w:top w:val="nil"/>
              <w:left w:val="nil"/>
              <w:bottom w:val="single" w:sz="4" w:space="0" w:color="auto"/>
              <w:right w:val="single" w:sz="4" w:space="0" w:color="auto"/>
            </w:tcBorders>
            <w:shd w:val="clear" w:color="auto" w:fill="auto"/>
            <w:noWrap/>
            <w:hideMark/>
          </w:tcPr>
          <w:p w14:paraId="5FD03C39"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0,39</w:t>
            </w:r>
          </w:p>
        </w:tc>
        <w:tc>
          <w:tcPr>
            <w:tcW w:w="687" w:type="dxa"/>
            <w:tcBorders>
              <w:top w:val="nil"/>
              <w:left w:val="nil"/>
              <w:bottom w:val="single" w:sz="4" w:space="0" w:color="auto"/>
              <w:right w:val="single" w:sz="4" w:space="0" w:color="auto"/>
            </w:tcBorders>
            <w:shd w:val="clear" w:color="auto" w:fill="auto"/>
            <w:noWrap/>
            <w:hideMark/>
          </w:tcPr>
          <w:p w14:paraId="52A32FF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0,34</w:t>
            </w:r>
          </w:p>
        </w:tc>
        <w:tc>
          <w:tcPr>
            <w:tcW w:w="855" w:type="dxa"/>
            <w:tcBorders>
              <w:top w:val="nil"/>
              <w:left w:val="nil"/>
              <w:bottom w:val="single" w:sz="4" w:space="0" w:color="auto"/>
              <w:right w:val="single" w:sz="4" w:space="0" w:color="auto"/>
            </w:tcBorders>
            <w:shd w:val="clear" w:color="auto" w:fill="auto"/>
            <w:noWrap/>
            <w:hideMark/>
          </w:tcPr>
          <w:p w14:paraId="59733D9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67,21</w:t>
            </w:r>
          </w:p>
        </w:tc>
        <w:tc>
          <w:tcPr>
            <w:tcW w:w="669" w:type="dxa"/>
            <w:tcBorders>
              <w:top w:val="nil"/>
              <w:left w:val="nil"/>
              <w:bottom w:val="single" w:sz="4" w:space="0" w:color="auto"/>
              <w:right w:val="single" w:sz="4" w:space="0" w:color="auto"/>
            </w:tcBorders>
            <w:shd w:val="clear" w:color="auto" w:fill="auto"/>
            <w:noWrap/>
            <w:hideMark/>
          </w:tcPr>
          <w:p w14:paraId="350DB7A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0,27</w:t>
            </w:r>
          </w:p>
        </w:tc>
        <w:tc>
          <w:tcPr>
            <w:tcW w:w="538" w:type="dxa"/>
            <w:tcBorders>
              <w:top w:val="nil"/>
              <w:left w:val="nil"/>
              <w:bottom w:val="single" w:sz="4" w:space="0" w:color="auto"/>
              <w:right w:val="single" w:sz="4" w:space="0" w:color="auto"/>
            </w:tcBorders>
            <w:shd w:val="clear" w:color="auto" w:fill="auto"/>
            <w:noWrap/>
            <w:hideMark/>
          </w:tcPr>
          <w:p w14:paraId="6A4C0CB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0,16</w:t>
            </w:r>
          </w:p>
        </w:tc>
        <w:tc>
          <w:tcPr>
            <w:tcW w:w="836" w:type="dxa"/>
            <w:tcBorders>
              <w:top w:val="nil"/>
              <w:left w:val="nil"/>
              <w:bottom w:val="single" w:sz="4" w:space="0" w:color="auto"/>
              <w:right w:val="single" w:sz="4" w:space="0" w:color="auto"/>
            </w:tcBorders>
            <w:shd w:val="clear" w:color="auto" w:fill="auto"/>
            <w:noWrap/>
            <w:hideMark/>
          </w:tcPr>
          <w:p w14:paraId="02908A0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5,11</w:t>
            </w:r>
          </w:p>
        </w:tc>
        <w:tc>
          <w:tcPr>
            <w:tcW w:w="638" w:type="dxa"/>
            <w:tcBorders>
              <w:top w:val="nil"/>
              <w:left w:val="nil"/>
              <w:bottom w:val="single" w:sz="4" w:space="0" w:color="auto"/>
              <w:right w:val="single" w:sz="4" w:space="0" w:color="auto"/>
            </w:tcBorders>
            <w:shd w:val="clear" w:color="auto" w:fill="auto"/>
            <w:noWrap/>
            <w:hideMark/>
          </w:tcPr>
          <w:p w14:paraId="7E0C9F5C"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0,42</w:t>
            </w:r>
          </w:p>
        </w:tc>
        <w:tc>
          <w:tcPr>
            <w:tcW w:w="642" w:type="dxa"/>
            <w:tcBorders>
              <w:top w:val="nil"/>
              <w:left w:val="nil"/>
              <w:bottom w:val="single" w:sz="4" w:space="0" w:color="auto"/>
              <w:right w:val="single" w:sz="4" w:space="0" w:color="auto"/>
            </w:tcBorders>
            <w:shd w:val="clear" w:color="auto" w:fill="auto"/>
            <w:noWrap/>
            <w:hideMark/>
          </w:tcPr>
          <w:p w14:paraId="454A84A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0,50</w:t>
            </w:r>
          </w:p>
        </w:tc>
      </w:tr>
      <w:tr w:rsidR="003A4423" w:rsidRPr="00DB0DEF" w14:paraId="280F6AA2"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2CD9B663"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3736C1A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7" w:type="dxa"/>
            <w:tcBorders>
              <w:top w:val="nil"/>
              <w:left w:val="nil"/>
              <w:bottom w:val="single" w:sz="4" w:space="0" w:color="auto"/>
              <w:right w:val="single" w:sz="4" w:space="0" w:color="auto"/>
            </w:tcBorders>
            <w:shd w:val="clear" w:color="auto" w:fill="auto"/>
            <w:noWrap/>
            <w:hideMark/>
          </w:tcPr>
          <w:p w14:paraId="4AB07E75"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1,54</w:t>
            </w:r>
          </w:p>
        </w:tc>
        <w:tc>
          <w:tcPr>
            <w:tcW w:w="687" w:type="dxa"/>
            <w:tcBorders>
              <w:top w:val="nil"/>
              <w:left w:val="nil"/>
              <w:bottom w:val="single" w:sz="4" w:space="0" w:color="auto"/>
              <w:right w:val="single" w:sz="4" w:space="0" w:color="auto"/>
            </w:tcBorders>
            <w:shd w:val="clear" w:color="auto" w:fill="auto"/>
            <w:noWrap/>
            <w:hideMark/>
          </w:tcPr>
          <w:p w14:paraId="6FF03753"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0,57</w:t>
            </w:r>
          </w:p>
        </w:tc>
        <w:tc>
          <w:tcPr>
            <w:tcW w:w="855" w:type="dxa"/>
            <w:tcBorders>
              <w:top w:val="nil"/>
              <w:left w:val="nil"/>
              <w:bottom w:val="single" w:sz="4" w:space="0" w:color="auto"/>
              <w:right w:val="single" w:sz="4" w:space="0" w:color="auto"/>
            </w:tcBorders>
            <w:shd w:val="clear" w:color="auto" w:fill="auto"/>
            <w:noWrap/>
            <w:hideMark/>
          </w:tcPr>
          <w:p w14:paraId="6D876FC6"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4,49</w:t>
            </w:r>
          </w:p>
        </w:tc>
        <w:tc>
          <w:tcPr>
            <w:tcW w:w="669" w:type="dxa"/>
            <w:tcBorders>
              <w:top w:val="nil"/>
              <w:left w:val="nil"/>
              <w:bottom w:val="single" w:sz="4" w:space="0" w:color="auto"/>
              <w:right w:val="single" w:sz="4" w:space="0" w:color="auto"/>
            </w:tcBorders>
            <w:shd w:val="clear" w:color="auto" w:fill="auto"/>
            <w:noWrap/>
            <w:hideMark/>
          </w:tcPr>
          <w:p w14:paraId="7FD7EC3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0,12</w:t>
            </w:r>
          </w:p>
        </w:tc>
        <w:tc>
          <w:tcPr>
            <w:tcW w:w="538" w:type="dxa"/>
            <w:tcBorders>
              <w:top w:val="nil"/>
              <w:left w:val="nil"/>
              <w:bottom w:val="single" w:sz="4" w:space="0" w:color="auto"/>
              <w:right w:val="single" w:sz="4" w:space="0" w:color="auto"/>
            </w:tcBorders>
            <w:shd w:val="clear" w:color="auto" w:fill="auto"/>
            <w:noWrap/>
            <w:hideMark/>
          </w:tcPr>
          <w:p w14:paraId="198F2DB1"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0,37</w:t>
            </w:r>
          </w:p>
        </w:tc>
        <w:tc>
          <w:tcPr>
            <w:tcW w:w="836" w:type="dxa"/>
            <w:tcBorders>
              <w:top w:val="nil"/>
              <w:left w:val="nil"/>
              <w:bottom w:val="single" w:sz="4" w:space="0" w:color="auto"/>
              <w:right w:val="single" w:sz="4" w:space="0" w:color="auto"/>
            </w:tcBorders>
            <w:shd w:val="clear" w:color="auto" w:fill="auto"/>
            <w:noWrap/>
            <w:hideMark/>
          </w:tcPr>
          <w:p w14:paraId="24D89C12"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1,73</w:t>
            </w:r>
          </w:p>
        </w:tc>
        <w:tc>
          <w:tcPr>
            <w:tcW w:w="638" w:type="dxa"/>
            <w:tcBorders>
              <w:top w:val="nil"/>
              <w:left w:val="nil"/>
              <w:bottom w:val="single" w:sz="4" w:space="0" w:color="auto"/>
              <w:right w:val="single" w:sz="4" w:space="0" w:color="auto"/>
            </w:tcBorders>
            <w:shd w:val="clear" w:color="auto" w:fill="auto"/>
            <w:noWrap/>
            <w:hideMark/>
          </w:tcPr>
          <w:p w14:paraId="24E81DEE"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0,09</w:t>
            </w:r>
          </w:p>
        </w:tc>
        <w:tc>
          <w:tcPr>
            <w:tcW w:w="642" w:type="dxa"/>
            <w:tcBorders>
              <w:top w:val="nil"/>
              <w:left w:val="nil"/>
              <w:bottom w:val="single" w:sz="4" w:space="0" w:color="auto"/>
              <w:right w:val="single" w:sz="4" w:space="0" w:color="auto"/>
            </w:tcBorders>
            <w:shd w:val="clear" w:color="auto" w:fill="auto"/>
            <w:noWrap/>
            <w:hideMark/>
          </w:tcPr>
          <w:p w14:paraId="77D1008F" w14:textId="77777777" w:rsidR="003A4423" w:rsidRPr="00DB0DEF" w:rsidRDefault="003A4423" w:rsidP="00D40ACF">
            <w:pPr>
              <w:spacing w:after="120"/>
              <w:contextualSpacing/>
              <w:jc w:val="center"/>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0,14</w:t>
            </w:r>
          </w:p>
        </w:tc>
      </w:tr>
      <w:tr w:rsidR="003A4423" w:rsidRPr="00DB0DEF" w14:paraId="19B72575" w14:textId="77777777" w:rsidTr="000E3DA3">
        <w:trPr>
          <w:trHeight w:val="145"/>
          <w:jc w:val="center"/>
        </w:trPr>
        <w:tc>
          <w:tcPr>
            <w:tcW w:w="54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7A85E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2021</w:t>
            </w:r>
          </w:p>
        </w:tc>
        <w:tc>
          <w:tcPr>
            <w:tcW w:w="1725" w:type="dxa"/>
            <w:tcBorders>
              <w:top w:val="nil"/>
              <w:left w:val="nil"/>
              <w:bottom w:val="single" w:sz="4" w:space="0" w:color="auto"/>
              <w:right w:val="single" w:sz="4" w:space="0" w:color="auto"/>
            </w:tcBorders>
            <w:shd w:val="clear" w:color="auto" w:fill="auto"/>
            <w:noWrap/>
            <w:hideMark/>
          </w:tcPr>
          <w:p w14:paraId="617063A2"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7" w:type="dxa"/>
            <w:tcBorders>
              <w:top w:val="nil"/>
              <w:left w:val="nil"/>
              <w:bottom w:val="single" w:sz="4" w:space="0" w:color="auto"/>
              <w:right w:val="single" w:sz="4" w:space="0" w:color="auto"/>
            </w:tcBorders>
            <w:shd w:val="clear" w:color="auto" w:fill="auto"/>
            <w:noWrap/>
            <w:vAlign w:val="bottom"/>
            <w:hideMark/>
          </w:tcPr>
          <w:p w14:paraId="2FAB20F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6,99</w:t>
            </w:r>
          </w:p>
        </w:tc>
        <w:tc>
          <w:tcPr>
            <w:tcW w:w="687" w:type="dxa"/>
            <w:tcBorders>
              <w:top w:val="nil"/>
              <w:left w:val="nil"/>
              <w:bottom w:val="single" w:sz="4" w:space="0" w:color="auto"/>
              <w:right w:val="single" w:sz="4" w:space="0" w:color="auto"/>
            </w:tcBorders>
            <w:shd w:val="clear" w:color="auto" w:fill="auto"/>
            <w:noWrap/>
            <w:vAlign w:val="bottom"/>
            <w:hideMark/>
          </w:tcPr>
          <w:p w14:paraId="531D22E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5,22</w:t>
            </w:r>
          </w:p>
        </w:tc>
        <w:tc>
          <w:tcPr>
            <w:tcW w:w="855" w:type="dxa"/>
            <w:tcBorders>
              <w:top w:val="nil"/>
              <w:left w:val="nil"/>
              <w:bottom w:val="single" w:sz="4" w:space="0" w:color="auto"/>
              <w:right w:val="single" w:sz="4" w:space="0" w:color="auto"/>
            </w:tcBorders>
            <w:shd w:val="clear" w:color="auto" w:fill="auto"/>
            <w:noWrap/>
            <w:vAlign w:val="bottom"/>
            <w:hideMark/>
          </w:tcPr>
          <w:p w14:paraId="1FD21E4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4782,82</w:t>
            </w:r>
          </w:p>
        </w:tc>
        <w:tc>
          <w:tcPr>
            <w:tcW w:w="669" w:type="dxa"/>
            <w:tcBorders>
              <w:top w:val="nil"/>
              <w:left w:val="nil"/>
              <w:bottom w:val="single" w:sz="4" w:space="0" w:color="auto"/>
              <w:right w:val="single" w:sz="4" w:space="0" w:color="auto"/>
            </w:tcBorders>
            <w:shd w:val="clear" w:color="auto" w:fill="auto"/>
            <w:noWrap/>
            <w:vAlign w:val="bottom"/>
            <w:hideMark/>
          </w:tcPr>
          <w:p w14:paraId="5AE0D33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538" w:type="dxa"/>
            <w:tcBorders>
              <w:top w:val="nil"/>
              <w:left w:val="nil"/>
              <w:bottom w:val="single" w:sz="4" w:space="0" w:color="auto"/>
              <w:right w:val="single" w:sz="4" w:space="0" w:color="auto"/>
            </w:tcBorders>
            <w:shd w:val="clear" w:color="auto" w:fill="auto"/>
            <w:noWrap/>
            <w:vAlign w:val="bottom"/>
            <w:hideMark/>
          </w:tcPr>
          <w:p w14:paraId="7E132EF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836" w:type="dxa"/>
            <w:tcBorders>
              <w:top w:val="nil"/>
              <w:left w:val="nil"/>
              <w:bottom w:val="single" w:sz="4" w:space="0" w:color="auto"/>
              <w:right w:val="single" w:sz="4" w:space="0" w:color="auto"/>
            </w:tcBorders>
            <w:shd w:val="clear" w:color="auto" w:fill="auto"/>
            <w:noWrap/>
            <w:vAlign w:val="bottom"/>
            <w:hideMark/>
          </w:tcPr>
          <w:p w14:paraId="40FD484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57,24</w:t>
            </w:r>
          </w:p>
        </w:tc>
        <w:tc>
          <w:tcPr>
            <w:tcW w:w="638" w:type="dxa"/>
            <w:tcBorders>
              <w:top w:val="nil"/>
              <w:left w:val="nil"/>
              <w:bottom w:val="single" w:sz="4" w:space="0" w:color="auto"/>
              <w:right w:val="single" w:sz="4" w:space="0" w:color="auto"/>
            </w:tcBorders>
            <w:shd w:val="clear" w:color="auto" w:fill="auto"/>
            <w:noWrap/>
            <w:vAlign w:val="bottom"/>
            <w:hideMark/>
          </w:tcPr>
          <w:p w14:paraId="4FCA3BD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642" w:type="dxa"/>
            <w:tcBorders>
              <w:top w:val="nil"/>
              <w:left w:val="nil"/>
              <w:bottom w:val="single" w:sz="4" w:space="0" w:color="auto"/>
              <w:right w:val="single" w:sz="4" w:space="0" w:color="auto"/>
            </w:tcBorders>
            <w:shd w:val="clear" w:color="auto" w:fill="auto"/>
            <w:noWrap/>
            <w:vAlign w:val="bottom"/>
            <w:hideMark/>
          </w:tcPr>
          <w:p w14:paraId="1C66402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r>
      <w:tr w:rsidR="003A4423" w:rsidRPr="00DB0DEF" w14:paraId="2EB22172"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2224A976"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7385D0E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7" w:type="dxa"/>
            <w:tcBorders>
              <w:top w:val="nil"/>
              <w:left w:val="nil"/>
              <w:bottom w:val="single" w:sz="4" w:space="0" w:color="auto"/>
              <w:right w:val="single" w:sz="4" w:space="0" w:color="auto"/>
            </w:tcBorders>
            <w:shd w:val="clear" w:color="auto" w:fill="auto"/>
            <w:noWrap/>
            <w:vAlign w:val="bottom"/>
            <w:hideMark/>
          </w:tcPr>
          <w:p w14:paraId="6FAD3C1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1,27</w:t>
            </w:r>
          </w:p>
        </w:tc>
        <w:tc>
          <w:tcPr>
            <w:tcW w:w="687" w:type="dxa"/>
            <w:tcBorders>
              <w:top w:val="nil"/>
              <w:left w:val="nil"/>
              <w:bottom w:val="single" w:sz="4" w:space="0" w:color="auto"/>
              <w:right w:val="single" w:sz="4" w:space="0" w:color="auto"/>
            </w:tcBorders>
            <w:shd w:val="clear" w:color="auto" w:fill="auto"/>
            <w:noWrap/>
            <w:vAlign w:val="bottom"/>
            <w:hideMark/>
          </w:tcPr>
          <w:p w14:paraId="63E6FB1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1,10</w:t>
            </w:r>
          </w:p>
        </w:tc>
        <w:tc>
          <w:tcPr>
            <w:tcW w:w="855" w:type="dxa"/>
            <w:tcBorders>
              <w:top w:val="nil"/>
              <w:left w:val="nil"/>
              <w:bottom w:val="single" w:sz="4" w:space="0" w:color="auto"/>
              <w:right w:val="single" w:sz="4" w:space="0" w:color="auto"/>
            </w:tcBorders>
            <w:shd w:val="clear" w:color="auto" w:fill="auto"/>
            <w:noWrap/>
            <w:vAlign w:val="bottom"/>
            <w:hideMark/>
          </w:tcPr>
          <w:p w14:paraId="2F3CBA1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68,03</w:t>
            </w:r>
          </w:p>
        </w:tc>
        <w:tc>
          <w:tcPr>
            <w:tcW w:w="669" w:type="dxa"/>
            <w:tcBorders>
              <w:top w:val="nil"/>
              <w:left w:val="nil"/>
              <w:bottom w:val="single" w:sz="4" w:space="0" w:color="auto"/>
              <w:right w:val="single" w:sz="4" w:space="0" w:color="auto"/>
            </w:tcBorders>
            <w:shd w:val="clear" w:color="auto" w:fill="auto"/>
            <w:noWrap/>
            <w:vAlign w:val="bottom"/>
            <w:hideMark/>
          </w:tcPr>
          <w:p w14:paraId="47BBD86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0,37</w:t>
            </w:r>
          </w:p>
        </w:tc>
        <w:tc>
          <w:tcPr>
            <w:tcW w:w="538" w:type="dxa"/>
            <w:tcBorders>
              <w:top w:val="nil"/>
              <w:left w:val="nil"/>
              <w:bottom w:val="single" w:sz="4" w:space="0" w:color="auto"/>
              <w:right w:val="single" w:sz="4" w:space="0" w:color="auto"/>
            </w:tcBorders>
            <w:shd w:val="clear" w:color="auto" w:fill="auto"/>
            <w:noWrap/>
            <w:vAlign w:val="bottom"/>
            <w:hideMark/>
          </w:tcPr>
          <w:p w14:paraId="0C6A9FC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1,38</w:t>
            </w:r>
          </w:p>
        </w:tc>
        <w:tc>
          <w:tcPr>
            <w:tcW w:w="836" w:type="dxa"/>
            <w:tcBorders>
              <w:top w:val="nil"/>
              <w:left w:val="nil"/>
              <w:bottom w:val="single" w:sz="4" w:space="0" w:color="auto"/>
              <w:right w:val="single" w:sz="4" w:space="0" w:color="auto"/>
            </w:tcBorders>
            <w:shd w:val="clear" w:color="auto" w:fill="auto"/>
            <w:noWrap/>
            <w:vAlign w:val="bottom"/>
            <w:hideMark/>
          </w:tcPr>
          <w:p w14:paraId="7181128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-0,27</w:t>
            </w:r>
          </w:p>
        </w:tc>
        <w:tc>
          <w:tcPr>
            <w:tcW w:w="638" w:type="dxa"/>
            <w:tcBorders>
              <w:top w:val="nil"/>
              <w:left w:val="nil"/>
              <w:bottom w:val="single" w:sz="4" w:space="0" w:color="auto"/>
              <w:right w:val="single" w:sz="4" w:space="0" w:color="auto"/>
            </w:tcBorders>
            <w:shd w:val="clear" w:color="auto" w:fill="auto"/>
            <w:noWrap/>
            <w:vAlign w:val="bottom"/>
            <w:hideMark/>
          </w:tcPr>
          <w:p w14:paraId="7FB182F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-0,32</w:t>
            </w:r>
          </w:p>
        </w:tc>
        <w:tc>
          <w:tcPr>
            <w:tcW w:w="642" w:type="dxa"/>
            <w:tcBorders>
              <w:top w:val="nil"/>
              <w:left w:val="nil"/>
              <w:bottom w:val="single" w:sz="4" w:space="0" w:color="auto"/>
              <w:right w:val="single" w:sz="4" w:space="0" w:color="auto"/>
            </w:tcBorders>
            <w:shd w:val="clear" w:color="auto" w:fill="auto"/>
            <w:noWrap/>
            <w:vAlign w:val="bottom"/>
            <w:hideMark/>
          </w:tcPr>
          <w:p w14:paraId="57FA0C2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-0,85</w:t>
            </w:r>
          </w:p>
        </w:tc>
      </w:tr>
      <w:tr w:rsidR="003A4423" w:rsidRPr="00DB0DEF" w14:paraId="398BBD18"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02B9D900"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2EC68C86"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7" w:type="dxa"/>
            <w:tcBorders>
              <w:top w:val="nil"/>
              <w:left w:val="nil"/>
              <w:bottom w:val="single" w:sz="4" w:space="0" w:color="auto"/>
              <w:right w:val="single" w:sz="4" w:space="0" w:color="auto"/>
            </w:tcBorders>
            <w:shd w:val="clear" w:color="auto" w:fill="auto"/>
            <w:noWrap/>
            <w:vAlign w:val="bottom"/>
            <w:hideMark/>
          </w:tcPr>
          <w:p w14:paraId="1209BB0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3,36</w:t>
            </w:r>
          </w:p>
        </w:tc>
        <w:tc>
          <w:tcPr>
            <w:tcW w:w="687" w:type="dxa"/>
            <w:tcBorders>
              <w:top w:val="nil"/>
              <w:left w:val="nil"/>
              <w:bottom w:val="single" w:sz="4" w:space="0" w:color="auto"/>
              <w:right w:val="single" w:sz="4" w:space="0" w:color="auto"/>
            </w:tcBorders>
            <w:shd w:val="clear" w:color="auto" w:fill="auto"/>
            <w:noWrap/>
            <w:vAlign w:val="bottom"/>
            <w:hideMark/>
          </w:tcPr>
          <w:p w14:paraId="1A5833C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0,92</w:t>
            </w:r>
          </w:p>
        </w:tc>
        <w:tc>
          <w:tcPr>
            <w:tcW w:w="855" w:type="dxa"/>
            <w:tcBorders>
              <w:top w:val="nil"/>
              <w:left w:val="nil"/>
              <w:bottom w:val="single" w:sz="4" w:space="0" w:color="auto"/>
              <w:right w:val="single" w:sz="4" w:space="0" w:color="auto"/>
            </w:tcBorders>
            <w:shd w:val="clear" w:color="auto" w:fill="auto"/>
            <w:noWrap/>
            <w:vAlign w:val="bottom"/>
            <w:hideMark/>
          </w:tcPr>
          <w:p w14:paraId="44C6993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0,25</w:t>
            </w:r>
          </w:p>
        </w:tc>
        <w:tc>
          <w:tcPr>
            <w:tcW w:w="669" w:type="dxa"/>
            <w:tcBorders>
              <w:top w:val="nil"/>
              <w:left w:val="nil"/>
              <w:bottom w:val="single" w:sz="4" w:space="0" w:color="auto"/>
              <w:right w:val="single" w:sz="4" w:space="0" w:color="auto"/>
            </w:tcBorders>
            <w:shd w:val="clear" w:color="auto" w:fill="auto"/>
            <w:noWrap/>
            <w:vAlign w:val="bottom"/>
            <w:hideMark/>
          </w:tcPr>
          <w:p w14:paraId="11F13AA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538" w:type="dxa"/>
            <w:tcBorders>
              <w:top w:val="nil"/>
              <w:left w:val="nil"/>
              <w:bottom w:val="single" w:sz="4" w:space="0" w:color="auto"/>
              <w:right w:val="single" w:sz="4" w:space="0" w:color="auto"/>
            </w:tcBorders>
            <w:shd w:val="clear" w:color="auto" w:fill="auto"/>
            <w:noWrap/>
            <w:vAlign w:val="bottom"/>
            <w:hideMark/>
          </w:tcPr>
          <w:p w14:paraId="6E64312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36" w:type="dxa"/>
            <w:tcBorders>
              <w:top w:val="nil"/>
              <w:left w:val="nil"/>
              <w:bottom w:val="single" w:sz="4" w:space="0" w:color="auto"/>
              <w:right w:val="single" w:sz="4" w:space="0" w:color="auto"/>
            </w:tcBorders>
            <w:shd w:val="clear" w:color="auto" w:fill="auto"/>
            <w:noWrap/>
            <w:vAlign w:val="bottom"/>
            <w:hideMark/>
          </w:tcPr>
          <w:p w14:paraId="14BE4AC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314,78</w:t>
            </w:r>
          </w:p>
        </w:tc>
        <w:tc>
          <w:tcPr>
            <w:tcW w:w="638" w:type="dxa"/>
            <w:tcBorders>
              <w:top w:val="nil"/>
              <w:left w:val="nil"/>
              <w:bottom w:val="single" w:sz="4" w:space="0" w:color="auto"/>
              <w:right w:val="single" w:sz="4" w:space="0" w:color="auto"/>
            </w:tcBorders>
            <w:shd w:val="clear" w:color="auto" w:fill="auto"/>
            <w:noWrap/>
            <w:vAlign w:val="bottom"/>
            <w:hideMark/>
          </w:tcPr>
          <w:p w14:paraId="6347BBB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0,16</w:t>
            </w:r>
          </w:p>
        </w:tc>
        <w:tc>
          <w:tcPr>
            <w:tcW w:w="642" w:type="dxa"/>
            <w:tcBorders>
              <w:top w:val="nil"/>
              <w:left w:val="nil"/>
              <w:bottom w:val="single" w:sz="4" w:space="0" w:color="auto"/>
              <w:right w:val="single" w:sz="4" w:space="0" w:color="auto"/>
            </w:tcBorders>
            <w:shd w:val="clear" w:color="auto" w:fill="auto"/>
            <w:noWrap/>
            <w:vAlign w:val="bottom"/>
            <w:hideMark/>
          </w:tcPr>
          <w:p w14:paraId="51F8316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0,16</w:t>
            </w:r>
          </w:p>
        </w:tc>
      </w:tr>
      <w:tr w:rsidR="003A4423" w:rsidRPr="00DB0DEF" w14:paraId="5F918D9E"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40E20D8C"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3B2E86C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7" w:type="dxa"/>
            <w:tcBorders>
              <w:top w:val="nil"/>
              <w:left w:val="nil"/>
              <w:bottom w:val="single" w:sz="4" w:space="0" w:color="auto"/>
              <w:right w:val="single" w:sz="4" w:space="0" w:color="auto"/>
            </w:tcBorders>
            <w:shd w:val="clear" w:color="auto" w:fill="auto"/>
            <w:noWrap/>
            <w:vAlign w:val="bottom"/>
            <w:hideMark/>
          </w:tcPr>
          <w:p w14:paraId="02F6699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0,49</w:t>
            </w:r>
          </w:p>
        </w:tc>
        <w:tc>
          <w:tcPr>
            <w:tcW w:w="687" w:type="dxa"/>
            <w:tcBorders>
              <w:top w:val="nil"/>
              <w:left w:val="nil"/>
              <w:bottom w:val="single" w:sz="4" w:space="0" w:color="auto"/>
              <w:right w:val="single" w:sz="4" w:space="0" w:color="auto"/>
            </w:tcBorders>
            <w:shd w:val="clear" w:color="auto" w:fill="auto"/>
            <w:noWrap/>
            <w:vAlign w:val="bottom"/>
            <w:hideMark/>
          </w:tcPr>
          <w:p w14:paraId="423DE77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55" w:type="dxa"/>
            <w:tcBorders>
              <w:top w:val="nil"/>
              <w:left w:val="nil"/>
              <w:bottom w:val="single" w:sz="4" w:space="0" w:color="auto"/>
              <w:right w:val="single" w:sz="4" w:space="0" w:color="auto"/>
            </w:tcBorders>
            <w:shd w:val="clear" w:color="auto" w:fill="auto"/>
            <w:noWrap/>
            <w:vAlign w:val="bottom"/>
            <w:hideMark/>
          </w:tcPr>
          <w:p w14:paraId="5BE6057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147,78</w:t>
            </w:r>
          </w:p>
        </w:tc>
        <w:tc>
          <w:tcPr>
            <w:tcW w:w="669" w:type="dxa"/>
            <w:tcBorders>
              <w:top w:val="nil"/>
              <w:left w:val="nil"/>
              <w:bottom w:val="single" w:sz="4" w:space="0" w:color="auto"/>
              <w:right w:val="single" w:sz="4" w:space="0" w:color="auto"/>
            </w:tcBorders>
            <w:shd w:val="clear" w:color="auto" w:fill="auto"/>
            <w:noWrap/>
            <w:vAlign w:val="bottom"/>
            <w:hideMark/>
          </w:tcPr>
          <w:p w14:paraId="226BB3E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0,16</w:t>
            </w:r>
          </w:p>
        </w:tc>
        <w:tc>
          <w:tcPr>
            <w:tcW w:w="538" w:type="dxa"/>
            <w:tcBorders>
              <w:top w:val="nil"/>
              <w:left w:val="nil"/>
              <w:bottom w:val="single" w:sz="4" w:space="0" w:color="auto"/>
              <w:right w:val="single" w:sz="4" w:space="0" w:color="auto"/>
            </w:tcBorders>
            <w:shd w:val="clear" w:color="auto" w:fill="auto"/>
            <w:noWrap/>
            <w:vAlign w:val="bottom"/>
            <w:hideMark/>
          </w:tcPr>
          <w:p w14:paraId="18E104A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0,10</w:t>
            </w:r>
          </w:p>
        </w:tc>
        <w:tc>
          <w:tcPr>
            <w:tcW w:w="836" w:type="dxa"/>
            <w:tcBorders>
              <w:top w:val="nil"/>
              <w:left w:val="nil"/>
              <w:bottom w:val="single" w:sz="4" w:space="0" w:color="auto"/>
              <w:right w:val="single" w:sz="4" w:space="0" w:color="auto"/>
            </w:tcBorders>
            <w:shd w:val="clear" w:color="auto" w:fill="auto"/>
            <w:noWrap/>
            <w:vAlign w:val="bottom"/>
            <w:hideMark/>
          </w:tcPr>
          <w:p w14:paraId="0B7B3CF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9,44</w:t>
            </w:r>
          </w:p>
        </w:tc>
        <w:tc>
          <w:tcPr>
            <w:tcW w:w="638" w:type="dxa"/>
            <w:tcBorders>
              <w:top w:val="nil"/>
              <w:left w:val="nil"/>
              <w:bottom w:val="single" w:sz="4" w:space="0" w:color="auto"/>
              <w:right w:val="single" w:sz="4" w:space="0" w:color="auto"/>
            </w:tcBorders>
            <w:shd w:val="clear" w:color="auto" w:fill="auto"/>
            <w:noWrap/>
            <w:vAlign w:val="bottom"/>
            <w:hideMark/>
          </w:tcPr>
          <w:p w14:paraId="11DE136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0,38</w:t>
            </w:r>
          </w:p>
        </w:tc>
        <w:tc>
          <w:tcPr>
            <w:tcW w:w="642" w:type="dxa"/>
            <w:tcBorders>
              <w:top w:val="nil"/>
              <w:left w:val="nil"/>
              <w:bottom w:val="single" w:sz="4" w:space="0" w:color="auto"/>
              <w:right w:val="single" w:sz="4" w:space="0" w:color="auto"/>
            </w:tcBorders>
            <w:shd w:val="clear" w:color="auto" w:fill="auto"/>
            <w:noWrap/>
            <w:vAlign w:val="bottom"/>
            <w:hideMark/>
          </w:tcPr>
          <w:p w14:paraId="0F9B9AE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0,42</w:t>
            </w:r>
          </w:p>
        </w:tc>
      </w:tr>
      <w:tr w:rsidR="003A4423" w:rsidRPr="00DB0DEF" w14:paraId="26C25A91" w14:textId="77777777" w:rsidTr="000E3DA3">
        <w:trPr>
          <w:trHeight w:val="145"/>
          <w:jc w:val="center"/>
        </w:trPr>
        <w:tc>
          <w:tcPr>
            <w:tcW w:w="541" w:type="dxa"/>
            <w:vMerge/>
            <w:tcBorders>
              <w:top w:val="nil"/>
              <w:left w:val="single" w:sz="4" w:space="0" w:color="auto"/>
              <w:bottom w:val="single" w:sz="4" w:space="0" w:color="auto"/>
              <w:right w:val="single" w:sz="4" w:space="0" w:color="auto"/>
            </w:tcBorders>
            <w:vAlign w:val="center"/>
            <w:hideMark/>
          </w:tcPr>
          <w:p w14:paraId="6DF2C51B"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25" w:type="dxa"/>
            <w:tcBorders>
              <w:top w:val="nil"/>
              <w:left w:val="nil"/>
              <w:bottom w:val="single" w:sz="4" w:space="0" w:color="auto"/>
              <w:right w:val="single" w:sz="4" w:space="0" w:color="auto"/>
            </w:tcBorders>
            <w:shd w:val="clear" w:color="auto" w:fill="auto"/>
            <w:noWrap/>
            <w:hideMark/>
          </w:tcPr>
          <w:p w14:paraId="15808D6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7" w:type="dxa"/>
            <w:tcBorders>
              <w:top w:val="nil"/>
              <w:left w:val="nil"/>
              <w:bottom w:val="single" w:sz="4" w:space="0" w:color="auto"/>
              <w:right w:val="single" w:sz="4" w:space="0" w:color="auto"/>
            </w:tcBorders>
            <w:shd w:val="clear" w:color="auto" w:fill="auto"/>
            <w:noWrap/>
            <w:vAlign w:val="bottom"/>
            <w:hideMark/>
          </w:tcPr>
          <w:p w14:paraId="7FBE68B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1,07</w:t>
            </w:r>
          </w:p>
        </w:tc>
        <w:tc>
          <w:tcPr>
            <w:tcW w:w="687" w:type="dxa"/>
            <w:tcBorders>
              <w:top w:val="nil"/>
              <w:left w:val="nil"/>
              <w:bottom w:val="single" w:sz="4" w:space="0" w:color="auto"/>
              <w:right w:val="single" w:sz="4" w:space="0" w:color="auto"/>
            </w:tcBorders>
            <w:shd w:val="clear" w:color="auto" w:fill="auto"/>
            <w:noWrap/>
            <w:vAlign w:val="bottom"/>
            <w:hideMark/>
          </w:tcPr>
          <w:p w14:paraId="46C4E1D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0,29</w:t>
            </w:r>
          </w:p>
        </w:tc>
        <w:tc>
          <w:tcPr>
            <w:tcW w:w="855" w:type="dxa"/>
            <w:tcBorders>
              <w:top w:val="nil"/>
              <w:left w:val="nil"/>
              <w:bottom w:val="single" w:sz="4" w:space="0" w:color="auto"/>
              <w:right w:val="single" w:sz="4" w:space="0" w:color="auto"/>
            </w:tcBorders>
            <w:shd w:val="clear" w:color="auto" w:fill="auto"/>
            <w:noWrap/>
            <w:vAlign w:val="bottom"/>
            <w:hideMark/>
          </w:tcPr>
          <w:p w14:paraId="0A18E48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8,88</w:t>
            </w:r>
          </w:p>
        </w:tc>
        <w:tc>
          <w:tcPr>
            <w:tcW w:w="669" w:type="dxa"/>
            <w:tcBorders>
              <w:top w:val="nil"/>
              <w:left w:val="nil"/>
              <w:bottom w:val="single" w:sz="4" w:space="0" w:color="auto"/>
              <w:right w:val="single" w:sz="4" w:space="0" w:color="auto"/>
            </w:tcBorders>
            <w:shd w:val="clear" w:color="auto" w:fill="auto"/>
            <w:noWrap/>
            <w:vAlign w:val="bottom"/>
            <w:hideMark/>
          </w:tcPr>
          <w:p w14:paraId="7803C65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0,18</w:t>
            </w:r>
          </w:p>
        </w:tc>
        <w:tc>
          <w:tcPr>
            <w:tcW w:w="538" w:type="dxa"/>
            <w:tcBorders>
              <w:top w:val="nil"/>
              <w:left w:val="nil"/>
              <w:bottom w:val="single" w:sz="4" w:space="0" w:color="auto"/>
              <w:right w:val="single" w:sz="4" w:space="0" w:color="auto"/>
            </w:tcBorders>
            <w:shd w:val="clear" w:color="auto" w:fill="auto"/>
            <w:noWrap/>
            <w:vAlign w:val="bottom"/>
            <w:hideMark/>
          </w:tcPr>
          <w:p w14:paraId="43DCD36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0,46</w:t>
            </w:r>
          </w:p>
        </w:tc>
        <w:tc>
          <w:tcPr>
            <w:tcW w:w="836" w:type="dxa"/>
            <w:tcBorders>
              <w:top w:val="nil"/>
              <w:left w:val="nil"/>
              <w:bottom w:val="single" w:sz="4" w:space="0" w:color="auto"/>
              <w:right w:val="single" w:sz="4" w:space="0" w:color="auto"/>
            </w:tcBorders>
            <w:shd w:val="clear" w:color="auto" w:fill="auto"/>
            <w:noWrap/>
            <w:vAlign w:val="bottom"/>
            <w:hideMark/>
          </w:tcPr>
          <w:p w14:paraId="09A690C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1,18</w:t>
            </w:r>
          </w:p>
        </w:tc>
        <w:tc>
          <w:tcPr>
            <w:tcW w:w="638" w:type="dxa"/>
            <w:tcBorders>
              <w:top w:val="nil"/>
              <w:left w:val="nil"/>
              <w:bottom w:val="single" w:sz="4" w:space="0" w:color="auto"/>
              <w:right w:val="single" w:sz="4" w:space="0" w:color="auto"/>
            </w:tcBorders>
            <w:shd w:val="clear" w:color="auto" w:fill="auto"/>
            <w:noWrap/>
            <w:vAlign w:val="bottom"/>
            <w:hideMark/>
          </w:tcPr>
          <w:p w14:paraId="560DCA6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0,13</w:t>
            </w:r>
          </w:p>
        </w:tc>
        <w:tc>
          <w:tcPr>
            <w:tcW w:w="642" w:type="dxa"/>
            <w:tcBorders>
              <w:top w:val="nil"/>
              <w:left w:val="nil"/>
              <w:bottom w:val="single" w:sz="4" w:space="0" w:color="auto"/>
              <w:right w:val="single" w:sz="4" w:space="0" w:color="auto"/>
            </w:tcBorders>
            <w:shd w:val="clear" w:color="auto" w:fill="auto"/>
            <w:noWrap/>
            <w:vAlign w:val="bottom"/>
            <w:hideMark/>
          </w:tcPr>
          <w:p w14:paraId="6A1AF1F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0,25</w:t>
            </w:r>
          </w:p>
        </w:tc>
      </w:tr>
    </w:tbl>
    <w:p w14:paraId="69E0106E" w14:textId="77777777" w:rsidR="009147C2" w:rsidRPr="00DB0DEF" w:rsidRDefault="009147C2" w:rsidP="00D40ACF">
      <w:pPr>
        <w:spacing w:after="120"/>
        <w:ind w:firstLine="426"/>
        <w:contextualSpacing/>
        <w:jc w:val="center"/>
        <w:rPr>
          <w:rFonts w:ascii="Times New Roman" w:hAnsi="Times New Roman" w:cs="Times New Roman"/>
          <w:b/>
          <w:bCs/>
        </w:rPr>
      </w:pPr>
    </w:p>
    <w:p w14:paraId="4C6570E1" w14:textId="1E27A678" w:rsidR="005A6E81" w:rsidRPr="00DB0DEF" w:rsidRDefault="00DB5C63" w:rsidP="00D40ACF">
      <w:pPr>
        <w:spacing w:after="120"/>
        <w:ind w:firstLine="426"/>
        <w:contextualSpacing/>
        <w:rPr>
          <w:rFonts w:ascii="Times New Roman" w:hAnsi="Times New Roman" w:cs="Times New Roman"/>
          <w:b/>
          <w:bCs/>
        </w:rPr>
      </w:pPr>
      <w:r w:rsidRPr="00DB0DEF">
        <w:rPr>
          <w:rFonts w:ascii="Times New Roman" w:hAnsi="Times New Roman" w:cs="Times New Roman"/>
          <w:b/>
          <w:bCs/>
        </w:rPr>
        <w:t>Adım 2: Normalize Edilmiş Karar Matrisinin (</w:t>
      </w:r>
      <w:r w:rsidR="00B80760" w:rsidRPr="00DB0DEF">
        <w:rPr>
          <w:rFonts w:ascii="Times New Roman" w:hAnsi="Times New Roman" w:cs="Times New Roman"/>
          <w:b/>
          <w:bCs/>
        </w:rPr>
        <w:t>X</w:t>
      </w:r>
      <w:r w:rsidRPr="00DB0DEF">
        <w:rPr>
          <w:rFonts w:ascii="Times New Roman" w:hAnsi="Times New Roman" w:cs="Times New Roman"/>
          <w:b/>
          <w:bCs/>
        </w:rPr>
        <w:t>) Oluşturulması</w:t>
      </w:r>
    </w:p>
    <w:p w14:paraId="30B726A3" w14:textId="1E8C9AE1" w:rsidR="00DB5C63" w:rsidRPr="00DB0DEF" w:rsidRDefault="00FC7134" w:rsidP="00D40ACF">
      <w:pPr>
        <w:spacing w:after="120"/>
        <w:ind w:firstLine="426"/>
        <w:contextualSpacing/>
        <w:jc w:val="both"/>
        <w:rPr>
          <w:rFonts w:ascii="Times New Roman" w:hAnsi="Times New Roman" w:cs="Times New Roman"/>
        </w:rPr>
      </w:pPr>
      <w:r>
        <w:rPr>
          <w:rFonts w:ascii="Times New Roman" w:hAnsi="Times New Roman" w:cs="Times New Roman"/>
        </w:rPr>
        <w:t xml:space="preserve">Bu adımda </w:t>
      </w:r>
      <w:r w:rsidR="000960ED" w:rsidRPr="00DB0DEF">
        <w:rPr>
          <w:rFonts w:ascii="Times New Roman" w:hAnsi="Times New Roman" w:cs="Times New Roman"/>
        </w:rPr>
        <w:t xml:space="preserve">Tablo </w:t>
      </w:r>
      <w:r w:rsidR="000960ED">
        <w:rPr>
          <w:rFonts w:ascii="Times New Roman" w:hAnsi="Times New Roman" w:cs="Times New Roman"/>
        </w:rPr>
        <w:t>4</w:t>
      </w:r>
      <w:r w:rsidR="000960ED" w:rsidRPr="00DB0DEF">
        <w:rPr>
          <w:rFonts w:ascii="Times New Roman" w:hAnsi="Times New Roman" w:cs="Times New Roman"/>
        </w:rPr>
        <w:t xml:space="preserve">’de yer alan A matrisinin elemanları kullanılarak Formül (1) yardımı </w:t>
      </w:r>
      <w:r>
        <w:rPr>
          <w:rFonts w:ascii="Times New Roman" w:hAnsi="Times New Roman" w:cs="Times New Roman"/>
        </w:rPr>
        <w:t>aşağıdaki tabloda yer alan</w:t>
      </w:r>
      <w:r w:rsidR="00DB5C63" w:rsidRPr="00DB0DEF">
        <w:rPr>
          <w:rFonts w:ascii="Times New Roman" w:hAnsi="Times New Roman" w:cs="Times New Roman"/>
        </w:rPr>
        <w:t xml:space="preserve"> normalize edilmiş karar matrisi</w:t>
      </w:r>
      <w:r w:rsidR="00A0459A" w:rsidRPr="00DB0DEF">
        <w:rPr>
          <w:rFonts w:ascii="Times New Roman" w:hAnsi="Times New Roman" w:cs="Times New Roman"/>
        </w:rPr>
        <w:t xml:space="preserve"> </w:t>
      </w:r>
      <w:r w:rsidR="00DB5C63" w:rsidRPr="00DB0DEF">
        <w:rPr>
          <w:rFonts w:ascii="Times New Roman" w:hAnsi="Times New Roman" w:cs="Times New Roman"/>
        </w:rPr>
        <w:t>hesaplanmıştır.</w:t>
      </w:r>
    </w:p>
    <w:p w14:paraId="4038A06F" w14:textId="6CA1D2DB" w:rsidR="00F25F6A" w:rsidRPr="00DB0DEF" w:rsidRDefault="00F25F6A" w:rsidP="00DB0DEF">
      <w:pPr>
        <w:spacing w:before="120" w:after="120"/>
        <w:ind w:firstLine="425"/>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5</w:t>
      </w:r>
      <w:r w:rsidRPr="00DB0DEF">
        <w:rPr>
          <w:rFonts w:ascii="Times New Roman" w:hAnsi="Times New Roman" w:cs="Times New Roman"/>
          <w:b/>
          <w:bCs/>
        </w:rPr>
        <w:t>: Normalize Edilmiş Karar Matrisi</w:t>
      </w:r>
    </w:p>
    <w:tbl>
      <w:tblPr>
        <w:tblW w:w="7880" w:type="dxa"/>
        <w:jc w:val="center"/>
        <w:tblCellMar>
          <w:left w:w="70" w:type="dxa"/>
          <w:right w:w="70" w:type="dxa"/>
        </w:tblCellMar>
        <w:tblLook w:val="04A0" w:firstRow="1" w:lastRow="0" w:firstColumn="1" w:lastColumn="0" w:noHBand="0" w:noVBand="1"/>
      </w:tblPr>
      <w:tblGrid>
        <w:gridCol w:w="540"/>
        <w:gridCol w:w="1740"/>
        <w:gridCol w:w="669"/>
        <w:gridCol w:w="669"/>
        <w:gridCol w:w="669"/>
        <w:gridCol w:w="669"/>
        <w:gridCol w:w="669"/>
        <w:gridCol w:w="669"/>
        <w:gridCol w:w="793"/>
        <w:gridCol w:w="793"/>
      </w:tblGrid>
      <w:tr w:rsidR="003A4423" w:rsidRPr="00DB0DEF" w14:paraId="4FE472B4" w14:textId="77777777" w:rsidTr="003A4423">
        <w:trPr>
          <w:trHeight w:val="25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4AF080"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Yıl</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F94035" w14:textId="77777777" w:rsidR="003A4423" w:rsidRPr="00DB0DEF" w:rsidRDefault="003A4423" w:rsidP="00D40ACF">
            <w:pPr>
              <w:spacing w:after="120"/>
              <w:contextualSpacing/>
              <w:jc w:val="center"/>
              <w:rPr>
                <w:rFonts w:ascii="Times New Roman" w:eastAsia="Times New Roman" w:hAnsi="Times New Roman" w:cs="Times New Roman"/>
                <w:b/>
                <w:bCs/>
                <w:noProof w:val="0"/>
                <w:sz w:val="20"/>
                <w:szCs w:val="20"/>
                <w:lang w:eastAsia="tr-TR"/>
              </w:rPr>
            </w:pPr>
            <w:r w:rsidRPr="00DB0DEF">
              <w:rPr>
                <w:rFonts w:ascii="Times New Roman" w:eastAsia="Times New Roman" w:hAnsi="Times New Roman" w:cs="Times New Roman"/>
                <w:b/>
                <w:bCs/>
                <w:noProof w:val="0"/>
                <w:sz w:val="20"/>
                <w:szCs w:val="20"/>
                <w:lang w:eastAsia="tr-TR"/>
              </w:rPr>
              <w:t>Faaliyet Bölümleri</w:t>
            </w:r>
          </w:p>
        </w:tc>
        <w:tc>
          <w:tcPr>
            <w:tcW w:w="5600"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2A2105B3" w14:textId="727AA0AC" w:rsidR="003A4423" w:rsidRPr="00DB0DEF" w:rsidRDefault="000960ED" w:rsidP="00D40ACF">
            <w:pPr>
              <w:spacing w:after="120"/>
              <w:contextualSpacing/>
              <w:jc w:val="center"/>
              <w:rPr>
                <w:rFonts w:ascii="Times New Roman" w:eastAsia="Times New Roman" w:hAnsi="Times New Roman" w:cs="Times New Roman"/>
                <w:b/>
                <w:bCs/>
                <w:noProof w:val="0"/>
                <w:color w:val="000000"/>
                <w:sz w:val="20"/>
                <w:szCs w:val="20"/>
                <w:lang w:eastAsia="tr-TR"/>
              </w:rPr>
            </w:pPr>
            <w:r>
              <w:rPr>
                <w:rFonts w:ascii="Times New Roman" w:eastAsia="Times New Roman" w:hAnsi="Times New Roman" w:cs="Times New Roman"/>
                <w:b/>
                <w:bCs/>
                <w:noProof w:val="0"/>
                <w:color w:val="000000"/>
                <w:sz w:val="20"/>
                <w:szCs w:val="20"/>
                <w:lang w:eastAsia="tr-TR"/>
              </w:rPr>
              <w:t xml:space="preserve">Değerlendirme Kriterleri </w:t>
            </w:r>
            <w:r w:rsidRPr="00DB0DEF">
              <w:rPr>
                <w:rFonts w:ascii="Times New Roman" w:eastAsia="Times New Roman" w:hAnsi="Times New Roman" w:cs="Times New Roman"/>
                <w:b/>
                <w:bCs/>
                <w:noProof w:val="0"/>
                <w:color w:val="000000"/>
                <w:sz w:val="20"/>
                <w:szCs w:val="20"/>
                <w:lang w:eastAsia="tr-TR"/>
              </w:rPr>
              <w:t>(</w:t>
            </w:r>
            <w:r>
              <w:rPr>
                <w:rFonts w:ascii="Times New Roman" w:eastAsia="Times New Roman" w:hAnsi="Times New Roman" w:cs="Times New Roman"/>
                <w:b/>
                <w:bCs/>
                <w:noProof w:val="0"/>
                <w:color w:val="000000"/>
                <w:sz w:val="20"/>
                <w:szCs w:val="20"/>
                <w:lang w:eastAsia="tr-TR"/>
              </w:rPr>
              <w:t>Finansal Oranlar</w:t>
            </w:r>
            <w:r w:rsidRPr="00DB0DEF">
              <w:rPr>
                <w:rFonts w:ascii="Times New Roman" w:eastAsia="Times New Roman" w:hAnsi="Times New Roman" w:cs="Times New Roman"/>
                <w:b/>
                <w:bCs/>
                <w:noProof w:val="0"/>
                <w:color w:val="000000"/>
                <w:sz w:val="20"/>
                <w:szCs w:val="20"/>
                <w:lang w:eastAsia="tr-TR"/>
              </w:rPr>
              <w:t>)</w:t>
            </w:r>
          </w:p>
        </w:tc>
      </w:tr>
      <w:tr w:rsidR="003A4423" w:rsidRPr="00DB0DEF" w14:paraId="2463EA09" w14:textId="77777777" w:rsidTr="003A4423">
        <w:trPr>
          <w:trHeight w:val="300"/>
          <w:jc w:val="center"/>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A113298" w14:textId="77777777" w:rsidR="003A4423" w:rsidRPr="00DB0DEF" w:rsidRDefault="003A4423" w:rsidP="00D40ACF">
            <w:pPr>
              <w:spacing w:after="120"/>
              <w:contextualSpacing/>
              <w:rPr>
                <w:rFonts w:ascii="Times New Roman" w:eastAsia="Times New Roman" w:hAnsi="Times New Roman" w:cs="Times New Roman"/>
                <w:b/>
                <w:bCs/>
                <w:noProof w:val="0"/>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50CEA478" w14:textId="77777777" w:rsidR="003A4423" w:rsidRPr="00DB0DEF" w:rsidRDefault="003A4423" w:rsidP="00D40ACF">
            <w:pPr>
              <w:spacing w:after="120"/>
              <w:contextualSpacing/>
              <w:rPr>
                <w:rFonts w:ascii="Times New Roman" w:eastAsia="Times New Roman" w:hAnsi="Times New Roman" w:cs="Times New Roman"/>
                <w:b/>
                <w:bCs/>
                <w:noProof w:val="0"/>
                <w:sz w:val="20"/>
                <w:szCs w:val="20"/>
                <w:lang w:eastAsia="tr-TR"/>
              </w:rPr>
            </w:pPr>
          </w:p>
        </w:tc>
        <w:tc>
          <w:tcPr>
            <w:tcW w:w="669" w:type="dxa"/>
            <w:tcBorders>
              <w:top w:val="nil"/>
              <w:left w:val="nil"/>
              <w:bottom w:val="single" w:sz="4" w:space="0" w:color="auto"/>
              <w:right w:val="single" w:sz="4" w:space="0" w:color="auto"/>
            </w:tcBorders>
            <w:shd w:val="clear" w:color="000000" w:fill="F2F2F2"/>
            <w:noWrap/>
            <w:vAlign w:val="center"/>
            <w:hideMark/>
          </w:tcPr>
          <w:p w14:paraId="228872BA"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CO</w:t>
            </w:r>
          </w:p>
        </w:tc>
        <w:tc>
          <w:tcPr>
            <w:tcW w:w="669" w:type="dxa"/>
            <w:tcBorders>
              <w:top w:val="nil"/>
              <w:left w:val="nil"/>
              <w:bottom w:val="single" w:sz="4" w:space="0" w:color="auto"/>
              <w:right w:val="single" w:sz="4" w:space="0" w:color="auto"/>
            </w:tcBorders>
            <w:shd w:val="clear" w:color="000000" w:fill="F2F2F2"/>
            <w:noWrap/>
            <w:vAlign w:val="center"/>
            <w:hideMark/>
          </w:tcPr>
          <w:p w14:paraId="67A608F5"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NO</w:t>
            </w:r>
          </w:p>
        </w:tc>
        <w:tc>
          <w:tcPr>
            <w:tcW w:w="669" w:type="dxa"/>
            <w:tcBorders>
              <w:top w:val="nil"/>
              <w:left w:val="nil"/>
              <w:bottom w:val="single" w:sz="4" w:space="0" w:color="auto"/>
              <w:right w:val="single" w:sz="4" w:space="0" w:color="auto"/>
            </w:tcBorders>
            <w:shd w:val="clear" w:color="000000" w:fill="F2F2F2"/>
            <w:noWrap/>
            <w:vAlign w:val="center"/>
            <w:hideMark/>
          </w:tcPr>
          <w:p w14:paraId="67B29277"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SD</w:t>
            </w:r>
          </w:p>
        </w:tc>
        <w:tc>
          <w:tcPr>
            <w:tcW w:w="669" w:type="dxa"/>
            <w:tcBorders>
              <w:top w:val="nil"/>
              <w:left w:val="nil"/>
              <w:bottom w:val="single" w:sz="4" w:space="0" w:color="auto"/>
              <w:right w:val="single" w:sz="4" w:space="0" w:color="auto"/>
            </w:tcBorders>
            <w:shd w:val="clear" w:color="000000" w:fill="F2F2F2"/>
            <w:noWrap/>
            <w:vAlign w:val="center"/>
            <w:hideMark/>
          </w:tcPr>
          <w:p w14:paraId="48A9DBE9"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AD</w:t>
            </w:r>
          </w:p>
        </w:tc>
        <w:tc>
          <w:tcPr>
            <w:tcW w:w="669" w:type="dxa"/>
            <w:tcBorders>
              <w:top w:val="nil"/>
              <w:left w:val="nil"/>
              <w:bottom w:val="single" w:sz="4" w:space="0" w:color="auto"/>
              <w:right w:val="single" w:sz="4" w:space="0" w:color="auto"/>
            </w:tcBorders>
            <w:shd w:val="clear" w:color="000000" w:fill="F2F2F2"/>
            <w:noWrap/>
            <w:vAlign w:val="center"/>
            <w:hideMark/>
          </w:tcPr>
          <w:p w14:paraId="37665D13"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KO</w:t>
            </w:r>
          </w:p>
        </w:tc>
        <w:tc>
          <w:tcPr>
            <w:tcW w:w="669" w:type="dxa"/>
            <w:tcBorders>
              <w:top w:val="nil"/>
              <w:left w:val="nil"/>
              <w:bottom w:val="single" w:sz="4" w:space="0" w:color="auto"/>
              <w:right w:val="single" w:sz="4" w:space="0" w:color="auto"/>
            </w:tcBorders>
            <w:shd w:val="clear" w:color="000000" w:fill="F2F2F2"/>
            <w:noWrap/>
            <w:vAlign w:val="center"/>
            <w:hideMark/>
          </w:tcPr>
          <w:p w14:paraId="6D0D7D2A"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FO</w:t>
            </w:r>
          </w:p>
        </w:tc>
        <w:tc>
          <w:tcPr>
            <w:tcW w:w="793" w:type="dxa"/>
            <w:tcBorders>
              <w:top w:val="nil"/>
              <w:left w:val="nil"/>
              <w:bottom w:val="single" w:sz="4" w:space="0" w:color="auto"/>
              <w:right w:val="single" w:sz="4" w:space="0" w:color="auto"/>
            </w:tcBorders>
            <w:shd w:val="clear" w:color="000000" w:fill="F2F2F2"/>
            <w:noWrap/>
            <w:vAlign w:val="center"/>
            <w:hideMark/>
          </w:tcPr>
          <w:p w14:paraId="3987973D"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AK</w:t>
            </w:r>
          </w:p>
        </w:tc>
        <w:tc>
          <w:tcPr>
            <w:tcW w:w="793" w:type="dxa"/>
            <w:tcBorders>
              <w:top w:val="nil"/>
              <w:left w:val="nil"/>
              <w:bottom w:val="single" w:sz="4" w:space="0" w:color="auto"/>
              <w:right w:val="single" w:sz="4" w:space="0" w:color="auto"/>
            </w:tcBorders>
            <w:shd w:val="clear" w:color="000000" w:fill="F2F2F2"/>
            <w:noWrap/>
            <w:vAlign w:val="center"/>
            <w:hideMark/>
          </w:tcPr>
          <w:p w14:paraId="21C1D70E"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ÖK</w:t>
            </w:r>
          </w:p>
        </w:tc>
      </w:tr>
      <w:tr w:rsidR="003A4423" w:rsidRPr="00DB0DEF" w14:paraId="1361638F" w14:textId="77777777" w:rsidTr="00655E52">
        <w:trPr>
          <w:trHeight w:val="130"/>
          <w:jc w:val="center"/>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62CB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2019</w:t>
            </w:r>
          </w:p>
        </w:tc>
        <w:tc>
          <w:tcPr>
            <w:tcW w:w="1740" w:type="dxa"/>
            <w:tcBorders>
              <w:top w:val="nil"/>
              <w:left w:val="nil"/>
              <w:bottom w:val="single" w:sz="4" w:space="0" w:color="auto"/>
              <w:right w:val="single" w:sz="4" w:space="0" w:color="auto"/>
            </w:tcBorders>
            <w:shd w:val="clear" w:color="auto" w:fill="auto"/>
            <w:noWrap/>
            <w:hideMark/>
          </w:tcPr>
          <w:p w14:paraId="75BE535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69" w:type="dxa"/>
            <w:tcBorders>
              <w:top w:val="nil"/>
              <w:left w:val="nil"/>
              <w:bottom w:val="single" w:sz="4" w:space="0" w:color="auto"/>
              <w:right w:val="single" w:sz="4" w:space="0" w:color="auto"/>
            </w:tcBorders>
            <w:shd w:val="clear" w:color="auto" w:fill="auto"/>
            <w:noWrap/>
            <w:vAlign w:val="center"/>
            <w:hideMark/>
          </w:tcPr>
          <w:p w14:paraId="218F981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0,77</w:t>
            </w:r>
          </w:p>
        </w:tc>
        <w:tc>
          <w:tcPr>
            <w:tcW w:w="669" w:type="dxa"/>
            <w:tcBorders>
              <w:top w:val="nil"/>
              <w:left w:val="nil"/>
              <w:bottom w:val="single" w:sz="4" w:space="0" w:color="auto"/>
              <w:right w:val="single" w:sz="4" w:space="0" w:color="auto"/>
            </w:tcBorders>
            <w:shd w:val="clear" w:color="auto" w:fill="auto"/>
            <w:noWrap/>
            <w:vAlign w:val="center"/>
            <w:hideMark/>
          </w:tcPr>
          <w:p w14:paraId="1CCB0E8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0,74</w:t>
            </w:r>
          </w:p>
        </w:tc>
        <w:tc>
          <w:tcPr>
            <w:tcW w:w="669" w:type="dxa"/>
            <w:tcBorders>
              <w:top w:val="nil"/>
              <w:left w:val="nil"/>
              <w:bottom w:val="single" w:sz="4" w:space="0" w:color="auto"/>
              <w:right w:val="single" w:sz="4" w:space="0" w:color="auto"/>
            </w:tcBorders>
            <w:shd w:val="clear" w:color="auto" w:fill="auto"/>
            <w:noWrap/>
            <w:vAlign w:val="center"/>
            <w:hideMark/>
          </w:tcPr>
          <w:p w14:paraId="34F8951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0,74</w:t>
            </w:r>
          </w:p>
        </w:tc>
        <w:tc>
          <w:tcPr>
            <w:tcW w:w="669" w:type="dxa"/>
            <w:tcBorders>
              <w:top w:val="nil"/>
              <w:left w:val="nil"/>
              <w:bottom w:val="single" w:sz="4" w:space="0" w:color="auto"/>
              <w:right w:val="single" w:sz="4" w:space="0" w:color="auto"/>
            </w:tcBorders>
            <w:shd w:val="clear" w:color="auto" w:fill="auto"/>
            <w:noWrap/>
            <w:vAlign w:val="center"/>
            <w:hideMark/>
          </w:tcPr>
          <w:p w14:paraId="3F7CD44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32E936E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37EB5CA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w:t>
            </w:r>
          </w:p>
        </w:tc>
        <w:tc>
          <w:tcPr>
            <w:tcW w:w="793" w:type="dxa"/>
            <w:tcBorders>
              <w:top w:val="nil"/>
              <w:left w:val="nil"/>
              <w:bottom w:val="single" w:sz="4" w:space="0" w:color="auto"/>
              <w:right w:val="single" w:sz="4" w:space="0" w:color="auto"/>
            </w:tcBorders>
            <w:shd w:val="clear" w:color="auto" w:fill="auto"/>
            <w:noWrap/>
            <w:vAlign w:val="center"/>
            <w:hideMark/>
          </w:tcPr>
          <w:p w14:paraId="5B4F849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793" w:type="dxa"/>
            <w:tcBorders>
              <w:top w:val="nil"/>
              <w:left w:val="nil"/>
              <w:bottom w:val="single" w:sz="4" w:space="0" w:color="auto"/>
              <w:right w:val="single" w:sz="4" w:space="0" w:color="auto"/>
            </w:tcBorders>
            <w:shd w:val="clear" w:color="auto" w:fill="auto"/>
            <w:noWrap/>
            <w:vAlign w:val="center"/>
            <w:hideMark/>
          </w:tcPr>
          <w:p w14:paraId="149E2E4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r>
      <w:tr w:rsidR="003A4423" w:rsidRPr="00DB0DEF" w14:paraId="066DD5B7"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1A3526AA"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041906B4"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69" w:type="dxa"/>
            <w:tcBorders>
              <w:top w:val="nil"/>
              <w:left w:val="nil"/>
              <w:bottom w:val="single" w:sz="4" w:space="0" w:color="auto"/>
              <w:right w:val="single" w:sz="4" w:space="0" w:color="auto"/>
            </w:tcBorders>
            <w:shd w:val="clear" w:color="auto" w:fill="auto"/>
            <w:noWrap/>
            <w:vAlign w:val="center"/>
            <w:hideMark/>
          </w:tcPr>
          <w:p w14:paraId="4F22CAA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04C6644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4A00F2C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216F462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0,36</w:t>
            </w:r>
          </w:p>
        </w:tc>
        <w:tc>
          <w:tcPr>
            <w:tcW w:w="669" w:type="dxa"/>
            <w:tcBorders>
              <w:top w:val="nil"/>
              <w:left w:val="nil"/>
              <w:bottom w:val="single" w:sz="4" w:space="0" w:color="auto"/>
              <w:right w:val="single" w:sz="4" w:space="0" w:color="auto"/>
            </w:tcBorders>
            <w:shd w:val="clear" w:color="auto" w:fill="auto"/>
            <w:noWrap/>
            <w:vAlign w:val="center"/>
            <w:hideMark/>
          </w:tcPr>
          <w:p w14:paraId="44E2983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0,44</w:t>
            </w:r>
          </w:p>
        </w:tc>
        <w:tc>
          <w:tcPr>
            <w:tcW w:w="669" w:type="dxa"/>
            <w:tcBorders>
              <w:top w:val="nil"/>
              <w:left w:val="nil"/>
              <w:bottom w:val="single" w:sz="4" w:space="0" w:color="auto"/>
              <w:right w:val="single" w:sz="4" w:space="0" w:color="auto"/>
            </w:tcBorders>
            <w:shd w:val="clear" w:color="auto" w:fill="auto"/>
            <w:noWrap/>
            <w:vAlign w:val="center"/>
            <w:hideMark/>
          </w:tcPr>
          <w:p w14:paraId="43F728B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7BE2A68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793" w:type="dxa"/>
            <w:tcBorders>
              <w:top w:val="nil"/>
              <w:left w:val="nil"/>
              <w:bottom w:val="single" w:sz="4" w:space="0" w:color="auto"/>
              <w:right w:val="single" w:sz="4" w:space="0" w:color="auto"/>
            </w:tcBorders>
            <w:shd w:val="clear" w:color="auto" w:fill="auto"/>
            <w:noWrap/>
            <w:vAlign w:val="center"/>
            <w:hideMark/>
          </w:tcPr>
          <w:p w14:paraId="411CBC3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-0,10</w:t>
            </w:r>
          </w:p>
        </w:tc>
      </w:tr>
      <w:tr w:rsidR="003A4423" w:rsidRPr="00DB0DEF" w14:paraId="2D0888F4"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3EAC7C63"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7A2CB090"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69" w:type="dxa"/>
            <w:tcBorders>
              <w:top w:val="nil"/>
              <w:left w:val="nil"/>
              <w:bottom w:val="single" w:sz="4" w:space="0" w:color="auto"/>
              <w:right w:val="single" w:sz="4" w:space="0" w:color="auto"/>
            </w:tcBorders>
            <w:shd w:val="clear" w:color="auto" w:fill="auto"/>
            <w:noWrap/>
            <w:vAlign w:val="center"/>
            <w:hideMark/>
          </w:tcPr>
          <w:p w14:paraId="1F7E72E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510B0C0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2FD8D83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2CEB528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5AC9E6C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0EA6283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w:t>
            </w:r>
          </w:p>
        </w:tc>
        <w:tc>
          <w:tcPr>
            <w:tcW w:w="793" w:type="dxa"/>
            <w:tcBorders>
              <w:top w:val="nil"/>
              <w:left w:val="nil"/>
              <w:bottom w:val="single" w:sz="4" w:space="0" w:color="auto"/>
              <w:right w:val="single" w:sz="4" w:space="0" w:color="auto"/>
            </w:tcBorders>
            <w:shd w:val="clear" w:color="auto" w:fill="auto"/>
            <w:noWrap/>
            <w:vAlign w:val="center"/>
            <w:hideMark/>
          </w:tcPr>
          <w:p w14:paraId="1760D4D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793" w:type="dxa"/>
            <w:tcBorders>
              <w:top w:val="nil"/>
              <w:left w:val="nil"/>
              <w:bottom w:val="single" w:sz="4" w:space="0" w:color="auto"/>
              <w:right w:val="single" w:sz="4" w:space="0" w:color="auto"/>
            </w:tcBorders>
            <w:shd w:val="clear" w:color="auto" w:fill="auto"/>
            <w:noWrap/>
            <w:vAlign w:val="center"/>
            <w:hideMark/>
          </w:tcPr>
          <w:p w14:paraId="78D20B4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r>
      <w:tr w:rsidR="003A4423" w:rsidRPr="00DB0DEF" w14:paraId="1F1326D4"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3B7AB568"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6D8E3C88"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69" w:type="dxa"/>
            <w:tcBorders>
              <w:top w:val="nil"/>
              <w:left w:val="nil"/>
              <w:bottom w:val="single" w:sz="4" w:space="0" w:color="auto"/>
              <w:right w:val="single" w:sz="4" w:space="0" w:color="auto"/>
            </w:tcBorders>
            <w:shd w:val="clear" w:color="auto" w:fill="auto"/>
            <w:noWrap/>
            <w:vAlign w:val="center"/>
            <w:hideMark/>
          </w:tcPr>
          <w:p w14:paraId="04B520E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33BAE16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236616D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1E86271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0,56</w:t>
            </w:r>
          </w:p>
        </w:tc>
        <w:tc>
          <w:tcPr>
            <w:tcW w:w="669" w:type="dxa"/>
            <w:tcBorders>
              <w:top w:val="nil"/>
              <w:left w:val="nil"/>
              <w:bottom w:val="single" w:sz="4" w:space="0" w:color="auto"/>
              <w:right w:val="single" w:sz="4" w:space="0" w:color="auto"/>
            </w:tcBorders>
            <w:shd w:val="clear" w:color="auto" w:fill="auto"/>
            <w:noWrap/>
            <w:vAlign w:val="center"/>
            <w:hideMark/>
          </w:tcPr>
          <w:p w14:paraId="1B959A8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0,18</w:t>
            </w:r>
          </w:p>
        </w:tc>
        <w:tc>
          <w:tcPr>
            <w:tcW w:w="669" w:type="dxa"/>
            <w:tcBorders>
              <w:top w:val="nil"/>
              <w:left w:val="nil"/>
              <w:bottom w:val="single" w:sz="4" w:space="0" w:color="auto"/>
              <w:right w:val="single" w:sz="4" w:space="0" w:color="auto"/>
            </w:tcBorders>
            <w:shd w:val="clear" w:color="auto" w:fill="auto"/>
            <w:noWrap/>
            <w:vAlign w:val="center"/>
            <w:hideMark/>
          </w:tcPr>
          <w:p w14:paraId="555627B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653DE52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0,37</w:t>
            </w:r>
          </w:p>
        </w:tc>
        <w:tc>
          <w:tcPr>
            <w:tcW w:w="793" w:type="dxa"/>
            <w:tcBorders>
              <w:top w:val="nil"/>
              <w:left w:val="nil"/>
              <w:bottom w:val="single" w:sz="4" w:space="0" w:color="auto"/>
              <w:right w:val="single" w:sz="4" w:space="0" w:color="auto"/>
            </w:tcBorders>
            <w:shd w:val="clear" w:color="auto" w:fill="auto"/>
            <w:noWrap/>
            <w:vAlign w:val="center"/>
            <w:hideMark/>
          </w:tcPr>
          <w:p w14:paraId="128BFA6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0,23</w:t>
            </w:r>
          </w:p>
        </w:tc>
      </w:tr>
      <w:tr w:rsidR="003A4423" w:rsidRPr="00DB0DEF" w14:paraId="3C7B2CD0"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3CC556D4"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79A0C540"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69" w:type="dxa"/>
            <w:tcBorders>
              <w:top w:val="nil"/>
              <w:left w:val="nil"/>
              <w:bottom w:val="single" w:sz="4" w:space="0" w:color="auto"/>
              <w:right w:val="single" w:sz="4" w:space="0" w:color="auto"/>
            </w:tcBorders>
            <w:shd w:val="clear" w:color="auto" w:fill="auto"/>
            <w:noWrap/>
            <w:vAlign w:val="center"/>
            <w:hideMark/>
          </w:tcPr>
          <w:p w14:paraId="27BC17F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69" w:type="dxa"/>
            <w:tcBorders>
              <w:top w:val="nil"/>
              <w:left w:val="nil"/>
              <w:bottom w:val="single" w:sz="4" w:space="0" w:color="auto"/>
              <w:right w:val="single" w:sz="4" w:space="0" w:color="auto"/>
            </w:tcBorders>
            <w:shd w:val="clear" w:color="auto" w:fill="auto"/>
            <w:noWrap/>
            <w:vAlign w:val="center"/>
            <w:hideMark/>
          </w:tcPr>
          <w:p w14:paraId="75F0585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2079D3E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7CC2234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0,27</w:t>
            </w:r>
          </w:p>
        </w:tc>
        <w:tc>
          <w:tcPr>
            <w:tcW w:w="669" w:type="dxa"/>
            <w:tcBorders>
              <w:top w:val="nil"/>
              <w:left w:val="nil"/>
              <w:bottom w:val="single" w:sz="4" w:space="0" w:color="auto"/>
              <w:right w:val="single" w:sz="4" w:space="0" w:color="auto"/>
            </w:tcBorders>
            <w:shd w:val="clear" w:color="auto" w:fill="auto"/>
            <w:noWrap/>
            <w:vAlign w:val="center"/>
            <w:hideMark/>
          </w:tcPr>
          <w:p w14:paraId="3ED0FC2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0,18</w:t>
            </w:r>
          </w:p>
        </w:tc>
        <w:tc>
          <w:tcPr>
            <w:tcW w:w="669" w:type="dxa"/>
            <w:tcBorders>
              <w:top w:val="nil"/>
              <w:left w:val="nil"/>
              <w:bottom w:val="single" w:sz="4" w:space="0" w:color="auto"/>
              <w:right w:val="single" w:sz="4" w:space="0" w:color="auto"/>
            </w:tcBorders>
            <w:shd w:val="clear" w:color="auto" w:fill="auto"/>
            <w:noWrap/>
            <w:vAlign w:val="center"/>
            <w:hideMark/>
          </w:tcPr>
          <w:p w14:paraId="7266C44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6B84BCA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0,13</w:t>
            </w:r>
          </w:p>
        </w:tc>
        <w:tc>
          <w:tcPr>
            <w:tcW w:w="793" w:type="dxa"/>
            <w:tcBorders>
              <w:top w:val="nil"/>
              <w:left w:val="nil"/>
              <w:bottom w:val="single" w:sz="4" w:space="0" w:color="auto"/>
              <w:right w:val="single" w:sz="4" w:space="0" w:color="auto"/>
            </w:tcBorders>
            <w:shd w:val="clear" w:color="auto" w:fill="auto"/>
            <w:noWrap/>
            <w:vAlign w:val="center"/>
            <w:hideMark/>
          </w:tcPr>
          <w:p w14:paraId="5E45F2A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r>
      <w:tr w:rsidR="003A4423" w:rsidRPr="00DB0DEF" w14:paraId="25CCC870" w14:textId="77777777" w:rsidTr="00655E52">
        <w:trPr>
          <w:trHeight w:val="130"/>
          <w:jc w:val="center"/>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3053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lastRenderedPageBreak/>
              <w:t>2020</w:t>
            </w:r>
          </w:p>
        </w:tc>
        <w:tc>
          <w:tcPr>
            <w:tcW w:w="1740" w:type="dxa"/>
            <w:tcBorders>
              <w:top w:val="nil"/>
              <w:left w:val="nil"/>
              <w:bottom w:val="single" w:sz="4" w:space="0" w:color="auto"/>
              <w:right w:val="single" w:sz="4" w:space="0" w:color="auto"/>
            </w:tcBorders>
            <w:shd w:val="clear" w:color="auto" w:fill="auto"/>
            <w:noWrap/>
            <w:hideMark/>
          </w:tcPr>
          <w:p w14:paraId="439C377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69" w:type="dxa"/>
            <w:tcBorders>
              <w:top w:val="nil"/>
              <w:left w:val="nil"/>
              <w:bottom w:val="single" w:sz="4" w:space="0" w:color="auto"/>
              <w:right w:val="single" w:sz="4" w:space="0" w:color="auto"/>
            </w:tcBorders>
            <w:shd w:val="clear" w:color="auto" w:fill="auto"/>
            <w:noWrap/>
            <w:vAlign w:val="center"/>
            <w:hideMark/>
          </w:tcPr>
          <w:p w14:paraId="5B09CA2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0,62</w:t>
            </w:r>
          </w:p>
        </w:tc>
        <w:tc>
          <w:tcPr>
            <w:tcW w:w="669" w:type="dxa"/>
            <w:tcBorders>
              <w:top w:val="nil"/>
              <w:left w:val="nil"/>
              <w:bottom w:val="single" w:sz="4" w:space="0" w:color="auto"/>
              <w:right w:val="single" w:sz="4" w:space="0" w:color="auto"/>
            </w:tcBorders>
            <w:shd w:val="clear" w:color="auto" w:fill="auto"/>
            <w:noWrap/>
            <w:vAlign w:val="center"/>
            <w:hideMark/>
          </w:tcPr>
          <w:p w14:paraId="219DB4F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0,66</w:t>
            </w:r>
          </w:p>
        </w:tc>
        <w:tc>
          <w:tcPr>
            <w:tcW w:w="669" w:type="dxa"/>
            <w:tcBorders>
              <w:top w:val="nil"/>
              <w:left w:val="nil"/>
              <w:bottom w:val="single" w:sz="4" w:space="0" w:color="auto"/>
              <w:right w:val="single" w:sz="4" w:space="0" w:color="auto"/>
            </w:tcBorders>
            <w:shd w:val="clear" w:color="auto" w:fill="auto"/>
            <w:noWrap/>
            <w:vAlign w:val="center"/>
            <w:hideMark/>
          </w:tcPr>
          <w:p w14:paraId="3A33CC9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0,49</w:t>
            </w:r>
          </w:p>
        </w:tc>
        <w:tc>
          <w:tcPr>
            <w:tcW w:w="669" w:type="dxa"/>
            <w:tcBorders>
              <w:top w:val="nil"/>
              <w:left w:val="nil"/>
              <w:bottom w:val="single" w:sz="4" w:space="0" w:color="auto"/>
              <w:right w:val="single" w:sz="4" w:space="0" w:color="auto"/>
            </w:tcBorders>
            <w:shd w:val="clear" w:color="auto" w:fill="auto"/>
            <w:noWrap/>
            <w:vAlign w:val="center"/>
            <w:hideMark/>
          </w:tcPr>
          <w:p w14:paraId="703D399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77D7232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136D86F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0,34</w:t>
            </w:r>
          </w:p>
        </w:tc>
        <w:tc>
          <w:tcPr>
            <w:tcW w:w="793" w:type="dxa"/>
            <w:tcBorders>
              <w:top w:val="nil"/>
              <w:left w:val="nil"/>
              <w:bottom w:val="single" w:sz="4" w:space="0" w:color="auto"/>
              <w:right w:val="single" w:sz="4" w:space="0" w:color="auto"/>
            </w:tcBorders>
            <w:shd w:val="clear" w:color="auto" w:fill="auto"/>
            <w:noWrap/>
            <w:vAlign w:val="center"/>
            <w:hideMark/>
          </w:tcPr>
          <w:p w14:paraId="6BDE55F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w:t>
            </w:r>
          </w:p>
        </w:tc>
        <w:tc>
          <w:tcPr>
            <w:tcW w:w="793" w:type="dxa"/>
            <w:tcBorders>
              <w:top w:val="nil"/>
              <w:left w:val="nil"/>
              <w:bottom w:val="single" w:sz="4" w:space="0" w:color="auto"/>
              <w:right w:val="single" w:sz="4" w:space="0" w:color="auto"/>
            </w:tcBorders>
            <w:shd w:val="clear" w:color="auto" w:fill="auto"/>
            <w:noWrap/>
            <w:vAlign w:val="center"/>
            <w:hideMark/>
          </w:tcPr>
          <w:p w14:paraId="4B94C81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r>
      <w:tr w:rsidR="003A4423" w:rsidRPr="00DB0DEF" w14:paraId="3A473EC2"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3C323F5D"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6EB5A1F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69" w:type="dxa"/>
            <w:tcBorders>
              <w:top w:val="nil"/>
              <w:left w:val="nil"/>
              <w:bottom w:val="single" w:sz="4" w:space="0" w:color="auto"/>
              <w:right w:val="single" w:sz="4" w:space="0" w:color="auto"/>
            </w:tcBorders>
            <w:shd w:val="clear" w:color="auto" w:fill="auto"/>
            <w:noWrap/>
            <w:vAlign w:val="center"/>
            <w:hideMark/>
          </w:tcPr>
          <w:p w14:paraId="49141A2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233C7A0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62221DE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51E326E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0,30</w:t>
            </w:r>
          </w:p>
        </w:tc>
        <w:tc>
          <w:tcPr>
            <w:tcW w:w="669" w:type="dxa"/>
            <w:tcBorders>
              <w:top w:val="nil"/>
              <w:left w:val="nil"/>
              <w:bottom w:val="single" w:sz="4" w:space="0" w:color="auto"/>
              <w:right w:val="single" w:sz="4" w:space="0" w:color="auto"/>
            </w:tcBorders>
            <w:shd w:val="clear" w:color="auto" w:fill="auto"/>
            <w:noWrap/>
            <w:vAlign w:val="center"/>
            <w:hideMark/>
          </w:tcPr>
          <w:p w14:paraId="1259286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0,50</w:t>
            </w:r>
          </w:p>
        </w:tc>
        <w:tc>
          <w:tcPr>
            <w:tcW w:w="669" w:type="dxa"/>
            <w:tcBorders>
              <w:top w:val="nil"/>
              <w:left w:val="nil"/>
              <w:bottom w:val="single" w:sz="4" w:space="0" w:color="auto"/>
              <w:right w:val="single" w:sz="4" w:space="0" w:color="auto"/>
            </w:tcBorders>
            <w:shd w:val="clear" w:color="auto" w:fill="auto"/>
            <w:noWrap/>
            <w:vAlign w:val="center"/>
            <w:hideMark/>
          </w:tcPr>
          <w:p w14:paraId="01704DF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4C6ACB7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w:t>
            </w:r>
          </w:p>
        </w:tc>
        <w:tc>
          <w:tcPr>
            <w:tcW w:w="793" w:type="dxa"/>
            <w:tcBorders>
              <w:top w:val="nil"/>
              <w:left w:val="nil"/>
              <w:bottom w:val="single" w:sz="4" w:space="0" w:color="auto"/>
              <w:right w:val="single" w:sz="4" w:space="0" w:color="auto"/>
            </w:tcBorders>
            <w:shd w:val="clear" w:color="auto" w:fill="auto"/>
            <w:noWrap/>
            <w:vAlign w:val="center"/>
            <w:hideMark/>
          </w:tcPr>
          <w:p w14:paraId="380BDDC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-0,80</w:t>
            </w:r>
          </w:p>
        </w:tc>
      </w:tr>
      <w:tr w:rsidR="003A4423" w:rsidRPr="00DB0DEF" w14:paraId="49D9D831"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5A3F65CD"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4D3154B2"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69" w:type="dxa"/>
            <w:tcBorders>
              <w:top w:val="nil"/>
              <w:left w:val="nil"/>
              <w:bottom w:val="single" w:sz="4" w:space="0" w:color="auto"/>
              <w:right w:val="single" w:sz="4" w:space="0" w:color="auto"/>
            </w:tcBorders>
            <w:shd w:val="clear" w:color="auto" w:fill="auto"/>
            <w:noWrap/>
            <w:vAlign w:val="center"/>
            <w:hideMark/>
          </w:tcPr>
          <w:p w14:paraId="788B07B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69" w:type="dxa"/>
            <w:tcBorders>
              <w:top w:val="nil"/>
              <w:left w:val="nil"/>
              <w:bottom w:val="single" w:sz="4" w:space="0" w:color="auto"/>
              <w:right w:val="single" w:sz="4" w:space="0" w:color="auto"/>
            </w:tcBorders>
            <w:shd w:val="clear" w:color="auto" w:fill="auto"/>
            <w:noWrap/>
            <w:vAlign w:val="center"/>
            <w:hideMark/>
          </w:tcPr>
          <w:p w14:paraId="08B46D5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0CD2BB4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0B67807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1CB9124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02FE0F1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0,44</w:t>
            </w:r>
          </w:p>
        </w:tc>
        <w:tc>
          <w:tcPr>
            <w:tcW w:w="793" w:type="dxa"/>
            <w:tcBorders>
              <w:top w:val="nil"/>
              <w:left w:val="nil"/>
              <w:bottom w:val="single" w:sz="4" w:space="0" w:color="auto"/>
              <w:right w:val="single" w:sz="4" w:space="0" w:color="auto"/>
            </w:tcBorders>
            <w:shd w:val="clear" w:color="auto" w:fill="auto"/>
            <w:noWrap/>
            <w:vAlign w:val="center"/>
            <w:hideMark/>
          </w:tcPr>
          <w:p w14:paraId="6795F07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w:t>
            </w:r>
          </w:p>
        </w:tc>
        <w:tc>
          <w:tcPr>
            <w:tcW w:w="793" w:type="dxa"/>
            <w:tcBorders>
              <w:top w:val="nil"/>
              <w:left w:val="nil"/>
              <w:bottom w:val="single" w:sz="4" w:space="0" w:color="auto"/>
              <w:right w:val="single" w:sz="4" w:space="0" w:color="auto"/>
            </w:tcBorders>
            <w:shd w:val="clear" w:color="auto" w:fill="auto"/>
            <w:noWrap/>
            <w:vAlign w:val="center"/>
            <w:hideMark/>
          </w:tcPr>
          <w:p w14:paraId="7E381DB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0,07</w:t>
            </w:r>
          </w:p>
        </w:tc>
      </w:tr>
      <w:tr w:rsidR="003A4423" w:rsidRPr="00DB0DEF" w14:paraId="7E3A2D08"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4547A572"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68A2D17D"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69" w:type="dxa"/>
            <w:tcBorders>
              <w:top w:val="nil"/>
              <w:left w:val="nil"/>
              <w:bottom w:val="single" w:sz="4" w:space="0" w:color="auto"/>
              <w:right w:val="single" w:sz="4" w:space="0" w:color="auto"/>
            </w:tcBorders>
            <w:shd w:val="clear" w:color="auto" w:fill="auto"/>
            <w:noWrap/>
            <w:vAlign w:val="center"/>
            <w:hideMark/>
          </w:tcPr>
          <w:p w14:paraId="494BA8C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7696207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7867ACE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3C61CF2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0,31</w:t>
            </w:r>
          </w:p>
        </w:tc>
        <w:tc>
          <w:tcPr>
            <w:tcW w:w="669" w:type="dxa"/>
            <w:tcBorders>
              <w:top w:val="nil"/>
              <w:left w:val="nil"/>
              <w:bottom w:val="single" w:sz="4" w:space="0" w:color="auto"/>
              <w:right w:val="single" w:sz="4" w:space="0" w:color="auto"/>
            </w:tcBorders>
            <w:shd w:val="clear" w:color="auto" w:fill="auto"/>
            <w:noWrap/>
            <w:vAlign w:val="center"/>
            <w:hideMark/>
          </w:tcPr>
          <w:p w14:paraId="0F54B08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c>
          <w:tcPr>
            <w:tcW w:w="669" w:type="dxa"/>
            <w:tcBorders>
              <w:top w:val="nil"/>
              <w:left w:val="nil"/>
              <w:bottom w:val="single" w:sz="4" w:space="0" w:color="auto"/>
              <w:right w:val="single" w:sz="4" w:space="0" w:color="auto"/>
            </w:tcBorders>
            <w:shd w:val="clear" w:color="auto" w:fill="auto"/>
            <w:noWrap/>
            <w:vAlign w:val="center"/>
            <w:hideMark/>
          </w:tcPr>
          <w:p w14:paraId="3F0629E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793" w:type="dxa"/>
            <w:tcBorders>
              <w:top w:val="nil"/>
              <w:left w:val="nil"/>
              <w:bottom w:val="single" w:sz="4" w:space="0" w:color="auto"/>
              <w:right w:val="single" w:sz="4" w:space="0" w:color="auto"/>
            </w:tcBorders>
            <w:shd w:val="clear" w:color="auto" w:fill="auto"/>
            <w:noWrap/>
            <w:vAlign w:val="center"/>
            <w:hideMark/>
          </w:tcPr>
          <w:p w14:paraId="6A8349F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0,53</w:t>
            </w:r>
          </w:p>
        </w:tc>
        <w:tc>
          <w:tcPr>
            <w:tcW w:w="793" w:type="dxa"/>
            <w:tcBorders>
              <w:top w:val="nil"/>
              <w:left w:val="nil"/>
              <w:bottom w:val="single" w:sz="4" w:space="0" w:color="auto"/>
              <w:right w:val="single" w:sz="4" w:space="0" w:color="auto"/>
            </w:tcBorders>
            <w:shd w:val="clear" w:color="auto" w:fill="auto"/>
            <w:noWrap/>
            <w:vAlign w:val="center"/>
            <w:hideMark/>
          </w:tcPr>
          <w:p w14:paraId="49B9F6B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0,23</w:t>
            </w:r>
          </w:p>
        </w:tc>
      </w:tr>
      <w:tr w:rsidR="003A4423" w:rsidRPr="00DB0DEF" w14:paraId="27561178"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18DE7D5A"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2A7B997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69" w:type="dxa"/>
            <w:tcBorders>
              <w:top w:val="nil"/>
              <w:left w:val="nil"/>
              <w:bottom w:val="single" w:sz="4" w:space="0" w:color="auto"/>
              <w:right w:val="single" w:sz="4" w:space="0" w:color="auto"/>
            </w:tcBorders>
            <w:shd w:val="clear" w:color="auto" w:fill="auto"/>
            <w:noWrap/>
            <w:vAlign w:val="center"/>
            <w:hideMark/>
          </w:tcPr>
          <w:p w14:paraId="62BB7E2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69" w:type="dxa"/>
            <w:tcBorders>
              <w:top w:val="nil"/>
              <w:left w:val="nil"/>
              <w:bottom w:val="single" w:sz="4" w:space="0" w:color="auto"/>
              <w:right w:val="single" w:sz="4" w:space="0" w:color="auto"/>
            </w:tcBorders>
            <w:shd w:val="clear" w:color="auto" w:fill="auto"/>
            <w:noWrap/>
            <w:vAlign w:val="center"/>
            <w:hideMark/>
          </w:tcPr>
          <w:p w14:paraId="4DE2F3F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16B6DA4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7FE06D1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w:t>
            </w:r>
          </w:p>
        </w:tc>
        <w:tc>
          <w:tcPr>
            <w:tcW w:w="669" w:type="dxa"/>
            <w:tcBorders>
              <w:top w:val="nil"/>
              <w:left w:val="nil"/>
              <w:bottom w:val="single" w:sz="4" w:space="0" w:color="auto"/>
              <w:right w:val="single" w:sz="4" w:space="0" w:color="auto"/>
            </w:tcBorders>
            <w:shd w:val="clear" w:color="auto" w:fill="auto"/>
            <w:noWrap/>
            <w:vAlign w:val="center"/>
            <w:hideMark/>
          </w:tcPr>
          <w:p w14:paraId="5FC61E5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w:t>
            </w:r>
          </w:p>
        </w:tc>
        <w:tc>
          <w:tcPr>
            <w:tcW w:w="669" w:type="dxa"/>
            <w:tcBorders>
              <w:top w:val="nil"/>
              <w:left w:val="nil"/>
              <w:bottom w:val="single" w:sz="4" w:space="0" w:color="auto"/>
              <w:right w:val="single" w:sz="4" w:space="0" w:color="auto"/>
            </w:tcBorders>
            <w:shd w:val="clear" w:color="auto" w:fill="auto"/>
            <w:noWrap/>
            <w:vAlign w:val="center"/>
            <w:hideMark/>
          </w:tcPr>
          <w:p w14:paraId="4E87BE4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489CC57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w:t>
            </w:r>
          </w:p>
        </w:tc>
        <w:tc>
          <w:tcPr>
            <w:tcW w:w="793" w:type="dxa"/>
            <w:tcBorders>
              <w:top w:val="nil"/>
              <w:left w:val="nil"/>
              <w:bottom w:val="single" w:sz="4" w:space="0" w:color="auto"/>
              <w:right w:val="single" w:sz="4" w:space="0" w:color="auto"/>
            </w:tcBorders>
            <w:shd w:val="clear" w:color="auto" w:fill="auto"/>
            <w:noWrap/>
            <w:vAlign w:val="center"/>
            <w:hideMark/>
          </w:tcPr>
          <w:p w14:paraId="414FA41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0,07</w:t>
            </w:r>
          </w:p>
        </w:tc>
      </w:tr>
      <w:tr w:rsidR="003A4423" w:rsidRPr="00DB0DEF" w14:paraId="2DD0FE83" w14:textId="77777777" w:rsidTr="00655E52">
        <w:trPr>
          <w:trHeight w:val="130"/>
          <w:jc w:val="center"/>
        </w:trPr>
        <w:tc>
          <w:tcPr>
            <w:tcW w:w="5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E8F4A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2021</w:t>
            </w:r>
          </w:p>
        </w:tc>
        <w:tc>
          <w:tcPr>
            <w:tcW w:w="1740" w:type="dxa"/>
            <w:tcBorders>
              <w:top w:val="nil"/>
              <w:left w:val="nil"/>
              <w:bottom w:val="single" w:sz="4" w:space="0" w:color="auto"/>
              <w:right w:val="nil"/>
            </w:tcBorders>
            <w:shd w:val="clear" w:color="auto" w:fill="auto"/>
            <w:noWrap/>
            <w:hideMark/>
          </w:tcPr>
          <w:p w14:paraId="22FE45C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0FC84D2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w:t>
            </w:r>
          </w:p>
        </w:tc>
        <w:tc>
          <w:tcPr>
            <w:tcW w:w="669" w:type="dxa"/>
            <w:tcBorders>
              <w:top w:val="nil"/>
              <w:left w:val="nil"/>
              <w:bottom w:val="single" w:sz="4" w:space="0" w:color="auto"/>
              <w:right w:val="single" w:sz="4" w:space="0" w:color="auto"/>
            </w:tcBorders>
            <w:shd w:val="clear" w:color="auto" w:fill="auto"/>
            <w:noWrap/>
            <w:vAlign w:val="center"/>
            <w:hideMark/>
          </w:tcPr>
          <w:p w14:paraId="12445A7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0,10</w:t>
            </w:r>
          </w:p>
        </w:tc>
        <w:tc>
          <w:tcPr>
            <w:tcW w:w="669" w:type="dxa"/>
            <w:tcBorders>
              <w:top w:val="nil"/>
              <w:left w:val="nil"/>
              <w:bottom w:val="single" w:sz="4" w:space="0" w:color="auto"/>
              <w:right w:val="single" w:sz="4" w:space="0" w:color="auto"/>
            </w:tcBorders>
            <w:shd w:val="clear" w:color="auto" w:fill="auto"/>
            <w:noWrap/>
            <w:vAlign w:val="center"/>
            <w:hideMark/>
          </w:tcPr>
          <w:p w14:paraId="634F286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0,46</w:t>
            </w:r>
          </w:p>
        </w:tc>
        <w:tc>
          <w:tcPr>
            <w:tcW w:w="669" w:type="dxa"/>
            <w:tcBorders>
              <w:top w:val="nil"/>
              <w:left w:val="nil"/>
              <w:bottom w:val="single" w:sz="4" w:space="0" w:color="auto"/>
              <w:right w:val="single" w:sz="4" w:space="0" w:color="auto"/>
            </w:tcBorders>
            <w:shd w:val="clear" w:color="auto" w:fill="auto"/>
            <w:noWrap/>
            <w:vAlign w:val="center"/>
            <w:hideMark/>
          </w:tcPr>
          <w:p w14:paraId="6ECEA2F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084F58A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670957B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w:t>
            </w:r>
          </w:p>
        </w:tc>
        <w:tc>
          <w:tcPr>
            <w:tcW w:w="793" w:type="dxa"/>
            <w:tcBorders>
              <w:top w:val="nil"/>
              <w:left w:val="nil"/>
              <w:bottom w:val="single" w:sz="4" w:space="0" w:color="auto"/>
              <w:right w:val="single" w:sz="4" w:space="0" w:color="auto"/>
            </w:tcBorders>
            <w:shd w:val="clear" w:color="auto" w:fill="auto"/>
            <w:noWrap/>
            <w:vAlign w:val="center"/>
            <w:hideMark/>
          </w:tcPr>
          <w:p w14:paraId="6C77A94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0,07</w:t>
            </w:r>
          </w:p>
        </w:tc>
        <w:tc>
          <w:tcPr>
            <w:tcW w:w="793" w:type="dxa"/>
            <w:tcBorders>
              <w:top w:val="nil"/>
              <w:left w:val="nil"/>
              <w:bottom w:val="single" w:sz="4" w:space="0" w:color="auto"/>
              <w:right w:val="single" w:sz="4" w:space="0" w:color="auto"/>
            </w:tcBorders>
            <w:shd w:val="clear" w:color="auto" w:fill="auto"/>
            <w:noWrap/>
            <w:vAlign w:val="center"/>
            <w:hideMark/>
          </w:tcPr>
          <w:p w14:paraId="45A6DF4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r>
      <w:tr w:rsidR="003A4423" w:rsidRPr="00DB0DEF" w14:paraId="51FB34B9"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45C0BF42"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nil"/>
            </w:tcBorders>
            <w:shd w:val="clear" w:color="auto" w:fill="auto"/>
            <w:noWrap/>
            <w:hideMark/>
          </w:tcPr>
          <w:p w14:paraId="0E760E6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6212A36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0013DCD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150D15C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320A3B8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0,43</w:t>
            </w:r>
          </w:p>
        </w:tc>
        <w:tc>
          <w:tcPr>
            <w:tcW w:w="669" w:type="dxa"/>
            <w:tcBorders>
              <w:top w:val="nil"/>
              <w:left w:val="nil"/>
              <w:bottom w:val="single" w:sz="4" w:space="0" w:color="auto"/>
              <w:right w:val="single" w:sz="4" w:space="0" w:color="auto"/>
            </w:tcBorders>
            <w:shd w:val="clear" w:color="auto" w:fill="auto"/>
            <w:noWrap/>
            <w:vAlign w:val="center"/>
            <w:hideMark/>
          </w:tcPr>
          <w:p w14:paraId="4D9B952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0,64</w:t>
            </w:r>
          </w:p>
        </w:tc>
        <w:tc>
          <w:tcPr>
            <w:tcW w:w="669" w:type="dxa"/>
            <w:tcBorders>
              <w:top w:val="nil"/>
              <w:left w:val="nil"/>
              <w:bottom w:val="single" w:sz="4" w:space="0" w:color="auto"/>
              <w:right w:val="single" w:sz="4" w:space="0" w:color="auto"/>
            </w:tcBorders>
            <w:shd w:val="clear" w:color="auto" w:fill="auto"/>
            <w:noWrap/>
            <w:vAlign w:val="center"/>
            <w:hideMark/>
          </w:tcPr>
          <w:p w14:paraId="64B6471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3FD15D1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-0,41</w:t>
            </w:r>
          </w:p>
        </w:tc>
        <w:tc>
          <w:tcPr>
            <w:tcW w:w="793" w:type="dxa"/>
            <w:tcBorders>
              <w:top w:val="nil"/>
              <w:left w:val="nil"/>
              <w:bottom w:val="single" w:sz="4" w:space="0" w:color="auto"/>
              <w:right w:val="single" w:sz="4" w:space="0" w:color="auto"/>
            </w:tcBorders>
            <w:shd w:val="clear" w:color="auto" w:fill="auto"/>
            <w:noWrap/>
            <w:vAlign w:val="center"/>
            <w:hideMark/>
          </w:tcPr>
          <w:p w14:paraId="5DEC6C1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-0,40</w:t>
            </w:r>
          </w:p>
        </w:tc>
      </w:tr>
      <w:tr w:rsidR="003A4423" w:rsidRPr="00DB0DEF" w14:paraId="4E07BD24"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2D2287E8"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nil"/>
            </w:tcBorders>
            <w:shd w:val="clear" w:color="auto" w:fill="auto"/>
            <w:noWrap/>
            <w:hideMark/>
          </w:tcPr>
          <w:p w14:paraId="20C49BE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319EF2B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69" w:type="dxa"/>
            <w:tcBorders>
              <w:top w:val="nil"/>
              <w:left w:val="nil"/>
              <w:bottom w:val="single" w:sz="4" w:space="0" w:color="auto"/>
              <w:right w:val="single" w:sz="4" w:space="0" w:color="auto"/>
            </w:tcBorders>
            <w:shd w:val="clear" w:color="auto" w:fill="auto"/>
            <w:noWrap/>
            <w:vAlign w:val="center"/>
            <w:hideMark/>
          </w:tcPr>
          <w:p w14:paraId="39D16C7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323A9D8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0DB9C91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2B634B2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1B47A11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0,78</w:t>
            </w:r>
          </w:p>
        </w:tc>
        <w:tc>
          <w:tcPr>
            <w:tcW w:w="793" w:type="dxa"/>
            <w:tcBorders>
              <w:top w:val="nil"/>
              <w:left w:val="nil"/>
              <w:bottom w:val="single" w:sz="4" w:space="0" w:color="auto"/>
              <w:right w:val="single" w:sz="4" w:space="0" w:color="auto"/>
            </w:tcBorders>
            <w:shd w:val="clear" w:color="auto" w:fill="auto"/>
            <w:noWrap/>
            <w:vAlign w:val="center"/>
            <w:hideMark/>
          </w:tcPr>
          <w:p w14:paraId="25FBBB7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w:t>
            </w:r>
          </w:p>
        </w:tc>
        <w:tc>
          <w:tcPr>
            <w:tcW w:w="793" w:type="dxa"/>
            <w:tcBorders>
              <w:top w:val="nil"/>
              <w:left w:val="nil"/>
              <w:bottom w:val="single" w:sz="4" w:space="0" w:color="auto"/>
              <w:right w:val="single" w:sz="4" w:space="0" w:color="auto"/>
            </w:tcBorders>
            <w:shd w:val="clear" w:color="auto" w:fill="auto"/>
            <w:noWrap/>
            <w:vAlign w:val="center"/>
            <w:hideMark/>
          </w:tcPr>
          <w:p w14:paraId="45544C8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r>
      <w:tr w:rsidR="003A4423" w:rsidRPr="00DB0DEF" w14:paraId="5E7B7CF0"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19EFE479"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nil"/>
            </w:tcBorders>
            <w:shd w:val="clear" w:color="auto" w:fill="auto"/>
            <w:noWrap/>
            <w:hideMark/>
          </w:tcPr>
          <w:p w14:paraId="231CB9F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20181C6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5806F1D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1D797F9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592037D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w:t>
            </w:r>
          </w:p>
        </w:tc>
        <w:tc>
          <w:tcPr>
            <w:tcW w:w="669" w:type="dxa"/>
            <w:tcBorders>
              <w:top w:val="nil"/>
              <w:left w:val="nil"/>
              <w:bottom w:val="single" w:sz="4" w:space="0" w:color="auto"/>
              <w:right w:val="single" w:sz="4" w:space="0" w:color="auto"/>
            </w:tcBorders>
            <w:shd w:val="clear" w:color="auto" w:fill="auto"/>
            <w:noWrap/>
            <w:vAlign w:val="center"/>
            <w:hideMark/>
          </w:tcPr>
          <w:p w14:paraId="440C171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0,04</w:t>
            </w:r>
          </w:p>
        </w:tc>
        <w:tc>
          <w:tcPr>
            <w:tcW w:w="669" w:type="dxa"/>
            <w:tcBorders>
              <w:top w:val="nil"/>
              <w:left w:val="nil"/>
              <w:bottom w:val="single" w:sz="4" w:space="0" w:color="auto"/>
              <w:right w:val="single" w:sz="4" w:space="0" w:color="auto"/>
            </w:tcBorders>
            <w:shd w:val="clear" w:color="auto" w:fill="auto"/>
            <w:noWrap/>
            <w:vAlign w:val="center"/>
            <w:hideMark/>
          </w:tcPr>
          <w:p w14:paraId="1EDEA63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793" w:type="dxa"/>
            <w:tcBorders>
              <w:top w:val="nil"/>
              <w:left w:val="nil"/>
              <w:bottom w:val="single" w:sz="4" w:space="0" w:color="auto"/>
              <w:right w:val="single" w:sz="4" w:space="0" w:color="auto"/>
            </w:tcBorders>
            <w:shd w:val="clear" w:color="auto" w:fill="auto"/>
            <w:noWrap/>
            <w:vAlign w:val="center"/>
            <w:hideMark/>
          </w:tcPr>
          <w:p w14:paraId="5E9B9C8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0,48</w:t>
            </w:r>
          </w:p>
        </w:tc>
        <w:tc>
          <w:tcPr>
            <w:tcW w:w="793" w:type="dxa"/>
            <w:tcBorders>
              <w:top w:val="nil"/>
              <w:left w:val="nil"/>
              <w:bottom w:val="single" w:sz="4" w:space="0" w:color="auto"/>
              <w:right w:val="single" w:sz="4" w:space="0" w:color="auto"/>
            </w:tcBorders>
            <w:shd w:val="clear" w:color="auto" w:fill="auto"/>
            <w:noWrap/>
            <w:vAlign w:val="center"/>
            <w:hideMark/>
          </w:tcPr>
          <w:p w14:paraId="12D05C8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w:t>
            </w:r>
          </w:p>
        </w:tc>
      </w:tr>
      <w:tr w:rsidR="003A4423" w:rsidRPr="00DB0DEF" w14:paraId="0F5FA94F" w14:textId="77777777" w:rsidTr="00655E52">
        <w:trPr>
          <w:trHeight w:val="130"/>
          <w:jc w:val="center"/>
        </w:trPr>
        <w:tc>
          <w:tcPr>
            <w:tcW w:w="540" w:type="dxa"/>
            <w:vMerge/>
            <w:tcBorders>
              <w:top w:val="nil"/>
              <w:left w:val="single" w:sz="4" w:space="0" w:color="auto"/>
              <w:bottom w:val="single" w:sz="4" w:space="0" w:color="auto"/>
              <w:right w:val="single" w:sz="4" w:space="0" w:color="auto"/>
            </w:tcBorders>
            <w:vAlign w:val="center"/>
            <w:hideMark/>
          </w:tcPr>
          <w:p w14:paraId="4274FCB9"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nil"/>
            </w:tcBorders>
            <w:shd w:val="clear" w:color="auto" w:fill="auto"/>
            <w:noWrap/>
            <w:hideMark/>
          </w:tcPr>
          <w:p w14:paraId="1D10108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69" w:type="dxa"/>
            <w:tcBorders>
              <w:top w:val="nil"/>
              <w:left w:val="single" w:sz="4" w:space="0" w:color="auto"/>
              <w:bottom w:val="single" w:sz="4" w:space="0" w:color="auto"/>
              <w:right w:val="single" w:sz="4" w:space="0" w:color="auto"/>
            </w:tcBorders>
            <w:shd w:val="clear" w:color="auto" w:fill="auto"/>
            <w:noWrap/>
            <w:vAlign w:val="center"/>
            <w:hideMark/>
          </w:tcPr>
          <w:p w14:paraId="0C563A2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69" w:type="dxa"/>
            <w:tcBorders>
              <w:top w:val="nil"/>
              <w:left w:val="nil"/>
              <w:bottom w:val="single" w:sz="4" w:space="0" w:color="auto"/>
              <w:right w:val="single" w:sz="4" w:space="0" w:color="auto"/>
            </w:tcBorders>
            <w:shd w:val="clear" w:color="auto" w:fill="auto"/>
            <w:noWrap/>
            <w:vAlign w:val="center"/>
            <w:hideMark/>
          </w:tcPr>
          <w:p w14:paraId="63008A8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69" w:type="dxa"/>
            <w:tcBorders>
              <w:top w:val="nil"/>
              <w:left w:val="nil"/>
              <w:bottom w:val="single" w:sz="4" w:space="0" w:color="auto"/>
              <w:right w:val="single" w:sz="4" w:space="0" w:color="auto"/>
            </w:tcBorders>
            <w:shd w:val="clear" w:color="auto" w:fill="auto"/>
            <w:noWrap/>
            <w:vAlign w:val="center"/>
            <w:hideMark/>
          </w:tcPr>
          <w:p w14:paraId="26CE6F8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69" w:type="dxa"/>
            <w:tcBorders>
              <w:top w:val="nil"/>
              <w:left w:val="nil"/>
              <w:bottom w:val="single" w:sz="4" w:space="0" w:color="auto"/>
              <w:right w:val="single" w:sz="4" w:space="0" w:color="auto"/>
            </w:tcBorders>
            <w:shd w:val="clear" w:color="auto" w:fill="auto"/>
            <w:noWrap/>
            <w:vAlign w:val="center"/>
            <w:hideMark/>
          </w:tcPr>
          <w:p w14:paraId="589845E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w:t>
            </w:r>
          </w:p>
        </w:tc>
        <w:tc>
          <w:tcPr>
            <w:tcW w:w="669" w:type="dxa"/>
            <w:tcBorders>
              <w:top w:val="nil"/>
              <w:left w:val="nil"/>
              <w:bottom w:val="single" w:sz="4" w:space="0" w:color="auto"/>
              <w:right w:val="single" w:sz="4" w:space="0" w:color="auto"/>
            </w:tcBorders>
            <w:shd w:val="clear" w:color="auto" w:fill="auto"/>
            <w:noWrap/>
            <w:vAlign w:val="center"/>
            <w:hideMark/>
          </w:tcPr>
          <w:p w14:paraId="64BECF4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w:t>
            </w:r>
          </w:p>
        </w:tc>
        <w:tc>
          <w:tcPr>
            <w:tcW w:w="669" w:type="dxa"/>
            <w:tcBorders>
              <w:top w:val="nil"/>
              <w:left w:val="nil"/>
              <w:bottom w:val="single" w:sz="4" w:space="0" w:color="auto"/>
              <w:right w:val="single" w:sz="4" w:space="0" w:color="auto"/>
            </w:tcBorders>
            <w:shd w:val="clear" w:color="auto" w:fill="auto"/>
            <w:noWrap/>
            <w:vAlign w:val="center"/>
            <w:hideMark/>
          </w:tcPr>
          <w:p w14:paraId="0722327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793" w:type="dxa"/>
            <w:tcBorders>
              <w:top w:val="nil"/>
              <w:left w:val="nil"/>
              <w:bottom w:val="single" w:sz="4" w:space="0" w:color="auto"/>
              <w:right w:val="single" w:sz="4" w:space="0" w:color="auto"/>
            </w:tcBorders>
            <w:shd w:val="clear" w:color="auto" w:fill="auto"/>
            <w:noWrap/>
            <w:vAlign w:val="center"/>
            <w:hideMark/>
          </w:tcPr>
          <w:p w14:paraId="45F6624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w:t>
            </w:r>
          </w:p>
        </w:tc>
        <w:tc>
          <w:tcPr>
            <w:tcW w:w="793" w:type="dxa"/>
            <w:tcBorders>
              <w:top w:val="nil"/>
              <w:left w:val="nil"/>
              <w:bottom w:val="single" w:sz="4" w:space="0" w:color="auto"/>
              <w:right w:val="single" w:sz="4" w:space="0" w:color="auto"/>
            </w:tcBorders>
            <w:shd w:val="clear" w:color="auto" w:fill="auto"/>
            <w:noWrap/>
            <w:vAlign w:val="center"/>
            <w:hideMark/>
          </w:tcPr>
          <w:p w14:paraId="1826463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w:t>
            </w:r>
          </w:p>
        </w:tc>
      </w:tr>
    </w:tbl>
    <w:p w14:paraId="2A6A59C0" w14:textId="433D3A3D" w:rsidR="00CC275F" w:rsidRPr="00DB0DEF" w:rsidRDefault="00CC275F" w:rsidP="00DB0DEF">
      <w:pPr>
        <w:spacing w:before="120" w:after="120"/>
        <w:ind w:firstLine="425"/>
        <w:rPr>
          <w:rFonts w:ascii="Times New Roman" w:hAnsi="Times New Roman" w:cs="Times New Roman"/>
          <w:b/>
          <w:bCs/>
        </w:rPr>
      </w:pPr>
      <w:r w:rsidRPr="00DB0DEF">
        <w:rPr>
          <w:rFonts w:ascii="Times New Roman" w:hAnsi="Times New Roman" w:cs="Times New Roman"/>
          <w:b/>
          <w:bCs/>
        </w:rPr>
        <w:t>Adım 3: Ağırlıklı Standart Karar Matrisinin (V) Oluşturulması</w:t>
      </w:r>
    </w:p>
    <w:p w14:paraId="10741D47" w14:textId="30B58229" w:rsidR="00275E26" w:rsidRPr="00DB0DEF" w:rsidRDefault="00FC7134" w:rsidP="00336098">
      <w:pPr>
        <w:spacing w:after="120"/>
        <w:ind w:firstLine="426"/>
        <w:contextualSpacing/>
        <w:jc w:val="both"/>
        <w:rPr>
          <w:rFonts w:ascii="Times New Roman" w:hAnsi="Times New Roman" w:cs="Times New Roman"/>
        </w:rPr>
      </w:pPr>
      <w:r>
        <w:rPr>
          <w:rFonts w:ascii="Times New Roman" w:hAnsi="Times New Roman" w:cs="Times New Roman"/>
        </w:rPr>
        <w:t>Bu adımda</w:t>
      </w:r>
      <w:r w:rsidR="00CC275F" w:rsidRPr="00DB0DEF">
        <w:rPr>
          <w:rFonts w:ascii="Times New Roman" w:hAnsi="Times New Roman" w:cs="Times New Roman"/>
        </w:rPr>
        <w:t xml:space="preserve"> değerlendirme faktörlerine ilişkin ağırlık dereceleri (wj) belirlen</w:t>
      </w:r>
      <w:r w:rsidR="0053595D">
        <w:rPr>
          <w:rFonts w:ascii="Times New Roman" w:hAnsi="Times New Roman" w:cs="Times New Roman"/>
        </w:rPr>
        <w:t>miş</w:t>
      </w:r>
      <w:r w:rsidR="00CC275F" w:rsidRPr="00DB0DEF">
        <w:rPr>
          <w:rFonts w:ascii="Times New Roman" w:hAnsi="Times New Roman" w:cs="Times New Roman"/>
        </w:rPr>
        <w:t>,</w:t>
      </w:r>
      <w:r w:rsidR="0053595D">
        <w:rPr>
          <w:rFonts w:ascii="Times New Roman" w:hAnsi="Times New Roman" w:cs="Times New Roman"/>
        </w:rPr>
        <w:t xml:space="preserve"> belirlenen ağırlık dereceleri ile</w:t>
      </w:r>
      <w:r w:rsidR="00CC275F" w:rsidRPr="00DB0DEF">
        <w:rPr>
          <w:rFonts w:ascii="Times New Roman" w:hAnsi="Times New Roman" w:cs="Times New Roman"/>
        </w:rPr>
        <w:t xml:space="preserve"> bir önceki adımda hesaplanan normalize edilmiş değerler (</w:t>
      </w:r>
      <w:r>
        <w:rPr>
          <w:rFonts w:ascii="Times New Roman" w:hAnsi="Times New Roman" w:cs="Times New Roman"/>
        </w:rPr>
        <w:t>x</w:t>
      </w:r>
      <w:r w:rsidR="00CC275F" w:rsidRPr="00DB0DEF">
        <w:rPr>
          <w:rFonts w:ascii="Times New Roman" w:hAnsi="Times New Roman" w:cs="Times New Roman"/>
        </w:rPr>
        <w:t>j</w:t>
      </w:r>
      <w:r>
        <w:rPr>
          <w:rFonts w:ascii="Times New Roman" w:hAnsi="Times New Roman" w:cs="Times New Roman"/>
        </w:rPr>
        <w:t xml:space="preserve"> değerleri</w:t>
      </w:r>
      <w:r w:rsidR="00CC275F" w:rsidRPr="00DB0DEF">
        <w:rPr>
          <w:rFonts w:ascii="Times New Roman" w:hAnsi="Times New Roman" w:cs="Times New Roman"/>
        </w:rPr>
        <w:t xml:space="preserve">) çarpılarak ağırlıklandırılmış normalize edilmiş değerler </w:t>
      </w:r>
      <w:r w:rsidR="000960ED">
        <w:rPr>
          <w:rFonts w:ascii="Times New Roman" w:hAnsi="Times New Roman" w:cs="Times New Roman"/>
        </w:rPr>
        <w:t>hesaplanmıştır</w:t>
      </w:r>
      <w:r w:rsidR="00CC275F" w:rsidRPr="00DB0DEF">
        <w:rPr>
          <w:rFonts w:ascii="Times New Roman" w:hAnsi="Times New Roman" w:cs="Times New Roman"/>
        </w:rPr>
        <w:t xml:space="preserve">. Değerlendirme </w:t>
      </w:r>
      <w:r w:rsidR="000960ED">
        <w:rPr>
          <w:rFonts w:ascii="Times New Roman" w:hAnsi="Times New Roman" w:cs="Times New Roman"/>
        </w:rPr>
        <w:t>kriterlerine</w:t>
      </w:r>
      <w:r w:rsidR="00CC275F" w:rsidRPr="00DB0DEF">
        <w:rPr>
          <w:rFonts w:ascii="Times New Roman" w:hAnsi="Times New Roman" w:cs="Times New Roman"/>
        </w:rPr>
        <w:t xml:space="preserve"> ilişkin ağırlık dereceleri hesaplanırken öncelikle Tablo </w:t>
      </w:r>
      <w:r>
        <w:rPr>
          <w:rFonts w:ascii="Times New Roman" w:hAnsi="Times New Roman" w:cs="Times New Roman"/>
        </w:rPr>
        <w:t>5</w:t>
      </w:r>
      <w:r w:rsidR="00CC275F" w:rsidRPr="00DB0DEF">
        <w:rPr>
          <w:rFonts w:ascii="Times New Roman" w:hAnsi="Times New Roman" w:cs="Times New Roman"/>
        </w:rPr>
        <w:t xml:space="preserve">’deki her bir kriterin (CO, </w:t>
      </w:r>
      <w:r w:rsidR="00D10E34" w:rsidRPr="00DB0DEF">
        <w:rPr>
          <w:rFonts w:ascii="Times New Roman" w:hAnsi="Times New Roman" w:cs="Times New Roman"/>
        </w:rPr>
        <w:t>NO</w:t>
      </w:r>
      <w:r w:rsidR="00CC275F" w:rsidRPr="00DB0DEF">
        <w:rPr>
          <w:rFonts w:ascii="Times New Roman" w:hAnsi="Times New Roman" w:cs="Times New Roman"/>
        </w:rPr>
        <w:t>, SD vd.) sütun değerleri toplanmış</w:t>
      </w:r>
      <w:r w:rsidR="00483C80">
        <w:rPr>
          <w:rFonts w:ascii="Times New Roman" w:hAnsi="Times New Roman" w:cs="Times New Roman"/>
        </w:rPr>
        <w:t>, so</w:t>
      </w:r>
      <w:r w:rsidR="00CC275F" w:rsidRPr="00DB0DEF">
        <w:rPr>
          <w:rFonts w:ascii="Times New Roman" w:hAnsi="Times New Roman" w:cs="Times New Roman"/>
        </w:rPr>
        <w:t>nrasında her kriterin sütun toplamı 8 kritere ilişkin toplam kriter değeri</w:t>
      </w:r>
      <w:r>
        <w:rPr>
          <w:rFonts w:ascii="Times New Roman" w:hAnsi="Times New Roman" w:cs="Times New Roman"/>
        </w:rPr>
        <w:t xml:space="preserve">ne </w:t>
      </w:r>
      <w:r w:rsidR="00CC275F" w:rsidRPr="00DB0DEF">
        <w:rPr>
          <w:rFonts w:ascii="Times New Roman" w:hAnsi="Times New Roman" w:cs="Times New Roman"/>
        </w:rPr>
        <w:t>bölünerek kriter ağırlıklar</w:t>
      </w:r>
      <w:r w:rsidR="008513B2" w:rsidRPr="00DB0DEF">
        <w:rPr>
          <w:rFonts w:ascii="Times New Roman" w:hAnsi="Times New Roman" w:cs="Times New Roman"/>
        </w:rPr>
        <w:t>ı</w:t>
      </w:r>
      <w:r w:rsidR="00CC275F" w:rsidRPr="00DB0DEF">
        <w:rPr>
          <w:rFonts w:ascii="Times New Roman" w:hAnsi="Times New Roman" w:cs="Times New Roman"/>
        </w:rPr>
        <w:t xml:space="preserve"> hesaplanmıştır</w:t>
      </w:r>
      <w:r w:rsidR="00275E26" w:rsidRPr="00DB0DEF">
        <w:rPr>
          <w:rFonts w:ascii="Times New Roman" w:hAnsi="Times New Roman" w:cs="Times New Roman"/>
        </w:rPr>
        <w:t>. Hesaplama sonucunda bulunan kriter ağırlı</w:t>
      </w:r>
      <w:r w:rsidR="00615829" w:rsidRPr="00DB0DEF">
        <w:rPr>
          <w:rFonts w:ascii="Times New Roman" w:hAnsi="Times New Roman" w:cs="Times New Roman"/>
        </w:rPr>
        <w:t>k</w:t>
      </w:r>
      <w:r w:rsidR="00275E26" w:rsidRPr="00DB0DEF">
        <w:rPr>
          <w:rFonts w:ascii="Times New Roman" w:hAnsi="Times New Roman" w:cs="Times New Roman"/>
        </w:rPr>
        <w:t xml:space="preserve">ları </w:t>
      </w:r>
      <w:r w:rsidR="00615829" w:rsidRPr="00DB0DEF">
        <w:rPr>
          <w:rFonts w:ascii="Times New Roman" w:hAnsi="Times New Roman" w:cs="Times New Roman"/>
        </w:rPr>
        <w:t xml:space="preserve">şu </w:t>
      </w:r>
      <w:r w:rsidR="00275E26" w:rsidRPr="00DB0DEF">
        <w:rPr>
          <w:rFonts w:ascii="Times New Roman" w:hAnsi="Times New Roman" w:cs="Times New Roman"/>
        </w:rPr>
        <w:t>şekildedir:</w:t>
      </w:r>
    </w:p>
    <w:p w14:paraId="3E220965" w14:textId="115338F0" w:rsidR="00F25F6A" w:rsidRPr="00DB0DEF" w:rsidRDefault="00F25F6A" w:rsidP="005662D9">
      <w:pPr>
        <w:spacing w:after="120"/>
        <w:ind w:firstLine="425"/>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6</w:t>
      </w:r>
      <w:r w:rsidRPr="00DB0DEF">
        <w:rPr>
          <w:rFonts w:ascii="Times New Roman" w:hAnsi="Times New Roman" w:cs="Times New Roman"/>
          <w:b/>
          <w:bCs/>
        </w:rPr>
        <w:t>: Kriter Ağırlıkları</w:t>
      </w: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0"/>
        <w:gridCol w:w="688"/>
        <w:gridCol w:w="688"/>
        <w:gridCol w:w="688"/>
        <w:gridCol w:w="687"/>
        <w:gridCol w:w="687"/>
        <w:gridCol w:w="687"/>
        <w:gridCol w:w="687"/>
        <w:gridCol w:w="788"/>
      </w:tblGrid>
      <w:tr w:rsidR="003A4423" w:rsidRPr="00DB0DEF" w14:paraId="717FC93B" w14:textId="77777777" w:rsidTr="008D5478">
        <w:trPr>
          <w:trHeight w:val="255"/>
          <w:jc w:val="center"/>
        </w:trPr>
        <w:tc>
          <w:tcPr>
            <w:tcW w:w="1740" w:type="dxa"/>
            <w:vMerge w:val="restart"/>
            <w:shd w:val="clear" w:color="000000" w:fill="F2F2F2"/>
            <w:noWrap/>
            <w:vAlign w:val="bottom"/>
            <w:hideMark/>
          </w:tcPr>
          <w:p w14:paraId="0D340FC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 </w:t>
            </w:r>
          </w:p>
        </w:tc>
        <w:tc>
          <w:tcPr>
            <w:tcW w:w="5600" w:type="dxa"/>
            <w:gridSpan w:val="8"/>
            <w:shd w:val="clear" w:color="000000" w:fill="F2F2F2"/>
            <w:noWrap/>
            <w:vAlign w:val="bottom"/>
            <w:hideMark/>
          </w:tcPr>
          <w:p w14:paraId="214F125A" w14:textId="0031ABEB" w:rsidR="003A4423" w:rsidRPr="00DB0DEF" w:rsidRDefault="000960ED" w:rsidP="00D40ACF">
            <w:pPr>
              <w:spacing w:after="120"/>
              <w:contextualSpacing/>
              <w:jc w:val="center"/>
              <w:rPr>
                <w:rFonts w:ascii="Times New Roman" w:eastAsia="Times New Roman" w:hAnsi="Times New Roman" w:cs="Times New Roman"/>
                <w:b/>
                <w:bCs/>
                <w:noProof w:val="0"/>
                <w:color w:val="000000"/>
                <w:sz w:val="20"/>
                <w:szCs w:val="20"/>
                <w:lang w:eastAsia="tr-TR"/>
              </w:rPr>
            </w:pPr>
            <w:r>
              <w:rPr>
                <w:rFonts w:ascii="Times New Roman" w:eastAsia="Times New Roman" w:hAnsi="Times New Roman" w:cs="Times New Roman"/>
                <w:b/>
                <w:bCs/>
                <w:noProof w:val="0"/>
                <w:color w:val="000000"/>
                <w:sz w:val="20"/>
                <w:szCs w:val="20"/>
                <w:lang w:eastAsia="tr-TR"/>
              </w:rPr>
              <w:t xml:space="preserve">Değerlendirme Kriterleri </w:t>
            </w:r>
            <w:r w:rsidRPr="00DB0DEF">
              <w:rPr>
                <w:rFonts w:ascii="Times New Roman" w:eastAsia="Times New Roman" w:hAnsi="Times New Roman" w:cs="Times New Roman"/>
                <w:b/>
                <w:bCs/>
                <w:noProof w:val="0"/>
                <w:color w:val="000000"/>
                <w:sz w:val="20"/>
                <w:szCs w:val="20"/>
                <w:lang w:eastAsia="tr-TR"/>
              </w:rPr>
              <w:t>(</w:t>
            </w:r>
            <w:r>
              <w:rPr>
                <w:rFonts w:ascii="Times New Roman" w:eastAsia="Times New Roman" w:hAnsi="Times New Roman" w:cs="Times New Roman"/>
                <w:b/>
                <w:bCs/>
                <w:noProof w:val="0"/>
                <w:color w:val="000000"/>
                <w:sz w:val="20"/>
                <w:szCs w:val="20"/>
                <w:lang w:eastAsia="tr-TR"/>
              </w:rPr>
              <w:t>Finansal Oranlar</w:t>
            </w:r>
            <w:r w:rsidRPr="00DB0DEF">
              <w:rPr>
                <w:rFonts w:ascii="Times New Roman" w:eastAsia="Times New Roman" w:hAnsi="Times New Roman" w:cs="Times New Roman"/>
                <w:b/>
                <w:bCs/>
                <w:noProof w:val="0"/>
                <w:color w:val="000000"/>
                <w:sz w:val="20"/>
                <w:szCs w:val="20"/>
                <w:lang w:eastAsia="tr-TR"/>
              </w:rPr>
              <w:t>)</w:t>
            </w:r>
          </w:p>
        </w:tc>
      </w:tr>
      <w:tr w:rsidR="003A4423" w:rsidRPr="00DB0DEF" w14:paraId="3C38DFB7" w14:textId="77777777" w:rsidTr="008D5478">
        <w:trPr>
          <w:trHeight w:val="300"/>
          <w:jc w:val="center"/>
        </w:trPr>
        <w:tc>
          <w:tcPr>
            <w:tcW w:w="1740" w:type="dxa"/>
            <w:vMerge/>
            <w:vAlign w:val="center"/>
            <w:hideMark/>
          </w:tcPr>
          <w:p w14:paraId="4E57C1A9"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688" w:type="dxa"/>
            <w:shd w:val="clear" w:color="000000" w:fill="F2F2F2"/>
            <w:noWrap/>
            <w:vAlign w:val="center"/>
            <w:hideMark/>
          </w:tcPr>
          <w:p w14:paraId="17AD5986"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CO</w:t>
            </w:r>
          </w:p>
        </w:tc>
        <w:tc>
          <w:tcPr>
            <w:tcW w:w="688" w:type="dxa"/>
            <w:shd w:val="clear" w:color="000000" w:fill="F2F2F2"/>
            <w:noWrap/>
            <w:vAlign w:val="center"/>
            <w:hideMark/>
          </w:tcPr>
          <w:p w14:paraId="70501715"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NO</w:t>
            </w:r>
          </w:p>
        </w:tc>
        <w:tc>
          <w:tcPr>
            <w:tcW w:w="688" w:type="dxa"/>
            <w:shd w:val="clear" w:color="000000" w:fill="F2F2F2"/>
            <w:noWrap/>
            <w:vAlign w:val="center"/>
            <w:hideMark/>
          </w:tcPr>
          <w:p w14:paraId="4B9283AE"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SD</w:t>
            </w:r>
          </w:p>
        </w:tc>
        <w:tc>
          <w:tcPr>
            <w:tcW w:w="687" w:type="dxa"/>
            <w:shd w:val="clear" w:color="000000" w:fill="F2F2F2"/>
            <w:noWrap/>
            <w:vAlign w:val="center"/>
            <w:hideMark/>
          </w:tcPr>
          <w:p w14:paraId="4ED27836"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AD</w:t>
            </w:r>
          </w:p>
        </w:tc>
        <w:tc>
          <w:tcPr>
            <w:tcW w:w="687" w:type="dxa"/>
            <w:shd w:val="clear" w:color="000000" w:fill="F2F2F2"/>
            <w:noWrap/>
            <w:vAlign w:val="center"/>
            <w:hideMark/>
          </w:tcPr>
          <w:p w14:paraId="7B5A8CD3"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KO</w:t>
            </w:r>
          </w:p>
        </w:tc>
        <w:tc>
          <w:tcPr>
            <w:tcW w:w="687" w:type="dxa"/>
            <w:shd w:val="clear" w:color="000000" w:fill="F2F2F2"/>
            <w:noWrap/>
            <w:vAlign w:val="center"/>
            <w:hideMark/>
          </w:tcPr>
          <w:p w14:paraId="5BD9795B"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FO</w:t>
            </w:r>
          </w:p>
        </w:tc>
        <w:tc>
          <w:tcPr>
            <w:tcW w:w="687" w:type="dxa"/>
            <w:shd w:val="clear" w:color="000000" w:fill="F2F2F2"/>
            <w:noWrap/>
            <w:vAlign w:val="center"/>
            <w:hideMark/>
          </w:tcPr>
          <w:p w14:paraId="411177E4"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AK</w:t>
            </w:r>
          </w:p>
        </w:tc>
        <w:tc>
          <w:tcPr>
            <w:tcW w:w="788" w:type="dxa"/>
            <w:shd w:val="clear" w:color="000000" w:fill="F2F2F2"/>
            <w:noWrap/>
            <w:vAlign w:val="center"/>
            <w:hideMark/>
          </w:tcPr>
          <w:p w14:paraId="56314BE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ÖK</w:t>
            </w:r>
          </w:p>
        </w:tc>
      </w:tr>
      <w:tr w:rsidR="003A4423" w:rsidRPr="00DB0DEF" w14:paraId="5B613BB4" w14:textId="77777777" w:rsidTr="008D5478">
        <w:trPr>
          <w:trHeight w:val="375"/>
          <w:jc w:val="center"/>
        </w:trPr>
        <w:tc>
          <w:tcPr>
            <w:tcW w:w="1740" w:type="dxa"/>
            <w:shd w:val="clear" w:color="000000" w:fill="F2F2F2"/>
            <w:noWrap/>
            <w:vAlign w:val="center"/>
            <w:hideMark/>
          </w:tcPr>
          <w:p w14:paraId="6CEB3550" w14:textId="77777777" w:rsidR="003A4423" w:rsidRPr="00DB0DEF" w:rsidRDefault="003A4423" w:rsidP="00D40ACF">
            <w:pPr>
              <w:spacing w:after="120"/>
              <w:contextualSpacing/>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Kriter Ağırlıkları</w:t>
            </w:r>
          </w:p>
        </w:tc>
        <w:tc>
          <w:tcPr>
            <w:tcW w:w="688" w:type="dxa"/>
            <w:shd w:val="clear" w:color="auto" w:fill="auto"/>
            <w:noWrap/>
            <w:vAlign w:val="center"/>
            <w:hideMark/>
          </w:tcPr>
          <w:p w14:paraId="166922F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0,125</w:t>
            </w:r>
          </w:p>
        </w:tc>
        <w:tc>
          <w:tcPr>
            <w:tcW w:w="688" w:type="dxa"/>
            <w:shd w:val="clear" w:color="auto" w:fill="auto"/>
            <w:noWrap/>
            <w:vAlign w:val="center"/>
            <w:hideMark/>
          </w:tcPr>
          <w:p w14:paraId="5A70378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0,113</w:t>
            </w:r>
          </w:p>
        </w:tc>
        <w:tc>
          <w:tcPr>
            <w:tcW w:w="688" w:type="dxa"/>
            <w:shd w:val="clear" w:color="auto" w:fill="auto"/>
            <w:noWrap/>
            <w:vAlign w:val="center"/>
            <w:hideMark/>
          </w:tcPr>
          <w:p w14:paraId="1E0EF3F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0,121</w:t>
            </w:r>
          </w:p>
        </w:tc>
        <w:tc>
          <w:tcPr>
            <w:tcW w:w="687" w:type="dxa"/>
            <w:shd w:val="clear" w:color="auto" w:fill="auto"/>
            <w:noWrap/>
            <w:vAlign w:val="center"/>
            <w:hideMark/>
          </w:tcPr>
          <w:p w14:paraId="3EB0F30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0,200</w:t>
            </w:r>
          </w:p>
        </w:tc>
        <w:tc>
          <w:tcPr>
            <w:tcW w:w="687" w:type="dxa"/>
            <w:shd w:val="clear" w:color="auto" w:fill="auto"/>
            <w:noWrap/>
            <w:vAlign w:val="center"/>
            <w:hideMark/>
          </w:tcPr>
          <w:p w14:paraId="2567961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0,173</w:t>
            </w:r>
          </w:p>
        </w:tc>
        <w:tc>
          <w:tcPr>
            <w:tcW w:w="687" w:type="dxa"/>
            <w:shd w:val="clear" w:color="auto" w:fill="auto"/>
            <w:noWrap/>
            <w:vAlign w:val="center"/>
            <w:hideMark/>
          </w:tcPr>
          <w:p w14:paraId="11F63F6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0,146</w:t>
            </w:r>
          </w:p>
        </w:tc>
        <w:tc>
          <w:tcPr>
            <w:tcW w:w="687" w:type="dxa"/>
            <w:shd w:val="clear" w:color="auto" w:fill="auto"/>
            <w:noWrap/>
            <w:vAlign w:val="center"/>
            <w:hideMark/>
          </w:tcPr>
          <w:p w14:paraId="2EEA679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0,131</w:t>
            </w:r>
          </w:p>
        </w:tc>
        <w:tc>
          <w:tcPr>
            <w:tcW w:w="788" w:type="dxa"/>
            <w:shd w:val="clear" w:color="auto" w:fill="auto"/>
            <w:noWrap/>
            <w:vAlign w:val="center"/>
            <w:hideMark/>
          </w:tcPr>
          <w:p w14:paraId="71942520" w14:textId="746C92AB"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0,009</w:t>
            </w:r>
          </w:p>
        </w:tc>
      </w:tr>
    </w:tbl>
    <w:p w14:paraId="37DD91BF" w14:textId="77777777" w:rsidR="003A4423" w:rsidRPr="00DB0DEF" w:rsidRDefault="003A4423" w:rsidP="00D40ACF">
      <w:pPr>
        <w:spacing w:after="120"/>
        <w:ind w:firstLine="426"/>
        <w:contextualSpacing/>
        <w:rPr>
          <w:rFonts w:ascii="Times New Roman" w:hAnsi="Times New Roman" w:cs="Times New Roman"/>
        </w:rPr>
      </w:pPr>
    </w:p>
    <w:p w14:paraId="039EF617" w14:textId="36CF5BA4" w:rsidR="008513B2" w:rsidRPr="00DB0DEF" w:rsidRDefault="008513B2" w:rsidP="00D40ACF">
      <w:pPr>
        <w:spacing w:after="120"/>
        <w:ind w:firstLine="426"/>
        <w:contextualSpacing/>
        <w:rPr>
          <w:rFonts w:ascii="Times New Roman" w:hAnsi="Times New Roman" w:cs="Times New Roman"/>
        </w:rPr>
      </w:pPr>
      <w:r w:rsidRPr="00DB0DEF">
        <w:rPr>
          <w:rFonts w:ascii="Times New Roman" w:hAnsi="Times New Roman" w:cs="Times New Roman"/>
        </w:rPr>
        <w:t xml:space="preserve">Kriter ağırlıkları ile kriter değerlerinin çarpılması sonucunda bulunan Ağırlıklı Normalize Edilmiş Karar Matrisi </w:t>
      </w:r>
      <w:r w:rsidR="0053595D">
        <w:rPr>
          <w:rFonts w:ascii="Times New Roman" w:hAnsi="Times New Roman" w:cs="Times New Roman"/>
        </w:rPr>
        <w:t xml:space="preserve">ise </w:t>
      </w:r>
      <w:r w:rsidRPr="00DB0DEF">
        <w:rPr>
          <w:rFonts w:ascii="Times New Roman" w:hAnsi="Times New Roman" w:cs="Times New Roman"/>
        </w:rPr>
        <w:t>aşağıdaki şekildedir:</w:t>
      </w:r>
    </w:p>
    <w:p w14:paraId="2F20CDDB" w14:textId="49EED15F" w:rsidR="00F25F6A" w:rsidRPr="00DB0DEF" w:rsidRDefault="00F25F6A" w:rsidP="00D40ACF">
      <w:pPr>
        <w:spacing w:after="120"/>
        <w:ind w:firstLine="426"/>
        <w:contextualSpacing/>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7</w:t>
      </w:r>
      <w:r w:rsidRPr="00DB0DEF">
        <w:rPr>
          <w:rFonts w:ascii="Times New Roman" w:hAnsi="Times New Roman" w:cs="Times New Roman"/>
          <w:b/>
          <w:bCs/>
        </w:rPr>
        <w:t>: Ağırlıklı Normalize Edilmiş Karar Matrisi</w:t>
      </w:r>
    </w:p>
    <w:p w14:paraId="41962B71" w14:textId="390D57EE" w:rsidR="003A4423" w:rsidRPr="00DB0DEF" w:rsidRDefault="003A4423" w:rsidP="00D40ACF">
      <w:pPr>
        <w:spacing w:after="120"/>
        <w:ind w:firstLine="426"/>
        <w:contextualSpacing/>
        <w:jc w:val="center"/>
        <w:rPr>
          <w:rFonts w:ascii="Times New Roman" w:hAnsi="Times New Roman" w:cs="Times New Roman"/>
          <w:b/>
          <w:bCs/>
        </w:rPr>
      </w:pPr>
    </w:p>
    <w:tbl>
      <w:tblPr>
        <w:tblW w:w="7860" w:type="dxa"/>
        <w:jc w:val="center"/>
        <w:tblCellMar>
          <w:left w:w="70" w:type="dxa"/>
          <w:right w:w="70" w:type="dxa"/>
        </w:tblCellMar>
        <w:tblLook w:val="04A0" w:firstRow="1" w:lastRow="0" w:firstColumn="1" w:lastColumn="0" w:noHBand="0" w:noVBand="1"/>
      </w:tblPr>
      <w:tblGrid>
        <w:gridCol w:w="540"/>
        <w:gridCol w:w="1740"/>
        <w:gridCol w:w="685"/>
        <w:gridCol w:w="684"/>
        <w:gridCol w:w="684"/>
        <w:gridCol w:w="684"/>
        <w:gridCol w:w="684"/>
        <w:gridCol w:w="684"/>
        <w:gridCol w:w="811"/>
        <w:gridCol w:w="684"/>
      </w:tblGrid>
      <w:tr w:rsidR="003A4423" w:rsidRPr="00DB0DEF" w14:paraId="451EFD9F" w14:textId="77777777" w:rsidTr="003A4423">
        <w:trPr>
          <w:trHeight w:val="255"/>
          <w:jc w:val="center"/>
        </w:trPr>
        <w:tc>
          <w:tcPr>
            <w:tcW w:w="52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7C199A3"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Yıl</w:t>
            </w:r>
          </w:p>
        </w:tc>
        <w:tc>
          <w:tcPr>
            <w:tcW w:w="1740" w:type="dxa"/>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92FE472" w14:textId="77777777" w:rsidR="003A4423" w:rsidRPr="00DB0DEF" w:rsidRDefault="003A4423" w:rsidP="00D40ACF">
            <w:pPr>
              <w:spacing w:after="120"/>
              <w:contextualSpacing/>
              <w:jc w:val="center"/>
              <w:rPr>
                <w:rFonts w:ascii="Times New Roman" w:eastAsia="Times New Roman" w:hAnsi="Times New Roman" w:cs="Times New Roman"/>
                <w:b/>
                <w:bCs/>
                <w:noProof w:val="0"/>
                <w:sz w:val="20"/>
                <w:szCs w:val="20"/>
                <w:lang w:eastAsia="tr-TR"/>
              </w:rPr>
            </w:pPr>
            <w:r w:rsidRPr="00DB0DEF">
              <w:rPr>
                <w:rFonts w:ascii="Times New Roman" w:eastAsia="Times New Roman" w:hAnsi="Times New Roman" w:cs="Times New Roman"/>
                <w:b/>
                <w:bCs/>
                <w:noProof w:val="0"/>
                <w:sz w:val="20"/>
                <w:szCs w:val="20"/>
                <w:lang w:eastAsia="tr-TR"/>
              </w:rPr>
              <w:t>Faaliyet Bölümleri</w:t>
            </w:r>
          </w:p>
        </w:tc>
        <w:tc>
          <w:tcPr>
            <w:tcW w:w="5600" w:type="dxa"/>
            <w:gridSpan w:val="8"/>
            <w:tcBorders>
              <w:top w:val="single" w:sz="4" w:space="0" w:color="auto"/>
              <w:left w:val="nil"/>
              <w:bottom w:val="single" w:sz="4" w:space="0" w:color="auto"/>
              <w:right w:val="single" w:sz="4" w:space="0" w:color="auto"/>
            </w:tcBorders>
            <w:shd w:val="clear" w:color="000000" w:fill="F2F2F2"/>
            <w:noWrap/>
            <w:vAlign w:val="center"/>
            <w:hideMark/>
          </w:tcPr>
          <w:p w14:paraId="7D5BC845" w14:textId="5E796D68" w:rsidR="003A4423" w:rsidRPr="00DB0DEF" w:rsidRDefault="000960ED" w:rsidP="00D40ACF">
            <w:pPr>
              <w:spacing w:after="120"/>
              <w:contextualSpacing/>
              <w:jc w:val="center"/>
              <w:rPr>
                <w:rFonts w:ascii="Times New Roman" w:eastAsia="Times New Roman" w:hAnsi="Times New Roman" w:cs="Times New Roman"/>
                <w:b/>
                <w:bCs/>
                <w:noProof w:val="0"/>
                <w:color w:val="000000"/>
                <w:sz w:val="20"/>
                <w:szCs w:val="20"/>
                <w:lang w:eastAsia="tr-TR"/>
              </w:rPr>
            </w:pPr>
            <w:r>
              <w:rPr>
                <w:rFonts w:ascii="Times New Roman" w:eastAsia="Times New Roman" w:hAnsi="Times New Roman" w:cs="Times New Roman"/>
                <w:b/>
                <w:bCs/>
                <w:noProof w:val="0"/>
                <w:color w:val="000000"/>
                <w:sz w:val="20"/>
                <w:szCs w:val="20"/>
                <w:lang w:eastAsia="tr-TR"/>
              </w:rPr>
              <w:t xml:space="preserve">Değerlendirme Kriterleri </w:t>
            </w:r>
            <w:r w:rsidRPr="00DB0DEF">
              <w:rPr>
                <w:rFonts w:ascii="Times New Roman" w:eastAsia="Times New Roman" w:hAnsi="Times New Roman" w:cs="Times New Roman"/>
                <w:b/>
                <w:bCs/>
                <w:noProof w:val="0"/>
                <w:color w:val="000000"/>
                <w:sz w:val="20"/>
                <w:szCs w:val="20"/>
                <w:lang w:eastAsia="tr-TR"/>
              </w:rPr>
              <w:t>(</w:t>
            </w:r>
            <w:r>
              <w:rPr>
                <w:rFonts w:ascii="Times New Roman" w:eastAsia="Times New Roman" w:hAnsi="Times New Roman" w:cs="Times New Roman"/>
                <w:b/>
                <w:bCs/>
                <w:noProof w:val="0"/>
                <w:color w:val="000000"/>
                <w:sz w:val="20"/>
                <w:szCs w:val="20"/>
                <w:lang w:eastAsia="tr-TR"/>
              </w:rPr>
              <w:t>Finansal Oranlar</w:t>
            </w:r>
            <w:r w:rsidRPr="00DB0DEF">
              <w:rPr>
                <w:rFonts w:ascii="Times New Roman" w:eastAsia="Times New Roman" w:hAnsi="Times New Roman" w:cs="Times New Roman"/>
                <w:b/>
                <w:bCs/>
                <w:noProof w:val="0"/>
                <w:color w:val="000000"/>
                <w:sz w:val="20"/>
                <w:szCs w:val="20"/>
                <w:lang w:eastAsia="tr-TR"/>
              </w:rPr>
              <w:t>)</w:t>
            </w:r>
          </w:p>
        </w:tc>
      </w:tr>
      <w:tr w:rsidR="003A4423" w:rsidRPr="00DB0DEF" w14:paraId="511D7DA0" w14:textId="77777777" w:rsidTr="003A4423">
        <w:trPr>
          <w:trHeight w:val="525"/>
          <w:jc w:val="center"/>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0F48EA8" w14:textId="77777777" w:rsidR="003A4423" w:rsidRPr="00DB0DEF" w:rsidRDefault="003A4423" w:rsidP="00D40ACF">
            <w:pPr>
              <w:spacing w:after="120"/>
              <w:contextualSpacing/>
              <w:rPr>
                <w:rFonts w:ascii="Times New Roman" w:eastAsia="Times New Roman" w:hAnsi="Times New Roman" w:cs="Times New Roman"/>
                <w:b/>
                <w:bCs/>
                <w:noProof w:val="0"/>
                <w:color w:val="000000"/>
                <w:sz w:val="20"/>
                <w:szCs w:val="20"/>
                <w:lang w:eastAsia="tr-TR"/>
              </w:rPr>
            </w:pPr>
          </w:p>
        </w:tc>
        <w:tc>
          <w:tcPr>
            <w:tcW w:w="1740" w:type="dxa"/>
            <w:vMerge/>
            <w:tcBorders>
              <w:top w:val="single" w:sz="4" w:space="0" w:color="auto"/>
              <w:left w:val="single" w:sz="4" w:space="0" w:color="auto"/>
              <w:bottom w:val="single" w:sz="4" w:space="0" w:color="auto"/>
              <w:right w:val="single" w:sz="4" w:space="0" w:color="auto"/>
            </w:tcBorders>
            <w:vAlign w:val="center"/>
            <w:hideMark/>
          </w:tcPr>
          <w:p w14:paraId="5111B153" w14:textId="77777777" w:rsidR="003A4423" w:rsidRPr="00DB0DEF" w:rsidRDefault="003A4423" w:rsidP="00D40ACF">
            <w:pPr>
              <w:spacing w:after="120"/>
              <w:contextualSpacing/>
              <w:rPr>
                <w:rFonts w:ascii="Times New Roman" w:eastAsia="Times New Roman" w:hAnsi="Times New Roman" w:cs="Times New Roman"/>
                <w:b/>
                <w:bCs/>
                <w:noProof w:val="0"/>
                <w:sz w:val="20"/>
                <w:szCs w:val="20"/>
                <w:lang w:eastAsia="tr-TR"/>
              </w:rPr>
            </w:pPr>
          </w:p>
        </w:tc>
        <w:tc>
          <w:tcPr>
            <w:tcW w:w="685" w:type="dxa"/>
            <w:tcBorders>
              <w:top w:val="nil"/>
              <w:left w:val="nil"/>
              <w:bottom w:val="single" w:sz="4" w:space="0" w:color="auto"/>
              <w:right w:val="single" w:sz="4" w:space="0" w:color="auto"/>
            </w:tcBorders>
            <w:shd w:val="clear" w:color="000000" w:fill="F2F2F2"/>
            <w:noWrap/>
            <w:vAlign w:val="center"/>
            <w:hideMark/>
          </w:tcPr>
          <w:p w14:paraId="2ECCA56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CO</w:t>
            </w:r>
          </w:p>
        </w:tc>
        <w:tc>
          <w:tcPr>
            <w:tcW w:w="684" w:type="dxa"/>
            <w:tcBorders>
              <w:top w:val="nil"/>
              <w:left w:val="nil"/>
              <w:bottom w:val="single" w:sz="4" w:space="0" w:color="auto"/>
              <w:right w:val="single" w:sz="4" w:space="0" w:color="auto"/>
            </w:tcBorders>
            <w:shd w:val="clear" w:color="000000" w:fill="F2F2F2"/>
            <w:noWrap/>
            <w:vAlign w:val="center"/>
            <w:hideMark/>
          </w:tcPr>
          <w:p w14:paraId="7BF1471D"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NO</w:t>
            </w:r>
          </w:p>
        </w:tc>
        <w:tc>
          <w:tcPr>
            <w:tcW w:w="684" w:type="dxa"/>
            <w:tcBorders>
              <w:top w:val="nil"/>
              <w:left w:val="nil"/>
              <w:bottom w:val="single" w:sz="4" w:space="0" w:color="auto"/>
              <w:right w:val="single" w:sz="4" w:space="0" w:color="auto"/>
            </w:tcBorders>
            <w:shd w:val="clear" w:color="000000" w:fill="F2F2F2"/>
            <w:noWrap/>
            <w:vAlign w:val="center"/>
            <w:hideMark/>
          </w:tcPr>
          <w:p w14:paraId="72420B4F"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SD</w:t>
            </w:r>
          </w:p>
        </w:tc>
        <w:tc>
          <w:tcPr>
            <w:tcW w:w="684" w:type="dxa"/>
            <w:tcBorders>
              <w:top w:val="nil"/>
              <w:left w:val="nil"/>
              <w:bottom w:val="single" w:sz="4" w:space="0" w:color="auto"/>
              <w:right w:val="single" w:sz="4" w:space="0" w:color="auto"/>
            </w:tcBorders>
            <w:shd w:val="clear" w:color="000000" w:fill="F2F2F2"/>
            <w:noWrap/>
            <w:vAlign w:val="center"/>
            <w:hideMark/>
          </w:tcPr>
          <w:p w14:paraId="6AB8C59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AD</w:t>
            </w:r>
          </w:p>
        </w:tc>
        <w:tc>
          <w:tcPr>
            <w:tcW w:w="684" w:type="dxa"/>
            <w:tcBorders>
              <w:top w:val="nil"/>
              <w:left w:val="nil"/>
              <w:bottom w:val="single" w:sz="4" w:space="0" w:color="auto"/>
              <w:right w:val="single" w:sz="4" w:space="0" w:color="auto"/>
            </w:tcBorders>
            <w:shd w:val="clear" w:color="000000" w:fill="F2F2F2"/>
            <w:noWrap/>
            <w:vAlign w:val="center"/>
            <w:hideMark/>
          </w:tcPr>
          <w:p w14:paraId="4D802CDB"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KO</w:t>
            </w:r>
          </w:p>
        </w:tc>
        <w:tc>
          <w:tcPr>
            <w:tcW w:w="684" w:type="dxa"/>
            <w:tcBorders>
              <w:top w:val="nil"/>
              <w:left w:val="nil"/>
              <w:bottom w:val="single" w:sz="4" w:space="0" w:color="auto"/>
              <w:right w:val="single" w:sz="4" w:space="0" w:color="auto"/>
            </w:tcBorders>
            <w:shd w:val="clear" w:color="000000" w:fill="F2F2F2"/>
            <w:noWrap/>
            <w:vAlign w:val="center"/>
            <w:hideMark/>
          </w:tcPr>
          <w:p w14:paraId="4945BDF3"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FO</w:t>
            </w:r>
          </w:p>
        </w:tc>
        <w:tc>
          <w:tcPr>
            <w:tcW w:w="811" w:type="dxa"/>
            <w:tcBorders>
              <w:top w:val="nil"/>
              <w:left w:val="nil"/>
              <w:bottom w:val="single" w:sz="4" w:space="0" w:color="auto"/>
              <w:right w:val="single" w:sz="4" w:space="0" w:color="auto"/>
            </w:tcBorders>
            <w:shd w:val="clear" w:color="000000" w:fill="F2F2F2"/>
            <w:noWrap/>
            <w:vAlign w:val="center"/>
            <w:hideMark/>
          </w:tcPr>
          <w:p w14:paraId="1394FECD"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AK</w:t>
            </w:r>
          </w:p>
        </w:tc>
        <w:tc>
          <w:tcPr>
            <w:tcW w:w="684" w:type="dxa"/>
            <w:tcBorders>
              <w:top w:val="nil"/>
              <w:left w:val="nil"/>
              <w:bottom w:val="single" w:sz="4" w:space="0" w:color="auto"/>
              <w:right w:val="single" w:sz="4" w:space="0" w:color="auto"/>
            </w:tcBorders>
            <w:shd w:val="clear" w:color="000000" w:fill="F2F2F2"/>
            <w:noWrap/>
            <w:vAlign w:val="center"/>
            <w:hideMark/>
          </w:tcPr>
          <w:p w14:paraId="55FFCB0C"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ÖK</w:t>
            </w:r>
          </w:p>
        </w:tc>
      </w:tr>
      <w:tr w:rsidR="003A4423" w:rsidRPr="00DB0DEF" w14:paraId="0C76BA32" w14:textId="77777777" w:rsidTr="00007067">
        <w:trPr>
          <w:trHeight w:hRule="exact" w:val="227"/>
          <w:jc w:val="center"/>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93D0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2019</w:t>
            </w:r>
          </w:p>
        </w:tc>
        <w:tc>
          <w:tcPr>
            <w:tcW w:w="1740" w:type="dxa"/>
            <w:tcBorders>
              <w:top w:val="nil"/>
              <w:left w:val="nil"/>
              <w:bottom w:val="single" w:sz="4" w:space="0" w:color="auto"/>
              <w:right w:val="single" w:sz="4" w:space="0" w:color="auto"/>
            </w:tcBorders>
            <w:shd w:val="clear" w:color="auto" w:fill="auto"/>
            <w:noWrap/>
            <w:hideMark/>
          </w:tcPr>
          <w:p w14:paraId="27578146"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5" w:type="dxa"/>
            <w:tcBorders>
              <w:top w:val="nil"/>
              <w:left w:val="nil"/>
              <w:bottom w:val="single" w:sz="4" w:space="0" w:color="auto"/>
              <w:right w:val="single" w:sz="4" w:space="0" w:color="auto"/>
            </w:tcBorders>
            <w:shd w:val="clear" w:color="auto" w:fill="auto"/>
            <w:noWrap/>
            <w:vAlign w:val="center"/>
            <w:hideMark/>
          </w:tcPr>
          <w:p w14:paraId="63072FC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0,10</w:t>
            </w:r>
          </w:p>
        </w:tc>
        <w:tc>
          <w:tcPr>
            <w:tcW w:w="684" w:type="dxa"/>
            <w:tcBorders>
              <w:top w:val="nil"/>
              <w:left w:val="nil"/>
              <w:bottom w:val="single" w:sz="4" w:space="0" w:color="auto"/>
              <w:right w:val="single" w:sz="4" w:space="0" w:color="auto"/>
            </w:tcBorders>
            <w:shd w:val="clear" w:color="auto" w:fill="auto"/>
            <w:noWrap/>
            <w:vAlign w:val="center"/>
            <w:hideMark/>
          </w:tcPr>
          <w:p w14:paraId="25C0948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c>
          <w:tcPr>
            <w:tcW w:w="684" w:type="dxa"/>
            <w:tcBorders>
              <w:top w:val="nil"/>
              <w:left w:val="nil"/>
              <w:bottom w:val="single" w:sz="4" w:space="0" w:color="auto"/>
              <w:right w:val="single" w:sz="4" w:space="0" w:color="auto"/>
            </w:tcBorders>
            <w:shd w:val="clear" w:color="auto" w:fill="auto"/>
            <w:noWrap/>
            <w:vAlign w:val="center"/>
            <w:hideMark/>
          </w:tcPr>
          <w:p w14:paraId="680DB69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w:t>
            </w:r>
          </w:p>
        </w:tc>
        <w:tc>
          <w:tcPr>
            <w:tcW w:w="684" w:type="dxa"/>
            <w:tcBorders>
              <w:top w:val="nil"/>
              <w:left w:val="nil"/>
              <w:bottom w:val="single" w:sz="4" w:space="0" w:color="auto"/>
              <w:right w:val="single" w:sz="4" w:space="0" w:color="auto"/>
            </w:tcBorders>
            <w:shd w:val="clear" w:color="auto" w:fill="auto"/>
            <w:noWrap/>
            <w:vAlign w:val="center"/>
            <w:hideMark/>
          </w:tcPr>
          <w:p w14:paraId="71235CC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4AB43E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958569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811" w:type="dxa"/>
            <w:tcBorders>
              <w:top w:val="nil"/>
              <w:left w:val="nil"/>
              <w:bottom w:val="single" w:sz="4" w:space="0" w:color="auto"/>
              <w:right w:val="single" w:sz="4" w:space="0" w:color="auto"/>
            </w:tcBorders>
            <w:shd w:val="clear" w:color="auto" w:fill="auto"/>
            <w:noWrap/>
            <w:vAlign w:val="center"/>
            <w:hideMark/>
          </w:tcPr>
          <w:p w14:paraId="7CFE09A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38C5847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3E80C6C6"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41D1CD28"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28B84BD4"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5" w:type="dxa"/>
            <w:tcBorders>
              <w:top w:val="nil"/>
              <w:left w:val="nil"/>
              <w:bottom w:val="single" w:sz="4" w:space="0" w:color="auto"/>
              <w:right w:val="single" w:sz="4" w:space="0" w:color="auto"/>
            </w:tcBorders>
            <w:shd w:val="clear" w:color="auto" w:fill="auto"/>
            <w:noWrap/>
            <w:vAlign w:val="center"/>
            <w:hideMark/>
          </w:tcPr>
          <w:p w14:paraId="4141C4C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325F78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296DB7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06DB4F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0,07</w:t>
            </w:r>
          </w:p>
        </w:tc>
        <w:tc>
          <w:tcPr>
            <w:tcW w:w="684" w:type="dxa"/>
            <w:tcBorders>
              <w:top w:val="nil"/>
              <w:left w:val="nil"/>
              <w:bottom w:val="single" w:sz="4" w:space="0" w:color="auto"/>
              <w:right w:val="single" w:sz="4" w:space="0" w:color="auto"/>
            </w:tcBorders>
            <w:shd w:val="clear" w:color="auto" w:fill="auto"/>
            <w:noWrap/>
            <w:vAlign w:val="center"/>
            <w:hideMark/>
          </w:tcPr>
          <w:p w14:paraId="6BC3B6E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c>
          <w:tcPr>
            <w:tcW w:w="684" w:type="dxa"/>
            <w:tcBorders>
              <w:top w:val="nil"/>
              <w:left w:val="nil"/>
              <w:bottom w:val="single" w:sz="4" w:space="0" w:color="auto"/>
              <w:right w:val="single" w:sz="4" w:space="0" w:color="auto"/>
            </w:tcBorders>
            <w:shd w:val="clear" w:color="auto" w:fill="auto"/>
            <w:noWrap/>
            <w:vAlign w:val="center"/>
            <w:hideMark/>
          </w:tcPr>
          <w:p w14:paraId="4E4B9F1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46232EF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ECD8C0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2DD5503C"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6D566D8C"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27B588F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5" w:type="dxa"/>
            <w:tcBorders>
              <w:top w:val="nil"/>
              <w:left w:val="nil"/>
              <w:bottom w:val="single" w:sz="4" w:space="0" w:color="auto"/>
              <w:right w:val="single" w:sz="4" w:space="0" w:color="auto"/>
            </w:tcBorders>
            <w:shd w:val="clear" w:color="auto" w:fill="auto"/>
            <w:noWrap/>
            <w:vAlign w:val="center"/>
            <w:hideMark/>
          </w:tcPr>
          <w:p w14:paraId="7A548EB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8F3457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7BDABF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527A2D1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420C4D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82B4A4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811" w:type="dxa"/>
            <w:tcBorders>
              <w:top w:val="nil"/>
              <w:left w:val="nil"/>
              <w:bottom w:val="single" w:sz="4" w:space="0" w:color="auto"/>
              <w:right w:val="single" w:sz="4" w:space="0" w:color="auto"/>
            </w:tcBorders>
            <w:shd w:val="clear" w:color="auto" w:fill="auto"/>
            <w:noWrap/>
            <w:vAlign w:val="center"/>
            <w:hideMark/>
          </w:tcPr>
          <w:p w14:paraId="5FCCB8F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4BE1BB2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6AFD186C"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6B73E6CF"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586A8B4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5" w:type="dxa"/>
            <w:tcBorders>
              <w:top w:val="nil"/>
              <w:left w:val="nil"/>
              <w:bottom w:val="single" w:sz="4" w:space="0" w:color="auto"/>
              <w:right w:val="single" w:sz="4" w:space="0" w:color="auto"/>
            </w:tcBorders>
            <w:shd w:val="clear" w:color="auto" w:fill="auto"/>
            <w:noWrap/>
            <w:vAlign w:val="center"/>
            <w:hideMark/>
          </w:tcPr>
          <w:p w14:paraId="0A6F362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77C876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F64289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0768B2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w:t>
            </w:r>
          </w:p>
        </w:tc>
        <w:tc>
          <w:tcPr>
            <w:tcW w:w="684" w:type="dxa"/>
            <w:tcBorders>
              <w:top w:val="nil"/>
              <w:left w:val="nil"/>
              <w:bottom w:val="single" w:sz="4" w:space="0" w:color="auto"/>
              <w:right w:val="single" w:sz="4" w:space="0" w:color="auto"/>
            </w:tcBorders>
            <w:shd w:val="clear" w:color="auto" w:fill="auto"/>
            <w:noWrap/>
            <w:vAlign w:val="center"/>
            <w:hideMark/>
          </w:tcPr>
          <w:p w14:paraId="4EC4ACD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6A274F8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0122DA5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684" w:type="dxa"/>
            <w:tcBorders>
              <w:top w:val="nil"/>
              <w:left w:val="nil"/>
              <w:bottom w:val="single" w:sz="4" w:space="0" w:color="auto"/>
              <w:right w:val="single" w:sz="4" w:space="0" w:color="auto"/>
            </w:tcBorders>
            <w:shd w:val="clear" w:color="auto" w:fill="auto"/>
            <w:noWrap/>
            <w:vAlign w:val="center"/>
            <w:hideMark/>
          </w:tcPr>
          <w:p w14:paraId="311E1AF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43C004A0"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0A9ED066"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09AD9D2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5" w:type="dxa"/>
            <w:tcBorders>
              <w:top w:val="nil"/>
              <w:left w:val="nil"/>
              <w:bottom w:val="single" w:sz="4" w:space="0" w:color="auto"/>
              <w:right w:val="single" w:sz="4" w:space="0" w:color="auto"/>
            </w:tcBorders>
            <w:shd w:val="clear" w:color="auto" w:fill="auto"/>
            <w:noWrap/>
            <w:vAlign w:val="center"/>
            <w:hideMark/>
          </w:tcPr>
          <w:p w14:paraId="6473325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2601F6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CA0C74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F0985A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684" w:type="dxa"/>
            <w:tcBorders>
              <w:top w:val="nil"/>
              <w:left w:val="nil"/>
              <w:bottom w:val="single" w:sz="4" w:space="0" w:color="auto"/>
              <w:right w:val="single" w:sz="4" w:space="0" w:color="auto"/>
            </w:tcBorders>
            <w:shd w:val="clear" w:color="auto" w:fill="auto"/>
            <w:noWrap/>
            <w:vAlign w:val="center"/>
            <w:hideMark/>
          </w:tcPr>
          <w:p w14:paraId="1B58F42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3E9AE3D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5722A17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84" w:type="dxa"/>
            <w:tcBorders>
              <w:top w:val="nil"/>
              <w:left w:val="nil"/>
              <w:bottom w:val="single" w:sz="4" w:space="0" w:color="auto"/>
              <w:right w:val="single" w:sz="4" w:space="0" w:color="auto"/>
            </w:tcBorders>
            <w:shd w:val="clear" w:color="auto" w:fill="auto"/>
            <w:noWrap/>
            <w:vAlign w:val="center"/>
            <w:hideMark/>
          </w:tcPr>
          <w:p w14:paraId="669A2D1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7F848168" w14:textId="77777777" w:rsidTr="00007067">
        <w:trPr>
          <w:trHeight w:hRule="exact" w:val="227"/>
          <w:jc w:val="center"/>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7E35F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2020</w:t>
            </w:r>
          </w:p>
        </w:tc>
        <w:tc>
          <w:tcPr>
            <w:tcW w:w="1740" w:type="dxa"/>
            <w:tcBorders>
              <w:top w:val="nil"/>
              <w:left w:val="nil"/>
              <w:bottom w:val="single" w:sz="4" w:space="0" w:color="auto"/>
              <w:right w:val="single" w:sz="4" w:space="0" w:color="auto"/>
            </w:tcBorders>
            <w:shd w:val="clear" w:color="auto" w:fill="auto"/>
            <w:noWrap/>
            <w:hideMark/>
          </w:tcPr>
          <w:p w14:paraId="5CE9BF70"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5" w:type="dxa"/>
            <w:tcBorders>
              <w:top w:val="nil"/>
              <w:left w:val="nil"/>
              <w:bottom w:val="single" w:sz="4" w:space="0" w:color="auto"/>
              <w:right w:val="single" w:sz="4" w:space="0" w:color="auto"/>
            </w:tcBorders>
            <w:shd w:val="clear" w:color="auto" w:fill="auto"/>
            <w:noWrap/>
            <w:vAlign w:val="center"/>
            <w:hideMark/>
          </w:tcPr>
          <w:p w14:paraId="0E62230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c>
          <w:tcPr>
            <w:tcW w:w="684" w:type="dxa"/>
            <w:tcBorders>
              <w:top w:val="nil"/>
              <w:left w:val="nil"/>
              <w:bottom w:val="single" w:sz="4" w:space="0" w:color="auto"/>
              <w:right w:val="single" w:sz="4" w:space="0" w:color="auto"/>
            </w:tcBorders>
            <w:shd w:val="clear" w:color="auto" w:fill="auto"/>
            <w:noWrap/>
            <w:vAlign w:val="center"/>
            <w:hideMark/>
          </w:tcPr>
          <w:p w14:paraId="65E76AC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w:t>
            </w:r>
          </w:p>
        </w:tc>
        <w:tc>
          <w:tcPr>
            <w:tcW w:w="684" w:type="dxa"/>
            <w:tcBorders>
              <w:top w:val="nil"/>
              <w:left w:val="nil"/>
              <w:bottom w:val="single" w:sz="4" w:space="0" w:color="auto"/>
              <w:right w:val="single" w:sz="4" w:space="0" w:color="auto"/>
            </w:tcBorders>
            <w:shd w:val="clear" w:color="auto" w:fill="auto"/>
            <w:noWrap/>
            <w:vAlign w:val="center"/>
            <w:hideMark/>
          </w:tcPr>
          <w:p w14:paraId="79F787C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84" w:type="dxa"/>
            <w:tcBorders>
              <w:top w:val="nil"/>
              <w:left w:val="nil"/>
              <w:bottom w:val="single" w:sz="4" w:space="0" w:color="auto"/>
              <w:right w:val="single" w:sz="4" w:space="0" w:color="auto"/>
            </w:tcBorders>
            <w:shd w:val="clear" w:color="auto" w:fill="auto"/>
            <w:noWrap/>
            <w:vAlign w:val="center"/>
            <w:hideMark/>
          </w:tcPr>
          <w:p w14:paraId="28213F2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E7F9A7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054EFD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811" w:type="dxa"/>
            <w:tcBorders>
              <w:top w:val="nil"/>
              <w:left w:val="nil"/>
              <w:bottom w:val="single" w:sz="4" w:space="0" w:color="auto"/>
              <w:right w:val="single" w:sz="4" w:space="0" w:color="auto"/>
            </w:tcBorders>
            <w:shd w:val="clear" w:color="auto" w:fill="auto"/>
            <w:noWrap/>
            <w:vAlign w:val="center"/>
            <w:hideMark/>
          </w:tcPr>
          <w:p w14:paraId="7582D31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36E80E9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4A419F4E"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196568B9"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626F3116"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5" w:type="dxa"/>
            <w:tcBorders>
              <w:top w:val="nil"/>
              <w:left w:val="nil"/>
              <w:bottom w:val="single" w:sz="4" w:space="0" w:color="auto"/>
              <w:right w:val="single" w:sz="4" w:space="0" w:color="auto"/>
            </w:tcBorders>
            <w:shd w:val="clear" w:color="auto" w:fill="auto"/>
            <w:noWrap/>
            <w:vAlign w:val="center"/>
            <w:hideMark/>
          </w:tcPr>
          <w:p w14:paraId="5EBAF57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567428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56FF14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528858D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84" w:type="dxa"/>
            <w:tcBorders>
              <w:top w:val="nil"/>
              <w:left w:val="nil"/>
              <w:bottom w:val="single" w:sz="4" w:space="0" w:color="auto"/>
              <w:right w:val="single" w:sz="4" w:space="0" w:color="auto"/>
            </w:tcBorders>
            <w:shd w:val="clear" w:color="auto" w:fill="auto"/>
            <w:noWrap/>
            <w:vAlign w:val="center"/>
            <w:hideMark/>
          </w:tcPr>
          <w:p w14:paraId="53C5B38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w:t>
            </w:r>
          </w:p>
        </w:tc>
        <w:tc>
          <w:tcPr>
            <w:tcW w:w="684" w:type="dxa"/>
            <w:tcBorders>
              <w:top w:val="nil"/>
              <w:left w:val="nil"/>
              <w:bottom w:val="single" w:sz="4" w:space="0" w:color="auto"/>
              <w:right w:val="single" w:sz="4" w:space="0" w:color="auto"/>
            </w:tcBorders>
            <w:shd w:val="clear" w:color="auto" w:fill="auto"/>
            <w:noWrap/>
            <w:vAlign w:val="center"/>
            <w:hideMark/>
          </w:tcPr>
          <w:p w14:paraId="628455E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09E1147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84" w:type="dxa"/>
            <w:tcBorders>
              <w:top w:val="nil"/>
              <w:left w:val="nil"/>
              <w:bottom w:val="single" w:sz="4" w:space="0" w:color="auto"/>
              <w:right w:val="single" w:sz="4" w:space="0" w:color="auto"/>
            </w:tcBorders>
            <w:shd w:val="clear" w:color="auto" w:fill="auto"/>
            <w:noWrap/>
            <w:vAlign w:val="center"/>
            <w:hideMark/>
          </w:tcPr>
          <w:p w14:paraId="1ADA783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r>
      <w:tr w:rsidR="003A4423" w:rsidRPr="00DB0DEF" w14:paraId="733C5E88"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52895351"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794E3E6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5" w:type="dxa"/>
            <w:tcBorders>
              <w:top w:val="nil"/>
              <w:left w:val="nil"/>
              <w:bottom w:val="single" w:sz="4" w:space="0" w:color="auto"/>
              <w:right w:val="single" w:sz="4" w:space="0" w:color="auto"/>
            </w:tcBorders>
            <w:shd w:val="clear" w:color="auto" w:fill="auto"/>
            <w:noWrap/>
            <w:vAlign w:val="center"/>
            <w:hideMark/>
          </w:tcPr>
          <w:p w14:paraId="49BD493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DAF962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5421479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BC34C0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E48BE4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7B773F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811" w:type="dxa"/>
            <w:tcBorders>
              <w:top w:val="nil"/>
              <w:left w:val="nil"/>
              <w:bottom w:val="single" w:sz="4" w:space="0" w:color="auto"/>
              <w:right w:val="single" w:sz="4" w:space="0" w:color="auto"/>
            </w:tcBorders>
            <w:shd w:val="clear" w:color="auto" w:fill="auto"/>
            <w:noWrap/>
            <w:vAlign w:val="center"/>
            <w:hideMark/>
          </w:tcPr>
          <w:p w14:paraId="13E7C47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3D68A98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7C1A98A2"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6E0373FA"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15851F4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5" w:type="dxa"/>
            <w:tcBorders>
              <w:top w:val="nil"/>
              <w:left w:val="nil"/>
              <w:bottom w:val="single" w:sz="4" w:space="0" w:color="auto"/>
              <w:right w:val="single" w:sz="4" w:space="0" w:color="auto"/>
            </w:tcBorders>
            <w:shd w:val="clear" w:color="auto" w:fill="auto"/>
            <w:noWrap/>
            <w:vAlign w:val="center"/>
            <w:hideMark/>
          </w:tcPr>
          <w:p w14:paraId="2F0EB2F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1F3F64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73C187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0783BE8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84" w:type="dxa"/>
            <w:tcBorders>
              <w:top w:val="nil"/>
              <w:left w:val="nil"/>
              <w:bottom w:val="single" w:sz="4" w:space="0" w:color="auto"/>
              <w:right w:val="single" w:sz="4" w:space="0" w:color="auto"/>
            </w:tcBorders>
            <w:shd w:val="clear" w:color="auto" w:fill="auto"/>
            <w:noWrap/>
            <w:vAlign w:val="center"/>
            <w:hideMark/>
          </w:tcPr>
          <w:p w14:paraId="6430784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32837A6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78FBEB9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0,07</w:t>
            </w:r>
          </w:p>
        </w:tc>
        <w:tc>
          <w:tcPr>
            <w:tcW w:w="684" w:type="dxa"/>
            <w:tcBorders>
              <w:top w:val="nil"/>
              <w:left w:val="nil"/>
              <w:bottom w:val="single" w:sz="4" w:space="0" w:color="auto"/>
              <w:right w:val="single" w:sz="4" w:space="0" w:color="auto"/>
            </w:tcBorders>
            <w:shd w:val="clear" w:color="auto" w:fill="auto"/>
            <w:noWrap/>
            <w:vAlign w:val="center"/>
            <w:hideMark/>
          </w:tcPr>
          <w:p w14:paraId="73897A0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6B6DD051"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235E6D13"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788B2CD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5" w:type="dxa"/>
            <w:tcBorders>
              <w:top w:val="nil"/>
              <w:left w:val="nil"/>
              <w:bottom w:val="single" w:sz="4" w:space="0" w:color="auto"/>
              <w:right w:val="single" w:sz="4" w:space="0" w:color="auto"/>
            </w:tcBorders>
            <w:shd w:val="clear" w:color="auto" w:fill="auto"/>
            <w:noWrap/>
            <w:vAlign w:val="center"/>
            <w:hideMark/>
          </w:tcPr>
          <w:p w14:paraId="0E453EF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18DE04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0AE0D28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DF8CE9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7D198ED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588A3CE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4A4F3F9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5D46426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01C87301" w14:textId="77777777" w:rsidTr="00007067">
        <w:trPr>
          <w:trHeight w:hRule="exact" w:val="227"/>
          <w:jc w:val="center"/>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D930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2021</w:t>
            </w:r>
          </w:p>
        </w:tc>
        <w:tc>
          <w:tcPr>
            <w:tcW w:w="1740" w:type="dxa"/>
            <w:tcBorders>
              <w:top w:val="nil"/>
              <w:left w:val="nil"/>
              <w:bottom w:val="single" w:sz="4" w:space="0" w:color="auto"/>
              <w:right w:val="single" w:sz="4" w:space="0" w:color="auto"/>
            </w:tcBorders>
            <w:shd w:val="clear" w:color="auto" w:fill="auto"/>
            <w:noWrap/>
            <w:hideMark/>
          </w:tcPr>
          <w:p w14:paraId="455E916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685" w:type="dxa"/>
            <w:tcBorders>
              <w:top w:val="nil"/>
              <w:left w:val="nil"/>
              <w:bottom w:val="single" w:sz="4" w:space="0" w:color="auto"/>
              <w:right w:val="single" w:sz="4" w:space="0" w:color="auto"/>
            </w:tcBorders>
            <w:shd w:val="clear" w:color="auto" w:fill="auto"/>
            <w:noWrap/>
            <w:vAlign w:val="center"/>
            <w:hideMark/>
          </w:tcPr>
          <w:p w14:paraId="57FD84E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84" w:type="dxa"/>
            <w:tcBorders>
              <w:top w:val="nil"/>
              <w:left w:val="nil"/>
              <w:bottom w:val="single" w:sz="4" w:space="0" w:color="auto"/>
              <w:right w:val="single" w:sz="4" w:space="0" w:color="auto"/>
            </w:tcBorders>
            <w:shd w:val="clear" w:color="auto" w:fill="auto"/>
            <w:noWrap/>
            <w:vAlign w:val="center"/>
            <w:hideMark/>
          </w:tcPr>
          <w:p w14:paraId="33E11D6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5E32308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84" w:type="dxa"/>
            <w:tcBorders>
              <w:top w:val="nil"/>
              <w:left w:val="nil"/>
              <w:bottom w:val="single" w:sz="4" w:space="0" w:color="auto"/>
              <w:right w:val="single" w:sz="4" w:space="0" w:color="auto"/>
            </w:tcBorders>
            <w:shd w:val="clear" w:color="auto" w:fill="auto"/>
            <w:noWrap/>
            <w:vAlign w:val="center"/>
            <w:hideMark/>
          </w:tcPr>
          <w:p w14:paraId="467C1CF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226FB72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32D205F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811" w:type="dxa"/>
            <w:tcBorders>
              <w:top w:val="nil"/>
              <w:left w:val="nil"/>
              <w:bottom w:val="single" w:sz="4" w:space="0" w:color="auto"/>
              <w:right w:val="single" w:sz="4" w:space="0" w:color="auto"/>
            </w:tcBorders>
            <w:shd w:val="clear" w:color="auto" w:fill="auto"/>
            <w:noWrap/>
            <w:vAlign w:val="center"/>
            <w:hideMark/>
          </w:tcPr>
          <w:p w14:paraId="3E3BDAC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1944DC6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2DBB5B3B"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01F08C17"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043AED9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685" w:type="dxa"/>
            <w:tcBorders>
              <w:top w:val="nil"/>
              <w:left w:val="nil"/>
              <w:bottom w:val="single" w:sz="4" w:space="0" w:color="auto"/>
              <w:right w:val="single" w:sz="4" w:space="0" w:color="auto"/>
            </w:tcBorders>
            <w:shd w:val="clear" w:color="auto" w:fill="auto"/>
            <w:noWrap/>
            <w:vAlign w:val="center"/>
            <w:hideMark/>
          </w:tcPr>
          <w:p w14:paraId="63BA13F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49CD9E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061ABC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E08824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w:t>
            </w:r>
          </w:p>
        </w:tc>
        <w:tc>
          <w:tcPr>
            <w:tcW w:w="684" w:type="dxa"/>
            <w:tcBorders>
              <w:top w:val="nil"/>
              <w:left w:val="nil"/>
              <w:bottom w:val="single" w:sz="4" w:space="0" w:color="auto"/>
              <w:right w:val="single" w:sz="4" w:space="0" w:color="auto"/>
            </w:tcBorders>
            <w:shd w:val="clear" w:color="auto" w:fill="auto"/>
            <w:noWrap/>
            <w:vAlign w:val="center"/>
            <w:hideMark/>
          </w:tcPr>
          <w:p w14:paraId="2779ECF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w:t>
            </w:r>
          </w:p>
        </w:tc>
        <w:tc>
          <w:tcPr>
            <w:tcW w:w="684" w:type="dxa"/>
            <w:tcBorders>
              <w:top w:val="nil"/>
              <w:left w:val="nil"/>
              <w:bottom w:val="single" w:sz="4" w:space="0" w:color="auto"/>
              <w:right w:val="single" w:sz="4" w:space="0" w:color="auto"/>
            </w:tcBorders>
            <w:shd w:val="clear" w:color="auto" w:fill="auto"/>
            <w:noWrap/>
            <w:vAlign w:val="center"/>
            <w:hideMark/>
          </w:tcPr>
          <w:p w14:paraId="0B84118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4A0329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w:t>
            </w:r>
          </w:p>
        </w:tc>
        <w:tc>
          <w:tcPr>
            <w:tcW w:w="684" w:type="dxa"/>
            <w:tcBorders>
              <w:top w:val="nil"/>
              <w:left w:val="nil"/>
              <w:bottom w:val="single" w:sz="4" w:space="0" w:color="auto"/>
              <w:right w:val="single" w:sz="4" w:space="0" w:color="auto"/>
            </w:tcBorders>
            <w:shd w:val="clear" w:color="auto" w:fill="auto"/>
            <w:noWrap/>
            <w:vAlign w:val="center"/>
            <w:hideMark/>
          </w:tcPr>
          <w:p w14:paraId="70C0C10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1C96B0AA"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07A7A6CD"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45B6BB1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685" w:type="dxa"/>
            <w:tcBorders>
              <w:top w:val="nil"/>
              <w:left w:val="nil"/>
              <w:bottom w:val="single" w:sz="4" w:space="0" w:color="auto"/>
              <w:right w:val="single" w:sz="4" w:space="0" w:color="auto"/>
            </w:tcBorders>
            <w:shd w:val="clear" w:color="auto" w:fill="auto"/>
            <w:noWrap/>
            <w:vAlign w:val="center"/>
            <w:hideMark/>
          </w:tcPr>
          <w:p w14:paraId="0E338F0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6B02280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CC6686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29F81B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C3F5A6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557D4D5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w:t>
            </w:r>
          </w:p>
        </w:tc>
        <w:tc>
          <w:tcPr>
            <w:tcW w:w="811" w:type="dxa"/>
            <w:tcBorders>
              <w:top w:val="nil"/>
              <w:left w:val="nil"/>
              <w:bottom w:val="single" w:sz="4" w:space="0" w:color="auto"/>
              <w:right w:val="single" w:sz="4" w:space="0" w:color="auto"/>
            </w:tcBorders>
            <w:shd w:val="clear" w:color="auto" w:fill="auto"/>
            <w:noWrap/>
            <w:vAlign w:val="center"/>
            <w:hideMark/>
          </w:tcPr>
          <w:p w14:paraId="430C9D3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0,03</w:t>
            </w:r>
          </w:p>
        </w:tc>
        <w:tc>
          <w:tcPr>
            <w:tcW w:w="684" w:type="dxa"/>
            <w:tcBorders>
              <w:top w:val="nil"/>
              <w:left w:val="nil"/>
              <w:bottom w:val="single" w:sz="4" w:space="0" w:color="auto"/>
              <w:right w:val="single" w:sz="4" w:space="0" w:color="auto"/>
            </w:tcBorders>
            <w:shd w:val="clear" w:color="auto" w:fill="auto"/>
            <w:noWrap/>
            <w:vAlign w:val="center"/>
            <w:hideMark/>
          </w:tcPr>
          <w:p w14:paraId="55F7C03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4710D2D0"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5C042EB1"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27801A56"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685" w:type="dxa"/>
            <w:tcBorders>
              <w:top w:val="nil"/>
              <w:left w:val="nil"/>
              <w:bottom w:val="single" w:sz="4" w:space="0" w:color="auto"/>
              <w:right w:val="single" w:sz="4" w:space="0" w:color="auto"/>
            </w:tcBorders>
            <w:shd w:val="clear" w:color="auto" w:fill="auto"/>
            <w:noWrap/>
            <w:vAlign w:val="center"/>
            <w:hideMark/>
          </w:tcPr>
          <w:p w14:paraId="787F2D8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4201AD0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555755B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1280DAA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0,04</w:t>
            </w:r>
          </w:p>
        </w:tc>
        <w:tc>
          <w:tcPr>
            <w:tcW w:w="684" w:type="dxa"/>
            <w:tcBorders>
              <w:top w:val="nil"/>
              <w:left w:val="nil"/>
              <w:bottom w:val="single" w:sz="4" w:space="0" w:color="auto"/>
              <w:right w:val="single" w:sz="4" w:space="0" w:color="auto"/>
            </w:tcBorders>
            <w:shd w:val="clear" w:color="auto" w:fill="auto"/>
            <w:noWrap/>
            <w:vAlign w:val="center"/>
            <w:hideMark/>
          </w:tcPr>
          <w:p w14:paraId="744FF0F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0,01</w:t>
            </w:r>
          </w:p>
        </w:tc>
        <w:tc>
          <w:tcPr>
            <w:tcW w:w="684" w:type="dxa"/>
            <w:tcBorders>
              <w:top w:val="nil"/>
              <w:left w:val="nil"/>
              <w:bottom w:val="single" w:sz="4" w:space="0" w:color="auto"/>
              <w:right w:val="single" w:sz="4" w:space="0" w:color="auto"/>
            </w:tcBorders>
            <w:shd w:val="clear" w:color="auto" w:fill="auto"/>
            <w:noWrap/>
            <w:vAlign w:val="center"/>
            <w:hideMark/>
          </w:tcPr>
          <w:p w14:paraId="39DCCA9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6655C59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w:t>
            </w:r>
          </w:p>
        </w:tc>
        <w:tc>
          <w:tcPr>
            <w:tcW w:w="684" w:type="dxa"/>
            <w:tcBorders>
              <w:top w:val="nil"/>
              <w:left w:val="nil"/>
              <w:bottom w:val="single" w:sz="4" w:space="0" w:color="auto"/>
              <w:right w:val="single" w:sz="4" w:space="0" w:color="auto"/>
            </w:tcBorders>
            <w:shd w:val="clear" w:color="auto" w:fill="auto"/>
            <w:noWrap/>
            <w:vAlign w:val="center"/>
            <w:hideMark/>
          </w:tcPr>
          <w:p w14:paraId="0389586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r w:rsidR="003A4423" w:rsidRPr="00DB0DEF" w14:paraId="7DC36648" w14:textId="77777777" w:rsidTr="00007067">
        <w:trPr>
          <w:trHeight w:hRule="exact" w:val="227"/>
          <w:jc w:val="center"/>
        </w:trPr>
        <w:tc>
          <w:tcPr>
            <w:tcW w:w="520" w:type="dxa"/>
            <w:vMerge/>
            <w:tcBorders>
              <w:top w:val="nil"/>
              <w:left w:val="single" w:sz="4" w:space="0" w:color="auto"/>
              <w:bottom w:val="single" w:sz="4" w:space="0" w:color="auto"/>
              <w:right w:val="single" w:sz="4" w:space="0" w:color="auto"/>
            </w:tcBorders>
            <w:vAlign w:val="center"/>
            <w:hideMark/>
          </w:tcPr>
          <w:p w14:paraId="6B745146"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740" w:type="dxa"/>
            <w:tcBorders>
              <w:top w:val="nil"/>
              <w:left w:val="nil"/>
              <w:bottom w:val="single" w:sz="4" w:space="0" w:color="auto"/>
              <w:right w:val="single" w:sz="4" w:space="0" w:color="auto"/>
            </w:tcBorders>
            <w:shd w:val="clear" w:color="auto" w:fill="auto"/>
            <w:noWrap/>
            <w:hideMark/>
          </w:tcPr>
          <w:p w14:paraId="685ED0DB"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685" w:type="dxa"/>
            <w:tcBorders>
              <w:top w:val="nil"/>
              <w:left w:val="nil"/>
              <w:bottom w:val="single" w:sz="4" w:space="0" w:color="auto"/>
              <w:right w:val="single" w:sz="4" w:space="0" w:color="auto"/>
            </w:tcBorders>
            <w:shd w:val="clear" w:color="auto" w:fill="auto"/>
            <w:noWrap/>
            <w:vAlign w:val="center"/>
            <w:hideMark/>
          </w:tcPr>
          <w:p w14:paraId="187F471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65D6F58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029704E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684" w:type="dxa"/>
            <w:tcBorders>
              <w:top w:val="nil"/>
              <w:left w:val="nil"/>
              <w:bottom w:val="single" w:sz="4" w:space="0" w:color="auto"/>
              <w:right w:val="single" w:sz="4" w:space="0" w:color="auto"/>
            </w:tcBorders>
            <w:shd w:val="clear" w:color="auto" w:fill="auto"/>
            <w:noWrap/>
            <w:vAlign w:val="center"/>
            <w:hideMark/>
          </w:tcPr>
          <w:p w14:paraId="76A3F43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0,04</w:t>
            </w:r>
          </w:p>
        </w:tc>
        <w:tc>
          <w:tcPr>
            <w:tcW w:w="684" w:type="dxa"/>
            <w:tcBorders>
              <w:top w:val="nil"/>
              <w:left w:val="nil"/>
              <w:bottom w:val="single" w:sz="4" w:space="0" w:color="auto"/>
              <w:right w:val="single" w:sz="4" w:space="0" w:color="auto"/>
            </w:tcBorders>
            <w:shd w:val="clear" w:color="auto" w:fill="auto"/>
            <w:noWrap/>
            <w:vAlign w:val="center"/>
            <w:hideMark/>
          </w:tcPr>
          <w:p w14:paraId="0ADD148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0,04</w:t>
            </w:r>
          </w:p>
        </w:tc>
        <w:tc>
          <w:tcPr>
            <w:tcW w:w="684" w:type="dxa"/>
            <w:tcBorders>
              <w:top w:val="nil"/>
              <w:left w:val="nil"/>
              <w:bottom w:val="single" w:sz="4" w:space="0" w:color="auto"/>
              <w:right w:val="single" w:sz="4" w:space="0" w:color="auto"/>
            </w:tcBorders>
            <w:shd w:val="clear" w:color="auto" w:fill="auto"/>
            <w:noWrap/>
            <w:vAlign w:val="center"/>
            <w:hideMark/>
          </w:tcPr>
          <w:p w14:paraId="5E69B6D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c>
          <w:tcPr>
            <w:tcW w:w="811" w:type="dxa"/>
            <w:tcBorders>
              <w:top w:val="nil"/>
              <w:left w:val="nil"/>
              <w:bottom w:val="single" w:sz="4" w:space="0" w:color="auto"/>
              <w:right w:val="single" w:sz="4" w:space="0" w:color="auto"/>
            </w:tcBorders>
            <w:shd w:val="clear" w:color="auto" w:fill="auto"/>
            <w:noWrap/>
            <w:vAlign w:val="center"/>
            <w:hideMark/>
          </w:tcPr>
          <w:p w14:paraId="1898459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0,02</w:t>
            </w:r>
          </w:p>
        </w:tc>
        <w:tc>
          <w:tcPr>
            <w:tcW w:w="684" w:type="dxa"/>
            <w:tcBorders>
              <w:top w:val="nil"/>
              <w:left w:val="nil"/>
              <w:bottom w:val="single" w:sz="4" w:space="0" w:color="auto"/>
              <w:right w:val="single" w:sz="4" w:space="0" w:color="auto"/>
            </w:tcBorders>
            <w:shd w:val="clear" w:color="auto" w:fill="auto"/>
            <w:noWrap/>
            <w:vAlign w:val="center"/>
            <w:hideMark/>
          </w:tcPr>
          <w:p w14:paraId="24B2E33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w:t>
            </w:r>
          </w:p>
        </w:tc>
      </w:tr>
    </w:tbl>
    <w:p w14:paraId="4FF3230C" w14:textId="3D94582E" w:rsidR="003A4423" w:rsidRPr="00DB0DEF" w:rsidRDefault="003A4423" w:rsidP="00D40ACF">
      <w:pPr>
        <w:spacing w:after="120"/>
        <w:ind w:firstLine="426"/>
        <w:contextualSpacing/>
        <w:jc w:val="center"/>
        <w:rPr>
          <w:rFonts w:ascii="Times New Roman" w:hAnsi="Times New Roman" w:cs="Times New Roman"/>
          <w:b/>
          <w:bCs/>
        </w:rPr>
      </w:pPr>
    </w:p>
    <w:p w14:paraId="07C127C4" w14:textId="2D73A046" w:rsidR="008513B2" w:rsidRPr="00DB0DEF" w:rsidRDefault="00820B52" w:rsidP="00D40ACF">
      <w:pPr>
        <w:spacing w:after="120"/>
        <w:ind w:firstLine="426"/>
        <w:contextualSpacing/>
        <w:rPr>
          <w:rFonts w:ascii="Times New Roman" w:hAnsi="Times New Roman" w:cs="Times New Roman"/>
        </w:rPr>
      </w:pPr>
      <w:r w:rsidRPr="00DB0DEF">
        <w:rPr>
          <w:rFonts w:ascii="Times New Roman" w:hAnsi="Times New Roman" w:cs="Times New Roman"/>
          <w:b/>
          <w:bCs/>
        </w:rPr>
        <w:t xml:space="preserve">Adım 4: </w:t>
      </w:r>
      <w:r w:rsidR="00315E01" w:rsidRPr="00DB0DEF">
        <w:rPr>
          <w:rFonts w:ascii="Times New Roman" w:hAnsi="Times New Roman" w:cs="Times New Roman"/>
          <w:b/>
          <w:bCs/>
        </w:rPr>
        <w:t>İdeal (A+) ve Negatif İdeal (A-) Çözümler</w:t>
      </w:r>
      <w:r w:rsidRPr="00DB0DEF">
        <w:rPr>
          <w:rFonts w:ascii="Times New Roman" w:hAnsi="Times New Roman" w:cs="Times New Roman"/>
          <w:b/>
          <w:bCs/>
        </w:rPr>
        <w:t>in Oluşturulması:</w:t>
      </w:r>
    </w:p>
    <w:p w14:paraId="03666421" w14:textId="4BFB778C" w:rsidR="005A6E81" w:rsidRDefault="00820B52"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Bu adımda, ideal A+ ve negatif ideal A- çözüm kümeleri oluşturulmaktadır. A+ seti için V matrisinin her bir sütunundaki en büyük değer, A- seti için V matrisinin her bir sütunundaki en küçük değer seçilmiş ve kümeler </w:t>
      </w:r>
      <w:r w:rsidR="00615829" w:rsidRPr="00DB0DEF">
        <w:rPr>
          <w:rFonts w:ascii="Times New Roman" w:hAnsi="Times New Roman" w:cs="Times New Roman"/>
        </w:rPr>
        <w:t>şu</w:t>
      </w:r>
      <w:r w:rsidR="00275E26" w:rsidRPr="00DB0DEF">
        <w:rPr>
          <w:rFonts w:ascii="Times New Roman" w:hAnsi="Times New Roman" w:cs="Times New Roman"/>
        </w:rPr>
        <w:t xml:space="preserve"> şekilde</w:t>
      </w:r>
      <w:r w:rsidRPr="00DB0DEF">
        <w:rPr>
          <w:rFonts w:ascii="Times New Roman" w:hAnsi="Times New Roman" w:cs="Times New Roman"/>
        </w:rPr>
        <w:t xml:space="preserve"> oluşturulmuştur</w:t>
      </w:r>
      <w:r w:rsidR="00615829" w:rsidRPr="00DB0DEF">
        <w:rPr>
          <w:rFonts w:ascii="Times New Roman" w:hAnsi="Times New Roman" w:cs="Times New Roman"/>
        </w:rPr>
        <w:t>:</w:t>
      </w:r>
    </w:p>
    <w:p w14:paraId="09260EF4" w14:textId="77777777" w:rsidR="0053595D" w:rsidRPr="00DB0DEF" w:rsidRDefault="0053595D" w:rsidP="00D40ACF">
      <w:pPr>
        <w:spacing w:after="120"/>
        <w:ind w:firstLine="426"/>
        <w:contextualSpacing/>
        <w:jc w:val="both"/>
        <w:rPr>
          <w:rFonts w:ascii="Times New Roman" w:hAnsi="Times New Roman" w:cs="Times New Roman"/>
        </w:rPr>
      </w:pPr>
    </w:p>
    <w:p w14:paraId="5F181FEA" w14:textId="15A51293" w:rsidR="00275E26" w:rsidRPr="00DB0DEF" w:rsidRDefault="00275E26" w:rsidP="001B10CF">
      <w:pPr>
        <w:spacing w:after="120"/>
        <w:ind w:firstLine="425"/>
        <w:jc w:val="center"/>
        <w:rPr>
          <w:rFonts w:ascii="Times New Roman" w:hAnsi="Times New Roman" w:cs="Times New Roman"/>
          <w:b/>
          <w:bCs/>
        </w:rPr>
      </w:pPr>
      <w:r w:rsidRPr="00DB0DEF">
        <w:rPr>
          <w:rFonts w:ascii="Times New Roman" w:hAnsi="Times New Roman" w:cs="Times New Roman"/>
          <w:b/>
          <w:bCs/>
        </w:rPr>
        <w:lastRenderedPageBreak/>
        <w:t xml:space="preserve">Tablo </w:t>
      </w:r>
      <w:r w:rsidR="00DB0DEF">
        <w:rPr>
          <w:rFonts w:ascii="Times New Roman" w:hAnsi="Times New Roman" w:cs="Times New Roman"/>
          <w:b/>
          <w:bCs/>
        </w:rPr>
        <w:t>8</w:t>
      </w:r>
      <w:r w:rsidRPr="00DB0DEF">
        <w:rPr>
          <w:rFonts w:ascii="Times New Roman" w:hAnsi="Times New Roman" w:cs="Times New Roman"/>
          <w:b/>
          <w:bCs/>
        </w:rPr>
        <w:t xml:space="preserve">: </w:t>
      </w:r>
      <w:r w:rsidR="00315E01" w:rsidRPr="00DB0DEF">
        <w:rPr>
          <w:rFonts w:ascii="Times New Roman" w:hAnsi="Times New Roman" w:cs="Times New Roman"/>
          <w:b/>
          <w:bCs/>
        </w:rPr>
        <w:t>İdeal (A+) ve Negatif İdeal (A-) Çözümler</w:t>
      </w:r>
    </w:p>
    <w:tbl>
      <w:tblPr>
        <w:tblW w:w="6362" w:type="dxa"/>
        <w:jc w:val="center"/>
        <w:tblCellMar>
          <w:left w:w="70" w:type="dxa"/>
          <w:right w:w="70" w:type="dxa"/>
        </w:tblCellMar>
        <w:tblLook w:val="04A0" w:firstRow="1" w:lastRow="0" w:firstColumn="1" w:lastColumn="0" w:noHBand="0" w:noVBand="1"/>
      </w:tblPr>
      <w:tblGrid>
        <w:gridCol w:w="700"/>
        <w:gridCol w:w="683"/>
        <w:gridCol w:w="683"/>
        <w:gridCol w:w="683"/>
        <w:gridCol w:w="683"/>
        <w:gridCol w:w="683"/>
        <w:gridCol w:w="683"/>
        <w:gridCol w:w="782"/>
        <w:gridCol w:w="782"/>
      </w:tblGrid>
      <w:tr w:rsidR="003A4423" w:rsidRPr="00DB0DEF" w14:paraId="67224578" w14:textId="77777777" w:rsidTr="003A4423">
        <w:trPr>
          <w:trHeight w:val="255"/>
          <w:jc w:val="center"/>
        </w:trPr>
        <w:tc>
          <w:tcPr>
            <w:tcW w:w="700"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bottom"/>
            <w:hideMark/>
          </w:tcPr>
          <w:p w14:paraId="00C94154"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 </w:t>
            </w:r>
          </w:p>
        </w:tc>
        <w:tc>
          <w:tcPr>
            <w:tcW w:w="5662" w:type="dxa"/>
            <w:gridSpan w:val="8"/>
            <w:tcBorders>
              <w:top w:val="single" w:sz="4" w:space="0" w:color="auto"/>
              <w:left w:val="nil"/>
              <w:bottom w:val="single" w:sz="4" w:space="0" w:color="auto"/>
              <w:right w:val="single" w:sz="4" w:space="0" w:color="auto"/>
            </w:tcBorders>
            <w:shd w:val="clear" w:color="000000" w:fill="F2F2F2"/>
            <w:noWrap/>
            <w:vAlign w:val="bottom"/>
            <w:hideMark/>
          </w:tcPr>
          <w:p w14:paraId="43DBED10" w14:textId="532728E8" w:rsidR="003A4423" w:rsidRPr="00DB0DEF" w:rsidRDefault="000960ED" w:rsidP="00D40ACF">
            <w:pPr>
              <w:spacing w:after="120"/>
              <w:contextualSpacing/>
              <w:jc w:val="center"/>
              <w:rPr>
                <w:rFonts w:ascii="Times New Roman" w:eastAsia="Times New Roman" w:hAnsi="Times New Roman" w:cs="Times New Roman"/>
                <w:b/>
                <w:bCs/>
                <w:noProof w:val="0"/>
                <w:color w:val="000000"/>
                <w:sz w:val="20"/>
                <w:szCs w:val="20"/>
                <w:lang w:eastAsia="tr-TR"/>
              </w:rPr>
            </w:pPr>
            <w:r>
              <w:rPr>
                <w:rFonts w:ascii="Times New Roman" w:eastAsia="Times New Roman" w:hAnsi="Times New Roman" w:cs="Times New Roman"/>
                <w:b/>
                <w:bCs/>
                <w:noProof w:val="0"/>
                <w:color w:val="000000"/>
                <w:sz w:val="20"/>
                <w:szCs w:val="20"/>
                <w:lang w:eastAsia="tr-TR"/>
              </w:rPr>
              <w:t xml:space="preserve">Değerlendirme Kriterleri </w:t>
            </w:r>
            <w:r w:rsidRPr="00DB0DEF">
              <w:rPr>
                <w:rFonts w:ascii="Times New Roman" w:eastAsia="Times New Roman" w:hAnsi="Times New Roman" w:cs="Times New Roman"/>
                <w:b/>
                <w:bCs/>
                <w:noProof w:val="0"/>
                <w:color w:val="000000"/>
                <w:sz w:val="20"/>
                <w:szCs w:val="20"/>
                <w:lang w:eastAsia="tr-TR"/>
              </w:rPr>
              <w:t>(</w:t>
            </w:r>
            <w:r>
              <w:rPr>
                <w:rFonts w:ascii="Times New Roman" w:eastAsia="Times New Roman" w:hAnsi="Times New Roman" w:cs="Times New Roman"/>
                <w:b/>
                <w:bCs/>
                <w:noProof w:val="0"/>
                <w:color w:val="000000"/>
                <w:sz w:val="20"/>
                <w:szCs w:val="20"/>
                <w:lang w:eastAsia="tr-TR"/>
              </w:rPr>
              <w:t>Finansal Oranlar</w:t>
            </w:r>
            <w:r w:rsidRPr="00DB0DEF">
              <w:rPr>
                <w:rFonts w:ascii="Times New Roman" w:eastAsia="Times New Roman" w:hAnsi="Times New Roman" w:cs="Times New Roman"/>
                <w:b/>
                <w:bCs/>
                <w:noProof w:val="0"/>
                <w:color w:val="000000"/>
                <w:sz w:val="20"/>
                <w:szCs w:val="20"/>
                <w:lang w:eastAsia="tr-TR"/>
              </w:rPr>
              <w:t>)</w:t>
            </w:r>
          </w:p>
        </w:tc>
      </w:tr>
      <w:tr w:rsidR="003A4423" w:rsidRPr="00DB0DEF" w14:paraId="7155A942" w14:textId="77777777" w:rsidTr="003A4423">
        <w:trPr>
          <w:trHeight w:val="300"/>
          <w:jc w:val="center"/>
        </w:trPr>
        <w:tc>
          <w:tcPr>
            <w:tcW w:w="700" w:type="dxa"/>
            <w:vMerge/>
            <w:tcBorders>
              <w:top w:val="single" w:sz="4" w:space="0" w:color="auto"/>
              <w:left w:val="single" w:sz="4" w:space="0" w:color="auto"/>
              <w:bottom w:val="single" w:sz="4" w:space="0" w:color="000000"/>
              <w:right w:val="single" w:sz="4" w:space="0" w:color="auto"/>
            </w:tcBorders>
            <w:vAlign w:val="center"/>
            <w:hideMark/>
          </w:tcPr>
          <w:p w14:paraId="28CFFCEA" w14:textId="77777777" w:rsidR="003A4423" w:rsidRPr="00DB0DEF" w:rsidRDefault="003A4423" w:rsidP="00D40ACF">
            <w:pPr>
              <w:spacing w:after="120"/>
              <w:contextualSpacing/>
              <w:rPr>
                <w:rFonts w:ascii="Times New Roman" w:eastAsia="Times New Roman" w:hAnsi="Times New Roman" w:cs="Times New Roman"/>
                <w:b/>
                <w:bCs/>
                <w:noProof w:val="0"/>
                <w:color w:val="000000"/>
                <w:sz w:val="20"/>
                <w:szCs w:val="20"/>
                <w:lang w:eastAsia="tr-TR"/>
              </w:rPr>
            </w:pPr>
          </w:p>
        </w:tc>
        <w:tc>
          <w:tcPr>
            <w:tcW w:w="683" w:type="dxa"/>
            <w:tcBorders>
              <w:top w:val="nil"/>
              <w:left w:val="nil"/>
              <w:bottom w:val="single" w:sz="4" w:space="0" w:color="auto"/>
              <w:right w:val="single" w:sz="4" w:space="0" w:color="auto"/>
            </w:tcBorders>
            <w:shd w:val="clear" w:color="000000" w:fill="F2F2F2"/>
            <w:noWrap/>
            <w:vAlign w:val="center"/>
            <w:hideMark/>
          </w:tcPr>
          <w:p w14:paraId="4E265B33"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CO</w:t>
            </w:r>
          </w:p>
        </w:tc>
        <w:tc>
          <w:tcPr>
            <w:tcW w:w="683" w:type="dxa"/>
            <w:tcBorders>
              <w:top w:val="nil"/>
              <w:left w:val="nil"/>
              <w:bottom w:val="single" w:sz="4" w:space="0" w:color="auto"/>
              <w:right w:val="single" w:sz="4" w:space="0" w:color="auto"/>
            </w:tcBorders>
            <w:shd w:val="clear" w:color="000000" w:fill="F2F2F2"/>
            <w:noWrap/>
            <w:vAlign w:val="center"/>
            <w:hideMark/>
          </w:tcPr>
          <w:p w14:paraId="3085843A"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NO</w:t>
            </w:r>
          </w:p>
        </w:tc>
        <w:tc>
          <w:tcPr>
            <w:tcW w:w="683" w:type="dxa"/>
            <w:tcBorders>
              <w:top w:val="nil"/>
              <w:left w:val="nil"/>
              <w:bottom w:val="single" w:sz="4" w:space="0" w:color="auto"/>
              <w:right w:val="single" w:sz="4" w:space="0" w:color="auto"/>
            </w:tcBorders>
            <w:shd w:val="clear" w:color="000000" w:fill="F2F2F2"/>
            <w:noWrap/>
            <w:vAlign w:val="center"/>
            <w:hideMark/>
          </w:tcPr>
          <w:p w14:paraId="0D2E709A"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SD</w:t>
            </w:r>
          </w:p>
        </w:tc>
        <w:tc>
          <w:tcPr>
            <w:tcW w:w="683" w:type="dxa"/>
            <w:tcBorders>
              <w:top w:val="nil"/>
              <w:left w:val="nil"/>
              <w:bottom w:val="single" w:sz="4" w:space="0" w:color="auto"/>
              <w:right w:val="single" w:sz="4" w:space="0" w:color="auto"/>
            </w:tcBorders>
            <w:shd w:val="clear" w:color="000000" w:fill="F2F2F2"/>
            <w:noWrap/>
            <w:vAlign w:val="center"/>
            <w:hideMark/>
          </w:tcPr>
          <w:p w14:paraId="49A27B04"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AD</w:t>
            </w:r>
          </w:p>
        </w:tc>
        <w:tc>
          <w:tcPr>
            <w:tcW w:w="683" w:type="dxa"/>
            <w:tcBorders>
              <w:top w:val="nil"/>
              <w:left w:val="nil"/>
              <w:bottom w:val="single" w:sz="4" w:space="0" w:color="auto"/>
              <w:right w:val="single" w:sz="4" w:space="0" w:color="auto"/>
            </w:tcBorders>
            <w:shd w:val="clear" w:color="000000" w:fill="F2F2F2"/>
            <w:noWrap/>
            <w:vAlign w:val="center"/>
            <w:hideMark/>
          </w:tcPr>
          <w:p w14:paraId="795635B2"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KO</w:t>
            </w:r>
          </w:p>
        </w:tc>
        <w:tc>
          <w:tcPr>
            <w:tcW w:w="683" w:type="dxa"/>
            <w:tcBorders>
              <w:top w:val="nil"/>
              <w:left w:val="nil"/>
              <w:bottom w:val="single" w:sz="4" w:space="0" w:color="auto"/>
              <w:right w:val="single" w:sz="4" w:space="0" w:color="auto"/>
            </w:tcBorders>
            <w:shd w:val="clear" w:color="000000" w:fill="F2F2F2"/>
            <w:noWrap/>
            <w:vAlign w:val="center"/>
            <w:hideMark/>
          </w:tcPr>
          <w:p w14:paraId="7B56E76B"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FO</w:t>
            </w:r>
          </w:p>
        </w:tc>
        <w:tc>
          <w:tcPr>
            <w:tcW w:w="782" w:type="dxa"/>
            <w:tcBorders>
              <w:top w:val="nil"/>
              <w:left w:val="nil"/>
              <w:bottom w:val="single" w:sz="4" w:space="0" w:color="auto"/>
              <w:right w:val="single" w:sz="4" w:space="0" w:color="auto"/>
            </w:tcBorders>
            <w:shd w:val="clear" w:color="000000" w:fill="F2F2F2"/>
            <w:noWrap/>
            <w:vAlign w:val="center"/>
            <w:hideMark/>
          </w:tcPr>
          <w:p w14:paraId="4FF8FA84"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AK</w:t>
            </w:r>
          </w:p>
        </w:tc>
        <w:tc>
          <w:tcPr>
            <w:tcW w:w="782" w:type="dxa"/>
            <w:tcBorders>
              <w:top w:val="nil"/>
              <w:left w:val="nil"/>
              <w:bottom w:val="single" w:sz="4" w:space="0" w:color="auto"/>
              <w:right w:val="single" w:sz="4" w:space="0" w:color="auto"/>
            </w:tcBorders>
            <w:shd w:val="clear" w:color="000000" w:fill="F2F2F2"/>
            <w:noWrap/>
            <w:vAlign w:val="center"/>
            <w:hideMark/>
          </w:tcPr>
          <w:p w14:paraId="1DAF8388"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ÖK</w:t>
            </w:r>
          </w:p>
        </w:tc>
      </w:tr>
      <w:tr w:rsidR="003A4423" w:rsidRPr="00DB0DEF" w14:paraId="3CCC21EE" w14:textId="77777777" w:rsidTr="003A4423">
        <w:trPr>
          <w:trHeight w:val="255"/>
          <w:jc w:val="center"/>
        </w:trPr>
        <w:tc>
          <w:tcPr>
            <w:tcW w:w="700" w:type="dxa"/>
            <w:tcBorders>
              <w:top w:val="nil"/>
              <w:left w:val="single" w:sz="4" w:space="0" w:color="auto"/>
              <w:bottom w:val="single" w:sz="4" w:space="0" w:color="auto"/>
              <w:right w:val="single" w:sz="4" w:space="0" w:color="auto"/>
            </w:tcBorders>
            <w:shd w:val="clear" w:color="000000" w:fill="F2F2F2"/>
            <w:noWrap/>
            <w:vAlign w:val="bottom"/>
            <w:hideMark/>
          </w:tcPr>
          <w:p w14:paraId="7E4B334C" w14:textId="77777777" w:rsidR="003A4423" w:rsidRPr="00DB0DEF" w:rsidRDefault="003A4423" w:rsidP="00D40ACF">
            <w:pPr>
              <w:spacing w:after="120"/>
              <w:contextualSpacing/>
              <w:jc w:val="right"/>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w:t>
            </w:r>
          </w:p>
        </w:tc>
        <w:tc>
          <w:tcPr>
            <w:tcW w:w="683" w:type="dxa"/>
            <w:tcBorders>
              <w:top w:val="nil"/>
              <w:left w:val="nil"/>
              <w:bottom w:val="single" w:sz="4" w:space="0" w:color="auto"/>
              <w:right w:val="single" w:sz="4" w:space="0" w:color="auto"/>
            </w:tcBorders>
            <w:shd w:val="clear" w:color="auto" w:fill="auto"/>
            <w:noWrap/>
            <w:vAlign w:val="bottom"/>
            <w:hideMark/>
          </w:tcPr>
          <w:p w14:paraId="25FBE13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0,095</w:t>
            </w:r>
          </w:p>
        </w:tc>
        <w:tc>
          <w:tcPr>
            <w:tcW w:w="683" w:type="dxa"/>
            <w:tcBorders>
              <w:top w:val="nil"/>
              <w:left w:val="nil"/>
              <w:bottom w:val="single" w:sz="4" w:space="0" w:color="auto"/>
              <w:right w:val="single" w:sz="4" w:space="0" w:color="auto"/>
            </w:tcBorders>
            <w:shd w:val="clear" w:color="auto" w:fill="auto"/>
            <w:noWrap/>
            <w:vAlign w:val="bottom"/>
            <w:hideMark/>
          </w:tcPr>
          <w:p w14:paraId="4AFC0FD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0,084</w:t>
            </w:r>
          </w:p>
        </w:tc>
        <w:tc>
          <w:tcPr>
            <w:tcW w:w="683" w:type="dxa"/>
            <w:tcBorders>
              <w:top w:val="nil"/>
              <w:left w:val="nil"/>
              <w:bottom w:val="single" w:sz="4" w:space="0" w:color="auto"/>
              <w:right w:val="single" w:sz="4" w:space="0" w:color="auto"/>
            </w:tcBorders>
            <w:shd w:val="clear" w:color="auto" w:fill="auto"/>
            <w:noWrap/>
            <w:vAlign w:val="bottom"/>
            <w:hideMark/>
          </w:tcPr>
          <w:p w14:paraId="42F9680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0,090</w:t>
            </w:r>
          </w:p>
        </w:tc>
        <w:tc>
          <w:tcPr>
            <w:tcW w:w="683" w:type="dxa"/>
            <w:tcBorders>
              <w:top w:val="nil"/>
              <w:left w:val="nil"/>
              <w:bottom w:val="single" w:sz="4" w:space="0" w:color="auto"/>
              <w:right w:val="single" w:sz="4" w:space="0" w:color="auto"/>
            </w:tcBorders>
            <w:shd w:val="clear" w:color="auto" w:fill="auto"/>
            <w:noWrap/>
            <w:vAlign w:val="bottom"/>
            <w:hideMark/>
          </w:tcPr>
          <w:p w14:paraId="7519A19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0,113</w:t>
            </w:r>
          </w:p>
        </w:tc>
        <w:tc>
          <w:tcPr>
            <w:tcW w:w="683" w:type="dxa"/>
            <w:tcBorders>
              <w:top w:val="nil"/>
              <w:left w:val="nil"/>
              <w:bottom w:val="single" w:sz="4" w:space="0" w:color="auto"/>
              <w:right w:val="single" w:sz="4" w:space="0" w:color="auto"/>
            </w:tcBorders>
            <w:shd w:val="clear" w:color="auto" w:fill="auto"/>
            <w:noWrap/>
            <w:vAlign w:val="bottom"/>
            <w:hideMark/>
          </w:tcPr>
          <w:p w14:paraId="7359537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0,000</w:t>
            </w:r>
          </w:p>
        </w:tc>
        <w:tc>
          <w:tcPr>
            <w:tcW w:w="683" w:type="dxa"/>
            <w:tcBorders>
              <w:top w:val="nil"/>
              <w:left w:val="nil"/>
              <w:bottom w:val="single" w:sz="4" w:space="0" w:color="auto"/>
              <w:right w:val="single" w:sz="4" w:space="0" w:color="auto"/>
            </w:tcBorders>
            <w:shd w:val="clear" w:color="auto" w:fill="auto"/>
            <w:noWrap/>
            <w:vAlign w:val="bottom"/>
            <w:hideMark/>
          </w:tcPr>
          <w:p w14:paraId="44E47AE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0,115</w:t>
            </w:r>
          </w:p>
        </w:tc>
        <w:tc>
          <w:tcPr>
            <w:tcW w:w="782" w:type="dxa"/>
            <w:tcBorders>
              <w:top w:val="nil"/>
              <w:left w:val="nil"/>
              <w:bottom w:val="single" w:sz="4" w:space="0" w:color="auto"/>
              <w:right w:val="single" w:sz="4" w:space="0" w:color="auto"/>
            </w:tcBorders>
            <w:shd w:val="clear" w:color="auto" w:fill="auto"/>
            <w:noWrap/>
            <w:vAlign w:val="bottom"/>
            <w:hideMark/>
          </w:tcPr>
          <w:p w14:paraId="0C4C25C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0,069</w:t>
            </w:r>
          </w:p>
        </w:tc>
        <w:tc>
          <w:tcPr>
            <w:tcW w:w="782" w:type="dxa"/>
            <w:tcBorders>
              <w:top w:val="nil"/>
              <w:left w:val="nil"/>
              <w:bottom w:val="single" w:sz="4" w:space="0" w:color="auto"/>
              <w:right w:val="single" w:sz="4" w:space="0" w:color="auto"/>
            </w:tcBorders>
            <w:shd w:val="clear" w:color="auto" w:fill="auto"/>
            <w:noWrap/>
            <w:vAlign w:val="bottom"/>
            <w:hideMark/>
          </w:tcPr>
          <w:p w14:paraId="6051CA5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0,008</w:t>
            </w:r>
          </w:p>
        </w:tc>
      </w:tr>
      <w:tr w:rsidR="003A4423" w:rsidRPr="00DB0DEF" w14:paraId="2203DC9C" w14:textId="77777777" w:rsidTr="003A4423">
        <w:trPr>
          <w:trHeight w:val="255"/>
          <w:jc w:val="center"/>
        </w:trPr>
        <w:tc>
          <w:tcPr>
            <w:tcW w:w="700" w:type="dxa"/>
            <w:tcBorders>
              <w:top w:val="nil"/>
              <w:left w:val="single" w:sz="4" w:space="0" w:color="auto"/>
              <w:bottom w:val="single" w:sz="4" w:space="0" w:color="auto"/>
              <w:right w:val="single" w:sz="4" w:space="0" w:color="auto"/>
            </w:tcBorders>
            <w:shd w:val="clear" w:color="000000" w:fill="F2F2F2"/>
            <w:noWrap/>
            <w:vAlign w:val="bottom"/>
            <w:hideMark/>
          </w:tcPr>
          <w:p w14:paraId="7E3E7562" w14:textId="77777777" w:rsidR="003A4423" w:rsidRPr="00DB0DEF" w:rsidRDefault="003A4423" w:rsidP="00D40ACF">
            <w:pPr>
              <w:spacing w:after="120"/>
              <w:contextualSpacing/>
              <w:jc w:val="right"/>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A-</w:t>
            </w:r>
          </w:p>
        </w:tc>
        <w:tc>
          <w:tcPr>
            <w:tcW w:w="683" w:type="dxa"/>
            <w:tcBorders>
              <w:top w:val="nil"/>
              <w:left w:val="nil"/>
              <w:bottom w:val="single" w:sz="4" w:space="0" w:color="auto"/>
              <w:right w:val="single" w:sz="4" w:space="0" w:color="auto"/>
            </w:tcBorders>
            <w:shd w:val="clear" w:color="auto" w:fill="auto"/>
            <w:noWrap/>
            <w:vAlign w:val="bottom"/>
            <w:hideMark/>
          </w:tcPr>
          <w:p w14:paraId="3D2A2D3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0,001</w:t>
            </w:r>
          </w:p>
        </w:tc>
        <w:tc>
          <w:tcPr>
            <w:tcW w:w="683" w:type="dxa"/>
            <w:tcBorders>
              <w:top w:val="nil"/>
              <w:left w:val="nil"/>
              <w:bottom w:val="single" w:sz="4" w:space="0" w:color="auto"/>
              <w:right w:val="single" w:sz="4" w:space="0" w:color="auto"/>
            </w:tcBorders>
            <w:shd w:val="clear" w:color="auto" w:fill="auto"/>
            <w:noWrap/>
            <w:vAlign w:val="bottom"/>
            <w:hideMark/>
          </w:tcPr>
          <w:p w14:paraId="161526C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0,000</w:t>
            </w:r>
          </w:p>
        </w:tc>
        <w:tc>
          <w:tcPr>
            <w:tcW w:w="683" w:type="dxa"/>
            <w:tcBorders>
              <w:top w:val="nil"/>
              <w:left w:val="nil"/>
              <w:bottom w:val="single" w:sz="4" w:space="0" w:color="auto"/>
              <w:right w:val="single" w:sz="4" w:space="0" w:color="auto"/>
            </w:tcBorders>
            <w:shd w:val="clear" w:color="auto" w:fill="auto"/>
            <w:noWrap/>
            <w:vAlign w:val="bottom"/>
            <w:hideMark/>
          </w:tcPr>
          <w:p w14:paraId="447DF9B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0,000</w:t>
            </w:r>
          </w:p>
        </w:tc>
        <w:tc>
          <w:tcPr>
            <w:tcW w:w="683" w:type="dxa"/>
            <w:tcBorders>
              <w:top w:val="nil"/>
              <w:left w:val="nil"/>
              <w:bottom w:val="single" w:sz="4" w:space="0" w:color="auto"/>
              <w:right w:val="single" w:sz="4" w:space="0" w:color="auto"/>
            </w:tcBorders>
            <w:shd w:val="clear" w:color="auto" w:fill="auto"/>
            <w:noWrap/>
            <w:vAlign w:val="bottom"/>
            <w:hideMark/>
          </w:tcPr>
          <w:p w14:paraId="2FE27FC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0,000</w:t>
            </w:r>
          </w:p>
        </w:tc>
        <w:tc>
          <w:tcPr>
            <w:tcW w:w="683" w:type="dxa"/>
            <w:tcBorders>
              <w:top w:val="nil"/>
              <w:left w:val="nil"/>
              <w:bottom w:val="single" w:sz="4" w:space="0" w:color="auto"/>
              <w:right w:val="single" w:sz="4" w:space="0" w:color="auto"/>
            </w:tcBorders>
            <w:shd w:val="clear" w:color="auto" w:fill="auto"/>
            <w:noWrap/>
            <w:vAlign w:val="bottom"/>
            <w:hideMark/>
          </w:tcPr>
          <w:p w14:paraId="1F4CF75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0,111</w:t>
            </w:r>
          </w:p>
        </w:tc>
        <w:tc>
          <w:tcPr>
            <w:tcW w:w="683" w:type="dxa"/>
            <w:tcBorders>
              <w:top w:val="nil"/>
              <w:left w:val="nil"/>
              <w:bottom w:val="single" w:sz="4" w:space="0" w:color="auto"/>
              <w:right w:val="single" w:sz="4" w:space="0" w:color="auto"/>
            </w:tcBorders>
            <w:shd w:val="clear" w:color="auto" w:fill="auto"/>
            <w:noWrap/>
            <w:vAlign w:val="bottom"/>
            <w:hideMark/>
          </w:tcPr>
          <w:p w14:paraId="66BAB79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0,000</w:t>
            </w:r>
          </w:p>
        </w:tc>
        <w:tc>
          <w:tcPr>
            <w:tcW w:w="782" w:type="dxa"/>
            <w:tcBorders>
              <w:top w:val="nil"/>
              <w:left w:val="nil"/>
              <w:bottom w:val="single" w:sz="4" w:space="0" w:color="auto"/>
              <w:right w:val="single" w:sz="4" w:space="0" w:color="auto"/>
            </w:tcBorders>
            <w:shd w:val="clear" w:color="auto" w:fill="auto"/>
            <w:noWrap/>
            <w:vAlign w:val="bottom"/>
            <w:hideMark/>
          </w:tcPr>
          <w:p w14:paraId="242167D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-0,053</w:t>
            </w:r>
          </w:p>
        </w:tc>
        <w:tc>
          <w:tcPr>
            <w:tcW w:w="782" w:type="dxa"/>
            <w:tcBorders>
              <w:top w:val="nil"/>
              <w:left w:val="nil"/>
              <w:bottom w:val="single" w:sz="4" w:space="0" w:color="auto"/>
              <w:right w:val="single" w:sz="4" w:space="0" w:color="auto"/>
            </w:tcBorders>
            <w:shd w:val="clear" w:color="auto" w:fill="auto"/>
            <w:noWrap/>
            <w:vAlign w:val="bottom"/>
            <w:hideMark/>
          </w:tcPr>
          <w:p w14:paraId="309A142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-0,002</w:t>
            </w:r>
          </w:p>
        </w:tc>
      </w:tr>
    </w:tbl>
    <w:p w14:paraId="7C338DA3" w14:textId="77777777" w:rsidR="003A4423" w:rsidRPr="00DB0DEF" w:rsidRDefault="003A4423" w:rsidP="00D40ACF">
      <w:pPr>
        <w:spacing w:after="120"/>
        <w:ind w:firstLine="426"/>
        <w:contextualSpacing/>
        <w:jc w:val="center"/>
        <w:rPr>
          <w:rFonts w:ascii="Times New Roman" w:hAnsi="Times New Roman" w:cs="Times New Roman"/>
          <w:b/>
          <w:bCs/>
        </w:rPr>
      </w:pPr>
    </w:p>
    <w:p w14:paraId="4DAC0753" w14:textId="15F4C8DE" w:rsidR="00067219" w:rsidRPr="00DB0DEF" w:rsidRDefault="00820B52" w:rsidP="00D40ACF">
      <w:pPr>
        <w:tabs>
          <w:tab w:val="left" w:pos="851"/>
        </w:tabs>
        <w:spacing w:after="120"/>
        <w:ind w:firstLine="426"/>
        <w:contextualSpacing/>
        <w:rPr>
          <w:rFonts w:ascii="Times New Roman" w:hAnsi="Times New Roman" w:cs="Times New Roman"/>
        </w:rPr>
      </w:pPr>
      <w:r w:rsidRPr="00DB0DEF">
        <w:rPr>
          <w:rFonts w:ascii="Times New Roman" w:hAnsi="Times New Roman" w:cs="Times New Roman"/>
          <w:b/>
          <w:bCs/>
        </w:rPr>
        <w:t>Adım 5: Ayırım Ölçülerinin Hesaplanması:</w:t>
      </w:r>
    </w:p>
    <w:p w14:paraId="72B8E041" w14:textId="73BD4011" w:rsidR="0081749C" w:rsidRPr="00DB0DEF" w:rsidRDefault="0081749C" w:rsidP="00A0459A">
      <w:pPr>
        <w:spacing w:after="120"/>
        <w:ind w:firstLine="425"/>
        <w:jc w:val="both"/>
        <w:rPr>
          <w:rFonts w:ascii="Times New Roman" w:hAnsi="Times New Roman" w:cs="Times New Roman"/>
        </w:rPr>
      </w:pPr>
      <w:r w:rsidRPr="00DB0DEF">
        <w:rPr>
          <w:rFonts w:ascii="Times New Roman" w:hAnsi="Times New Roman" w:cs="Times New Roman"/>
        </w:rPr>
        <w:t xml:space="preserve">Her alternatifin pozitif ideal çözümden olan mesafesi (S+) </w:t>
      </w:r>
      <w:r w:rsidR="00A0459A" w:rsidRPr="00DB0DEF">
        <w:rPr>
          <w:rFonts w:ascii="Times New Roman" w:hAnsi="Times New Roman" w:cs="Times New Roman"/>
        </w:rPr>
        <w:t>formül (2) yardımı ile</w:t>
      </w:r>
      <w:r w:rsidRPr="00DB0DEF">
        <w:rPr>
          <w:rFonts w:ascii="Times New Roman" w:hAnsi="Times New Roman" w:cs="Times New Roman"/>
        </w:rPr>
        <w:t xml:space="preserve"> negatif ideal çözümden olan mesafesi (S-) </w:t>
      </w:r>
      <w:r w:rsidR="00A0459A" w:rsidRPr="00DB0DEF">
        <w:rPr>
          <w:rFonts w:ascii="Times New Roman" w:hAnsi="Times New Roman" w:cs="Times New Roman"/>
        </w:rPr>
        <w:t xml:space="preserve">ise formül (3) yardımı ile </w:t>
      </w:r>
      <w:r w:rsidRPr="00DB0DEF">
        <w:rPr>
          <w:rFonts w:ascii="Times New Roman" w:hAnsi="Times New Roman" w:cs="Times New Roman"/>
        </w:rPr>
        <w:t>hesaplanmıştır.</w:t>
      </w:r>
    </w:p>
    <w:p w14:paraId="07CC27A8" w14:textId="77777777" w:rsidR="0081749C" w:rsidRPr="00DB0DEF" w:rsidRDefault="0081749C" w:rsidP="00D40ACF">
      <w:pPr>
        <w:spacing w:after="120"/>
        <w:ind w:firstLine="426"/>
        <w:contextualSpacing/>
        <w:jc w:val="both"/>
        <w:rPr>
          <w:rFonts w:ascii="Times New Roman" w:hAnsi="Times New Roman" w:cs="Times New Roman"/>
        </w:rPr>
      </w:pPr>
      <w:r w:rsidRPr="00DB0DEF">
        <w:rPr>
          <w:rFonts w:ascii="Times New Roman" w:hAnsi="Times New Roman" w:cs="Times New Roman"/>
          <w:b/>
          <w:bCs/>
        </w:rPr>
        <w:t>Adım 6: İdeal Çözüme Göreli Yakınlığın Hesaplanması</w:t>
      </w:r>
    </w:p>
    <w:p w14:paraId="13CB54BC" w14:textId="77777777" w:rsidR="0053595D" w:rsidRDefault="0081749C" w:rsidP="0053595D">
      <w:pPr>
        <w:spacing w:after="120"/>
        <w:ind w:firstLine="425"/>
        <w:jc w:val="both"/>
        <w:rPr>
          <w:rFonts w:ascii="Times New Roman" w:hAnsi="Times New Roman" w:cs="Times New Roman"/>
        </w:rPr>
      </w:pPr>
      <w:r w:rsidRPr="00DB0DEF">
        <w:rPr>
          <w:rFonts w:ascii="Times New Roman" w:hAnsi="Times New Roman" w:cs="Times New Roman"/>
        </w:rPr>
        <w:t>Her bir karar noktasının ideal çözüme göreli yakınlığı (</w:t>
      </w:r>
      <w:r w:rsidR="00B80760" w:rsidRPr="00DB0DEF">
        <w:rPr>
          <w:rFonts w:ascii="Times New Roman" w:hAnsi="Times New Roman" w:cs="Times New Roman"/>
        </w:rPr>
        <w:t>P</w:t>
      </w:r>
      <w:r w:rsidRPr="00DB0DEF">
        <w:rPr>
          <w:rFonts w:ascii="Times New Roman" w:hAnsi="Times New Roman" w:cs="Times New Roman"/>
        </w:rPr>
        <w:t xml:space="preserve">) </w:t>
      </w:r>
      <w:r w:rsidR="00A0459A" w:rsidRPr="00DB0DEF">
        <w:rPr>
          <w:rFonts w:ascii="Times New Roman" w:hAnsi="Times New Roman" w:cs="Times New Roman"/>
        </w:rPr>
        <w:t xml:space="preserve">formül (4) yardımı ile </w:t>
      </w:r>
      <w:r w:rsidRPr="00DB0DEF">
        <w:rPr>
          <w:rFonts w:ascii="Times New Roman" w:hAnsi="Times New Roman" w:cs="Times New Roman"/>
        </w:rPr>
        <w:t>hesaplanmıştır.</w:t>
      </w:r>
      <w:r w:rsidR="00CA143C" w:rsidRPr="00DB0DEF">
        <w:rPr>
          <w:rFonts w:ascii="Times New Roman" w:hAnsi="Times New Roman" w:cs="Times New Roman"/>
        </w:rPr>
        <w:t xml:space="preserve"> </w:t>
      </w:r>
    </w:p>
    <w:p w14:paraId="5B989A27" w14:textId="5E5553F4" w:rsidR="0081749C" w:rsidRPr="00DB0DEF" w:rsidRDefault="0053595D" w:rsidP="0053595D">
      <w:pPr>
        <w:spacing w:before="120" w:after="120"/>
        <w:ind w:firstLine="425"/>
        <w:jc w:val="both"/>
        <w:rPr>
          <w:rFonts w:ascii="Times New Roman" w:hAnsi="Times New Roman" w:cs="Times New Roman"/>
        </w:rPr>
      </w:pPr>
      <w:r>
        <w:rPr>
          <w:rFonts w:ascii="Times New Roman" w:hAnsi="Times New Roman" w:cs="Times New Roman"/>
        </w:rPr>
        <w:t xml:space="preserve">Yapılan hesaplamalar sonucunda </w:t>
      </w:r>
      <w:r w:rsidR="00DF4D56">
        <w:rPr>
          <w:rFonts w:ascii="Times New Roman" w:hAnsi="Times New Roman" w:cs="Times New Roman"/>
        </w:rPr>
        <w:t xml:space="preserve">bulunan </w:t>
      </w:r>
      <w:r>
        <w:rPr>
          <w:rFonts w:ascii="Times New Roman" w:hAnsi="Times New Roman" w:cs="Times New Roman"/>
        </w:rPr>
        <w:t>h</w:t>
      </w:r>
      <w:r w:rsidR="00315E01" w:rsidRPr="00DB0DEF">
        <w:rPr>
          <w:rFonts w:ascii="Times New Roman" w:hAnsi="Times New Roman" w:cs="Times New Roman"/>
        </w:rPr>
        <w:t>er alternatifin pozitif ideal çözüm</w:t>
      </w:r>
      <w:r w:rsidR="00A0459A" w:rsidRPr="00DB0DEF">
        <w:rPr>
          <w:rFonts w:ascii="Times New Roman" w:hAnsi="Times New Roman" w:cs="Times New Roman"/>
        </w:rPr>
        <w:t>e</w:t>
      </w:r>
      <w:r w:rsidR="00315E01" w:rsidRPr="00DB0DEF">
        <w:rPr>
          <w:rFonts w:ascii="Times New Roman" w:hAnsi="Times New Roman" w:cs="Times New Roman"/>
        </w:rPr>
        <w:t xml:space="preserve"> (S+)</w:t>
      </w:r>
      <w:r w:rsidR="00A0459A" w:rsidRPr="00DB0DEF">
        <w:rPr>
          <w:rFonts w:ascii="Times New Roman" w:hAnsi="Times New Roman" w:cs="Times New Roman"/>
        </w:rPr>
        <w:t xml:space="preserve"> ve </w:t>
      </w:r>
      <w:r w:rsidR="00315E01" w:rsidRPr="00DB0DEF">
        <w:rPr>
          <w:rFonts w:ascii="Times New Roman" w:hAnsi="Times New Roman" w:cs="Times New Roman"/>
        </w:rPr>
        <w:t>negatif ideal</w:t>
      </w:r>
      <w:r w:rsidR="00A0459A" w:rsidRPr="00DB0DEF">
        <w:rPr>
          <w:rFonts w:ascii="Times New Roman" w:hAnsi="Times New Roman" w:cs="Times New Roman"/>
        </w:rPr>
        <w:t xml:space="preserve"> (S-)</w:t>
      </w:r>
      <w:r w:rsidR="00315E01" w:rsidRPr="00DB0DEF">
        <w:rPr>
          <w:rFonts w:ascii="Times New Roman" w:hAnsi="Times New Roman" w:cs="Times New Roman"/>
        </w:rPr>
        <w:t xml:space="preserve"> çözüm</w:t>
      </w:r>
      <w:r w:rsidR="00A0459A" w:rsidRPr="00DB0DEF">
        <w:rPr>
          <w:rFonts w:ascii="Times New Roman" w:hAnsi="Times New Roman" w:cs="Times New Roman"/>
        </w:rPr>
        <w:t>e</w:t>
      </w:r>
      <w:r w:rsidR="00315E01" w:rsidRPr="00DB0DEF">
        <w:rPr>
          <w:rFonts w:ascii="Times New Roman" w:hAnsi="Times New Roman" w:cs="Times New Roman"/>
        </w:rPr>
        <w:t xml:space="preserve"> olan mesafe</w:t>
      </w:r>
      <w:r w:rsidR="00D72D9C" w:rsidRPr="00DB0DEF">
        <w:rPr>
          <w:rFonts w:ascii="Times New Roman" w:hAnsi="Times New Roman" w:cs="Times New Roman"/>
        </w:rPr>
        <w:t>leri</w:t>
      </w:r>
      <w:r w:rsidR="00A0459A" w:rsidRPr="00DB0DEF">
        <w:rPr>
          <w:rFonts w:ascii="Times New Roman" w:hAnsi="Times New Roman" w:cs="Times New Roman"/>
        </w:rPr>
        <w:t xml:space="preserve">, </w:t>
      </w:r>
      <w:r w:rsidR="00536FE1" w:rsidRPr="00DB0DEF">
        <w:rPr>
          <w:rFonts w:ascii="Times New Roman" w:hAnsi="Times New Roman" w:cs="Times New Roman"/>
        </w:rPr>
        <w:t>h</w:t>
      </w:r>
      <w:r w:rsidR="00315E01" w:rsidRPr="00DB0DEF">
        <w:rPr>
          <w:rFonts w:ascii="Times New Roman" w:hAnsi="Times New Roman" w:cs="Times New Roman"/>
        </w:rPr>
        <w:t>er bir karar noktasının ideal çözüme göreli yakınlığı (</w:t>
      </w:r>
      <w:r w:rsidR="00B80760" w:rsidRPr="00DB0DEF">
        <w:rPr>
          <w:rFonts w:ascii="Times New Roman" w:hAnsi="Times New Roman" w:cs="Times New Roman"/>
        </w:rPr>
        <w:t>P</w:t>
      </w:r>
      <w:r w:rsidR="00315E01" w:rsidRPr="00DB0DEF">
        <w:rPr>
          <w:rFonts w:ascii="Times New Roman" w:hAnsi="Times New Roman" w:cs="Times New Roman"/>
        </w:rPr>
        <w:t>) ve performans</w:t>
      </w:r>
      <w:r w:rsidR="00A0459A" w:rsidRPr="00DB0DEF">
        <w:rPr>
          <w:rFonts w:ascii="Times New Roman" w:hAnsi="Times New Roman" w:cs="Times New Roman"/>
        </w:rPr>
        <w:t xml:space="preserve"> sırası</w:t>
      </w:r>
      <w:r w:rsidR="00315E01" w:rsidRPr="00DB0DEF">
        <w:rPr>
          <w:rFonts w:ascii="Times New Roman" w:hAnsi="Times New Roman" w:cs="Times New Roman"/>
        </w:rPr>
        <w:t xml:space="preserve"> </w:t>
      </w:r>
      <w:r w:rsidR="00536FE1" w:rsidRPr="00DB0DEF">
        <w:rPr>
          <w:rFonts w:ascii="Times New Roman" w:hAnsi="Times New Roman" w:cs="Times New Roman"/>
        </w:rPr>
        <w:t xml:space="preserve">tablo </w:t>
      </w:r>
      <w:r w:rsidR="00DF4D56">
        <w:rPr>
          <w:rFonts w:ascii="Times New Roman" w:hAnsi="Times New Roman" w:cs="Times New Roman"/>
        </w:rPr>
        <w:t>9</w:t>
      </w:r>
      <w:r w:rsidR="00536FE1" w:rsidRPr="00DB0DEF">
        <w:rPr>
          <w:rFonts w:ascii="Times New Roman" w:hAnsi="Times New Roman" w:cs="Times New Roman"/>
        </w:rPr>
        <w:t>’d</w:t>
      </w:r>
      <w:r w:rsidR="00DF4D56">
        <w:rPr>
          <w:rFonts w:ascii="Times New Roman" w:hAnsi="Times New Roman" w:cs="Times New Roman"/>
        </w:rPr>
        <w:t>a</w:t>
      </w:r>
      <w:r w:rsidR="00536FE1" w:rsidRPr="00DB0DEF">
        <w:rPr>
          <w:rFonts w:ascii="Times New Roman" w:hAnsi="Times New Roman" w:cs="Times New Roman"/>
        </w:rPr>
        <w:t>ki şekildedir</w:t>
      </w:r>
      <w:r w:rsidR="00315E01" w:rsidRPr="00DB0DEF">
        <w:rPr>
          <w:rFonts w:ascii="Times New Roman" w:hAnsi="Times New Roman" w:cs="Times New Roman"/>
        </w:rPr>
        <w:t>:</w:t>
      </w:r>
    </w:p>
    <w:p w14:paraId="6890719F" w14:textId="5358DBB7" w:rsidR="00315E01" w:rsidRPr="00DB0DEF" w:rsidRDefault="00315E01" w:rsidP="001B10CF">
      <w:pPr>
        <w:tabs>
          <w:tab w:val="left" w:pos="851"/>
        </w:tabs>
        <w:spacing w:after="120"/>
        <w:ind w:firstLine="425"/>
        <w:jc w:val="center"/>
        <w:rPr>
          <w:rFonts w:ascii="Times New Roman" w:hAnsi="Times New Roman" w:cs="Times New Roman"/>
          <w:b/>
          <w:bCs/>
        </w:rPr>
      </w:pPr>
      <w:r w:rsidRPr="00DB0DEF">
        <w:rPr>
          <w:rFonts w:ascii="Times New Roman" w:hAnsi="Times New Roman" w:cs="Times New Roman"/>
          <w:b/>
          <w:bCs/>
        </w:rPr>
        <w:t xml:space="preserve">Tablo </w:t>
      </w:r>
      <w:r w:rsidR="00DB0DEF">
        <w:rPr>
          <w:rFonts w:ascii="Times New Roman" w:hAnsi="Times New Roman" w:cs="Times New Roman"/>
          <w:b/>
          <w:bCs/>
        </w:rPr>
        <w:t>9</w:t>
      </w:r>
      <w:r w:rsidRPr="00DB0DEF">
        <w:rPr>
          <w:rFonts w:ascii="Times New Roman" w:hAnsi="Times New Roman" w:cs="Times New Roman"/>
          <w:b/>
          <w:bCs/>
        </w:rPr>
        <w:t>: İdeal Çözüme Göreli Yakınlık Değerleri ve Performans Puan</w:t>
      </w:r>
      <w:r w:rsidR="003A1056" w:rsidRPr="00DB0DEF">
        <w:rPr>
          <w:rFonts w:ascii="Times New Roman" w:hAnsi="Times New Roman" w:cs="Times New Roman"/>
          <w:b/>
          <w:bCs/>
        </w:rPr>
        <w:t>ı</w:t>
      </w:r>
      <w:r w:rsidRPr="00DB0DEF">
        <w:rPr>
          <w:rFonts w:ascii="Times New Roman" w:hAnsi="Times New Roman" w:cs="Times New Roman"/>
          <w:b/>
          <w:bCs/>
        </w:rPr>
        <w:t>-Sırası</w:t>
      </w:r>
    </w:p>
    <w:tbl>
      <w:tblPr>
        <w:tblW w:w="6862" w:type="dxa"/>
        <w:jc w:val="center"/>
        <w:tblCellMar>
          <w:left w:w="70" w:type="dxa"/>
          <w:right w:w="70" w:type="dxa"/>
        </w:tblCellMar>
        <w:tblLook w:val="04A0" w:firstRow="1" w:lastRow="0" w:firstColumn="1" w:lastColumn="0" w:noHBand="0" w:noVBand="1"/>
      </w:tblPr>
      <w:tblGrid>
        <w:gridCol w:w="956"/>
        <w:gridCol w:w="1832"/>
        <w:gridCol w:w="816"/>
        <w:gridCol w:w="876"/>
        <w:gridCol w:w="1234"/>
        <w:gridCol w:w="1151"/>
      </w:tblGrid>
      <w:tr w:rsidR="003A4423" w:rsidRPr="00DB0DEF" w14:paraId="1048B4D3" w14:textId="77777777" w:rsidTr="00627F2B">
        <w:trPr>
          <w:trHeight w:val="566"/>
          <w:jc w:val="center"/>
        </w:trPr>
        <w:tc>
          <w:tcPr>
            <w:tcW w:w="95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69013D"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 xml:space="preserve">Yıl </w:t>
            </w:r>
          </w:p>
        </w:tc>
        <w:tc>
          <w:tcPr>
            <w:tcW w:w="1832" w:type="dxa"/>
            <w:tcBorders>
              <w:top w:val="single" w:sz="4" w:space="0" w:color="auto"/>
              <w:left w:val="nil"/>
              <w:bottom w:val="single" w:sz="4" w:space="0" w:color="auto"/>
              <w:right w:val="single" w:sz="4" w:space="0" w:color="auto"/>
            </w:tcBorders>
            <w:shd w:val="clear" w:color="000000" w:fill="F2F2F2"/>
            <w:noWrap/>
            <w:vAlign w:val="center"/>
            <w:hideMark/>
          </w:tcPr>
          <w:p w14:paraId="276143EC"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Faaliyet Bölümü</w:t>
            </w:r>
          </w:p>
        </w:tc>
        <w:tc>
          <w:tcPr>
            <w:tcW w:w="816" w:type="dxa"/>
            <w:tcBorders>
              <w:top w:val="single" w:sz="4" w:space="0" w:color="auto"/>
              <w:left w:val="nil"/>
              <w:bottom w:val="single" w:sz="4" w:space="0" w:color="auto"/>
              <w:right w:val="single" w:sz="4" w:space="0" w:color="auto"/>
            </w:tcBorders>
            <w:shd w:val="clear" w:color="000000" w:fill="F2F2F2"/>
            <w:noWrap/>
            <w:vAlign w:val="center"/>
            <w:hideMark/>
          </w:tcPr>
          <w:p w14:paraId="5977888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Si-</w:t>
            </w:r>
          </w:p>
        </w:tc>
        <w:tc>
          <w:tcPr>
            <w:tcW w:w="876" w:type="dxa"/>
            <w:tcBorders>
              <w:top w:val="single" w:sz="4" w:space="0" w:color="auto"/>
              <w:left w:val="nil"/>
              <w:bottom w:val="single" w:sz="4" w:space="0" w:color="auto"/>
              <w:right w:val="single" w:sz="4" w:space="0" w:color="auto"/>
            </w:tcBorders>
            <w:shd w:val="clear" w:color="000000" w:fill="F2F2F2"/>
            <w:noWrap/>
            <w:vAlign w:val="center"/>
            <w:hideMark/>
          </w:tcPr>
          <w:p w14:paraId="59BC998C"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Si+</w:t>
            </w:r>
          </w:p>
        </w:tc>
        <w:tc>
          <w:tcPr>
            <w:tcW w:w="1234" w:type="dxa"/>
            <w:tcBorders>
              <w:top w:val="single" w:sz="4" w:space="0" w:color="auto"/>
              <w:left w:val="nil"/>
              <w:bottom w:val="single" w:sz="4" w:space="0" w:color="auto"/>
              <w:right w:val="single" w:sz="4" w:space="0" w:color="auto"/>
            </w:tcBorders>
            <w:shd w:val="clear" w:color="000000" w:fill="F2F2F2"/>
            <w:vAlign w:val="center"/>
            <w:hideMark/>
          </w:tcPr>
          <w:p w14:paraId="335B8426"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Performans Puanı</w:t>
            </w:r>
          </w:p>
        </w:tc>
        <w:tc>
          <w:tcPr>
            <w:tcW w:w="1148" w:type="dxa"/>
            <w:tcBorders>
              <w:top w:val="single" w:sz="4" w:space="0" w:color="auto"/>
              <w:left w:val="nil"/>
              <w:bottom w:val="single" w:sz="4" w:space="0" w:color="auto"/>
              <w:right w:val="single" w:sz="4" w:space="0" w:color="auto"/>
            </w:tcBorders>
            <w:shd w:val="clear" w:color="000000" w:fill="F2F2F2"/>
            <w:vAlign w:val="center"/>
            <w:hideMark/>
          </w:tcPr>
          <w:p w14:paraId="58E97C0C"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000000"/>
                <w:sz w:val="20"/>
                <w:szCs w:val="20"/>
                <w:lang w:eastAsia="tr-TR"/>
              </w:rPr>
            </w:pPr>
            <w:r w:rsidRPr="00DB0DEF">
              <w:rPr>
                <w:rFonts w:ascii="Times New Roman" w:eastAsia="Times New Roman" w:hAnsi="Times New Roman" w:cs="Times New Roman"/>
                <w:b/>
                <w:bCs/>
                <w:noProof w:val="0"/>
                <w:color w:val="000000"/>
                <w:sz w:val="20"/>
                <w:szCs w:val="20"/>
                <w:lang w:eastAsia="tr-TR"/>
              </w:rPr>
              <w:t>Performans Sırası</w:t>
            </w:r>
          </w:p>
        </w:tc>
      </w:tr>
      <w:tr w:rsidR="003A4423" w:rsidRPr="00DB0DEF" w14:paraId="26892CE6" w14:textId="77777777" w:rsidTr="00627F2B">
        <w:trPr>
          <w:trHeight w:val="274"/>
          <w:jc w:val="center"/>
        </w:trPr>
        <w:tc>
          <w:tcPr>
            <w:tcW w:w="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DBBA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2019</w:t>
            </w:r>
          </w:p>
        </w:tc>
        <w:tc>
          <w:tcPr>
            <w:tcW w:w="1832" w:type="dxa"/>
            <w:tcBorders>
              <w:top w:val="nil"/>
              <w:left w:val="nil"/>
              <w:bottom w:val="single" w:sz="4" w:space="0" w:color="auto"/>
              <w:right w:val="single" w:sz="4" w:space="0" w:color="auto"/>
            </w:tcBorders>
            <w:shd w:val="clear" w:color="auto" w:fill="auto"/>
            <w:noWrap/>
            <w:hideMark/>
          </w:tcPr>
          <w:p w14:paraId="51259817"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816" w:type="dxa"/>
            <w:tcBorders>
              <w:top w:val="nil"/>
              <w:left w:val="nil"/>
              <w:bottom w:val="single" w:sz="4" w:space="0" w:color="auto"/>
              <w:right w:val="single" w:sz="4" w:space="0" w:color="auto"/>
            </w:tcBorders>
            <w:shd w:val="clear" w:color="auto" w:fill="auto"/>
            <w:noWrap/>
            <w:vAlign w:val="bottom"/>
            <w:hideMark/>
          </w:tcPr>
          <w:p w14:paraId="2A4885B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0,157</w:t>
            </w:r>
          </w:p>
        </w:tc>
        <w:tc>
          <w:tcPr>
            <w:tcW w:w="876" w:type="dxa"/>
            <w:tcBorders>
              <w:top w:val="nil"/>
              <w:left w:val="nil"/>
              <w:bottom w:val="single" w:sz="4" w:space="0" w:color="auto"/>
              <w:right w:val="single" w:sz="4" w:space="0" w:color="auto"/>
            </w:tcBorders>
            <w:shd w:val="clear" w:color="auto" w:fill="auto"/>
            <w:noWrap/>
            <w:vAlign w:val="bottom"/>
            <w:hideMark/>
          </w:tcPr>
          <w:p w14:paraId="3B3DC140"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0,233</w:t>
            </w:r>
          </w:p>
        </w:tc>
        <w:tc>
          <w:tcPr>
            <w:tcW w:w="1234" w:type="dxa"/>
            <w:tcBorders>
              <w:top w:val="nil"/>
              <w:left w:val="nil"/>
              <w:bottom w:val="single" w:sz="4" w:space="0" w:color="auto"/>
              <w:right w:val="single" w:sz="4" w:space="0" w:color="auto"/>
            </w:tcBorders>
            <w:shd w:val="clear" w:color="auto" w:fill="auto"/>
            <w:noWrap/>
            <w:vAlign w:val="bottom"/>
            <w:hideMark/>
          </w:tcPr>
          <w:p w14:paraId="4B2B87F2"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FF0000"/>
                <w:sz w:val="20"/>
                <w:szCs w:val="20"/>
                <w:lang w:eastAsia="tr-TR"/>
              </w:rPr>
            </w:pPr>
            <w:r w:rsidRPr="00DB0DEF">
              <w:rPr>
                <w:rFonts w:ascii="Times New Roman" w:eastAsia="Times New Roman" w:hAnsi="Times New Roman" w:cs="Times New Roman"/>
                <w:b/>
                <w:bCs/>
                <w:noProof w:val="0"/>
                <w:color w:val="FF0000"/>
                <w:sz w:val="20"/>
                <w:szCs w:val="20"/>
                <w:lang w:eastAsia="tr-TR"/>
              </w:rPr>
              <w:t>0,598</w:t>
            </w:r>
          </w:p>
        </w:tc>
        <w:tc>
          <w:tcPr>
            <w:tcW w:w="1148" w:type="dxa"/>
            <w:tcBorders>
              <w:top w:val="nil"/>
              <w:left w:val="nil"/>
              <w:bottom w:val="single" w:sz="4" w:space="0" w:color="auto"/>
              <w:right w:val="single" w:sz="4" w:space="0" w:color="auto"/>
            </w:tcBorders>
            <w:shd w:val="clear" w:color="auto" w:fill="auto"/>
            <w:noWrap/>
            <w:vAlign w:val="bottom"/>
            <w:hideMark/>
          </w:tcPr>
          <w:p w14:paraId="600B24A1"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FF0000"/>
                <w:sz w:val="20"/>
                <w:szCs w:val="20"/>
                <w:lang w:eastAsia="tr-TR"/>
              </w:rPr>
            </w:pPr>
            <w:r w:rsidRPr="00DB0DEF">
              <w:rPr>
                <w:rFonts w:ascii="Times New Roman" w:eastAsia="Times New Roman" w:hAnsi="Times New Roman" w:cs="Times New Roman"/>
                <w:b/>
                <w:bCs/>
                <w:noProof w:val="0"/>
                <w:color w:val="FF0000"/>
                <w:sz w:val="20"/>
                <w:szCs w:val="20"/>
                <w:lang w:eastAsia="tr-TR"/>
              </w:rPr>
              <w:t>1</w:t>
            </w:r>
          </w:p>
        </w:tc>
      </w:tr>
      <w:tr w:rsidR="003A4423" w:rsidRPr="00DB0DEF" w14:paraId="1436B64B"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778C496B"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5BE99437"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816" w:type="dxa"/>
            <w:tcBorders>
              <w:top w:val="nil"/>
              <w:left w:val="nil"/>
              <w:bottom w:val="single" w:sz="4" w:space="0" w:color="auto"/>
              <w:right w:val="single" w:sz="4" w:space="0" w:color="auto"/>
            </w:tcBorders>
            <w:shd w:val="clear" w:color="auto" w:fill="auto"/>
            <w:noWrap/>
            <w:vAlign w:val="bottom"/>
            <w:hideMark/>
          </w:tcPr>
          <w:p w14:paraId="2AE7F60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0,221</w:t>
            </w:r>
          </w:p>
        </w:tc>
        <w:tc>
          <w:tcPr>
            <w:tcW w:w="876" w:type="dxa"/>
            <w:tcBorders>
              <w:top w:val="nil"/>
              <w:left w:val="nil"/>
              <w:bottom w:val="single" w:sz="4" w:space="0" w:color="auto"/>
              <w:right w:val="single" w:sz="4" w:space="0" w:color="auto"/>
            </w:tcBorders>
            <w:shd w:val="clear" w:color="auto" w:fill="auto"/>
            <w:noWrap/>
            <w:vAlign w:val="bottom"/>
            <w:hideMark/>
          </w:tcPr>
          <w:p w14:paraId="1FD6EBB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0,113</w:t>
            </w:r>
          </w:p>
        </w:tc>
        <w:tc>
          <w:tcPr>
            <w:tcW w:w="1234" w:type="dxa"/>
            <w:tcBorders>
              <w:top w:val="nil"/>
              <w:left w:val="nil"/>
              <w:bottom w:val="single" w:sz="4" w:space="0" w:color="auto"/>
              <w:right w:val="single" w:sz="4" w:space="0" w:color="auto"/>
            </w:tcBorders>
            <w:shd w:val="clear" w:color="auto" w:fill="auto"/>
            <w:noWrap/>
            <w:vAlign w:val="bottom"/>
            <w:hideMark/>
          </w:tcPr>
          <w:p w14:paraId="131CF47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0,337</w:t>
            </w:r>
          </w:p>
        </w:tc>
        <w:tc>
          <w:tcPr>
            <w:tcW w:w="1148" w:type="dxa"/>
            <w:tcBorders>
              <w:top w:val="nil"/>
              <w:left w:val="nil"/>
              <w:bottom w:val="single" w:sz="4" w:space="0" w:color="auto"/>
              <w:right w:val="single" w:sz="4" w:space="0" w:color="auto"/>
            </w:tcBorders>
            <w:shd w:val="clear" w:color="auto" w:fill="auto"/>
            <w:noWrap/>
            <w:vAlign w:val="bottom"/>
            <w:hideMark/>
          </w:tcPr>
          <w:p w14:paraId="58DC3DA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13</w:t>
            </w:r>
          </w:p>
        </w:tc>
      </w:tr>
      <w:tr w:rsidR="003A4423" w:rsidRPr="00DB0DEF" w14:paraId="6581BBBF"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11FC27AD"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118AD5D1"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816" w:type="dxa"/>
            <w:tcBorders>
              <w:top w:val="nil"/>
              <w:left w:val="nil"/>
              <w:bottom w:val="single" w:sz="4" w:space="0" w:color="auto"/>
              <w:right w:val="single" w:sz="4" w:space="0" w:color="auto"/>
            </w:tcBorders>
            <w:shd w:val="clear" w:color="auto" w:fill="auto"/>
            <w:noWrap/>
            <w:vAlign w:val="bottom"/>
            <w:hideMark/>
          </w:tcPr>
          <w:p w14:paraId="16396EB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0,218</w:t>
            </w:r>
          </w:p>
        </w:tc>
        <w:tc>
          <w:tcPr>
            <w:tcW w:w="876" w:type="dxa"/>
            <w:tcBorders>
              <w:top w:val="nil"/>
              <w:left w:val="nil"/>
              <w:bottom w:val="single" w:sz="4" w:space="0" w:color="auto"/>
              <w:right w:val="single" w:sz="4" w:space="0" w:color="auto"/>
            </w:tcBorders>
            <w:shd w:val="clear" w:color="auto" w:fill="auto"/>
            <w:noWrap/>
            <w:vAlign w:val="bottom"/>
            <w:hideMark/>
          </w:tcPr>
          <w:p w14:paraId="345960B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0,142</w:t>
            </w:r>
          </w:p>
        </w:tc>
        <w:tc>
          <w:tcPr>
            <w:tcW w:w="1234" w:type="dxa"/>
            <w:tcBorders>
              <w:top w:val="nil"/>
              <w:left w:val="nil"/>
              <w:bottom w:val="single" w:sz="4" w:space="0" w:color="auto"/>
              <w:right w:val="single" w:sz="4" w:space="0" w:color="auto"/>
            </w:tcBorders>
            <w:shd w:val="clear" w:color="auto" w:fill="auto"/>
            <w:noWrap/>
            <w:vAlign w:val="bottom"/>
            <w:hideMark/>
          </w:tcPr>
          <w:p w14:paraId="63E0E89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0,394</w:t>
            </w:r>
          </w:p>
        </w:tc>
        <w:tc>
          <w:tcPr>
            <w:tcW w:w="1148" w:type="dxa"/>
            <w:tcBorders>
              <w:top w:val="nil"/>
              <w:left w:val="nil"/>
              <w:bottom w:val="single" w:sz="4" w:space="0" w:color="auto"/>
              <w:right w:val="single" w:sz="4" w:space="0" w:color="auto"/>
            </w:tcBorders>
            <w:shd w:val="clear" w:color="auto" w:fill="auto"/>
            <w:noWrap/>
            <w:vAlign w:val="bottom"/>
            <w:hideMark/>
          </w:tcPr>
          <w:p w14:paraId="46487A1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8</w:t>
            </w:r>
          </w:p>
        </w:tc>
      </w:tr>
      <w:tr w:rsidR="003A4423" w:rsidRPr="00DB0DEF" w14:paraId="63ACB753"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3D0C68FA"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20240973"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816" w:type="dxa"/>
            <w:tcBorders>
              <w:top w:val="nil"/>
              <w:left w:val="nil"/>
              <w:bottom w:val="single" w:sz="4" w:space="0" w:color="auto"/>
              <w:right w:val="single" w:sz="4" w:space="0" w:color="auto"/>
            </w:tcBorders>
            <w:shd w:val="clear" w:color="auto" w:fill="auto"/>
            <w:noWrap/>
            <w:vAlign w:val="bottom"/>
            <w:hideMark/>
          </w:tcPr>
          <w:p w14:paraId="218B575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0,196</w:t>
            </w:r>
          </w:p>
        </w:tc>
        <w:tc>
          <w:tcPr>
            <w:tcW w:w="876" w:type="dxa"/>
            <w:tcBorders>
              <w:top w:val="nil"/>
              <w:left w:val="nil"/>
              <w:bottom w:val="single" w:sz="4" w:space="0" w:color="auto"/>
              <w:right w:val="single" w:sz="4" w:space="0" w:color="auto"/>
            </w:tcBorders>
            <w:shd w:val="clear" w:color="auto" w:fill="auto"/>
            <w:noWrap/>
            <w:vAlign w:val="bottom"/>
            <w:hideMark/>
          </w:tcPr>
          <w:p w14:paraId="79A1B6C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0,181</w:t>
            </w:r>
          </w:p>
        </w:tc>
        <w:tc>
          <w:tcPr>
            <w:tcW w:w="1234" w:type="dxa"/>
            <w:tcBorders>
              <w:top w:val="nil"/>
              <w:left w:val="nil"/>
              <w:bottom w:val="single" w:sz="4" w:space="0" w:color="auto"/>
              <w:right w:val="single" w:sz="4" w:space="0" w:color="auto"/>
            </w:tcBorders>
            <w:shd w:val="clear" w:color="auto" w:fill="auto"/>
            <w:noWrap/>
            <w:vAlign w:val="bottom"/>
            <w:hideMark/>
          </w:tcPr>
          <w:p w14:paraId="4BED25B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0,480</w:t>
            </w:r>
          </w:p>
        </w:tc>
        <w:tc>
          <w:tcPr>
            <w:tcW w:w="1148" w:type="dxa"/>
            <w:tcBorders>
              <w:top w:val="nil"/>
              <w:left w:val="nil"/>
              <w:bottom w:val="single" w:sz="4" w:space="0" w:color="auto"/>
              <w:right w:val="single" w:sz="4" w:space="0" w:color="auto"/>
            </w:tcBorders>
            <w:shd w:val="clear" w:color="auto" w:fill="auto"/>
            <w:noWrap/>
            <w:vAlign w:val="bottom"/>
            <w:hideMark/>
          </w:tcPr>
          <w:p w14:paraId="63CDA7D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3</w:t>
            </w:r>
          </w:p>
        </w:tc>
      </w:tr>
      <w:tr w:rsidR="003A4423" w:rsidRPr="00DB0DEF" w14:paraId="201460C4"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7401CB48"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03E08B16"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816" w:type="dxa"/>
            <w:tcBorders>
              <w:top w:val="nil"/>
              <w:left w:val="nil"/>
              <w:bottom w:val="single" w:sz="4" w:space="0" w:color="auto"/>
              <w:right w:val="single" w:sz="4" w:space="0" w:color="auto"/>
            </w:tcBorders>
            <w:shd w:val="clear" w:color="auto" w:fill="auto"/>
            <w:noWrap/>
            <w:vAlign w:val="bottom"/>
            <w:hideMark/>
          </w:tcPr>
          <w:p w14:paraId="58447D4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0,209</w:t>
            </w:r>
          </w:p>
        </w:tc>
        <w:tc>
          <w:tcPr>
            <w:tcW w:w="876" w:type="dxa"/>
            <w:tcBorders>
              <w:top w:val="nil"/>
              <w:left w:val="nil"/>
              <w:bottom w:val="single" w:sz="4" w:space="0" w:color="auto"/>
              <w:right w:val="single" w:sz="4" w:space="0" w:color="auto"/>
            </w:tcBorders>
            <w:shd w:val="clear" w:color="auto" w:fill="auto"/>
            <w:noWrap/>
            <w:vAlign w:val="bottom"/>
            <w:hideMark/>
          </w:tcPr>
          <w:p w14:paraId="5686955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0,133</w:t>
            </w:r>
          </w:p>
        </w:tc>
        <w:tc>
          <w:tcPr>
            <w:tcW w:w="1234" w:type="dxa"/>
            <w:tcBorders>
              <w:top w:val="nil"/>
              <w:left w:val="nil"/>
              <w:bottom w:val="single" w:sz="4" w:space="0" w:color="auto"/>
              <w:right w:val="single" w:sz="4" w:space="0" w:color="auto"/>
            </w:tcBorders>
            <w:shd w:val="clear" w:color="auto" w:fill="auto"/>
            <w:noWrap/>
            <w:vAlign w:val="bottom"/>
            <w:hideMark/>
          </w:tcPr>
          <w:p w14:paraId="041BD2D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0,390</w:t>
            </w:r>
          </w:p>
        </w:tc>
        <w:tc>
          <w:tcPr>
            <w:tcW w:w="1148" w:type="dxa"/>
            <w:tcBorders>
              <w:top w:val="nil"/>
              <w:left w:val="nil"/>
              <w:bottom w:val="single" w:sz="4" w:space="0" w:color="auto"/>
              <w:right w:val="single" w:sz="4" w:space="0" w:color="auto"/>
            </w:tcBorders>
            <w:shd w:val="clear" w:color="auto" w:fill="auto"/>
            <w:noWrap/>
            <w:vAlign w:val="bottom"/>
            <w:hideMark/>
          </w:tcPr>
          <w:p w14:paraId="3A7470B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9</w:t>
            </w:r>
          </w:p>
        </w:tc>
      </w:tr>
      <w:tr w:rsidR="003A4423" w:rsidRPr="00DB0DEF" w14:paraId="6EB9D782" w14:textId="77777777" w:rsidTr="00627F2B">
        <w:trPr>
          <w:trHeight w:val="274"/>
          <w:jc w:val="center"/>
        </w:trPr>
        <w:tc>
          <w:tcPr>
            <w:tcW w:w="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D0FB9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2020</w:t>
            </w:r>
          </w:p>
        </w:tc>
        <w:tc>
          <w:tcPr>
            <w:tcW w:w="1832" w:type="dxa"/>
            <w:tcBorders>
              <w:top w:val="nil"/>
              <w:left w:val="nil"/>
              <w:bottom w:val="single" w:sz="4" w:space="0" w:color="auto"/>
              <w:right w:val="single" w:sz="4" w:space="0" w:color="auto"/>
            </w:tcBorders>
            <w:shd w:val="clear" w:color="auto" w:fill="auto"/>
            <w:noWrap/>
            <w:hideMark/>
          </w:tcPr>
          <w:p w14:paraId="1450DF7F"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816" w:type="dxa"/>
            <w:tcBorders>
              <w:top w:val="nil"/>
              <w:left w:val="nil"/>
              <w:bottom w:val="single" w:sz="4" w:space="0" w:color="auto"/>
              <w:right w:val="single" w:sz="4" w:space="0" w:color="auto"/>
            </w:tcBorders>
            <w:shd w:val="clear" w:color="auto" w:fill="auto"/>
            <w:noWrap/>
            <w:vAlign w:val="bottom"/>
            <w:hideMark/>
          </w:tcPr>
          <w:p w14:paraId="7D9AC67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0,146</w:t>
            </w:r>
          </w:p>
        </w:tc>
        <w:tc>
          <w:tcPr>
            <w:tcW w:w="876" w:type="dxa"/>
            <w:tcBorders>
              <w:top w:val="nil"/>
              <w:left w:val="nil"/>
              <w:bottom w:val="single" w:sz="4" w:space="0" w:color="auto"/>
              <w:right w:val="single" w:sz="4" w:space="0" w:color="auto"/>
            </w:tcBorders>
            <w:shd w:val="clear" w:color="auto" w:fill="auto"/>
            <w:noWrap/>
            <w:vAlign w:val="bottom"/>
            <w:hideMark/>
          </w:tcPr>
          <w:p w14:paraId="35BD312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0,211</w:t>
            </w:r>
          </w:p>
        </w:tc>
        <w:tc>
          <w:tcPr>
            <w:tcW w:w="1234" w:type="dxa"/>
            <w:tcBorders>
              <w:top w:val="nil"/>
              <w:left w:val="nil"/>
              <w:bottom w:val="single" w:sz="4" w:space="0" w:color="auto"/>
              <w:right w:val="single" w:sz="4" w:space="0" w:color="auto"/>
            </w:tcBorders>
            <w:shd w:val="clear" w:color="auto" w:fill="auto"/>
            <w:noWrap/>
            <w:vAlign w:val="bottom"/>
            <w:hideMark/>
          </w:tcPr>
          <w:p w14:paraId="36128DB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0,592</w:t>
            </w:r>
          </w:p>
        </w:tc>
        <w:tc>
          <w:tcPr>
            <w:tcW w:w="1148" w:type="dxa"/>
            <w:tcBorders>
              <w:top w:val="nil"/>
              <w:left w:val="nil"/>
              <w:bottom w:val="single" w:sz="4" w:space="0" w:color="auto"/>
              <w:right w:val="single" w:sz="4" w:space="0" w:color="auto"/>
            </w:tcBorders>
            <w:shd w:val="clear" w:color="auto" w:fill="auto"/>
            <w:noWrap/>
            <w:vAlign w:val="bottom"/>
            <w:hideMark/>
          </w:tcPr>
          <w:p w14:paraId="00D461D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5</w:t>
            </w:r>
          </w:p>
        </w:tc>
      </w:tr>
      <w:tr w:rsidR="003A4423" w:rsidRPr="00DB0DEF" w14:paraId="44C54777"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6A8D79BB"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5083E8B4"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816" w:type="dxa"/>
            <w:tcBorders>
              <w:top w:val="nil"/>
              <w:left w:val="nil"/>
              <w:bottom w:val="single" w:sz="4" w:space="0" w:color="auto"/>
              <w:right w:val="single" w:sz="4" w:space="0" w:color="auto"/>
            </w:tcBorders>
            <w:shd w:val="clear" w:color="auto" w:fill="auto"/>
            <w:noWrap/>
            <w:vAlign w:val="bottom"/>
            <w:hideMark/>
          </w:tcPr>
          <w:p w14:paraId="6F831F3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0,235</w:t>
            </w:r>
          </w:p>
        </w:tc>
        <w:tc>
          <w:tcPr>
            <w:tcW w:w="876" w:type="dxa"/>
            <w:tcBorders>
              <w:top w:val="nil"/>
              <w:left w:val="nil"/>
              <w:bottom w:val="single" w:sz="4" w:space="0" w:color="auto"/>
              <w:right w:val="single" w:sz="4" w:space="0" w:color="auto"/>
            </w:tcBorders>
            <w:shd w:val="clear" w:color="auto" w:fill="auto"/>
            <w:noWrap/>
            <w:vAlign w:val="bottom"/>
            <w:hideMark/>
          </w:tcPr>
          <w:p w14:paraId="1450D14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0,094</w:t>
            </w:r>
          </w:p>
        </w:tc>
        <w:tc>
          <w:tcPr>
            <w:tcW w:w="1234" w:type="dxa"/>
            <w:tcBorders>
              <w:top w:val="nil"/>
              <w:left w:val="nil"/>
              <w:bottom w:val="single" w:sz="4" w:space="0" w:color="auto"/>
              <w:right w:val="single" w:sz="4" w:space="0" w:color="auto"/>
            </w:tcBorders>
            <w:shd w:val="clear" w:color="auto" w:fill="auto"/>
            <w:noWrap/>
            <w:vAlign w:val="bottom"/>
            <w:hideMark/>
          </w:tcPr>
          <w:p w14:paraId="7B78697A"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FF0000"/>
                <w:sz w:val="20"/>
                <w:szCs w:val="20"/>
                <w:lang w:eastAsia="tr-TR"/>
              </w:rPr>
            </w:pPr>
            <w:r w:rsidRPr="00DB0DEF">
              <w:rPr>
                <w:rFonts w:ascii="Times New Roman" w:eastAsia="Times New Roman" w:hAnsi="Times New Roman" w:cs="Times New Roman"/>
                <w:b/>
                <w:bCs/>
                <w:noProof w:val="0"/>
                <w:color w:val="FF0000"/>
                <w:sz w:val="20"/>
                <w:szCs w:val="20"/>
                <w:lang w:eastAsia="tr-TR"/>
              </w:rPr>
              <w:t>0,285</w:t>
            </w:r>
          </w:p>
        </w:tc>
        <w:tc>
          <w:tcPr>
            <w:tcW w:w="1148" w:type="dxa"/>
            <w:tcBorders>
              <w:top w:val="nil"/>
              <w:left w:val="nil"/>
              <w:bottom w:val="single" w:sz="4" w:space="0" w:color="auto"/>
              <w:right w:val="single" w:sz="4" w:space="0" w:color="auto"/>
            </w:tcBorders>
            <w:shd w:val="clear" w:color="auto" w:fill="auto"/>
            <w:noWrap/>
            <w:vAlign w:val="bottom"/>
            <w:hideMark/>
          </w:tcPr>
          <w:p w14:paraId="5573565E" w14:textId="77777777" w:rsidR="003A4423" w:rsidRPr="00DB0DEF" w:rsidRDefault="003A4423" w:rsidP="00D40ACF">
            <w:pPr>
              <w:spacing w:after="120"/>
              <w:contextualSpacing/>
              <w:jc w:val="center"/>
              <w:rPr>
                <w:rFonts w:ascii="Times New Roman" w:eastAsia="Times New Roman" w:hAnsi="Times New Roman" w:cs="Times New Roman"/>
                <w:b/>
                <w:bCs/>
                <w:noProof w:val="0"/>
                <w:color w:val="FF0000"/>
                <w:sz w:val="20"/>
                <w:szCs w:val="20"/>
                <w:lang w:eastAsia="tr-TR"/>
              </w:rPr>
            </w:pPr>
            <w:r w:rsidRPr="00DB0DEF">
              <w:rPr>
                <w:rFonts w:ascii="Times New Roman" w:eastAsia="Times New Roman" w:hAnsi="Times New Roman" w:cs="Times New Roman"/>
                <w:b/>
                <w:bCs/>
                <w:noProof w:val="0"/>
                <w:color w:val="FF0000"/>
                <w:sz w:val="20"/>
                <w:szCs w:val="20"/>
                <w:lang w:eastAsia="tr-TR"/>
              </w:rPr>
              <w:t>15</w:t>
            </w:r>
          </w:p>
        </w:tc>
      </w:tr>
      <w:tr w:rsidR="003A4423" w:rsidRPr="00DB0DEF" w14:paraId="0B9FB018"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5F53689C"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1DE1145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816" w:type="dxa"/>
            <w:tcBorders>
              <w:top w:val="nil"/>
              <w:left w:val="nil"/>
              <w:bottom w:val="single" w:sz="4" w:space="0" w:color="auto"/>
              <w:right w:val="single" w:sz="4" w:space="0" w:color="auto"/>
            </w:tcBorders>
            <w:shd w:val="clear" w:color="auto" w:fill="auto"/>
            <w:noWrap/>
            <w:vAlign w:val="bottom"/>
            <w:hideMark/>
          </w:tcPr>
          <w:p w14:paraId="5ED64E7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0,201</w:t>
            </w:r>
          </w:p>
        </w:tc>
        <w:tc>
          <w:tcPr>
            <w:tcW w:w="876" w:type="dxa"/>
            <w:tcBorders>
              <w:top w:val="nil"/>
              <w:left w:val="nil"/>
              <w:bottom w:val="single" w:sz="4" w:space="0" w:color="auto"/>
              <w:right w:val="single" w:sz="4" w:space="0" w:color="auto"/>
            </w:tcBorders>
            <w:shd w:val="clear" w:color="auto" w:fill="auto"/>
            <w:noWrap/>
            <w:vAlign w:val="bottom"/>
            <w:hideMark/>
          </w:tcPr>
          <w:p w14:paraId="5E8DAEB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0,162</w:t>
            </w:r>
          </w:p>
        </w:tc>
        <w:tc>
          <w:tcPr>
            <w:tcW w:w="1234" w:type="dxa"/>
            <w:tcBorders>
              <w:top w:val="nil"/>
              <w:left w:val="nil"/>
              <w:bottom w:val="single" w:sz="4" w:space="0" w:color="auto"/>
              <w:right w:val="single" w:sz="4" w:space="0" w:color="auto"/>
            </w:tcBorders>
            <w:shd w:val="clear" w:color="auto" w:fill="auto"/>
            <w:noWrap/>
            <w:vAlign w:val="bottom"/>
            <w:hideMark/>
          </w:tcPr>
          <w:p w14:paraId="7C74306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0,445</w:t>
            </w:r>
          </w:p>
        </w:tc>
        <w:tc>
          <w:tcPr>
            <w:tcW w:w="1148" w:type="dxa"/>
            <w:tcBorders>
              <w:top w:val="nil"/>
              <w:left w:val="nil"/>
              <w:bottom w:val="single" w:sz="4" w:space="0" w:color="auto"/>
              <w:right w:val="single" w:sz="4" w:space="0" w:color="auto"/>
            </w:tcBorders>
            <w:shd w:val="clear" w:color="auto" w:fill="auto"/>
            <w:noWrap/>
            <w:vAlign w:val="bottom"/>
            <w:hideMark/>
          </w:tcPr>
          <w:p w14:paraId="10724A7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7</w:t>
            </w:r>
          </w:p>
        </w:tc>
      </w:tr>
      <w:tr w:rsidR="003A4423" w:rsidRPr="00DB0DEF" w14:paraId="486BB1F0"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08333BAC"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3084FCBE"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816" w:type="dxa"/>
            <w:tcBorders>
              <w:top w:val="nil"/>
              <w:left w:val="nil"/>
              <w:bottom w:val="single" w:sz="4" w:space="0" w:color="auto"/>
              <w:right w:val="single" w:sz="4" w:space="0" w:color="auto"/>
            </w:tcBorders>
            <w:shd w:val="clear" w:color="auto" w:fill="auto"/>
            <w:noWrap/>
            <w:vAlign w:val="bottom"/>
            <w:hideMark/>
          </w:tcPr>
          <w:p w14:paraId="78E0D4E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0,198</w:t>
            </w:r>
          </w:p>
        </w:tc>
        <w:tc>
          <w:tcPr>
            <w:tcW w:w="876" w:type="dxa"/>
            <w:tcBorders>
              <w:top w:val="nil"/>
              <w:left w:val="nil"/>
              <w:bottom w:val="single" w:sz="4" w:space="0" w:color="auto"/>
              <w:right w:val="single" w:sz="4" w:space="0" w:color="auto"/>
            </w:tcBorders>
            <w:shd w:val="clear" w:color="auto" w:fill="auto"/>
            <w:noWrap/>
            <w:vAlign w:val="bottom"/>
            <w:hideMark/>
          </w:tcPr>
          <w:p w14:paraId="6454472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0,179</w:t>
            </w:r>
          </w:p>
        </w:tc>
        <w:tc>
          <w:tcPr>
            <w:tcW w:w="1234" w:type="dxa"/>
            <w:tcBorders>
              <w:top w:val="nil"/>
              <w:left w:val="nil"/>
              <w:bottom w:val="single" w:sz="4" w:space="0" w:color="auto"/>
              <w:right w:val="single" w:sz="4" w:space="0" w:color="auto"/>
            </w:tcBorders>
            <w:shd w:val="clear" w:color="auto" w:fill="auto"/>
            <w:noWrap/>
            <w:vAlign w:val="bottom"/>
            <w:hideMark/>
          </w:tcPr>
          <w:p w14:paraId="103AAE0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0,474</w:t>
            </w:r>
          </w:p>
        </w:tc>
        <w:tc>
          <w:tcPr>
            <w:tcW w:w="1148" w:type="dxa"/>
            <w:tcBorders>
              <w:top w:val="nil"/>
              <w:left w:val="nil"/>
              <w:bottom w:val="single" w:sz="4" w:space="0" w:color="auto"/>
              <w:right w:val="single" w:sz="4" w:space="0" w:color="auto"/>
            </w:tcBorders>
            <w:shd w:val="clear" w:color="auto" w:fill="auto"/>
            <w:noWrap/>
            <w:vAlign w:val="bottom"/>
            <w:hideMark/>
          </w:tcPr>
          <w:p w14:paraId="363272D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4</w:t>
            </w:r>
          </w:p>
        </w:tc>
      </w:tr>
      <w:tr w:rsidR="003A4423" w:rsidRPr="00DB0DEF" w14:paraId="0300ED93"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6696213F"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28865EA8"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816" w:type="dxa"/>
            <w:tcBorders>
              <w:top w:val="nil"/>
              <w:left w:val="nil"/>
              <w:bottom w:val="single" w:sz="4" w:space="0" w:color="auto"/>
              <w:right w:val="single" w:sz="4" w:space="0" w:color="auto"/>
            </w:tcBorders>
            <w:shd w:val="clear" w:color="auto" w:fill="auto"/>
            <w:noWrap/>
            <w:vAlign w:val="bottom"/>
            <w:hideMark/>
          </w:tcPr>
          <w:p w14:paraId="45EA14A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0,217</w:t>
            </w:r>
          </w:p>
        </w:tc>
        <w:tc>
          <w:tcPr>
            <w:tcW w:w="876" w:type="dxa"/>
            <w:tcBorders>
              <w:top w:val="nil"/>
              <w:left w:val="nil"/>
              <w:bottom w:val="single" w:sz="4" w:space="0" w:color="auto"/>
              <w:right w:val="single" w:sz="4" w:space="0" w:color="auto"/>
            </w:tcBorders>
            <w:shd w:val="clear" w:color="auto" w:fill="auto"/>
            <w:noWrap/>
            <w:vAlign w:val="bottom"/>
            <w:hideMark/>
          </w:tcPr>
          <w:p w14:paraId="4027C275"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0,125</w:t>
            </w:r>
          </w:p>
        </w:tc>
        <w:tc>
          <w:tcPr>
            <w:tcW w:w="1234" w:type="dxa"/>
            <w:tcBorders>
              <w:top w:val="nil"/>
              <w:left w:val="nil"/>
              <w:bottom w:val="single" w:sz="4" w:space="0" w:color="auto"/>
              <w:right w:val="single" w:sz="4" w:space="0" w:color="auto"/>
            </w:tcBorders>
            <w:shd w:val="clear" w:color="auto" w:fill="auto"/>
            <w:noWrap/>
            <w:vAlign w:val="bottom"/>
            <w:hideMark/>
          </w:tcPr>
          <w:p w14:paraId="505BD047"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0,365</w:t>
            </w:r>
          </w:p>
        </w:tc>
        <w:tc>
          <w:tcPr>
            <w:tcW w:w="1148" w:type="dxa"/>
            <w:tcBorders>
              <w:top w:val="nil"/>
              <w:left w:val="nil"/>
              <w:bottom w:val="single" w:sz="4" w:space="0" w:color="auto"/>
              <w:right w:val="single" w:sz="4" w:space="0" w:color="auto"/>
            </w:tcBorders>
            <w:shd w:val="clear" w:color="auto" w:fill="auto"/>
            <w:noWrap/>
            <w:vAlign w:val="bottom"/>
            <w:hideMark/>
          </w:tcPr>
          <w:p w14:paraId="6D52227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11</w:t>
            </w:r>
          </w:p>
        </w:tc>
      </w:tr>
      <w:tr w:rsidR="003A4423" w:rsidRPr="00DB0DEF" w14:paraId="2D3BD963" w14:textId="77777777" w:rsidTr="00627F2B">
        <w:trPr>
          <w:trHeight w:val="274"/>
          <w:jc w:val="center"/>
        </w:trPr>
        <w:tc>
          <w:tcPr>
            <w:tcW w:w="9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6D8AC"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2021</w:t>
            </w:r>
          </w:p>
        </w:tc>
        <w:tc>
          <w:tcPr>
            <w:tcW w:w="1832" w:type="dxa"/>
            <w:tcBorders>
              <w:top w:val="nil"/>
              <w:left w:val="nil"/>
              <w:bottom w:val="single" w:sz="4" w:space="0" w:color="auto"/>
              <w:right w:val="single" w:sz="4" w:space="0" w:color="auto"/>
            </w:tcBorders>
            <w:shd w:val="clear" w:color="auto" w:fill="auto"/>
            <w:noWrap/>
            <w:hideMark/>
          </w:tcPr>
          <w:p w14:paraId="7CD32822"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Holding</w:t>
            </w:r>
          </w:p>
        </w:tc>
        <w:tc>
          <w:tcPr>
            <w:tcW w:w="816" w:type="dxa"/>
            <w:tcBorders>
              <w:top w:val="nil"/>
              <w:left w:val="nil"/>
              <w:bottom w:val="single" w:sz="4" w:space="0" w:color="auto"/>
              <w:right w:val="single" w:sz="4" w:space="0" w:color="auto"/>
            </w:tcBorders>
            <w:shd w:val="clear" w:color="auto" w:fill="auto"/>
            <w:noWrap/>
            <w:vAlign w:val="bottom"/>
            <w:hideMark/>
          </w:tcPr>
          <w:p w14:paraId="4BB7958A"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0,193</w:t>
            </w:r>
          </w:p>
        </w:tc>
        <w:tc>
          <w:tcPr>
            <w:tcW w:w="876" w:type="dxa"/>
            <w:tcBorders>
              <w:top w:val="nil"/>
              <w:left w:val="nil"/>
              <w:bottom w:val="single" w:sz="4" w:space="0" w:color="auto"/>
              <w:right w:val="single" w:sz="4" w:space="0" w:color="auto"/>
            </w:tcBorders>
            <w:shd w:val="clear" w:color="auto" w:fill="auto"/>
            <w:noWrap/>
            <w:vAlign w:val="bottom"/>
            <w:hideMark/>
          </w:tcPr>
          <w:p w14:paraId="5CF0AC44"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0,173</w:t>
            </w:r>
          </w:p>
        </w:tc>
        <w:tc>
          <w:tcPr>
            <w:tcW w:w="1234" w:type="dxa"/>
            <w:tcBorders>
              <w:top w:val="nil"/>
              <w:left w:val="nil"/>
              <w:bottom w:val="single" w:sz="4" w:space="0" w:color="auto"/>
              <w:right w:val="single" w:sz="4" w:space="0" w:color="auto"/>
            </w:tcBorders>
            <w:shd w:val="clear" w:color="auto" w:fill="auto"/>
            <w:noWrap/>
            <w:vAlign w:val="bottom"/>
            <w:hideMark/>
          </w:tcPr>
          <w:p w14:paraId="180DA47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0,473</w:t>
            </w:r>
          </w:p>
        </w:tc>
        <w:tc>
          <w:tcPr>
            <w:tcW w:w="1148" w:type="dxa"/>
            <w:tcBorders>
              <w:top w:val="nil"/>
              <w:left w:val="nil"/>
              <w:bottom w:val="single" w:sz="4" w:space="0" w:color="auto"/>
              <w:right w:val="single" w:sz="4" w:space="0" w:color="auto"/>
            </w:tcBorders>
            <w:shd w:val="clear" w:color="auto" w:fill="auto"/>
            <w:noWrap/>
            <w:vAlign w:val="bottom"/>
            <w:hideMark/>
          </w:tcPr>
          <w:p w14:paraId="5E6A4091"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12</w:t>
            </w:r>
          </w:p>
        </w:tc>
      </w:tr>
      <w:tr w:rsidR="003A4423" w:rsidRPr="00DB0DEF" w14:paraId="08AA05FB"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6C0F7537"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2810BF6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Turizm </w:t>
            </w:r>
          </w:p>
        </w:tc>
        <w:tc>
          <w:tcPr>
            <w:tcW w:w="816" w:type="dxa"/>
            <w:tcBorders>
              <w:top w:val="nil"/>
              <w:left w:val="nil"/>
              <w:bottom w:val="single" w:sz="4" w:space="0" w:color="auto"/>
              <w:right w:val="single" w:sz="4" w:space="0" w:color="auto"/>
            </w:tcBorders>
            <w:shd w:val="clear" w:color="auto" w:fill="auto"/>
            <w:noWrap/>
            <w:vAlign w:val="bottom"/>
            <w:hideMark/>
          </w:tcPr>
          <w:p w14:paraId="258BDF8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0,254</w:t>
            </w:r>
          </w:p>
        </w:tc>
        <w:tc>
          <w:tcPr>
            <w:tcW w:w="876" w:type="dxa"/>
            <w:tcBorders>
              <w:top w:val="nil"/>
              <w:left w:val="nil"/>
              <w:bottom w:val="single" w:sz="4" w:space="0" w:color="auto"/>
              <w:right w:val="single" w:sz="4" w:space="0" w:color="auto"/>
            </w:tcBorders>
            <w:shd w:val="clear" w:color="auto" w:fill="auto"/>
            <w:noWrap/>
            <w:vAlign w:val="bottom"/>
            <w:hideMark/>
          </w:tcPr>
          <w:p w14:paraId="020A593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0,105</w:t>
            </w:r>
          </w:p>
        </w:tc>
        <w:tc>
          <w:tcPr>
            <w:tcW w:w="1234" w:type="dxa"/>
            <w:tcBorders>
              <w:top w:val="nil"/>
              <w:left w:val="nil"/>
              <w:bottom w:val="single" w:sz="4" w:space="0" w:color="auto"/>
              <w:right w:val="single" w:sz="4" w:space="0" w:color="auto"/>
            </w:tcBorders>
            <w:shd w:val="clear" w:color="auto" w:fill="auto"/>
            <w:noWrap/>
            <w:vAlign w:val="bottom"/>
            <w:hideMark/>
          </w:tcPr>
          <w:p w14:paraId="620C73E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0,293</w:t>
            </w:r>
          </w:p>
        </w:tc>
        <w:tc>
          <w:tcPr>
            <w:tcW w:w="1148" w:type="dxa"/>
            <w:tcBorders>
              <w:top w:val="nil"/>
              <w:left w:val="nil"/>
              <w:bottom w:val="single" w:sz="4" w:space="0" w:color="auto"/>
              <w:right w:val="single" w:sz="4" w:space="0" w:color="auto"/>
            </w:tcBorders>
            <w:shd w:val="clear" w:color="auto" w:fill="auto"/>
            <w:noWrap/>
            <w:vAlign w:val="bottom"/>
            <w:hideMark/>
          </w:tcPr>
          <w:p w14:paraId="12C77396"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14</w:t>
            </w:r>
          </w:p>
        </w:tc>
      </w:tr>
      <w:tr w:rsidR="003A4423" w:rsidRPr="00DB0DEF" w14:paraId="03D11FBB"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7DB42268"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0298E0C7"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 xml:space="preserve">Sanayi ve Ticaret </w:t>
            </w:r>
          </w:p>
        </w:tc>
        <w:tc>
          <w:tcPr>
            <w:tcW w:w="816" w:type="dxa"/>
            <w:tcBorders>
              <w:top w:val="nil"/>
              <w:left w:val="nil"/>
              <w:bottom w:val="single" w:sz="4" w:space="0" w:color="auto"/>
              <w:right w:val="single" w:sz="4" w:space="0" w:color="auto"/>
            </w:tcBorders>
            <w:shd w:val="clear" w:color="auto" w:fill="auto"/>
            <w:noWrap/>
            <w:vAlign w:val="bottom"/>
            <w:hideMark/>
          </w:tcPr>
          <w:p w14:paraId="3DF3E27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0,193</w:t>
            </w:r>
          </w:p>
        </w:tc>
        <w:tc>
          <w:tcPr>
            <w:tcW w:w="876" w:type="dxa"/>
            <w:tcBorders>
              <w:top w:val="nil"/>
              <w:left w:val="nil"/>
              <w:bottom w:val="single" w:sz="4" w:space="0" w:color="auto"/>
              <w:right w:val="single" w:sz="4" w:space="0" w:color="auto"/>
            </w:tcBorders>
            <w:shd w:val="clear" w:color="auto" w:fill="auto"/>
            <w:noWrap/>
            <w:vAlign w:val="bottom"/>
            <w:hideMark/>
          </w:tcPr>
          <w:p w14:paraId="50440DE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0,188</w:t>
            </w:r>
          </w:p>
        </w:tc>
        <w:tc>
          <w:tcPr>
            <w:tcW w:w="1234" w:type="dxa"/>
            <w:tcBorders>
              <w:top w:val="nil"/>
              <w:left w:val="nil"/>
              <w:bottom w:val="single" w:sz="4" w:space="0" w:color="auto"/>
              <w:right w:val="single" w:sz="4" w:space="0" w:color="auto"/>
            </w:tcBorders>
            <w:shd w:val="clear" w:color="auto" w:fill="auto"/>
            <w:noWrap/>
            <w:vAlign w:val="bottom"/>
            <w:hideMark/>
          </w:tcPr>
          <w:p w14:paraId="5DD7495D"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0,494</w:t>
            </w:r>
          </w:p>
        </w:tc>
        <w:tc>
          <w:tcPr>
            <w:tcW w:w="1148" w:type="dxa"/>
            <w:tcBorders>
              <w:top w:val="nil"/>
              <w:left w:val="nil"/>
              <w:bottom w:val="single" w:sz="4" w:space="0" w:color="auto"/>
              <w:right w:val="single" w:sz="4" w:space="0" w:color="auto"/>
            </w:tcBorders>
            <w:shd w:val="clear" w:color="auto" w:fill="auto"/>
            <w:noWrap/>
            <w:vAlign w:val="bottom"/>
            <w:hideMark/>
          </w:tcPr>
          <w:p w14:paraId="27264FD3"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2</w:t>
            </w:r>
          </w:p>
        </w:tc>
      </w:tr>
      <w:tr w:rsidR="003A4423" w:rsidRPr="00DB0DEF" w14:paraId="1AE793D1"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08BB06C1"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09FEC7F9"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Enerji</w:t>
            </w:r>
          </w:p>
        </w:tc>
        <w:tc>
          <w:tcPr>
            <w:tcW w:w="816" w:type="dxa"/>
            <w:tcBorders>
              <w:top w:val="nil"/>
              <w:left w:val="nil"/>
              <w:bottom w:val="single" w:sz="4" w:space="0" w:color="auto"/>
              <w:right w:val="single" w:sz="4" w:space="0" w:color="auto"/>
            </w:tcBorders>
            <w:shd w:val="clear" w:color="auto" w:fill="auto"/>
            <w:noWrap/>
            <w:vAlign w:val="bottom"/>
            <w:hideMark/>
          </w:tcPr>
          <w:p w14:paraId="0E4A553B"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0,205</w:t>
            </w:r>
          </w:p>
        </w:tc>
        <w:tc>
          <w:tcPr>
            <w:tcW w:w="876" w:type="dxa"/>
            <w:tcBorders>
              <w:top w:val="nil"/>
              <w:left w:val="nil"/>
              <w:bottom w:val="single" w:sz="4" w:space="0" w:color="auto"/>
              <w:right w:val="single" w:sz="4" w:space="0" w:color="auto"/>
            </w:tcBorders>
            <w:shd w:val="clear" w:color="auto" w:fill="auto"/>
            <w:noWrap/>
            <w:vAlign w:val="bottom"/>
            <w:hideMark/>
          </w:tcPr>
          <w:p w14:paraId="54B46DA2"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0,171</w:t>
            </w:r>
          </w:p>
        </w:tc>
        <w:tc>
          <w:tcPr>
            <w:tcW w:w="1234" w:type="dxa"/>
            <w:tcBorders>
              <w:top w:val="nil"/>
              <w:left w:val="nil"/>
              <w:bottom w:val="single" w:sz="4" w:space="0" w:color="auto"/>
              <w:right w:val="single" w:sz="4" w:space="0" w:color="auto"/>
            </w:tcBorders>
            <w:shd w:val="clear" w:color="auto" w:fill="auto"/>
            <w:noWrap/>
            <w:vAlign w:val="bottom"/>
            <w:hideMark/>
          </w:tcPr>
          <w:p w14:paraId="28DEB858"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0,456</w:t>
            </w:r>
          </w:p>
        </w:tc>
        <w:tc>
          <w:tcPr>
            <w:tcW w:w="1148" w:type="dxa"/>
            <w:tcBorders>
              <w:top w:val="nil"/>
              <w:left w:val="nil"/>
              <w:bottom w:val="single" w:sz="4" w:space="0" w:color="auto"/>
              <w:right w:val="single" w:sz="4" w:space="0" w:color="auto"/>
            </w:tcBorders>
            <w:shd w:val="clear" w:color="auto" w:fill="auto"/>
            <w:noWrap/>
            <w:vAlign w:val="bottom"/>
            <w:hideMark/>
          </w:tcPr>
          <w:p w14:paraId="0352CF4E"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6</w:t>
            </w:r>
          </w:p>
        </w:tc>
      </w:tr>
      <w:tr w:rsidR="003A4423" w:rsidRPr="00DB0DEF" w14:paraId="56A8F3D2" w14:textId="77777777" w:rsidTr="00627F2B">
        <w:trPr>
          <w:trHeight w:val="274"/>
          <w:jc w:val="center"/>
        </w:trPr>
        <w:tc>
          <w:tcPr>
            <w:tcW w:w="956" w:type="dxa"/>
            <w:vMerge/>
            <w:tcBorders>
              <w:top w:val="nil"/>
              <w:left w:val="single" w:sz="4" w:space="0" w:color="auto"/>
              <w:bottom w:val="single" w:sz="4" w:space="0" w:color="auto"/>
              <w:right w:val="single" w:sz="4" w:space="0" w:color="auto"/>
            </w:tcBorders>
            <w:vAlign w:val="center"/>
            <w:hideMark/>
          </w:tcPr>
          <w:p w14:paraId="411E8069" w14:textId="77777777" w:rsidR="003A4423" w:rsidRPr="00DB0DEF" w:rsidRDefault="003A4423" w:rsidP="00D40ACF">
            <w:pPr>
              <w:spacing w:after="120"/>
              <w:contextualSpacing/>
              <w:rPr>
                <w:rFonts w:ascii="Times New Roman" w:eastAsia="Times New Roman" w:hAnsi="Times New Roman" w:cs="Times New Roman"/>
                <w:noProof w:val="0"/>
                <w:color w:val="000000"/>
                <w:sz w:val="20"/>
                <w:szCs w:val="20"/>
                <w:lang w:eastAsia="tr-TR"/>
              </w:rPr>
            </w:pPr>
          </w:p>
        </w:tc>
        <w:tc>
          <w:tcPr>
            <w:tcW w:w="1832" w:type="dxa"/>
            <w:tcBorders>
              <w:top w:val="nil"/>
              <w:left w:val="nil"/>
              <w:bottom w:val="single" w:sz="4" w:space="0" w:color="auto"/>
              <w:right w:val="single" w:sz="4" w:space="0" w:color="auto"/>
            </w:tcBorders>
            <w:shd w:val="clear" w:color="auto" w:fill="auto"/>
            <w:noWrap/>
            <w:hideMark/>
          </w:tcPr>
          <w:p w14:paraId="4A311190" w14:textId="77777777" w:rsidR="003A4423" w:rsidRPr="00DB0DEF" w:rsidRDefault="003A4423" w:rsidP="00D40ACF">
            <w:pPr>
              <w:spacing w:after="120"/>
              <w:contextualSpacing/>
              <w:rPr>
                <w:rFonts w:ascii="Times New Roman" w:eastAsia="Times New Roman" w:hAnsi="Times New Roman" w:cs="Times New Roman"/>
                <w:noProof w:val="0"/>
                <w:sz w:val="20"/>
                <w:szCs w:val="20"/>
                <w:lang w:eastAsia="tr-TR"/>
              </w:rPr>
            </w:pPr>
            <w:r w:rsidRPr="00DB0DEF">
              <w:rPr>
                <w:rFonts w:ascii="Times New Roman" w:eastAsia="Times New Roman" w:hAnsi="Times New Roman" w:cs="Times New Roman"/>
                <w:noProof w:val="0"/>
                <w:sz w:val="20"/>
                <w:szCs w:val="20"/>
                <w:lang w:eastAsia="tr-TR"/>
              </w:rPr>
              <w:t>Taah. ve Arazi Gel.</w:t>
            </w:r>
          </w:p>
        </w:tc>
        <w:tc>
          <w:tcPr>
            <w:tcW w:w="816" w:type="dxa"/>
            <w:tcBorders>
              <w:top w:val="nil"/>
              <w:left w:val="nil"/>
              <w:bottom w:val="single" w:sz="4" w:space="0" w:color="auto"/>
              <w:right w:val="single" w:sz="4" w:space="0" w:color="auto"/>
            </w:tcBorders>
            <w:shd w:val="clear" w:color="auto" w:fill="auto"/>
            <w:noWrap/>
            <w:vAlign w:val="bottom"/>
            <w:hideMark/>
          </w:tcPr>
          <w:p w14:paraId="577B9DD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0,213</w:t>
            </w:r>
          </w:p>
        </w:tc>
        <w:tc>
          <w:tcPr>
            <w:tcW w:w="876" w:type="dxa"/>
            <w:tcBorders>
              <w:top w:val="nil"/>
              <w:left w:val="nil"/>
              <w:bottom w:val="single" w:sz="4" w:space="0" w:color="auto"/>
              <w:right w:val="single" w:sz="4" w:space="0" w:color="auto"/>
            </w:tcBorders>
            <w:shd w:val="clear" w:color="auto" w:fill="auto"/>
            <w:noWrap/>
            <w:vAlign w:val="bottom"/>
            <w:hideMark/>
          </w:tcPr>
          <w:p w14:paraId="3C63742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0,129</w:t>
            </w:r>
          </w:p>
        </w:tc>
        <w:tc>
          <w:tcPr>
            <w:tcW w:w="1234" w:type="dxa"/>
            <w:tcBorders>
              <w:top w:val="nil"/>
              <w:left w:val="nil"/>
              <w:bottom w:val="single" w:sz="4" w:space="0" w:color="auto"/>
              <w:right w:val="single" w:sz="4" w:space="0" w:color="auto"/>
            </w:tcBorders>
            <w:shd w:val="clear" w:color="auto" w:fill="auto"/>
            <w:noWrap/>
            <w:vAlign w:val="bottom"/>
            <w:hideMark/>
          </w:tcPr>
          <w:p w14:paraId="4E6D0D8F"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0,377</w:t>
            </w:r>
          </w:p>
        </w:tc>
        <w:tc>
          <w:tcPr>
            <w:tcW w:w="1148" w:type="dxa"/>
            <w:tcBorders>
              <w:top w:val="nil"/>
              <w:left w:val="nil"/>
              <w:bottom w:val="single" w:sz="4" w:space="0" w:color="auto"/>
              <w:right w:val="single" w:sz="4" w:space="0" w:color="auto"/>
            </w:tcBorders>
            <w:shd w:val="clear" w:color="auto" w:fill="auto"/>
            <w:noWrap/>
            <w:vAlign w:val="bottom"/>
            <w:hideMark/>
          </w:tcPr>
          <w:p w14:paraId="48AE02A9" w14:textId="77777777" w:rsidR="003A4423" w:rsidRPr="00DB0DEF" w:rsidRDefault="003A4423" w:rsidP="00D40ACF">
            <w:pPr>
              <w:spacing w:after="120"/>
              <w:contextualSpacing/>
              <w:jc w:val="center"/>
              <w:rPr>
                <w:rFonts w:ascii="Times New Roman" w:eastAsia="Times New Roman" w:hAnsi="Times New Roman" w:cs="Times New Roman"/>
                <w:noProof w:val="0"/>
                <w:color w:val="000000"/>
                <w:sz w:val="20"/>
                <w:szCs w:val="20"/>
                <w:lang w:eastAsia="tr-TR"/>
              </w:rPr>
            </w:pPr>
            <w:r w:rsidRPr="00DB0DEF">
              <w:rPr>
                <w:rFonts w:ascii="Times New Roman" w:eastAsia="Times New Roman" w:hAnsi="Times New Roman" w:cs="Times New Roman"/>
                <w:noProof w:val="0"/>
                <w:color w:val="000000"/>
                <w:sz w:val="20"/>
                <w:szCs w:val="20"/>
                <w:lang w:eastAsia="tr-TR"/>
              </w:rPr>
              <w:t>10</w:t>
            </w:r>
          </w:p>
        </w:tc>
      </w:tr>
    </w:tbl>
    <w:p w14:paraId="7A9FC757" w14:textId="77777777" w:rsidR="00725CFA" w:rsidRPr="00DB0DEF" w:rsidRDefault="00725CFA" w:rsidP="00D40ACF">
      <w:pPr>
        <w:spacing w:after="120"/>
        <w:ind w:firstLine="426"/>
        <w:contextualSpacing/>
        <w:jc w:val="both"/>
        <w:rPr>
          <w:rFonts w:ascii="Times New Roman" w:hAnsi="Times New Roman" w:cs="Times New Roman"/>
        </w:rPr>
      </w:pPr>
    </w:p>
    <w:p w14:paraId="4C13F740" w14:textId="6B57CE40" w:rsidR="00820B52" w:rsidRPr="00DB0DEF" w:rsidRDefault="00281802" w:rsidP="00D40ACF">
      <w:pPr>
        <w:spacing w:after="120"/>
        <w:ind w:firstLine="426"/>
        <w:contextualSpacing/>
        <w:jc w:val="both"/>
        <w:rPr>
          <w:rFonts w:ascii="Times New Roman" w:eastAsia="Times New Roman" w:hAnsi="Times New Roman" w:cs="Times New Roman"/>
          <w:noProof w:val="0"/>
          <w:lang w:eastAsia="tr-TR"/>
        </w:rPr>
      </w:pPr>
      <w:r w:rsidRPr="00DB0DEF">
        <w:rPr>
          <w:rFonts w:ascii="Times New Roman" w:hAnsi="Times New Roman" w:cs="Times New Roman"/>
        </w:rPr>
        <w:t xml:space="preserve">Tablo </w:t>
      </w:r>
      <w:r w:rsidR="00DF4D56">
        <w:rPr>
          <w:rFonts w:ascii="Times New Roman" w:hAnsi="Times New Roman" w:cs="Times New Roman"/>
        </w:rPr>
        <w:t>9</w:t>
      </w:r>
      <w:r w:rsidRPr="00DB0DEF">
        <w:rPr>
          <w:rFonts w:ascii="Times New Roman" w:hAnsi="Times New Roman" w:cs="Times New Roman"/>
        </w:rPr>
        <w:t>’d</w:t>
      </w:r>
      <w:r w:rsidR="00DF4D56">
        <w:rPr>
          <w:rFonts w:ascii="Times New Roman" w:hAnsi="Times New Roman" w:cs="Times New Roman"/>
        </w:rPr>
        <w:t>a</w:t>
      </w:r>
      <w:r w:rsidRPr="00DB0DEF">
        <w:rPr>
          <w:rFonts w:ascii="Times New Roman" w:hAnsi="Times New Roman" w:cs="Times New Roman"/>
        </w:rPr>
        <w:t>ki Performans puanları incelendiğinde en iyi performansın 0,</w:t>
      </w:r>
      <w:r w:rsidR="00D10E34" w:rsidRPr="00DB0DEF">
        <w:rPr>
          <w:rFonts w:ascii="Times New Roman" w:hAnsi="Times New Roman" w:cs="Times New Roman"/>
        </w:rPr>
        <w:t>598</w:t>
      </w:r>
      <w:r w:rsidRPr="00DB0DEF">
        <w:rPr>
          <w:rFonts w:ascii="Times New Roman" w:hAnsi="Times New Roman" w:cs="Times New Roman"/>
        </w:rPr>
        <w:t xml:space="preserve"> ile </w:t>
      </w:r>
      <w:r w:rsidR="00D10E34" w:rsidRPr="00DB0DEF">
        <w:rPr>
          <w:rFonts w:ascii="Times New Roman" w:eastAsia="Times New Roman" w:hAnsi="Times New Roman" w:cs="Times New Roman"/>
          <w:noProof w:val="0"/>
          <w:lang w:eastAsia="tr-TR"/>
        </w:rPr>
        <w:t>Holding</w:t>
      </w:r>
      <w:r w:rsidRPr="00DB0DEF">
        <w:rPr>
          <w:rFonts w:ascii="Times New Roman" w:eastAsia="Times New Roman" w:hAnsi="Times New Roman" w:cs="Times New Roman"/>
          <w:noProof w:val="0"/>
          <w:lang w:eastAsia="tr-TR"/>
        </w:rPr>
        <w:t xml:space="preserve"> </w:t>
      </w:r>
      <w:r w:rsidR="00DF4D56">
        <w:rPr>
          <w:rFonts w:ascii="Times New Roman" w:eastAsia="Times New Roman" w:hAnsi="Times New Roman" w:cs="Times New Roman"/>
          <w:noProof w:val="0"/>
          <w:lang w:eastAsia="tr-TR"/>
        </w:rPr>
        <w:t>f</w:t>
      </w:r>
      <w:r w:rsidRPr="00DB0DEF">
        <w:rPr>
          <w:rFonts w:ascii="Times New Roman" w:eastAsia="Times New Roman" w:hAnsi="Times New Roman" w:cs="Times New Roman"/>
          <w:noProof w:val="0"/>
          <w:lang w:eastAsia="tr-TR"/>
        </w:rPr>
        <w:t>aaliyet Bölümünün 2019 yılına, en kötü performansın ise 0,</w:t>
      </w:r>
      <w:r w:rsidR="00D10E34" w:rsidRPr="00DB0DEF">
        <w:rPr>
          <w:rFonts w:ascii="Times New Roman" w:eastAsia="Times New Roman" w:hAnsi="Times New Roman" w:cs="Times New Roman"/>
          <w:noProof w:val="0"/>
          <w:lang w:eastAsia="tr-TR"/>
        </w:rPr>
        <w:t>285</w:t>
      </w:r>
      <w:r w:rsidRPr="00DB0DEF">
        <w:rPr>
          <w:rFonts w:ascii="Times New Roman" w:eastAsia="Times New Roman" w:hAnsi="Times New Roman" w:cs="Times New Roman"/>
          <w:noProof w:val="0"/>
          <w:lang w:eastAsia="tr-TR"/>
        </w:rPr>
        <w:t xml:space="preserve"> ile Turizm </w:t>
      </w:r>
      <w:r w:rsidR="00DF4D56">
        <w:rPr>
          <w:rFonts w:ascii="Times New Roman" w:eastAsia="Times New Roman" w:hAnsi="Times New Roman" w:cs="Times New Roman"/>
          <w:noProof w:val="0"/>
          <w:lang w:eastAsia="tr-TR"/>
        </w:rPr>
        <w:t>f</w:t>
      </w:r>
      <w:r w:rsidRPr="00DB0DEF">
        <w:rPr>
          <w:rFonts w:ascii="Times New Roman" w:eastAsia="Times New Roman" w:hAnsi="Times New Roman" w:cs="Times New Roman"/>
          <w:noProof w:val="0"/>
          <w:lang w:eastAsia="tr-TR"/>
        </w:rPr>
        <w:t xml:space="preserve">aaliyet </w:t>
      </w:r>
      <w:r w:rsidR="00DF4D56">
        <w:rPr>
          <w:rFonts w:ascii="Times New Roman" w:eastAsia="Times New Roman" w:hAnsi="Times New Roman" w:cs="Times New Roman"/>
          <w:noProof w:val="0"/>
          <w:lang w:eastAsia="tr-TR"/>
        </w:rPr>
        <w:t>b</w:t>
      </w:r>
      <w:r w:rsidRPr="00DB0DEF">
        <w:rPr>
          <w:rFonts w:ascii="Times New Roman" w:eastAsia="Times New Roman" w:hAnsi="Times New Roman" w:cs="Times New Roman"/>
          <w:noProof w:val="0"/>
          <w:lang w:eastAsia="tr-TR"/>
        </w:rPr>
        <w:t xml:space="preserve">ölümünün 2020 yılına ait olduğu görülmektedir. </w:t>
      </w:r>
    </w:p>
    <w:p w14:paraId="220D362E" w14:textId="56A36DB1" w:rsidR="00D72D9C" w:rsidRPr="00DB0DEF" w:rsidRDefault="00D72D9C" w:rsidP="00D40ACF">
      <w:pPr>
        <w:spacing w:after="120"/>
        <w:ind w:firstLine="426"/>
        <w:contextualSpacing/>
        <w:jc w:val="both"/>
        <w:rPr>
          <w:rFonts w:ascii="Times New Roman" w:eastAsia="Times New Roman" w:hAnsi="Times New Roman" w:cs="Times New Roman"/>
          <w:noProof w:val="0"/>
          <w:lang w:eastAsia="tr-TR"/>
        </w:rPr>
      </w:pPr>
      <w:r w:rsidRPr="00DB0DEF">
        <w:rPr>
          <w:rFonts w:ascii="Times New Roman" w:eastAsia="Times New Roman" w:hAnsi="Times New Roman" w:cs="Times New Roman"/>
          <w:noProof w:val="0"/>
          <w:lang w:eastAsia="tr-TR"/>
        </w:rPr>
        <w:t>2019-2021 yılları arasında faaliyet bölümlerinin performans değişimi ise Tablo 16’da görüldüğü şekildedir:</w:t>
      </w:r>
    </w:p>
    <w:p w14:paraId="11D20F2F" w14:textId="6A679F8C" w:rsidR="00D72D9C" w:rsidRPr="00DB0DEF" w:rsidRDefault="00D72D9C" w:rsidP="001B10CF">
      <w:pPr>
        <w:tabs>
          <w:tab w:val="left" w:pos="851"/>
        </w:tabs>
        <w:spacing w:after="120"/>
        <w:jc w:val="center"/>
        <w:rPr>
          <w:rFonts w:ascii="Times New Roman" w:eastAsia="Times New Roman" w:hAnsi="Times New Roman" w:cs="Times New Roman"/>
          <w:b/>
          <w:bCs/>
          <w:noProof w:val="0"/>
          <w:lang w:eastAsia="tr-TR"/>
        </w:rPr>
      </w:pPr>
      <w:r w:rsidRPr="00DB0DEF">
        <w:rPr>
          <w:rFonts w:ascii="Times New Roman" w:eastAsia="Times New Roman" w:hAnsi="Times New Roman" w:cs="Times New Roman"/>
          <w:b/>
          <w:bCs/>
          <w:noProof w:val="0"/>
          <w:lang w:eastAsia="tr-TR"/>
        </w:rPr>
        <w:t xml:space="preserve">Tablo </w:t>
      </w:r>
      <w:r w:rsidR="00DB0DEF">
        <w:rPr>
          <w:rFonts w:ascii="Times New Roman" w:eastAsia="Times New Roman" w:hAnsi="Times New Roman" w:cs="Times New Roman"/>
          <w:b/>
          <w:bCs/>
          <w:noProof w:val="0"/>
          <w:lang w:eastAsia="tr-TR"/>
        </w:rPr>
        <w:t>10</w:t>
      </w:r>
      <w:r w:rsidRPr="00DB0DEF">
        <w:rPr>
          <w:rFonts w:ascii="Times New Roman" w:eastAsia="Times New Roman" w:hAnsi="Times New Roman" w:cs="Times New Roman"/>
          <w:b/>
          <w:bCs/>
          <w:noProof w:val="0"/>
          <w:lang w:eastAsia="tr-TR"/>
        </w:rPr>
        <w:t>: Faaliyet Bölümlerinin Finansal Performans</w:t>
      </w:r>
      <w:r w:rsidR="001B10CF" w:rsidRPr="00DB0DEF">
        <w:rPr>
          <w:rFonts w:ascii="Times New Roman" w:eastAsia="Times New Roman" w:hAnsi="Times New Roman" w:cs="Times New Roman"/>
          <w:b/>
          <w:bCs/>
          <w:noProof w:val="0"/>
          <w:lang w:eastAsia="tr-TR"/>
        </w:rPr>
        <w:t xml:space="preserve"> Sırası</w:t>
      </w:r>
      <w:r w:rsidRPr="00DB0DEF">
        <w:rPr>
          <w:rFonts w:ascii="Times New Roman" w:eastAsia="Times New Roman" w:hAnsi="Times New Roman" w:cs="Times New Roman"/>
          <w:b/>
          <w:bCs/>
          <w:noProof w:val="0"/>
          <w:lang w:eastAsia="tr-TR"/>
        </w:rPr>
        <w:t xml:space="preserve"> Değişimi</w:t>
      </w:r>
    </w:p>
    <w:tbl>
      <w:tblPr>
        <w:tblW w:w="7683" w:type="dxa"/>
        <w:jc w:val="center"/>
        <w:tblCellMar>
          <w:left w:w="70" w:type="dxa"/>
          <w:right w:w="70" w:type="dxa"/>
        </w:tblCellMar>
        <w:tblLook w:val="04A0" w:firstRow="1" w:lastRow="0" w:firstColumn="1" w:lastColumn="0" w:noHBand="0" w:noVBand="1"/>
      </w:tblPr>
      <w:tblGrid>
        <w:gridCol w:w="1209"/>
        <w:gridCol w:w="1209"/>
        <w:gridCol w:w="1209"/>
        <w:gridCol w:w="1209"/>
        <w:gridCol w:w="1209"/>
        <w:gridCol w:w="1638"/>
      </w:tblGrid>
      <w:tr w:rsidR="00D72D9C" w:rsidRPr="00DB0DEF" w14:paraId="395E1C49" w14:textId="77777777" w:rsidTr="00F00771">
        <w:trPr>
          <w:trHeight w:val="352"/>
          <w:jc w:val="center"/>
        </w:trPr>
        <w:tc>
          <w:tcPr>
            <w:tcW w:w="120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81CC223"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Yıllar</w:t>
            </w:r>
          </w:p>
        </w:tc>
        <w:tc>
          <w:tcPr>
            <w:tcW w:w="1209" w:type="dxa"/>
            <w:tcBorders>
              <w:top w:val="single" w:sz="4" w:space="0" w:color="auto"/>
              <w:left w:val="nil"/>
              <w:bottom w:val="single" w:sz="4" w:space="0" w:color="auto"/>
              <w:right w:val="single" w:sz="4" w:space="0" w:color="auto"/>
            </w:tcBorders>
            <w:shd w:val="clear" w:color="000000" w:fill="F2F2F2"/>
            <w:vAlign w:val="center"/>
            <w:hideMark/>
          </w:tcPr>
          <w:p w14:paraId="2250884A"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Holding</w:t>
            </w:r>
          </w:p>
        </w:tc>
        <w:tc>
          <w:tcPr>
            <w:tcW w:w="1209" w:type="dxa"/>
            <w:tcBorders>
              <w:top w:val="single" w:sz="4" w:space="0" w:color="auto"/>
              <w:left w:val="nil"/>
              <w:bottom w:val="single" w:sz="4" w:space="0" w:color="auto"/>
              <w:right w:val="single" w:sz="4" w:space="0" w:color="auto"/>
            </w:tcBorders>
            <w:shd w:val="clear" w:color="000000" w:fill="F2F2F2"/>
            <w:vAlign w:val="center"/>
            <w:hideMark/>
          </w:tcPr>
          <w:p w14:paraId="068954FB"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Turizm</w:t>
            </w:r>
          </w:p>
        </w:tc>
        <w:tc>
          <w:tcPr>
            <w:tcW w:w="1209" w:type="dxa"/>
            <w:tcBorders>
              <w:top w:val="single" w:sz="4" w:space="0" w:color="auto"/>
              <w:left w:val="nil"/>
              <w:bottom w:val="single" w:sz="4" w:space="0" w:color="auto"/>
              <w:right w:val="single" w:sz="4" w:space="0" w:color="auto"/>
            </w:tcBorders>
            <w:shd w:val="clear" w:color="000000" w:fill="F2F2F2"/>
            <w:vAlign w:val="center"/>
            <w:hideMark/>
          </w:tcPr>
          <w:p w14:paraId="5D8DC958"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Sanayi ve Ticaret</w:t>
            </w:r>
          </w:p>
        </w:tc>
        <w:tc>
          <w:tcPr>
            <w:tcW w:w="1209" w:type="dxa"/>
            <w:tcBorders>
              <w:top w:val="single" w:sz="4" w:space="0" w:color="auto"/>
              <w:left w:val="nil"/>
              <w:bottom w:val="single" w:sz="4" w:space="0" w:color="auto"/>
              <w:right w:val="single" w:sz="4" w:space="0" w:color="auto"/>
            </w:tcBorders>
            <w:shd w:val="clear" w:color="000000" w:fill="F2F2F2"/>
            <w:vAlign w:val="center"/>
            <w:hideMark/>
          </w:tcPr>
          <w:p w14:paraId="23721C99"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 xml:space="preserve">Enerji </w:t>
            </w:r>
          </w:p>
        </w:tc>
        <w:tc>
          <w:tcPr>
            <w:tcW w:w="1638" w:type="dxa"/>
            <w:tcBorders>
              <w:top w:val="single" w:sz="4" w:space="0" w:color="auto"/>
              <w:left w:val="nil"/>
              <w:bottom w:val="single" w:sz="4" w:space="0" w:color="auto"/>
              <w:right w:val="single" w:sz="4" w:space="0" w:color="auto"/>
            </w:tcBorders>
            <w:shd w:val="clear" w:color="000000" w:fill="F2F2F2"/>
            <w:vAlign w:val="center"/>
            <w:hideMark/>
          </w:tcPr>
          <w:p w14:paraId="6BBFD513" w14:textId="45E89E4C"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Taah</w:t>
            </w:r>
            <w:r w:rsidR="00DF4D56">
              <w:rPr>
                <w:rFonts w:ascii="Times New Roman" w:eastAsia="Times New Roman" w:hAnsi="Times New Roman" w:cs="Times New Roman"/>
                <w:b/>
                <w:bCs/>
                <w:noProof w:val="0"/>
                <w:color w:val="000000"/>
                <w:lang w:eastAsia="tr-TR"/>
              </w:rPr>
              <w:t>.</w:t>
            </w:r>
            <w:r w:rsidRPr="00DB0DEF">
              <w:rPr>
                <w:rFonts w:ascii="Times New Roman" w:eastAsia="Times New Roman" w:hAnsi="Times New Roman" w:cs="Times New Roman"/>
                <w:b/>
                <w:bCs/>
                <w:noProof w:val="0"/>
                <w:color w:val="000000"/>
                <w:lang w:eastAsia="tr-TR"/>
              </w:rPr>
              <w:t xml:space="preserve"> ve Arazi Geliştirme</w:t>
            </w:r>
          </w:p>
        </w:tc>
      </w:tr>
      <w:tr w:rsidR="00D72D9C" w:rsidRPr="00DB0DEF" w14:paraId="4BD20F53" w14:textId="77777777" w:rsidTr="00D72D9C">
        <w:trPr>
          <w:trHeight w:val="232"/>
          <w:jc w:val="center"/>
        </w:trPr>
        <w:tc>
          <w:tcPr>
            <w:tcW w:w="1209" w:type="dxa"/>
            <w:tcBorders>
              <w:top w:val="nil"/>
              <w:left w:val="single" w:sz="4" w:space="0" w:color="auto"/>
              <w:bottom w:val="single" w:sz="4" w:space="0" w:color="auto"/>
              <w:right w:val="single" w:sz="4" w:space="0" w:color="auto"/>
            </w:tcBorders>
            <w:shd w:val="clear" w:color="000000" w:fill="F2F2F2"/>
            <w:noWrap/>
            <w:vAlign w:val="bottom"/>
            <w:hideMark/>
          </w:tcPr>
          <w:p w14:paraId="6A6FE306"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2019</w:t>
            </w:r>
          </w:p>
        </w:tc>
        <w:tc>
          <w:tcPr>
            <w:tcW w:w="1209" w:type="dxa"/>
            <w:tcBorders>
              <w:top w:val="nil"/>
              <w:left w:val="nil"/>
              <w:bottom w:val="single" w:sz="4" w:space="0" w:color="auto"/>
              <w:right w:val="single" w:sz="4" w:space="0" w:color="auto"/>
            </w:tcBorders>
            <w:shd w:val="clear" w:color="auto" w:fill="auto"/>
            <w:noWrap/>
            <w:vAlign w:val="bottom"/>
            <w:hideMark/>
          </w:tcPr>
          <w:p w14:paraId="61655A75"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FF0000"/>
                <w:lang w:eastAsia="tr-TR"/>
              </w:rPr>
              <w:t>1</w:t>
            </w:r>
          </w:p>
        </w:tc>
        <w:tc>
          <w:tcPr>
            <w:tcW w:w="1209" w:type="dxa"/>
            <w:tcBorders>
              <w:top w:val="nil"/>
              <w:left w:val="nil"/>
              <w:bottom w:val="single" w:sz="4" w:space="0" w:color="auto"/>
              <w:right w:val="single" w:sz="4" w:space="0" w:color="auto"/>
            </w:tcBorders>
            <w:shd w:val="clear" w:color="auto" w:fill="auto"/>
            <w:noWrap/>
            <w:vAlign w:val="bottom"/>
            <w:hideMark/>
          </w:tcPr>
          <w:p w14:paraId="084C2F52"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13</w:t>
            </w:r>
          </w:p>
        </w:tc>
        <w:tc>
          <w:tcPr>
            <w:tcW w:w="1209" w:type="dxa"/>
            <w:tcBorders>
              <w:top w:val="nil"/>
              <w:left w:val="nil"/>
              <w:bottom w:val="single" w:sz="4" w:space="0" w:color="auto"/>
              <w:right w:val="single" w:sz="4" w:space="0" w:color="auto"/>
            </w:tcBorders>
            <w:shd w:val="clear" w:color="auto" w:fill="auto"/>
            <w:noWrap/>
            <w:vAlign w:val="bottom"/>
            <w:hideMark/>
          </w:tcPr>
          <w:p w14:paraId="6DC01715"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8</w:t>
            </w:r>
          </w:p>
        </w:tc>
        <w:tc>
          <w:tcPr>
            <w:tcW w:w="1209" w:type="dxa"/>
            <w:tcBorders>
              <w:top w:val="nil"/>
              <w:left w:val="nil"/>
              <w:bottom w:val="single" w:sz="4" w:space="0" w:color="auto"/>
              <w:right w:val="single" w:sz="4" w:space="0" w:color="auto"/>
            </w:tcBorders>
            <w:shd w:val="clear" w:color="auto" w:fill="auto"/>
            <w:noWrap/>
            <w:vAlign w:val="bottom"/>
            <w:hideMark/>
          </w:tcPr>
          <w:p w14:paraId="7D42669A"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3</w:t>
            </w:r>
          </w:p>
        </w:tc>
        <w:tc>
          <w:tcPr>
            <w:tcW w:w="1638" w:type="dxa"/>
            <w:tcBorders>
              <w:top w:val="nil"/>
              <w:left w:val="nil"/>
              <w:bottom w:val="single" w:sz="4" w:space="0" w:color="auto"/>
              <w:right w:val="single" w:sz="4" w:space="0" w:color="auto"/>
            </w:tcBorders>
            <w:shd w:val="clear" w:color="auto" w:fill="auto"/>
            <w:noWrap/>
            <w:vAlign w:val="bottom"/>
            <w:hideMark/>
          </w:tcPr>
          <w:p w14:paraId="77672A63"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9</w:t>
            </w:r>
          </w:p>
        </w:tc>
      </w:tr>
      <w:tr w:rsidR="00D72D9C" w:rsidRPr="00DB0DEF" w14:paraId="41FC7929" w14:textId="77777777" w:rsidTr="00D72D9C">
        <w:trPr>
          <w:trHeight w:val="232"/>
          <w:jc w:val="center"/>
        </w:trPr>
        <w:tc>
          <w:tcPr>
            <w:tcW w:w="1209" w:type="dxa"/>
            <w:tcBorders>
              <w:top w:val="nil"/>
              <w:left w:val="single" w:sz="4" w:space="0" w:color="auto"/>
              <w:bottom w:val="single" w:sz="4" w:space="0" w:color="auto"/>
              <w:right w:val="single" w:sz="4" w:space="0" w:color="auto"/>
            </w:tcBorders>
            <w:shd w:val="clear" w:color="000000" w:fill="F2F2F2"/>
            <w:noWrap/>
            <w:vAlign w:val="bottom"/>
            <w:hideMark/>
          </w:tcPr>
          <w:p w14:paraId="54A2CAA1"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2020</w:t>
            </w:r>
          </w:p>
        </w:tc>
        <w:tc>
          <w:tcPr>
            <w:tcW w:w="1209" w:type="dxa"/>
            <w:tcBorders>
              <w:top w:val="nil"/>
              <w:left w:val="nil"/>
              <w:bottom w:val="single" w:sz="4" w:space="0" w:color="auto"/>
              <w:right w:val="single" w:sz="4" w:space="0" w:color="auto"/>
            </w:tcBorders>
            <w:shd w:val="clear" w:color="auto" w:fill="auto"/>
            <w:noWrap/>
            <w:vAlign w:val="bottom"/>
            <w:hideMark/>
          </w:tcPr>
          <w:p w14:paraId="04445669"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5</w:t>
            </w:r>
          </w:p>
        </w:tc>
        <w:tc>
          <w:tcPr>
            <w:tcW w:w="1209" w:type="dxa"/>
            <w:tcBorders>
              <w:top w:val="nil"/>
              <w:left w:val="nil"/>
              <w:bottom w:val="single" w:sz="4" w:space="0" w:color="auto"/>
              <w:right w:val="single" w:sz="4" w:space="0" w:color="auto"/>
            </w:tcBorders>
            <w:shd w:val="clear" w:color="auto" w:fill="auto"/>
            <w:noWrap/>
            <w:vAlign w:val="bottom"/>
            <w:hideMark/>
          </w:tcPr>
          <w:p w14:paraId="4CB3BE67"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FF0000"/>
                <w:lang w:eastAsia="tr-TR"/>
              </w:rPr>
              <w:t>15</w:t>
            </w:r>
          </w:p>
        </w:tc>
        <w:tc>
          <w:tcPr>
            <w:tcW w:w="1209" w:type="dxa"/>
            <w:tcBorders>
              <w:top w:val="nil"/>
              <w:left w:val="nil"/>
              <w:bottom w:val="single" w:sz="4" w:space="0" w:color="auto"/>
              <w:right w:val="single" w:sz="4" w:space="0" w:color="auto"/>
            </w:tcBorders>
            <w:shd w:val="clear" w:color="auto" w:fill="auto"/>
            <w:noWrap/>
            <w:vAlign w:val="bottom"/>
            <w:hideMark/>
          </w:tcPr>
          <w:p w14:paraId="269C6177"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7</w:t>
            </w:r>
          </w:p>
        </w:tc>
        <w:tc>
          <w:tcPr>
            <w:tcW w:w="1209" w:type="dxa"/>
            <w:tcBorders>
              <w:top w:val="nil"/>
              <w:left w:val="nil"/>
              <w:bottom w:val="single" w:sz="4" w:space="0" w:color="auto"/>
              <w:right w:val="single" w:sz="4" w:space="0" w:color="auto"/>
            </w:tcBorders>
            <w:shd w:val="clear" w:color="auto" w:fill="auto"/>
            <w:noWrap/>
            <w:vAlign w:val="bottom"/>
            <w:hideMark/>
          </w:tcPr>
          <w:p w14:paraId="5853E939"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4</w:t>
            </w:r>
          </w:p>
        </w:tc>
        <w:tc>
          <w:tcPr>
            <w:tcW w:w="1638" w:type="dxa"/>
            <w:tcBorders>
              <w:top w:val="nil"/>
              <w:left w:val="nil"/>
              <w:bottom w:val="single" w:sz="4" w:space="0" w:color="auto"/>
              <w:right w:val="single" w:sz="4" w:space="0" w:color="auto"/>
            </w:tcBorders>
            <w:shd w:val="clear" w:color="auto" w:fill="auto"/>
            <w:noWrap/>
            <w:vAlign w:val="bottom"/>
            <w:hideMark/>
          </w:tcPr>
          <w:p w14:paraId="26270521"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11</w:t>
            </w:r>
          </w:p>
        </w:tc>
      </w:tr>
      <w:tr w:rsidR="00D72D9C" w:rsidRPr="00DB0DEF" w14:paraId="04E8EF67" w14:textId="77777777" w:rsidTr="00D72D9C">
        <w:trPr>
          <w:trHeight w:val="232"/>
          <w:jc w:val="center"/>
        </w:trPr>
        <w:tc>
          <w:tcPr>
            <w:tcW w:w="1209" w:type="dxa"/>
            <w:tcBorders>
              <w:top w:val="nil"/>
              <w:left w:val="single" w:sz="4" w:space="0" w:color="auto"/>
              <w:bottom w:val="single" w:sz="4" w:space="0" w:color="auto"/>
              <w:right w:val="single" w:sz="4" w:space="0" w:color="auto"/>
            </w:tcBorders>
            <w:shd w:val="clear" w:color="000000" w:fill="F2F2F2"/>
            <w:noWrap/>
            <w:vAlign w:val="bottom"/>
            <w:hideMark/>
          </w:tcPr>
          <w:p w14:paraId="0DC10040" w14:textId="77777777" w:rsidR="00D72D9C" w:rsidRPr="00DB0DEF" w:rsidRDefault="00D72D9C" w:rsidP="00D72D9C">
            <w:pPr>
              <w:spacing w:after="0" w:line="240" w:lineRule="auto"/>
              <w:jc w:val="center"/>
              <w:rPr>
                <w:rFonts w:ascii="Times New Roman" w:eastAsia="Times New Roman" w:hAnsi="Times New Roman" w:cs="Times New Roman"/>
                <w:b/>
                <w:bCs/>
                <w:noProof w:val="0"/>
                <w:color w:val="000000"/>
                <w:lang w:eastAsia="tr-TR"/>
              </w:rPr>
            </w:pPr>
            <w:r w:rsidRPr="00DB0DEF">
              <w:rPr>
                <w:rFonts w:ascii="Times New Roman" w:eastAsia="Times New Roman" w:hAnsi="Times New Roman" w:cs="Times New Roman"/>
                <w:b/>
                <w:bCs/>
                <w:noProof w:val="0"/>
                <w:color w:val="000000"/>
                <w:lang w:eastAsia="tr-TR"/>
              </w:rPr>
              <w:t>2021</w:t>
            </w:r>
          </w:p>
        </w:tc>
        <w:tc>
          <w:tcPr>
            <w:tcW w:w="1209" w:type="dxa"/>
            <w:tcBorders>
              <w:top w:val="nil"/>
              <w:left w:val="nil"/>
              <w:bottom w:val="single" w:sz="4" w:space="0" w:color="auto"/>
              <w:right w:val="single" w:sz="4" w:space="0" w:color="auto"/>
            </w:tcBorders>
            <w:shd w:val="clear" w:color="auto" w:fill="auto"/>
            <w:noWrap/>
            <w:vAlign w:val="bottom"/>
            <w:hideMark/>
          </w:tcPr>
          <w:p w14:paraId="40334F5F"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12</w:t>
            </w:r>
          </w:p>
        </w:tc>
        <w:tc>
          <w:tcPr>
            <w:tcW w:w="1209" w:type="dxa"/>
            <w:tcBorders>
              <w:top w:val="nil"/>
              <w:left w:val="nil"/>
              <w:bottom w:val="single" w:sz="4" w:space="0" w:color="auto"/>
              <w:right w:val="single" w:sz="4" w:space="0" w:color="auto"/>
            </w:tcBorders>
            <w:shd w:val="clear" w:color="auto" w:fill="auto"/>
            <w:noWrap/>
            <w:vAlign w:val="bottom"/>
            <w:hideMark/>
          </w:tcPr>
          <w:p w14:paraId="0B78CB3A"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14</w:t>
            </w:r>
          </w:p>
        </w:tc>
        <w:tc>
          <w:tcPr>
            <w:tcW w:w="1209" w:type="dxa"/>
            <w:tcBorders>
              <w:top w:val="nil"/>
              <w:left w:val="nil"/>
              <w:bottom w:val="single" w:sz="4" w:space="0" w:color="auto"/>
              <w:right w:val="single" w:sz="4" w:space="0" w:color="auto"/>
            </w:tcBorders>
            <w:shd w:val="clear" w:color="auto" w:fill="auto"/>
            <w:noWrap/>
            <w:vAlign w:val="bottom"/>
            <w:hideMark/>
          </w:tcPr>
          <w:p w14:paraId="34193023"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2</w:t>
            </w:r>
          </w:p>
        </w:tc>
        <w:tc>
          <w:tcPr>
            <w:tcW w:w="1209" w:type="dxa"/>
            <w:tcBorders>
              <w:top w:val="nil"/>
              <w:left w:val="nil"/>
              <w:bottom w:val="single" w:sz="4" w:space="0" w:color="auto"/>
              <w:right w:val="single" w:sz="4" w:space="0" w:color="auto"/>
            </w:tcBorders>
            <w:shd w:val="clear" w:color="auto" w:fill="auto"/>
            <w:noWrap/>
            <w:vAlign w:val="bottom"/>
            <w:hideMark/>
          </w:tcPr>
          <w:p w14:paraId="45586DCE"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6</w:t>
            </w:r>
          </w:p>
        </w:tc>
        <w:tc>
          <w:tcPr>
            <w:tcW w:w="1638" w:type="dxa"/>
            <w:tcBorders>
              <w:top w:val="nil"/>
              <w:left w:val="nil"/>
              <w:bottom w:val="single" w:sz="4" w:space="0" w:color="auto"/>
              <w:right w:val="single" w:sz="4" w:space="0" w:color="auto"/>
            </w:tcBorders>
            <w:shd w:val="clear" w:color="auto" w:fill="auto"/>
            <w:noWrap/>
            <w:vAlign w:val="bottom"/>
            <w:hideMark/>
          </w:tcPr>
          <w:p w14:paraId="6C794F6D" w14:textId="77777777" w:rsidR="00D72D9C" w:rsidRPr="00DB0DEF" w:rsidRDefault="00D72D9C" w:rsidP="00D72D9C">
            <w:pPr>
              <w:spacing w:after="0" w:line="240" w:lineRule="auto"/>
              <w:jc w:val="center"/>
              <w:rPr>
                <w:rFonts w:ascii="Times New Roman" w:eastAsia="Times New Roman" w:hAnsi="Times New Roman" w:cs="Times New Roman"/>
                <w:noProof w:val="0"/>
                <w:color w:val="000000"/>
                <w:lang w:eastAsia="tr-TR"/>
              </w:rPr>
            </w:pPr>
            <w:r w:rsidRPr="00DB0DEF">
              <w:rPr>
                <w:rFonts w:ascii="Times New Roman" w:eastAsia="Times New Roman" w:hAnsi="Times New Roman" w:cs="Times New Roman"/>
                <w:noProof w:val="0"/>
                <w:color w:val="000000"/>
                <w:lang w:eastAsia="tr-TR"/>
              </w:rPr>
              <w:t>10</w:t>
            </w:r>
          </w:p>
        </w:tc>
      </w:tr>
    </w:tbl>
    <w:p w14:paraId="2471552A" w14:textId="6052338A" w:rsidR="00D72D9C" w:rsidRDefault="00D72D9C" w:rsidP="00D40ACF">
      <w:pPr>
        <w:spacing w:after="120"/>
        <w:ind w:firstLine="426"/>
        <w:contextualSpacing/>
        <w:jc w:val="both"/>
        <w:rPr>
          <w:rFonts w:ascii="Times New Roman" w:hAnsi="Times New Roman" w:cs="Times New Roman"/>
        </w:rPr>
      </w:pPr>
    </w:p>
    <w:p w14:paraId="4C901D0F" w14:textId="22C633CE" w:rsidR="00F00771" w:rsidRDefault="00F00771" w:rsidP="00D40ACF">
      <w:pPr>
        <w:spacing w:after="120"/>
        <w:ind w:firstLine="426"/>
        <w:contextualSpacing/>
        <w:jc w:val="both"/>
        <w:rPr>
          <w:rFonts w:ascii="Times New Roman" w:hAnsi="Times New Roman" w:cs="Times New Roman"/>
        </w:rPr>
      </w:pPr>
      <w:r>
        <w:rPr>
          <w:rFonts w:ascii="Times New Roman" w:hAnsi="Times New Roman" w:cs="Times New Roman"/>
        </w:rPr>
        <w:t>İncelenen yıllar itibariyle bölüm bazında değerlendirme yapıldığında şu tespitler yapılabilir:</w:t>
      </w:r>
    </w:p>
    <w:p w14:paraId="5ABA2F5A" w14:textId="4FF0237F" w:rsidR="00F00771" w:rsidRPr="00F00771" w:rsidRDefault="00DE6CFF" w:rsidP="00F00771">
      <w:pPr>
        <w:pStyle w:val="ListeParagraf"/>
        <w:numPr>
          <w:ilvl w:val="0"/>
          <w:numId w:val="14"/>
        </w:numPr>
        <w:spacing w:after="120"/>
        <w:ind w:left="709" w:hanging="283"/>
        <w:jc w:val="both"/>
        <w:rPr>
          <w:rFonts w:ascii="Times New Roman" w:hAnsi="Times New Roman" w:cs="Times New Roman"/>
        </w:rPr>
      </w:pPr>
      <w:r>
        <w:rPr>
          <w:rFonts w:ascii="Times New Roman" w:hAnsi="Times New Roman" w:cs="Times New Roman"/>
        </w:rPr>
        <w:lastRenderedPageBreak/>
        <w:t xml:space="preserve">İncelenen yıllar itibariyle </w:t>
      </w:r>
      <w:r w:rsidR="00F00771">
        <w:rPr>
          <w:rFonts w:ascii="Times New Roman" w:hAnsi="Times New Roman" w:cs="Times New Roman"/>
        </w:rPr>
        <w:t xml:space="preserve">Holding faaliyet bölümü 2019 yılında faaliyet bölümleri arasında en iyi performansa sahip iken </w:t>
      </w:r>
      <w:r>
        <w:rPr>
          <w:rFonts w:ascii="Times New Roman" w:hAnsi="Times New Roman" w:cs="Times New Roman"/>
        </w:rPr>
        <w:t xml:space="preserve">performansının </w:t>
      </w:r>
      <w:r w:rsidR="00F00771">
        <w:rPr>
          <w:rFonts w:ascii="Times New Roman" w:hAnsi="Times New Roman" w:cs="Times New Roman"/>
        </w:rPr>
        <w:t xml:space="preserve">sonraki yıllarda ciddi bir </w:t>
      </w:r>
      <w:r>
        <w:rPr>
          <w:rFonts w:ascii="Times New Roman" w:hAnsi="Times New Roman" w:cs="Times New Roman"/>
        </w:rPr>
        <w:t>düşüş</w:t>
      </w:r>
      <w:r w:rsidR="00F00771">
        <w:rPr>
          <w:rFonts w:ascii="Times New Roman" w:hAnsi="Times New Roman" w:cs="Times New Roman"/>
        </w:rPr>
        <w:t xml:space="preserve"> yaşadığı</w:t>
      </w:r>
      <w:r>
        <w:rPr>
          <w:rFonts w:ascii="Times New Roman" w:hAnsi="Times New Roman" w:cs="Times New Roman"/>
        </w:rPr>
        <w:t xml:space="preserve"> </w:t>
      </w:r>
      <w:r w:rsidR="00F00771">
        <w:rPr>
          <w:rFonts w:ascii="Times New Roman" w:hAnsi="Times New Roman" w:cs="Times New Roman"/>
        </w:rPr>
        <w:t>görülmektedir.</w:t>
      </w:r>
    </w:p>
    <w:p w14:paraId="54C9E48F" w14:textId="71E28225" w:rsidR="00F00771" w:rsidRDefault="00DE6CFF" w:rsidP="00DE6CFF">
      <w:pPr>
        <w:pStyle w:val="ListeParagraf"/>
        <w:numPr>
          <w:ilvl w:val="0"/>
          <w:numId w:val="14"/>
        </w:numPr>
        <w:spacing w:after="120"/>
        <w:ind w:left="709" w:hanging="283"/>
        <w:jc w:val="both"/>
        <w:rPr>
          <w:rFonts w:ascii="Times New Roman" w:eastAsia="Times New Roman" w:hAnsi="Times New Roman" w:cs="Times New Roman"/>
          <w:noProof w:val="0"/>
          <w:lang w:eastAsia="tr-TR"/>
        </w:rPr>
      </w:pPr>
      <w:r>
        <w:rPr>
          <w:rFonts w:ascii="Times New Roman" w:eastAsia="Times New Roman" w:hAnsi="Times New Roman" w:cs="Times New Roman"/>
          <w:noProof w:val="0"/>
          <w:lang w:eastAsia="tr-TR"/>
        </w:rPr>
        <w:t xml:space="preserve">Turizm faaliyet bölümü bölümler arasında en kötü performansa sahip olup bütün yıllarda en sonda yer almaktadır. Bunun yanında </w:t>
      </w:r>
      <w:r w:rsidR="00F00771">
        <w:rPr>
          <w:rFonts w:ascii="Times New Roman" w:eastAsia="Times New Roman" w:hAnsi="Times New Roman" w:cs="Times New Roman"/>
          <w:noProof w:val="0"/>
          <w:lang w:eastAsia="tr-TR"/>
        </w:rPr>
        <w:t xml:space="preserve">Turizm Faaliyet </w:t>
      </w:r>
      <w:r>
        <w:rPr>
          <w:rFonts w:ascii="Times New Roman" w:eastAsia="Times New Roman" w:hAnsi="Times New Roman" w:cs="Times New Roman"/>
          <w:noProof w:val="0"/>
          <w:lang w:eastAsia="tr-TR"/>
        </w:rPr>
        <w:t xml:space="preserve">bölümünün </w:t>
      </w:r>
      <w:r w:rsidR="00F00771">
        <w:rPr>
          <w:rFonts w:ascii="Times New Roman" w:eastAsia="Times New Roman" w:hAnsi="Times New Roman" w:cs="Times New Roman"/>
          <w:noProof w:val="0"/>
          <w:lang w:eastAsia="tr-TR"/>
        </w:rPr>
        <w:t xml:space="preserve">2020 yılında en kötü performansı gösterdiği sonucu Covid-19’un finansal etkileri üzerine </w:t>
      </w:r>
      <w:r w:rsidR="00F00771" w:rsidRPr="00DE6CFF">
        <w:rPr>
          <w:rFonts w:ascii="Times New Roman" w:hAnsi="Times New Roman" w:cs="Times New Roman"/>
        </w:rPr>
        <w:t>yapılan</w:t>
      </w:r>
      <w:r w:rsidR="00F00771">
        <w:rPr>
          <w:rFonts w:ascii="Times New Roman" w:eastAsia="Times New Roman" w:hAnsi="Times New Roman" w:cs="Times New Roman"/>
          <w:noProof w:val="0"/>
          <w:lang w:eastAsia="tr-TR"/>
        </w:rPr>
        <w:t xml:space="preserve"> araştırma sonuçlarını destekler niteliktedir. Çünkü </w:t>
      </w:r>
      <w:r>
        <w:rPr>
          <w:rFonts w:ascii="Times New Roman" w:eastAsia="Times New Roman" w:hAnsi="Times New Roman" w:cs="Times New Roman"/>
          <w:noProof w:val="0"/>
          <w:lang w:eastAsia="tr-TR"/>
        </w:rPr>
        <w:t xml:space="preserve">bu konudaki </w:t>
      </w:r>
      <w:r w:rsidR="00F00771">
        <w:rPr>
          <w:rFonts w:ascii="Times New Roman" w:eastAsia="Times New Roman" w:hAnsi="Times New Roman" w:cs="Times New Roman"/>
          <w:noProof w:val="0"/>
          <w:lang w:eastAsia="tr-TR"/>
        </w:rPr>
        <w:t xml:space="preserve">araştırma sonuçları Covid-19’un etkili olduğu dönemde en çok Turizm sektörü firmalarının </w:t>
      </w:r>
      <w:r>
        <w:rPr>
          <w:rFonts w:ascii="Times New Roman" w:eastAsia="Times New Roman" w:hAnsi="Times New Roman" w:cs="Times New Roman"/>
          <w:noProof w:val="0"/>
          <w:lang w:eastAsia="tr-TR"/>
        </w:rPr>
        <w:t xml:space="preserve">finansal olarak olumsuz yönde </w:t>
      </w:r>
      <w:r w:rsidR="00F00771">
        <w:rPr>
          <w:rFonts w:ascii="Times New Roman" w:eastAsia="Times New Roman" w:hAnsi="Times New Roman" w:cs="Times New Roman"/>
          <w:noProof w:val="0"/>
          <w:lang w:eastAsia="tr-TR"/>
        </w:rPr>
        <w:t>etkilendiğini ortaya koymuştur.</w:t>
      </w:r>
    </w:p>
    <w:p w14:paraId="19A7B84F" w14:textId="1F6481ED" w:rsidR="00DE6CFF" w:rsidRDefault="00DE6CFF" w:rsidP="00DE6CFF">
      <w:pPr>
        <w:pStyle w:val="ListeParagraf"/>
        <w:numPr>
          <w:ilvl w:val="0"/>
          <w:numId w:val="14"/>
        </w:numPr>
        <w:spacing w:after="120"/>
        <w:ind w:left="709" w:hanging="283"/>
        <w:jc w:val="both"/>
        <w:rPr>
          <w:rFonts w:ascii="Times New Roman" w:eastAsia="Times New Roman" w:hAnsi="Times New Roman" w:cs="Times New Roman"/>
          <w:noProof w:val="0"/>
          <w:lang w:eastAsia="tr-TR"/>
        </w:rPr>
      </w:pPr>
      <w:r>
        <w:rPr>
          <w:rFonts w:ascii="Times New Roman" w:eastAsia="Times New Roman" w:hAnsi="Times New Roman" w:cs="Times New Roman"/>
          <w:noProof w:val="0"/>
          <w:lang w:eastAsia="tr-TR"/>
        </w:rPr>
        <w:t xml:space="preserve">Diğer bölümlerden Sanayi ve Ticaret Faaliyet Bölümünün finansal performansı yıllar itibariyle yükseliş gösterirken, Enerji faaliyet bölümünün finansal performansında düşüş meydana geldiği göze çarpmaktadır. </w:t>
      </w:r>
      <w:r w:rsidR="006723D7">
        <w:rPr>
          <w:rFonts w:ascii="Times New Roman" w:eastAsia="Times New Roman" w:hAnsi="Times New Roman" w:cs="Times New Roman"/>
          <w:noProof w:val="0"/>
          <w:lang w:eastAsia="tr-TR"/>
        </w:rPr>
        <w:t xml:space="preserve">Taahhüt ve Arazi Geliştirme faaliyet bölümünün ise nispeten sıralamadaki yerini koruduğu görülmektedir. </w:t>
      </w:r>
    </w:p>
    <w:p w14:paraId="5C5AE794" w14:textId="2EF8B1E3" w:rsidR="006723D7" w:rsidRPr="00DB0DEF" w:rsidRDefault="006723D7" w:rsidP="006723D7">
      <w:pPr>
        <w:spacing w:after="120"/>
        <w:ind w:firstLine="426"/>
        <w:contextualSpacing/>
        <w:jc w:val="both"/>
        <w:rPr>
          <w:rFonts w:ascii="Times New Roman" w:eastAsia="Times New Roman" w:hAnsi="Times New Roman" w:cs="Times New Roman"/>
          <w:noProof w:val="0"/>
          <w:lang w:eastAsia="tr-TR"/>
        </w:rPr>
      </w:pPr>
      <w:r>
        <w:rPr>
          <w:rFonts w:ascii="Times New Roman" w:eastAsia="Times New Roman" w:hAnsi="Times New Roman" w:cs="Times New Roman"/>
          <w:noProof w:val="0"/>
          <w:lang w:eastAsia="tr-TR"/>
        </w:rPr>
        <w:t>Yapılan bu tespitler Alarko Holding’in faaliyet bölümlerinin kendi arasındaki nisbi performans sıralamasını göstermektedir. Sektörel bazda her faaliyet bölümünün gerçek performansının görülebilmesi için kendi sektöründeki firmalar ile karşılaştırma yapılması gerekmektedir.</w:t>
      </w:r>
    </w:p>
    <w:p w14:paraId="6C2F9207" w14:textId="29E0C3BD" w:rsidR="00067219" w:rsidRPr="00DB0DEF" w:rsidRDefault="00615829" w:rsidP="00D40ACF">
      <w:pPr>
        <w:pStyle w:val="Balk1"/>
        <w:numPr>
          <w:ilvl w:val="0"/>
          <w:numId w:val="2"/>
        </w:numPr>
        <w:tabs>
          <w:tab w:val="left" w:pos="851"/>
        </w:tabs>
        <w:spacing w:before="0" w:after="120" w:line="276" w:lineRule="auto"/>
        <w:ind w:left="0" w:firstLine="426"/>
        <w:contextualSpacing/>
        <w:rPr>
          <w:rFonts w:cs="Times New Roman"/>
          <w:sz w:val="22"/>
          <w:szCs w:val="22"/>
        </w:rPr>
      </w:pPr>
      <w:r w:rsidRPr="00DB0DEF">
        <w:rPr>
          <w:rFonts w:cs="Times New Roman"/>
          <w:sz w:val="22"/>
          <w:szCs w:val="22"/>
        </w:rPr>
        <w:t>Sonuç</w:t>
      </w:r>
    </w:p>
    <w:p w14:paraId="6AE0DC82" w14:textId="1334ACEE" w:rsidR="00346651" w:rsidRPr="00DB0DEF" w:rsidRDefault="00346651"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 xml:space="preserve">Modern çağda işletmeler kârlılığın artırılması ve risklerin azaltılması amacıyla aynı anda birbirinden farklı alanlarda faaliyet göstermeyi tercih etmektedirler. İşletmelerin farklı ürün veya hizmet gruplarına ve farklı coğrafi bölgelerdeki faaliyetlerine ilişkin bilgiler, işletmeye ait risk ve getirilerin doğru değerlendirilmesi açısından yararlıdır. Birbirinden farklı alanlarda faaliyet gösteren işletmelerde farklı alanlara ilişkin finansal bilgilerin ayrı ayrı </w:t>
      </w:r>
      <w:r w:rsidR="0031315B" w:rsidRPr="00DB0DEF">
        <w:rPr>
          <w:rFonts w:ascii="Times New Roman" w:hAnsi="Times New Roman" w:cs="Times New Roman"/>
        </w:rPr>
        <w:t xml:space="preserve">sunulması yani işletme faaliyetlerinin bölümsel olarak raporlaması </w:t>
      </w:r>
      <w:r w:rsidRPr="00DB0DEF">
        <w:rPr>
          <w:rFonts w:ascii="Times New Roman" w:hAnsi="Times New Roman" w:cs="Times New Roman"/>
        </w:rPr>
        <w:t>finansal bilgi kullanıcıların</w:t>
      </w:r>
      <w:r w:rsidR="0031315B" w:rsidRPr="00DB0DEF">
        <w:rPr>
          <w:rFonts w:ascii="Times New Roman" w:hAnsi="Times New Roman" w:cs="Times New Roman"/>
        </w:rPr>
        <w:t>ın</w:t>
      </w:r>
      <w:r w:rsidRPr="00DB0DEF">
        <w:rPr>
          <w:rFonts w:ascii="Times New Roman" w:hAnsi="Times New Roman" w:cs="Times New Roman"/>
        </w:rPr>
        <w:t xml:space="preserve"> ihtiyacını</w:t>
      </w:r>
      <w:r w:rsidR="0031315B" w:rsidRPr="00DB0DEF">
        <w:rPr>
          <w:rFonts w:ascii="Times New Roman" w:hAnsi="Times New Roman" w:cs="Times New Roman"/>
        </w:rPr>
        <w:t>n</w:t>
      </w:r>
      <w:r w:rsidRPr="00DB0DEF">
        <w:rPr>
          <w:rFonts w:ascii="Times New Roman" w:hAnsi="Times New Roman" w:cs="Times New Roman"/>
        </w:rPr>
        <w:t xml:space="preserve"> karşıla</w:t>
      </w:r>
      <w:r w:rsidR="0031315B" w:rsidRPr="00DB0DEF">
        <w:rPr>
          <w:rFonts w:ascii="Times New Roman" w:hAnsi="Times New Roman" w:cs="Times New Roman"/>
        </w:rPr>
        <w:t xml:space="preserve">nması açısından önem arz etmektedir. TFRS 8 Faaliyet Bölümleri Standardı’nın yürürlüğe girmesindeki temel amaç da budur. </w:t>
      </w:r>
    </w:p>
    <w:p w14:paraId="543E4228" w14:textId="7B54F088" w:rsidR="00D51FDD" w:rsidRPr="00DB0DEF" w:rsidRDefault="00315E01" w:rsidP="00D40ACF">
      <w:pPr>
        <w:spacing w:after="120"/>
        <w:ind w:firstLine="426"/>
        <w:contextualSpacing/>
        <w:jc w:val="both"/>
        <w:rPr>
          <w:rFonts w:ascii="Times New Roman" w:hAnsi="Times New Roman" w:cs="Times New Roman"/>
        </w:rPr>
      </w:pPr>
      <w:r w:rsidRPr="00DB0DEF">
        <w:rPr>
          <w:rFonts w:ascii="Times New Roman" w:hAnsi="Times New Roman" w:cs="Times New Roman"/>
        </w:rPr>
        <w:t>Bu çalışmada TFRS</w:t>
      </w:r>
      <w:r w:rsidR="000A6B8E" w:rsidRPr="00DB0DEF">
        <w:rPr>
          <w:rFonts w:ascii="Times New Roman" w:hAnsi="Times New Roman" w:cs="Times New Roman"/>
        </w:rPr>
        <w:t xml:space="preserve"> 8</w:t>
      </w:r>
      <w:r w:rsidRPr="00DB0DEF">
        <w:rPr>
          <w:rFonts w:ascii="Times New Roman" w:hAnsi="Times New Roman" w:cs="Times New Roman"/>
        </w:rPr>
        <w:t xml:space="preserve"> Faaliyet Bölümleri Standardı hükümlerine göre raporlama yapan bir işletmenin faaliyet bölümleri bazında mali tablo analizinin ne ölçüde yapılabileceği anlaşılmaya çalışılmıştır. </w:t>
      </w:r>
      <w:r w:rsidR="00135415" w:rsidRPr="00DB0DEF">
        <w:rPr>
          <w:rFonts w:ascii="Times New Roman" w:hAnsi="Times New Roman" w:cs="Times New Roman"/>
        </w:rPr>
        <w:t>Bu amaç</w:t>
      </w:r>
      <w:r w:rsidR="005F75A9">
        <w:rPr>
          <w:rFonts w:ascii="Times New Roman" w:hAnsi="Times New Roman" w:cs="Times New Roman"/>
        </w:rPr>
        <w:t xml:space="preserve"> çerçevesinde</w:t>
      </w:r>
      <w:r w:rsidR="00135415" w:rsidRPr="00DB0DEF">
        <w:rPr>
          <w:rFonts w:ascii="Times New Roman" w:hAnsi="Times New Roman" w:cs="Times New Roman"/>
        </w:rPr>
        <w:t xml:space="preserve"> TMS/TFRS hükümlerine tabi olan işletmelerden bağımsız denetim raporlarına kolay ulaşılabildiği için BİST (Borsa İstanbul)’da işlem gören işletmeler kapsam olarak belirlenmiştir. </w:t>
      </w:r>
      <w:r w:rsidR="000A6B8E" w:rsidRPr="00DB0DEF">
        <w:rPr>
          <w:rFonts w:ascii="Times New Roman" w:hAnsi="Times New Roman" w:cs="Times New Roman"/>
        </w:rPr>
        <w:t>Yapılan incelemede TFRS 8 hükümlerine göre en çok faaliyet bölümü bazında raporlama yapan işletme gru</w:t>
      </w:r>
      <w:r w:rsidR="0031315B" w:rsidRPr="00DB0DEF">
        <w:rPr>
          <w:rFonts w:ascii="Times New Roman" w:hAnsi="Times New Roman" w:cs="Times New Roman"/>
        </w:rPr>
        <w:t>bunun</w:t>
      </w:r>
      <w:r w:rsidR="000A6B8E" w:rsidRPr="00DB0DEF">
        <w:rPr>
          <w:rFonts w:ascii="Times New Roman" w:hAnsi="Times New Roman" w:cs="Times New Roman"/>
        </w:rPr>
        <w:t xml:space="preserve"> </w:t>
      </w:r>
      <w:r w:rsidR="005F75A9">
        <w:rPr>
          <w:rFonts w:ascii="Times New Roman" w:hAnsi="Times New Roman" w:cs="Times New Roman"/>
        </w:rPr>
        <w:t>“</w:t>
      </w:r>
      <w:r w:rsidR="000A6B8E" w:rsidRPr="00DB0DEF">
        <w:rPr>
          <w:rFonts w:ascii="Times New Roman" w:hAnsi="Times New Roman" w:cs="Times New Roman"/>
        </w:rPr>
        <w:t>Holdingler</w:t>
      </w:r>
      <w:r w:rsidR="005F75A9">
        <w:rPr>
          <w:rFonts w:ascii="Times New Roman" w:hAnsi="Times New Roman" w:cs="Times New Roman"/>
        </w:rPr>
        <w:t>”</w:t>
      </w:r>
      <w:r w:rsidR="000A6B8E" w:rsidRPr="00DB0DEF">
        <w:rPr>
          <w:rFonts w:ascii="Times New Roman" w:hAnsi="Times New Roman" w:cs="Times New Roman"/>
        </w:rPr>
        <w:t xml:space="preserve"> olduğu belirlenmiştir.  Holdinglerin KAP (Kamu Aydınlatma Platformu) tarafından yayınlanan Konsolide Finansal Tablolar ve Bağımsız Denetçi Raporları incelenmiş holdingler içinde mali tablo analizi için en uygun düzeyde finansal bilgiyi faaliyet bölümleri bazında raporlayan holdingin Alarko Holding olduğu anlaşılmıştır. Alarko Holding’in Konsolide Finansal Tablolar ve Bağımsız Denetçi Raporlarından elde edilen</w:t>
      </w:r>
      <w:r w:rsidR="00346651" w:rsidRPr="00DB0DEF">
        <w:rPr>
          <w:rFonts w:ascii="Times New Roman" w:hAnsi="Times New Roman" w:cs="Times New Roman"/>
        </w:rPr>
        <w:t xml:space="preserve"> finansal</w:t>
      </w:r>
      <w:r w:rsidR="000A6B8E" w:rsidRPr="00DB0DEF">
        <w:rPr>
          <w:rFonts w:ascii="Times New Roman" w:hAnsi="Times New Roman" w:cs="Times New Roman"/>
        </w:rPr>
        <w:t xml:space="preserve"> bilgiler ile</w:t>
      </w:r>
      <w:r w:rsidR="005F75A9">
        <w:rPr>
          <w:rFonts w:ascii="Times New Roman" w:hAnsi="Times New Roman" w:cs="Times New Roman"/>
        </w:rPr>
        <w:t xml:space="preserve"> finansal oranları hesaplamış ve yorumlanmaya çalışılmıştır. Daha sonrasında 2019-2021 arasında faaliyet bölümleri bazında</w:t>
      </w:r>
      <w:r w:rsidR="000A6B8E" w:rsidRPr="00DB0DEF">
        <w:rPr>
          <w:rFonts w:ascii="Times New Roman" w:hAnsi="Times New Roman" w:cs="Times New Roman"/>
        </w:rPr>
        <w:t xml:space="preserve"> </w:t>
      </w:r>
      <w:r w:rsidR="00346651" w:rsidRPr="00DB0DEF">
        <w:rPr>
          <w:rFonts w:ascii="Times New Roman" w:hAnsi="Times New Roman" w:cs="Times New Roman"/>
        </w:rPr>
        <w:t xml:space="preserve"> TOPSİS yöntemi ile finansal performans sıralaması yapılmıştır. </w:t>
      </w:r>
    </w:p>
    <w:p w14:paraId="0CF08E42" w14:textId="6C7BBB8E" w:rsidR="008705BE" w:rsidRDefault="005F75A9" w:rsidP="00D40ACF">
      <w:pPr>
        <w:spacing w:after="120"/>
        <w:ind w:firstLine="426"/>
        <w:contextualSpacing/>
        <w:jc w:val="both"/>
        <w:rPr>
          <w:rFonts w:ascii="Times New Roman" w:hAnsi="Times New Roman" w:cs="Times New Roman"/>
        </w:rPr>
      </w:pPr>
      <w:r>
        <w:rPr>
          <w:rFonts w:ascii="Times New Roman" w:hAnsi="Times New Roman" w:cs="Times New Roman"/>
        </w:rPr>
        <w:t xml:space="preserve">Çalışma sonucunda </w:t>
      </w:r>
      <w:r w:rsidR="0031315B" w:rsidRPr="00DB0DEF">
        <w:rPr>
          <w:rFonts w:ascii="Times New Roman" w:hAnsi="Times New Roman" w:cs="Times New Roman"/>
        </w:rPr>
        <w:t xml:space="preserve"> TFRS 8 kapsamında raporlama yapan işletmelerin faaliyet bölümleri bazında mali tablo analizi yapılabileceği sonucuna ulaşılmıştır. Ancak </w:t>
      </w:r>
      <w:r>
        <w:rPr>
          <w:rFonts w:ascii="Times New Roman" w:hAnsi="Times New Roman" w:cs="Times New Roman"/>
        </w:rPr>
        <w:t>Türkiye’de TMS/TFRS uygulama zorunluluğu bulunan firmaların</w:t>
      </w:r>
      <w:r w:rsidR="0031315B" w:rsidRPr="00DB0DEF">
        <w:rPr>
          <w:rFonts w:ascii="Times New Roman" w:hAnsi="Times New Roman" w:cs="Times New Roman"/>
        </w:rPr>
        <w:t xml:space="preserve"> çoğunluğu tarafından </w:t>
      </w:r>
      <w:r>
        <w:rPr>
          <w:rFonts w:ascii="Times New Roman" w:hAnsi="Times New Roman" w:cs="Times New Roman"/>
        </w:rPr>
        <w:t xml:space="preserve">TFRS 8 kapsamında </w:t>
      </w:r>
      <w:r w:rsidR="0031315B" w:rsidRPr="00DB0DEF">
        <w:rPr>
          <w:rFonts w:ascii="Times New Roman" w:hAnsi="Times New Roman" w:cs="Times New Roman"/>
        </w:rPr>
        <w:t xml:space="preserve">bölümlere göre raporlama yapılmadığı veya açıklanan bilgiler yetersiz </w:t>
      </w:r>
      <w:r w:rsidR="00AA02B4">
        <w:rPr>
          <w:rFonts w:ascii="Times New Roman" w:hAnsi="Times New Roman" w:cs="Times New Roman"/>
        </w:rPr>
        <w:t>olduğu için</w:t>
      </w:r>
      <w:r w:rsidR="0031315B" w:rsidRPr="00DB0DEF">
        <w:rPr>
          <w:rFonts w:ascii="Times New Roman" w:hAnsi="Times New Roman" w:cs="Times New Roman"/>
        </w:rPr>
        <w:t xml:space="preserve"> Türkiye’de bölümlere göre mali tablo analizi yapılabilecek </w:t>
      </w:r>
      <w:r w:rsidR="00AA02B4">
        <w:rPr>
          <w:rFonts w:ascii="Times New Roman" w:hAnsi="Times New Roman" w:cs="Times New Roman"/>
        </w:rPr>
        <w:t>firma</w:t>
      </w:r>
      <w:r w:rsidR="0031315B" w:rsidRPr="00DB0DEF">
        <w:rPr>
          <w:rFonts w:ascii="Times New Roman" w:hAnsi="Times New Roman" w:cs="Times New Roman"/>
        </w:rPr>
        <w:t xml:space="preserve"> sayısı</w:t>
      </w:r>
      <w:r w:rsidR="00AA02B4">
        <w:rPr>
          <w:rFonts w:ascii="Times New Roman" w:hAnsi="Times New Roman" w:cs="Times New Roman"/>
        </w:rPr>
        <w:t>nın</w:t>
      </w:r>
      <w:r w:rsidR="0031315B" w:rsidRPr="00DB0DEF">
        <w:rPr>
          <w:rFonts w:ascii="Times New Roman" w:hAnsi="Times New Roman" w:cs="Times New Roman"/>
        </w:rPr>
        <w:t xml:space="preserve"> çok az</w:t>
      </w:r>
      <w:r w:rsidR="00AA02B4">
        <w:rPr>
          <w:rFonts w:ascii="Times New Roman" w:hAnsi="Times New Roman" w:cs="Times New Roman"/>
        </w:rPr>
        <w:t xml:space="preserve"> olduğu tespit edilmiştir</w:t>
      </w:r>
      <w:r w:rsidR="0031315B" w:rsidRPr="00DB0DEF">
        <w:rPr>
          <w:rFonts w:ascii="Times New Roman" w:hAnsi="Times New Roman" w:cs="Times New Roman"/>
        </w:rPr>
        <w:t xml:space="preserve">. </w:t>
      </w:r>
      <w:r w:rsidR="00AA02B4">
        <w:rPr>
          <w:rFonts w:ascii="Times New Roman" w:hAnsi="Times New Roman" w:cs="Times New Roman"/>
        </w:rPr>
        <w:t>Bununla birlikte</w:t>
      </w:r>
      <w:r w:rsidR="0031315B" w:rsidRPr="00DB0DEF">
        <w:rPr>
          <w:rFonts w:ascii="Times New Roman" w:hAnsi="Times New Roman" w:cs="Times New Roman"/>
        </w:rPr>
        <w:t xml:space="preserve"> ileriki yıllarda TFRS 8’in </w:t>
      </w:r>
      <w:r w:rsidR="00AA02B4">
        <w:rPr>
          <w:rFonts w:ascii="Times New Roman" w:hAnsi="Times New Roman" w:cs="Times New Roman"/>
        </w:rPr>
        <w:t>firmalar</w:t>
      </w:r>
      <w:r w:rsidR="0031315B" w:rsidRPr="00DB0DEF">
        <w:rPr>
          <w:rFonts w:ascii="Times New Roman" w:hAnsi="Times New Roman" w:cs="Times New Roman"/>
        </w:rPr>
        <w:t xml:space="preserve"> tarafından daha çok benimsenmesi, dolayısıyla faaliyet bölümlerine göre raporlama yapan işletme sayısının artması ile daha çok işletmenin bölümlere göre mali tablo analizi</w:t>
      </w:r>
      <w:r w:rsidR="00D45ED0" w:rsidRPr="00DB0DEF">
        <w:rPr>
          <w:rFonts w:ascii="Times New Roman" w:hAnsi="Times New Roman" w:cs="Times New Roman"/>
        </w:rPr>
        <w:t>nin</w:t>
      </w:r>
      <w:r w:rsidR="0031315B" w:rsidRPr="00DB0DEF">
        <w:rPr>
          <w:rFonts w:ascii="Times New Roman" w:hAnsi="Times New Roman" w:cs="Times New Roman"/>
        </w:rPr>
        <w:t xml:space="preserve"> yapılabileceği söylenebilir.</w:t>
      </w:r>
      <w:r w:rsidR="00AA02B4">
        <w:rPr>
          <w:rFonts w:ascii="Times New Roman" w:hAnsi="Times New Roman" w:cs="Times New Roman"/>
        </w:rPr>
        <w:t xml:space="preserve"> Ayrıca IAS/IFRS’nin yaygın olarak benimsendiği diğer ülkelerdeki firmalar üzerine de benzer bir çalışma yapılabilir.</w:t>
      </w:r>
    </w:p>
    <w:p w14:paraId="61D72242" w14:textId="77777777" w:rsidR="00AA02B4" w:rsidRPr="00DB0DEF" w:rsidRDefault="00AA02B4" w:rsidP="00D40ACF">
      <w:pPr>
        <w:spacing w:after="120"/>
        <w:ind w:firstLine="426"/>
        <w:contextualSpacing/>
        <w:jc w:val="both"/>
        <w:rPr>
          <w:rFonts w:ascii="Times New Roman" w:hAnsi="Times New Roman" w:cs="Times New Roman"/>
        </w:rPr>
      </w:pPr>
    </w:p>
    <w:p w14:paraId="252F1DEC" w14:textId="1971A850" w:rsidR="005D7C5D" w:rsidRPr="00DB0DEF" w:rsidRDefault="005D7C5D" w:rsidP="00D40ACF">
      <w:pPr>
        <w:spacing w:after="120"/>
        <w:ind w:firstLine="426"/>
        <w:contextualSpacing/>
        <w:jc w:val="both"/>
        <w:rPr>
          <w:rFonts w:ascii="Times New Roman" w:hAnsi="Times New Roman" w:cs="Times New Roman"/>
          <w:b/>
          <w:bCs/>
        </w:rPr>
      </w:pPr>
      <w:r w:rsidRPr="00DB0DEF">
        <w:rPr>
          <w:rFonts w:ascii="Times New Roman" w:hAnsi="Times New Roman" w:cs="Times New Roman"/>
          <w:b/>
          <w:bCs/>
        </w:rPr>
        <w:lastRenderedPageBreak/>
        <w:t>KAYNAKÇA</w:t>
      </w:r>
    </w:p>
    <w:p w14:paraId="398868C5" w14:textId="41281DF7" w:rsidR="002E0A42" w:rsidRPr="00DB0DEF" w:rsidRDefault="002E0A42" w:rsidP="00D40ACF">
      <w:pPr>
        <w:spacing w:after="120"/>
        <w:ind w:firstLine="426"/>
        <w:contextualSpacing/>
        <w:jc w:val="both"/>
        <w:rPr>
          <w:rFonts w:ascii="Times New Roman" w:hAnsi="Times New Roman" w:cs="Times New Roman"/>
        </w:rPr>
      </w:pPr>
    </w:p>
    <w:p w14:paraId="43DD0651" w14:textId="6AF388DD" w:rsidR="005D7C5D" w:rsidRPr="00DB0DEF" w:rsidRDefault="002E0A42"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rPr>
        <w:fldChar w:fldCharType="begin" w:fldLock="1"/>
      </w:r>
      <w:r w:rsidRPr="00DB0DEF">
        <w:rPr>
          <w:rFonts w:ascii="Times New Roman" w:hAnsi="Times New Roman" w:cs="Times New Roman"/>
        </w:rPr>
        <w:instrText xml:space="preserve">ADDIN Mendeley Bibliography CSL_BIBLIOGRAPHY </w:instrText>
      </w:r>
      <w:r w:rsidRPr="00DB0DEF">
        <w:rPr>
          <w:rFonts w:ascii="Times New Roman" w:hAnsi="Times New Roman" w:cs="Times New Roman"/>
        </w:rPr>
        <w:fldChar w:fldCharType="separate"/>
      </w:r>
      <w:r w:rsidR="005D7C5D" w:rsidRPr="00DB0DEF">
        <w:rPr>
          <w:rFonts w:ascii="Times New Roman" w:hAnsi="Times New Roman" w:cs="Times New Roman"/>
          <w:szCs w:val="24"/>
        </w:rPr>
        <w:t xml:space="preserve">Altıntaş, T. (2010). Switching To Ifrs 8 and Its Impact on the Turkish Listed Companies. </w:t>
      </w:r>
      <w:r w:rsidR="005D7C5D" w:rsidRPr="00DB0DEF">
        <w:rPr>
          <w:rFonts w:ascii="Times New Roman" w:hAnsi="Times New Roman" w:cs="Times New Roman"/>
          <w:i/>
          <w:iCs/>
          <w:szCs w:val="24"/>
        </w:rPr>
        <w:t>Sosyal Bilimler Dergisi</w:t>
      </w:r>
      <w:r w:rsidR="005D7C5D" w:rsidRPr="00DB0DEF">
        <w:rPr>
          <w:rFonts w:ascii="Times New Roman" w:hAnsi="Times New Roman" w:cs="Times New Roman"/>
          <w:szCs w:val="24"/>
        </w:rPr>
        <w:t xml:space="preserve">, </w:t>
      </w:r>
      <w:r w:rsidR="005D7C5D" w:rsidRPr="00DB0DEF">
        <w:rPr>
          <w:rFonts w:ascii="Times New Roman" w:hAnsi="Times New Roman" w:cs="Times New Roman"/>
          <w:i/>
          <w:iCs/>
          <w:szCs w:val="24"/>
        </w:rPr>
        <w:t>0</w:t>
      </w:r>
      <w:r w:rsidR="005D7C5D" w:rsidRPr="00DB0DEF">
        <w:rPr>
          <w:rFonts w:ascii="Times New Roman" w:hAnsi="Times New Roman" w:cs="Times New Roman"/>
          <w:szCs w:val="24"/>
        </w:rPr>
        <w:t>(2), 98–107.</w:t>
      </w:r>
    </w:p>
    <w:p w14:paraId="11483815"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Arsoy, A. poroy. (2008). Bölümsel Raporlamada Yeni Bir Uygulama: IFRS 8. </w:t>
      </w:r>
      <w:r w:rsidRPr="00DB0DEF">
        <w:rPr>
          <w:rFonts w:ascii="Times New Roman" w:hAnsi="Times New Roman" w:cs="Times New Roman"/>
          <w:i/>
          <w:iCs/>
          <w:szCs w:val="24"/>
        </w:rPr>
        <w:t>MUFAD - Muhasebe ve Finansman Dergisi</w:t>
      </w:r>
      <w:r w:rsidRPr="00DB0DEF">
        <w:rPr>
          <w:rFonts w:ascii="Times New Roman" w:hAnsi="Times New Roman" w:cs="Times New Roman"/>
          <w:szCs w:val="24"/>
        </w:rPr>
        <w:t xml:space="preserve">, </w:t>
      </w:r>
      <w:r w:rsidRPr="00DB0DEF">
        <w:rPr>
          <w:rFonts w:ascii="Times New Roman" w:hAnsi="Times New Roman" w:cs="Times New Roman"/>
          <w:i/>
          <w:iCs/>
          <w:szCs w:val="24"/>
        </w:rPr>
        <w:t>38</w:t>
      </w:r>
      <w:r w:rsidRPr="00DB0DEF">
        <w:rPr>
          <w:rFonts w:ascii="Times New Roman" w:hAnsi="Times New Roman" w:cs="Times New Roman"/>
          <w:szCs w:val="24"/>
        </w:rPr>
        <w:t>(nisan), 177–185.</w:t>
      </w:r>
    </w:p>
    <w:p w14:paraId="1A9C2B43"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Bekçi, I., Tekşen, Ö., &amp; Çil, R. (2013). Tfrs 8 faali̇yet bölümleri̇ standardi ve i̇nşaat sektöründe bi̇r uygulama. </w:t>
      </w:r>
      <w:r w:rsidRPr="00DB0DEF">
        <w:rPr>
          <w:rFonts w:ascii="Times New Roman" w:hAnsi="Times New Roman" w:cs="Times New Roman"/>
          <w:i/>
          <w:iCs/>
          <w:szCs w:val="24"/>
        </w:rPr>
        <w:t>Muhasebe Bilim Dünyası Dergisi</w:t>
      </w:r>
      <w:r w:rsidRPr="00DB0DEF">
        <w:rPr>
          <w:rFonts w:ascii="Times New Roman" w:hAnsi="Times New Roman" w:cs="Times New Roman"/>
          <w:szCs w:val="24"/>
        </w:rPr>
        <w:t xml:space="preserve">, </w:t>
      </w:r>
      <w:r w:rsidRPr="00DB0DEF">
        <w:rPr>
          <w:rFonts w:ascii="Times New Roman" w:hAnsi="Times New Roman" w:cs="Times New Roman"/>
          <w:i/>
          <w:iCs/>
          <w:szCs w:val="24"/>
        </w:rPr>
        <w:t>1</w:t>
      </w:r>
      <w:r w:rsidRPr="00DB0DEF">
        <w:rPr>
          <w:rFonts w:ascii="Times New Roman" w:hAnsi="Times New Roman" w:cs="Times New Roman"/>
          <w:szCs w:val="24"/>
        </w:rPr>
        <w:t>, 123–152.</w:t>
      </w:r>
    </w:p>
    <w:p w14:paraId="74347491"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Çiftçioğlu, A., &amp; Poroy, N. (2010a). Sosyal Sorumluluk ve Bölümlere Göre Raporlama Đlişkisini Anlamaya Yönelik Bir Araştırma. </w:t>
      </w:r>
      <w:r w:rsidRPr="00DB0DEF">
        <w:rPr>
          <w:rFonts w:ascii="Times New Roman" w:hAnsi="Times New Roman" w:cs="Times New Roman"/>
          <w:i/>
          <w:iCs/>
          <w:szCs w:val="24"/>
        </w:rPr>
        <w:t>Đşletme ve Ekonomi Araştırmaları Dergisi</w:t>
      </w:r>
      <w:r w:rsidRPr="00DB0DEF">
        <w:rPr>
          <w:rFonts w:ascii="Times New Roman" w:hAnsi="Times New Roman" w:cs="Times New Roman"/>
          <w:szCs w:val="24"/>
        </w:rPr>
        <w:t xml:space="preserve">, </w:t>
      </w:r>
      <w:r w:rsidRPr="00DB0DEF">
        <w:rPr>
          <w:rFonts w:ascii="Times New Roman" w:hAnsi="Times New Roman" w:cs="Times New Roman"/>
          <w:i/>
          <w:iCs/>
          <w:szCs w:val="24"/>
        </w:rPr>
        <w:t>1</w:t>
      </w:r>
      <w:r w:rsidRPr="00DB0DEF">
        <w:rPr>
          <w:rFonts w:ascii="Times New Roman" w:hAnsi="Times New Roman" w:cs="Times New Roman"/>
          <w:szCs w:val="24"/>
        </w:rPr>
        <w:t>(1), 83–99.</w:t>
      </w:r>
    </w:p>
    <w:p w14:paraId="1B68C69B"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Çiftçioğlu, A., &amp; Poroy, N. (2010b). Sosyal Sorumluluk ve Bölümlere Göre Raporlama ilişkisini Anlamaya Yönelik Bir Araştırma. </w:t>
      </w:r>
      <w:r w:rsidRPr="00DB0DEF">
        <w:rPr>
          <w:rFonts w:ascii="Times New Roman" w:hAnsi="Times New Roman" w:cs="Times New Roman"/>
          <w:i/>
          <w:iCs/>
          <w:szCs w:val="24"/>
        </w:rPr>
        <w:t>İşletme ve Ekonomi Araştırmaları Dergisi</w:t>
      </w:r>
      <w:r w:rsidRPr="00DB0DEF">
        <w:rPr>
          <w:rFonts w:ascii="Times New Roman" w:hAnsi="Times New Roman" w:cs="Times New Roman"/>
          <w:szCs w:val="24"/>
        </w:rPr>
        <w:t xml:space="preserve">, </w:t>
      </w:r>
      <w:r w:rsidRPr="00DB0DEF">
        <w:rPr>
          <w:rFonts w:ascii="Times New Roman" w:hAnsi="Times New Roman" w:cs="Times New Roman"/>
          <w:i/>
          <w:iCs/>
          <w:szCs w:val="24"/>
        </w:rPr>
        <w:t>1</w:t>
      </w:r>
      <w:r w:rsidRPr="00DB0DEF">
        <w:rPr>
          <w:rFonts w:ascii="Times New Roman" w:hAnsi="Times New Roman" w:cs="Times New Roman"/>
          <w:szCs w:val="24"/>
        </w:rPr>
        <w:t>(1), 83–99.</w:t>
      </w:r>
    </w:p>
    <w:p w14:paraId="1D97D964"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Dumanoğlu, S., &amp; Ergül, N. (2010). İMKB ’ de İşlem Gören Teknoloji Şirketlerinin Mali Performans Ölçümü. </w:t>
      </w:r>
      <w:r w:rsidRPr="00DB0DEF">
        <w:rPr>
          <w:rFonts w:ascii="Times New Roman" w:hAnsi="Times New Roman" w:cs="Times New Roman"/>
          <w:i/>
          <w:iCs/>
          <w:szCs w:val="24"/>
        </w:rPr>
        <w:t>Muhasebe ve Finansman Dergisi</w:t>
      </w:r>
      <w:r w:rsidRPr="00DB0DEF">
        <w:rPr>
          <w:rFonts w:ascii="Times New Roman" w:hAnsi="Times New Roman" w:cs="Times New Roman"/>
          <w:szCs w:val="24"/>
        </w:rPr>
        <w:t xml:space="preserve">, </w:t>
      </w:r>
      <w:r w:rsidRPr="00DB0DEF">
        <w:rPr>
          <w:rFonts w:ascii="Times New Roman" w:hAnsi="Times New Roman" w:cs="Times New Roman"/>
          <w:i/>
          <w:iCs/>
          <w:szCs w:val="24"/>
        </w:rPr>
        <w:t>48</w:t>
      </w:r>
      <w:r w:rsidRPr="00DB0DEF">
        <w:rPr>
          <w:rFonts w:ascii="Times New Roman" w:hAnsi="Times New Roman" w:cs="Times New Roman"/>
          <w:szCs w:val="24"/>
        </w:rPr>
        <w:t>(Ekim), 101–111.</w:t>
      </w:r>
    </w:p>
    <w:p w14:paraId="657B83D4"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Franzen, N., &amp; Weißenberger, B. E. (2015). The adoption of IFRS 8 – no headway made? Evidence from segment reporting practices in Germany. </w:t>
      </w:r>
      <w:r w:rsidRPr="00DB0DEF">
        <w:rPr>
          <w:rFonts w:ascii="Times New Roman" w:hAnsi="Times New Roman" w:cs="Times New Roman"/>
          <w:i/>
          <w:iCs/>
          <w:szCs w:val="24"/>
        </w:rPr>
        <w:t>Journal of Applied Accounting Research</w:t>
      </w:r>
      <w:r w:rsidRPr="00DB0DEF">
        <w:rPr>
          <w:rFonts w:ascii="Times New Roman" w:hAnsi="Times New Roman" w:cs="Times New Roman"/>
          <w:szCs w:val="24"/>
        </w:rPr>
        <w:t xml:space="preserve">, </w:t>
      </w:r>
      <w:r w:rsidRPr="00DB0DEF">
        <w:rPr>
          <w:rFonts w:ascii="Times New Roman" w:hAnsi="Times New Roman" w:cs="Times New Roman"/>
          <w:i/>
          <w:iCs/>
          <w:szCs w:val="24"/>
        </w:rPr>
        <w:t>16</w:t>
      </w:r>
      <w:r w:rsidRPr="00DB0DEF">
        <w:rPr>
          <w:rFonts w:ascii="Times New Roman" w:hAnsi="Times New Roman" w:cs="Times New Roman"/>
          <w:szCs w:val="24"/>
        </w:rPr>
        <w:t>(1), 88–113.</w:t>
      </w:r>
    </w:p>
    <w:p w14:paraId="4E7D4630" w14:textId="5C21DE0E"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Güler, Y., &amp; Alagöz, A. (2019a). Faaliyet Bölümleri Standardının (TFRS 8) Futbol Kulüplerinde Uygulanabilirligi: Fenerbahçe Spor Kulübü Örneği. </w:t>
      </w:r>
      <w:r w:rsidRPr="00DB0DEF">
        <w:rPr>
          <w:rFonts w:ascii="Times New Roman" w:hAnsi="Times New Roman" w:cs="Times New Roman"/>
          <w:i/>
          <w:iCs/>
          <w:szCs w:val="24"/>
        </w:rPr>
        <w:t>Al-Farabi International Journal on Social Sciences</w:t>
      </w:r>
      <w:r w:rsidRPr="00DB0DEF">
        <w:rPr>
          <w:rFonts w:ascii="Times New Roman" w:hAnsi="Times New Roman" w:cs="Times New Roman"/>
          <w:szCs w:val="24"/>
        </w:rPr>
        <w:t xml:space="preserve">, </w:t>
      </w:r>
      <w:r w:rsidRPr="00DB0DEF">
        <w:rPr>
          <w:rFonts w:ascii="Times New Roman" w:hAnsi="Times New Roman" w:cs="Times New Roman"/>
          <w:i/>
          <w:iCs/>
          <w:szCs w:val="24"/>
        </w:rPr>
        <w:t>3</w:t>
      </w:r>
      <w:r w:rsidRPr="00DB0DEF">
        <w:rPr>
          <w:rFonts w:ascii="Times New Roman" w:hAnsi="Times New Roman" w:cs="Times New Roman"/>
          <w:szCs w:val="24"/>
        </w:rPr>
        <w:t>(4), 41–55.</w:t>
      </w:r>
    </w:p>
    <w:p w14:paraId="36FA880A"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Güler, Y., &amp; Alagöz, A. (2019b). Faaliyet Bölümleri Standardının (TFRS 8) Futbol Kulüplerinde Uygulanabilirligi: Fenerbahçe Spor Kulübü Örneği. </w:t>
      </w:r>
      <w:r w:rsidRPr="00DB0DEF">
        <w:rPr>
          <w:rFonts w:ascii="Times New Roman" w:hAnsi="Times New Roman" w:cs="Times New Roman"/>
          <w:i/>
          <w:iCs/>
          <w:szCs w:val="24"/>
        </w:rPr>
        <w:t>Al-Farabi International Journal on Social Sciences</w:t>
      </w:r>
      <w:r w:rsidRPr="00DB0DEF">
        <w:rPr>
          <w:rFonts w:ascii="Times New Roman" w:hAnsi="Times New Roman" w:cs="Times New Roman"/>
          <w:szCs w:val="24"/>
        </w:rPr>
        <w:t xml:space="preserve">, </w:t>
      </w:r>
      <w:r w:rsidRPr="00DB0DEF">
        <w:rPr>
          <w:rFonts w:ascii="Times New Roman" w:hAnsi="Times New Roman" w:cs="Times New Roman"/>
          <w:i/>
          <w:iCs/>
          <w:szCs w:val="24"/>
        </w:rPr>
        <w:t>3</w:t>
      </w:r>
      <w:r w:rsidRPr="00DB0DEF">
        <w:rPr>
          <w:rFonts w:ascii="Times New Roman" w:hAnsi="Times New Roman" w:cs="Times New Roman"/>
          <w:szCs w:val="24"/>
        </w:rPr>
        <w:t>(4), 41–55.</w:t>
      </w:r>
    </w:p>
    <w:p w14:paraId="4441B0FD"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Güngörmüş, A. H., &amp; Uyar, A. (2009). İşletmelerde Bölümsel Raporlamanın “TFRS 8 Faaliyet Bölümleri” Standardı Çerçevesinde Uygulanması. </w:t>
      </w:r>
      <w:r w:rsidRPr="00DB0DEF">
        <w:rPr>
          <w:rFonts w:ascii="Times New Roman" w:hAnsi="Times New Roman" w:cs="Times New Roman"/>
          <w:i/>
          <w:iCs/>
          <w:szCs w:val="24"/>
        </w:rPr>
        <w:t>Mali Çözüm Dergisi</w:t>
      </w:r>
      <w:r w:rsidRPr="00DB0DEF">
        <w:rPr>
          <w:rFonts w:ascii="Times New Roman" w:hAnsi="Times New Roman" w:cs="Times New Roman"/>
          <w:szCs w:val="24"/>
        </w:rPr>
        <w:t xml:space="preserve">, </w:t>
      </w:r>
      <w:r w:rsidRPr="00DB0DEF">
        <w:rPr>
          <w:rFonts w:ascii="Times New Roman" w:hAnsi="Times New Roman" w:cs="Times New Roman"/>
          <w:i/>
          <w:iCs/>
          <w:szCs w:val="24"/>
        </w:rPr>
        <w:t>94</w:t>
      </w:r>
      <w:r w:rsidRPr="00DB0DEF">
        <w:rPr>
          <w:rFonts w:ascii="Times New Roman" w:hAnsi="Times New Roman" w:cs="Times New Roman"/>
          <w:szCs w:val="24"/>
        </w:rPr>
        <w:t>, 79–98.</w:t>
      </w:r>
    </w:p>
    <w:p w14:paraId="272FAD15"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İbiş, C., &amp; Tutcu, B. (2017). Türkiye Finansal Raporlama Standardı (TFRS) 8 Faaliyet Bölümleri Standardının Eğitim Sektöründe Uygulanabilirliğinin Analiz Edilmesi. </w:t>
      </w:r>
      <w:r w:rsidRPr="00DB0DEF">
        <w:rPr>
          <w:rFonts w:ascii="Times New Roman" w:hAnsi="Times New Roman" w:cs="Times New Roman"/>
          <w:i/>
          <w:iCs/>
          <w:szCs w:val="24"/>
        </w:rPr>
        <w:t>Marmara İktisat Dergisi</w:t>
      </w:r>
      <w:r w:rsidRPr="00DB0DEF">
        <w:rPr>
          <w:rFonts w:ascii="Times New Roman" w:hAnsi="Times New Roman" w:cs="Times New Roman"/>
          <w:szCs w:val="24"/>
        </w:rPr>
        <w:t xml:space="preserve">, </w:t>
      </w:r>
      <w:r w:rsidRPr="00DB0DEF">
        <w:rPr>
          <w:rFonts w:ascii="Times New Roman" w:hAnsi="Times New Roman" w:cs="Times New Roman"/>
          <w:i/>
          <w:iCs/>
          <w:szCs w:val="24"/>
        </w:rPr>
        <w:t>2</w:t>
      </w:r>
      <w:r w:rsidRPr="00DB0DEF">
        <w:rPr>
          <w:rFonts w:ascii="Times New Roman" w:hAnsi="Times New Roman" w:cs="Times New Roman"/>
          <w:szCs w:val="24"/>
        </w:rPr>
        <w:t>(Ekim), 195–208.</w:t>
      </w:r>
    </w:p>
    <w:p w14:paraId="6B0FC9EE"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Kahramanoğlu, A., &amp; Acar, D. (2017). Sağlık İşletmelerinde Sorumluluk Muhasebesi ve Faaliyet Bölümleri Standardına Göre Transfer Fiyatlaması: Bir Kamu Hastanesinde Uygulama. </w:t>
      </w:r>
      <w:r w:rsidRPr="00DB0DEF">
        <w:rPr>
          <w:rFonts w:ascii="Times New Roman" w:hAnsi="Times New Roman" w:cs="Times New Roman"/>
          <w:i/>
          <w:iCs/>
          <w:szCs w:val="24"/>
        </w:rPr>
        <w:t>Selçuk Üniversitesi Sosyal Bilimler Meslek Yüksekokulu Dergisi</w:t>
      </w:r>
      <w:r w:rsidRPr="00DB0DEF">
        <w:rPr>
          <w:rFonts w:ascii="Times New Roman" w:hAnsi="Times New Roman" w:cs="Times New Roman"/>
          <w:szCs w:val="24"/>
        </w:rPr>
        <w:t xml:space="preserve">, </w:t>
      </w:r>
      <w:r w:rsidRPr="00DB0DEF">
        <w:rPr>
          <w:rFonts w:ascii="Times New Roman" w:hAnsi="Times New Roman" w:cs="Times New Roman"/>
          <w:i/>
          <w:iCs/>
          <w:szCs w:val="24"/>
        </w:rPr>
        <w:t>20</w:t>
      </w:r>
      <w:r w:rsidRPr="00DB0DEF">
        <w:rPr>
          <w:rFonts w:ascii="Times New Roman" w:hAnsi="Times New Roman" w:cs="Times New Roman"/>
          <w:szCs w:val="24"/>
        </w:rPr>
        <w:t>(2), 111–128. https://doi.org/10.29249/selcuksbmyd.306756</w:t>
      </w:r>
    </w:p>
    <w:p w14:paraId="57C29E5B"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Kang, H., &amp; Gray, S. J. (2014). </w:t>
      </w:r>
      <w:r w:rsidRPr="00DB0DEF">
        <w:rPr>
          <w:rFonts w:ascii="Times New Roman" w:hAnsi="Times New Roman" w:cs="Times New Roman"/>
          <w:i/>
          <w:iCs/>
          <w:szCs w:val="24"/>
        </w:rPr>
        <w:t>Corporate Fınancıal Reportıng In The Brıc Economıes: A Comparatıve Internatıonal Analysıs Of Segment Dısclosure Practıces</w:t>
      </w:r>
      <w:r w:rsidRPr="00DB0DEF">
        <w:rPr>
          <w:rFonts w:ascii="Times New Roman" w:hAnsi="Times New Roman" w:cs="Times New Roman"/>
          <w:szCs w:val="24"/>
        </w:rPr>
        <w:t xml:space="preserve">. </w:t>
      </w:r>
      <w:r w:rsidRPr="00DB0DEF">
        <w:rPr>
          <w:rFonts w:ascii="Times New Roman" w:hAnsi="Times New Roman" w:cs="Times New Roman"/>
          <w:i/>
          <w:iCs/>
          <w:szCs w:val="24"/>
        </w:rPr>
        <w:t>15</w:t>
      </w:r>
      <w:r w:rsidRPr="00DB0DEF">
        <w:rPr>
          <w:rFonts w:ascii="Times New Roman" w:hAnsi="Times New Roman" w:cs="Times New Roman"/>
          <w:szCs w:val="24"/>
        </w:rPr>
        <w:t>, 233–254.</w:t>
      </w:r>
    </w:p>
    <w:p w14:paraId="6041DC4D"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Ömürbek, V., &amp; Özdemir, O. (2009). TFRS 8 Faaliyet Bölümleri Standardı Çerçevesinde Coğrafi Bölümlere Göre Finansal Raporlama : İMKB-100 Şirketlerinde Uygulanma Düzeyi. </w:t>
      </w:r>
      <w:r w:rsidRPr="00DB0DEF">
        <w:rPr>
          <w:rFonts w:ascii="Times New Roman" w:hAnsi="Times New Roman" w:cs="Times New Roman"/>
          <w:i/>
          <w:iCs/>
          <w:szCs w:val="24"/>
        </w:rPr>
        <w:t>MUFAD - Muhasebe ve Finansman Dergisi</w:t>
      </w:r>
      <w:r w:rsidRPr="00DB0DEF">
        <w:rPr>
          <w:rFonts w:ascii="Times New Roman" w:hAnsi="Times New Roman" w:cs="Times New Roman"/>
          <w:szCs w:val="24"/>
        </w:rPr>
        <w:t xml:space="preserve">, </w:t>
      </w:r>
      <w:r w:rsidRPr="00DB0DEF">
        <w:rPr>
          <w:rFonts w:ascii="Times New Roman" w:hAnsi="Times New Roman" w:cs="Times New Roman"/>
          <w:i/>
          <w:iCs/>
          <w:szCs w:val="24"/>
        </w:rPr>
        <w:t>44</w:t>
      </w:r>
      <w:r w:rsidRPr="00DB0DEF">
        <w:rPr>
          <w:rFonts w:ascii="Times New Roman" w:hAnsi="Times New Roman" w:cs="Times New Roman"/>
          <w:szCs w:val="24"/>
        </w:rPr>
        <w:t>, 199–211.</w:t>
      </w:r>
    </w:p>
    <w:p w14:paraId="59AD6E9B"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Özkan, G., &amp; Deliktaş, E. (2020). Banka performanslarinin topsi̇s yöntemi̇yle anali̇zi̇ an analysi̇s of the performance of the banks by topsis. </w:t>
      </w:r>
      <w:r w:rsidRPr="00DB0DEF">
        <w:rPr>
          <w:rFonts w:ascii="Times New Roman" w:hAnsi="Times New Roman" w:cs="Times New Roman"/>
          <w:i/>
          <w:iCs/>
          <w:szCs w:val="24"/>
        </w:rPr>
        <w:t>İzmir Katip Çelebi Üniversitesi İktisadi ve İdari Bilimler Fakültesi Dergisi</w:t>
      </w:r>
      <w:r w:rsidRPr="00DB0DEF">
        <w:rPr>
          <w:rFonts w:ascii="Times New Roman" w:hAnsi="Times New Roman" w:cs="Times New Roman"/>
          <w:szCs w:val="24"/>
        </w:rPr>
        <w:t xml:space="preserve">, </w:t>
      </w:r>
      <w:r w:rsidRPr="00DB0DEF">
        <w:rPr>
          <w:rFonts w:ascii="Times New Roman" w:hAnsi="Times New Roman" w:cs="Times New Roman"/>
          <w:i/>
          <w:iCs/>
          <w:szCs w:val="24"/>
        </w:rPr>
        <w:t>3</w:t>
      </w:r>
      <w:r w:rsidRPr="00DB0DEF">
        <w:rPr>
          <w:rFonts w:ascii="Times New Roman" w:hAnsi="Times New Roman" w:cs="Times New Roman"/>
          <w:szCs w:val="24"/>
        </w:rPr>
        <w:t>(1), 31–40.</w:t>
      </w:r>
    </w:p>
    <w:p w14:paraId="6D791B14"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SUCUAHI, W. T. (2013). Firm Size as Predictor of Compliance to International Financial Reporting Standards (IFRS) 8. </w:t>
      </w:r>
      <w:r w:rsidRPr="00DB0DEF">
        <w:rPr>
          <w:rFonts w:ascii="Times New Roman" w:hAnsi="Times New Roman" w:cs="Times New Roman"/>
          <w:i/>
          <w:iCs/>
          <w:szCs w:val="24"/>
        </w:rPr>
        <w:t>IAMURE International Journal of Business and Management</w:t>
      </w:r>
      <w:r w:rsidRPr="00DB0DEF">
        <w:rPr>
          <w:rFonts w:ascii="Times New Roman" w:hAnsi="Times New Roman" w:cs="Times New Roman"/>
          <w:szCs w:val="24"/>
        </w:rPr>
        <w:t xml:space="preserve">, </w:t>
      </w:r>
      <w:r w:rsidRPr="00DB0DEF">
        <w:rPr>
          <w:rFonts w:ascii="Times New Roman" w:hAnsi="Times New Roman" w:cs="Times New Roman"/>
          <w:i/>
          <w:iCs/>
          <w:szCs w:val="24"/>
        </w:rPr>
        <w:t>6</w:t>
      </w:r>
      <w:r w:rsidRPr="00DB0DEF">
        <w:rPr>
          <w:rFonts w:ascii="Times New Roman" w:hAnsi="Times New Roman" w:cs="Times New Roman"/>
          <w:szCs w:val="24"/>
        </w:rPr>
        <w:t>(1). https://doi.org/10.7718/iamure.ijbm.v6i1.587</w:t>
      </w:r>
    </w:p>
    <w:p w14:paraId="5A10C83F" w14:textId="0B13E0D4"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Tamer, D. (2006). Segment Reportıng Underlyıng Ias 14 And Its Applıcatıon In Turkey. </w:t>
      </w:r>
      <w:r w:rsidRPr="00DB0DEF">
        <w:rPr>
          <w:rFonts w:ascii="Times New Roman" w:hAnsi="Times New Roman" w:cs="Times New Roman"/>
          <w:i/>
          <w:iCs/>
          <w:szCs w:val="24"/>
        </w:rPr>
        <w:t>Istanbul Bılgı Unıversıty Instıtute Of Socıal Scıences</w:t>
      </w:r>
      <w:r w:rsidRPr="00DB0DEF">
        <w:rPr>
          <w:rFonts w:ascii="Times New Roman" w:hAnsi="Times New Roman" w:cs="Times New Roman"/>
          <w:szCs w:val="24"/>
        </w:rPr>
        <w:t>.</w:t>
      </w:r>
    </w:p>
    <w:p w14:paraId="50DF0E00" w14:textId="7C593F28"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Üçoğlu, D. (2020). UFRS 8 Faaliyet Bölümleri Standardı Kapsamında Borsa İstanbul’daki </w:t>
      </w:r>
      <w:r w:rsidRPr="00DB0DEF">
        <w:rPr>
          <w:rFonts w:ascii="Times New Roman" w:hAnsi="Times New Roman" w:cs="Times New Roman"/>
          <w:szCs w:val="24"/>
        </w:rPr>
        <w:lastRenderedPageBreak/>
        <w:t xml:space="preserve">Uygulamaların Karşılaştırmalı Analizi. </w:t>
      </w:r>
      <w:r w:rsidRPr="00DB0DEF">
        <w:rPr>
          <w:rFonts w:ascii="Times New Roman" w:hAnsi="Times New Roman" w:cs="Times New Roman"/>
          <w:i/>
          <w:iCs/>
          <w:szCs w:val="24"/>
        </w:rPr>
        <w:t>Muhasebe Bilim Dünyası Dergisi</w:t>
      </w:r>
      <w:r w:rsidRPr="00DB0DEF">
        <w:rPr>
          <w:rFonts w:ascii="Times New Roman" w:hAnsi="Times New Roman" w:cs="Times New Roman"/>
          <w:szCs w:val="24"/>
        </w:rPr>
        <w:t xml:space="preserve">, </w:t>
      </w:r>
      <w:r w:rsidRPr="00DB0DEF">
        <w:rPr>
          <w:rFonts w:ascii="Times New Roman" w:hAnsi="Times New Roman" w:cs="Times New Roman"/>
          <w:i/>
          <w:iCs/>
          <w:szCs w:val="24"/>
        </w:rPr>
        <w:t>22</w:t>
      </w:r>
      <w:r w:rsidRPr="00DB0DEF">
        <w:rPr>
          <w:rFonts w:ascii="Times New Roman" w:hAnsi="Times New Roman" w:cs="Times New Roman"/>
          <w:szCs w:val="24"/>
        </w:rPr>
        <w:t>(3), 506–528.</w:t>
      </w:r>
    </w:p>
    <w:p w14:paraId="1828EC2C" w14:textId="5C718EBE"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szCs w:val="24"/>
        </w:rPr>
      </w:pPr>
      <w:r w:rsidRPr="00DB0DEF">
        <w:rPr>
          <w:rFonts w:ascii="Times New Roman" w:hAnsi="Times New Roman" w:cs="Times New Roman"/>
          <w:szCs w:val="24"/>
        </w:rPr>
        <w:t xml:space="preserve">Ünal, O. (2010). Bölümsel Raporlama Ve Uluslararası Finansal Raporlama Standardı (UFRS) 8 Faaliyet Bölümleri Standardının Finansal Raporlamaya Etkileri. </w:t>
      </w:r>
      <w:r w:rsidRPr="00DB0DEF">
        <w:rPr>
          <w:rFonts w:ascii="Times New Roman" w:hAnsi="Times New Roman" w:cs="Times New Roman"/>
          <w:i/>
          <w:iCs/>
          <w:szCs w:val="24"/>
        </w:rPr>
        <w:t>Niğde Üniversitesi İİBF Dergisi</w:t>
      </w:r>
      <w:r w:rsidRPr="00DB0DEF">
        <w:rPr>
          <w:rFonts w:ascii="Times New Roman" w:hAnsi="Times New Roman" w:cs="Times New Roman"/>
          <w:szCs w:val="24"/>
        </w:rPr>
        <w:t xml:space="preserve">, </w:t>
      </w:r>
      <w:r w:rsidRPr="00DB0DEF">
        <w:rPr>
          <w:rFonts w:ascii="Times New Roman" w:hAnsi="Times New Roman" w:cs="Times New Roman"/>
          <w:i/>
          <w:iCs/>
          <w:szCs w:val="24"/>
        </w:rPr>
        <w:t>3</w:t>
      </w:r>
      <w:r w:rsidRPr="00DB0DEF">
        <w:rPr>
          <w:rFonts w:ascii="Times New Roman" w:hAnsi="Times New Roman" w:cs="Times New Roman"/>
          <w:szCs w:val="24"/>
        </w:rPr>
        <w:t>(2), 48–69.</w:t>
      </w:r>
    </w:p>
    <w:p w14:paraId="74F9031D" w14:textId="77777777" w:rsidR="005D7C5D" w:rsidRPr="00DB0DEF" w:rsidRDefault="005D7C5D" w:rsidP="005D7C5D">
      <w:pPr>
        <w:widowControl w:val="0"/>
        <w:autoSpaceDE w:val="0"/>
        <w:autoSpaceDN w:val="0"/>
        <w:adjustRightInd w:val="0"/>
        <w:spacing w:after="120" w:line="240" w:lineRule="auto"/>
        <w:ind w:left="480" w:hanging="480"/>
        <w:rPr>
          <w:rFonts w:ascii="Times New Roman" w:hAnsi="Times New Roman" w:cs="Times New Roman"/>
        </w:rPr>
      </w:pPr>
      <w:r w:rsidRPr="00DB0DEF">
        <w:rPr>
          <w:rFonts w:ascii="Times New Roman" w:hAnsi="Times New Roman" w:cs="Times New Roman"/>
          <w:szCs w:val="24"/>
        </w:rPr>
        <w:t xml:space="preserve">Uyar, A., &amp; Göngörmüş,  ali haydar. (2009). “TFRS 8 Faaliyet Bölümleri” Standardının Uygulanmasına İlişkin İMKB’de İşlem Gören Sanayi Şirketleri Üzerinde Bir Araştırma. </w:t>
      </w:r>
      <w:r w:rsidRPr="00DB0DEF">
        <w:rPr>
          <w:rFonts w:ascii="Times New Roman" w:hAnsi="Times New Roman" w:cs="Times New Roman"/>
          <w:i/>
          <w:iCs/>
          <w:szCs w:val="24"/>
        </w:rPr>
        <w:t>Ç.Ü. Sosyal Bilimler Enstitüsü Dergisi,</w:t>
      </w:r>
      <w:r w:rsidRPr="00DB0DEF">
        <w:rPr>
          <w:rFonts w:ascii="Times New Roman" w:hAnsi="Times New Roman" w:cs="Times New Roman"/>
          <w:szCs w:val="24"/>
        </w:rPr>
        <w:t xml:space="preserve"> </w:t>
      </w:r>
      <w:r w:rsidRPr="00DB0DEF">
        <w:rPr>
          <w:rFonts w:ascii="Times New Roman" w:hAnsi="Times New Roman" w:cs="Times New Roman"/>
          <w:i/>
          <w:iCs/>
          <w:szCs w:val="24"/>
        </w:rPr>
        <w:t>18</w:t>
      </w:r>
      <w:r w:rsidRPr="00DB0DEF">
        <w:rPr>
          <w:rFonts w:ascii="Times New Roman" w:hAnsi="Times New Roman" w:cs="Times New Roman"/>
          <w:szCs w:val="24"/>
        </w:rPr>
        <w:t>(2), 427–439.</w:t>
      </w:r>
    </w:p>
    <w:p w14:paraId="3B1262C0" w14:textId="0AF314C9" w:rsidR="002E0A42" w:rsidRPr="00DB0DEF" w:rsidRDefault="002E0A42" w:rsidP="002E0A42">
      <w:pPr>
        <w:spacing w:after="120"/>
        <w:contextualSpacing/>
        <w:jc w:val="both"/>
        <w:rPr>
          <w:rFonts w:ascii="Times New Roman" w:hAnsi="Times New Roman" w:cs="Times New Roman"/>
        </w:rPr>
      </w:pPr>
      <w:r w:rsidRPr="00DB0DEF">
        <w:rPr>
          <w:rFonts w:ascii="Times New Roman" w:hAnsi="Times New Roman" w:cs="Times New Roman"/>
        </w:rPr>
        <w:fldChar w:fldCharType="end"/>
      </w:r>
    </w:p>
    <w:sectPr w:rsidR="002E0A42" w:rsidRPr="00DB0DEF" w:rsidSect="00510E79">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B98F8" w14:textId="77777777" w:rsidR="008F3455" w:rsidRDefault="008F3455" w:rsidP="00806419">
      <w:pPr>
        <w:spacing w:after="0" w:line="240" w:lineRule="auto"/>
      </w:pPr>
      <w:r>
        <w:separator/>
      </w:r>
    </w:p>
  </w:endnote>
  <w:endnote w:type="continuationSeparator" w:id="0">
    <w:p w14:paraId="596F590D" w14:textId="77777777" w:rsidR="008F3455" w:rsidRDefault="008F3455" w:rsidP="0080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 w:name="PalatinoLinotype-Bold">
    <w:altName w:val="Palatino Linotype"/>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567450"/>
      <w:docPartObj>
        <w:docPartGallery w:val="Page Numbers (Bottom of Page)"/>
        <w:docPartUnique/>
      </w:docPartObj>
    </w:sdtPr>
    <w:sdtEndPr/>
    <w:sdtContent>
      <w:p w14:paraId="79E9B175" w14:textId="4A4F67AE" w:rsidR="006E033A" w:rsidRDefault="006E033A">
        <w:pPr>
          <w:pStyle w:val="AltBilgi"/>
          <w:jc w:val="right"/>
        </w:pPr>
        <w:r>
          <w:fldChar w:fldCharType="begin"/>
        </w:r>
        <w:r>
          <w:instrText>PAGE   \* MERGEFORMAT</w:instrText>
        </w:r>
        <w:r>
          <w:fldChar w:fldCharType="separate"/>
        </w:r>
        <w:r>
          <w:t>2</w:t>
        </w:r>
        <w:r>
          <w:fldChar w:fldCharType="end"/>
        </w:r>
      </w:p>
    </w:sdtContent>
  </w:sdt>
  <w:p w14:paraId="060CB64B" w14:textId="77777777" w:rsidR="00214ABA" w:rsidRDefault="00214A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57A1" w14:textId="77777777" w:rsidR="008F3455" w:rsidRDefault="008F3455" w:rsidP="00806419">
      <w:pPr>
        <w:spacing w:after="0" w:line="240" w:lineRule="auto"/>
      </w:pPr>
      <w:r>
        <w:separator/>
      </w:r>
    </w:p>
  </w:footnote>
  <w:footnote w:type="continuationSeparator" w:id="0">
    <w:p w14:paraId="7F66FD49" w14:textId="77777777" w:rsidR="008F3455" w:rsidRDefault="008F3455" w:rsidP="00806419">
      <w:pPr>
        <w:spacing w:after="0" w:line="240" w:lineRule="auto"/>
      </w:pPr>
      <w:r>
        <w:continuationSeparator/>
      </w:r>
    </w:p>
  </w:footnote>
  <w:footnote w:id="1">
    <w:p w14:paraId="4059C5C4" w14:textId="77777777" w:rsidR="00431039" w:rsidRDefault="00431039" w:rsidP="00431039">
      <w:pPr>
        <w:pStyle w:val="DipnotMetni"/>
        <w:contextualSpacing/>
      </w:pPr>
      <w:r>
        <w:rPr>
          <w:rStyle w:val="DipnotBavurusu"/>
        </w:rPr>
        <w:footnoteRef/>
      </w:r>
      <w:r>
        <w:t xml:space="preserve"> Düzce Üniversitesi, Akçakoca MYO, </w:t>
      </w:r>
      <w:hyperlink r:id="rId1" w:history="1">
        <w:r w:rsidRPr="00975D43">
          <w:rPr>
            <w:rStyle w:val="Kpr"/>
          </w:rPr>
          <w:t>serkanyucel@duzce.edu.tr</w:t>
        </w:r>
      </w:hyperlink>
      <w:r>
        <w:t xml:space="preserve">  (</w:t>
      </w:r>
      <w:r w:rsidRPr="00BB5068">
        <w:t>Orcid: 0000-0002-8744-5779)</w:t>
      </w:r>
    </w:p>
    <w:p w14:paraId="2BC09439" w14:textId="4F04CFA9" w:rsidR="00431039" w:rsidRDefault="00431039">
      <w:pPr>
        <w:pStyle w:val="DipnotMetni"/>
      </w:pPr>
    </w:p>
  </w:footnote>
  <w:footnote w:id="2">
    <w:p w14:paraId="49C43939" w14:textId="39EEE12A" w:rsidR="005F4B64" w:rsidRDefault="005F4B64" w:rsidP="00BC0189">
      <w:pPr>
        <w:pStyle w:val="DipnotMetni"/>
        <w:jc w:val="both"/>
      </w:pPr>
      <w:r>
        <w:rPr>
          <w:rStyle w:val="DipnotBavurusu"/>
        </w:rPr>
        <w:footnoteRef/>
      </w:r>
      <w:r>
        <w:t xml:space="preserve"> </w:t>
      </w:r>
      <w:r w:rsidRPr="00D24A73">
        <w:rPr>
          <w:rFonts w:ascii="Times New Roman" w:hAnsi="Times New Roman" w:cs="Times New Roman"/>
        </w:rPr>
        <w:t xml:space="preserve">Konsolide Finansal Tablolar </w:t>
      </w:r>
      <w:r>
        <w:rPr>
          <w:rFonts w:ascii="Times New Roman" w:hAnsi="Times New Roman" w:cs="Times New Roman"/>
        </w:rPr>
        <w:t>v</w:t>
      </w:r>
      <w:r w:rsidRPr="00D24A73">
        <w:rPr>
          <w:rFonts w:ascii="Times New Roman" w:hAnsi="Times New Roman" w:cs="Times New Roman"/>
        </w:rPr>
        <w:t>e Bağımsız Denetçi Raporu’nda</w:t>
      </w:r>
      <w:r>
        <w:rPr>
          <w:rFonts w:ascii="Times New Roman" w:hAnsi="Times New Roman" w:cs="Times New Roman"/>
        </w:rPr>
        <w:t xml:space="preserve"> Faaliyet Bölümlerine Göre Raporlama bölümünde Eliminasyon ve Sınıflandırma şeklinde bir sütun yer almaktadır. Yapılan hesaplamalarda bu sütun dikkate alınmamıştır.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78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F712EF"/>
    <w:multiLevelType w:val="hybridMultilevel"/>
    <w:tmpl w:val="3884AE0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3AE2203"/>
    <w:multiLevelType w:val="hybridMultilevel"/>
    <w:tmpl w:val="172A10B0"/>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141745B"/>
    <w:multiLevelType w:val="hybridMultilevel"/>
    <w:tmpl w:val="3BA22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7FA4CB5"/>
    <w:multiLevelType w:val="multilevel"/>
    <w:tmpl w:val="CC9CF8CA"/>
    <w:lvl w:ilvl="0">
      <w:start w:val="1"/>
      <w:numFmt w:val="decimal"/>
      <w:lvlText w:val="%1."/>
      <w:lvlJc w:val="left"/>
      <w:pPr>
        <w:ind w:left="360" w:hanging="360"/>
      </w:pPr>
    </w:lvl>
    <w:lvl w:ilvl="1">
      <w:start w:val="1"/>
      <w:numFmt w:val="decimal"/>
      <w:lvlText w:val="%1.%2."/>
      <w:lvlJc w:val="left"/>
      <w:pPr>
        <w:ind w:left="792" w:hanging="432"/>
      </w:pPr>
      <w:rPr>
        <w:sz w:val="20"/>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226CCE"/>
    <w:multiLevelType w:val="hybridMultilevel"/>
    <w:tmpl w:val="9C82C4B0"/>
    <w:lvl w:ilvl="0" w:tplc="041F0001">
      <w:start w:val="1"/>
      <w:numFmt w:val="bullet"/>
      <w:lvlText w:val=""/>
      <w:lvlJc w:val="left"/>
      <w:pPr>
        <w:ind w:left="1145" w:hanging="360"/>
      </w:pPr>
      <w:rPr>
        <w:rFonts w:ascii="Symbol" w:hAnsi="Symbol" w:hint="default"/>
        <w:b/>
        <w:bCs/>
      </w:r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6" w15:restartNumberingAfterBreak="0">
    <w:nsid w:val="327D2C27"/>
    <w:multiLevelType w:val="hybridMultilevel"/>
    <w:tmpl w:val="C28AE374"/>
    <w:lvl w:ilvl="0" w:tplc="812E6298">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7" w15:restartNumberingAfterBreak="0">
    <w:nsid w:val="3F7C2EFF"/>
    <w:multiLevelType w:val="hybridMultilevel"/>
    <w:tmpl w:val="512A4A5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15:restartNumberingAfterBreak="0">
    <w:nsid w:val="4625430F"/>
    <w:multiLevelType w:val="hybridMultilevel"/>
    <w:tmpl w:val="A2344C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1126A14"/>
    <w:multiLevelType w:val="hybridMultilevel"/>
    <w:tmpl w:val="AC8E395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15:restartNumberingAfterBreak="0">
    <w:nsid w:val="6E795CFB"/>
    <w:multiLevelType w:val="hybridMultilevel"/>
    <w:tmpl w:val="9B42BA1C"/>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15:restartNumberingAfterBreak="0">
    <w:nsid w:val="6F8B6E21"/>
    <w:multiLevelType w:val="hybridMultilevel"/>
    <w:tmpl w:val="A4749202"/>
    <w:lvl w:ilvl="0" w:tplc="DD1863F0">
      <w:start w:val="1"/>
      <w:numFmt w:val="decimal"/>
      <w:lvlText w:val="%1."/>
      <w:lvlJc w:val="left"/>
      <w:pPr>
        <w:ind w:left="720" w:hanging="360"/>
      </w:pPr>
      <w:rPr>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B820FAB"/>
    <w:multiLevelType w:val="hybridMultilevel"/>
    <w:tmpl w:val="73C017B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15:restartNumberingAfterBreak="0">
    <w:nsid w:val="7F9F38D7"/>
    <w:multiLevelType w:val="hybridMultilevel"/>
    <w:tmpl w:val="A66C01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16cid:durableId="1698580325">
    <w:abstractNumId w:val="0"/>
  </w:num>
  <w:num w:numId="2" w16cid:durableId="238176877">
    <w:abstractNumId w:val="4"/>
  </w:num>
  <w:num w:numId="3" w16cid:durableId="80756797">
    <w:abstractNumId w:val="11"/>
  </w:num>
  <w:num w:numId="4" w16cid:durableId="1513256590">
    <w:abstractNumId w:val="3"/>
  </w:num>
  <w:num w:numId="5" w16cid:durableId="711999507">
    <w:abstractNumId w:val="13"/>
  </w:num>
  <w:num w:numId="6" w16cid:durableId="763451803">
    <w:abstractNumId w:val="9"/>
  </w:num>
  <w:num w:numId="7" w16cid:durableId="622268781">
    <w:abstractNumId w:val="1"/>
  </w:num>
  <w:num w:numId="8" w16cid:durableId="1982730290">
    <w:abstractNumId w:val="6"/>
  </w:num>
  <w:num w:numId="9" w16cid:durableId="905457813">
    <w:abstractNumId w:val="2"/>
  </w:num>
  <w:num w:numId="10" w16cid:durableId="844176595">
    <w:abstractNumId w:val="8"/>
  </w:num>
  <w:num w:numId="11" w16cid:durableId="1467241797">
    <w:abstractNumId w:val="10"/>
  </w:num>
  <w:num w:numId="12" w16cid:durableId="1836915448">
    <w:abstractNumId w:val="7"/>
  </w:num>
  <w:num w:numId="13" w16cid:durableId="1796559374">
    <w:abstractNumId w:val="5"/>
  </w:num>
  <w:num w:numId="14" w16cid:durableId="395856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98" style="mso-wrap-style:tight"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BE"/>
    <w:rsid w:val="00006979"/>
    <w:rsid w:val="00007067"/>
    <w:rsid w:val="00007568"/>
    <w:rsid w:val="00010811"/>
    <w:rsid w:val="00031872"/>
    <w:rsid w:val="0003216D"/>
    <w:rsid w:val="0006349F"/>
    <w:rsid w:val="00063C05"/>
    <w:rsid w:val="00067219"/>
    <w:rsid w:val="000905A3"/>
    <w:rsid w:val="000960ED"/>
    <w:rsid w:val="000A1F25"/>
    <w:rsid w:val="000A34AB"/>
    <w:rsid w:val="000A6B8E"/>
    <w:rsid w:val="000B0786"/>
    <w:rsid w:val="000C4512"/>
    <w:rsid w:val="000D2665"/>
    <w:rsid w:val="000E3DA3"/>
    <w:rsid w:val="000E6AE3"/>
    <w:rsid w:val="00106B96"/>
    <w:rsid w:val="00110C35"/>
    <w:rsid w:val="00110F56"/>
    <w:rsid w:val="00117B1C"/>
    <w:rsid w:val="001218BB"/>
    <w:rsid w:val="0012589C"/>
    <w:rsid w:val="00133D2C"/>
    <w:rsid w:val="00135205"/>
    <w:rsid w:val="00135415"/>
    <w:rsid w:val="001358D8"/>
    <w:rsid w:val="0014090C"/>
    <w:rsid w:val="001426ED"/>
    <w:rsid w:val="001510A9"/>
    <w:rsid w:val="0015672C"/>
    <w:rsid w:val="00161E1A"/>
    <w:rsid w:val="00165DA1"/>
    <w:rsid w:val="0019070D"/>
    <w:rsid w:val="001A5C10"/>
    <w:rsid w:val="001B0616"/>
    <w:rsid w:val="001B10CF"/>
    <w:rsid w:val="001D07C6"/>
    <w:rsid w:val="001D1B3E"/>
    <w:rsid w:val="001F4344"/>
    <w:rsid w:val="001F5FB5"/>
    <w:rsid w:val="00214ABA"/>
    <w:rsid w:val="00220DE6"/>
    <w:rsid w:val="00227F40"/>
    <w:rsid w:val="002454CE"/>
    <w:rsid w:val="00251729"/>
    <w:rsid w:val="002520D6"/>
    <w:rsid w:val="0026136E"/>
    <w:rsid w:val="00275E26"/>
    <w:rsid w:val="00281802"/>
    <w:rsid w:val="002849C3"/>
    <w:rsid w:val="00286E32"/>
    <w:rsid w:val="002A1097"/>
    <w:rsid w:val="002A41B8"/>
    <w:rsid w:val="002B6ED1"/>
    <w:rsid w:val="002C29CF"/>
    <w:rsid w:val="002C689D"/>
    <w:rsid w:val="002D1349"/>
    <w:rsid w:val="002E0A42"/>
    <w:rsid w:val="002E53C8"/>
    <w:rsid w:val="002F78C1"/>
    <w:rsid w:val="003112A4"/>
    <w:rsid w:val="0031315B"/>
    <w:rsid w:val="003142A1"/>
    <w:rsid w:val="00315E01"/>
    <w:rsid w:val="003171AF"/>
    <w:rsid w:val="003239D9"/>
    <w:rsid w:val="00330FB4"/>
    <w:rsid w:val="00331CB2"/>
    <w:rsid w:val="00336098"/>
    <w:rsid w:val="00346651"/>
    <w:rsid w:val="003531AB"/>
    <w:rsid w:val="00366F97"/>
    <w:rsid w:val="003728AE"/>
    <w:rsid w:val="00373C99"/>
    <w:rsid w:val="00374DF1"/>
    <w:rsid w:val="003873C9"/>
    <w:rsid w:val="003877B8"/>
    <w:rsid w:val="003A1056"/>
    <w:rsid w:val="003A4423"/>
    <w:rsid w:val="003A7E2B"/>
    <w:rsid w:val="003B2352"/>
    <w:rsid w:val="003B235E"/>
    <w:rsid w:val="003E3563"/>
    <w:rsid w:val="003F0471"/>
    <w:rsid w:val="003F1C93"/>
    <w:rsid w:val="0041090C"/>
    <w:rsid w:val="0041728A"/>
    <w:rsid w:val="00422C33"/>
    <w:rsid w:val="00431039"/>
    <w:rsid w:val="0043443F"/>
    <w:rsid w:val="0043689D"/>
    <w:rsid w:val="0044078F"/>
    <w:rsid w:val="004515F4"/>
    <w:rsid w:val="00452BE8"/>
    <w:rsid w:val="00453387"/>
    <w:rsid w:val="00470B45"/>
    <w:rsid w:val="00483C80"/>
    <w:rsid w:val="0048487A"/>
    <w:rsid w:val="004964A5"/>
    <w:rsid w:val="004A7F0C"/>
    <w:rsid w:val="004B7643"/>
    <w:rsid w:val="004C234A"/>
    <w:rsid w:val="004C3AEA"/>
    <w:rsid w:val="004D13AB"/>
    <w:rsid w:val="004D6C03"/>
    <w:rsid w:val="004E2014"/>
    <w:rsid w:val="004F0AA1"/>
    <w:rsid w:val="004F13C7"/>
    <w:rsid w:val="004F4733"/>
    <w:rsid w:val="004F78C1"/>
    <w:rsid w:val="00505761"/>
    <w:rsid w:val="00510E79"/>
    <w:rsid w:val="00530160"/>
    <w:rsid w:val="00530E8C"/>
    <w:rsid w:val="0053595D"/>
    <w:rsid w:val="00536FE1"/>
    <w:rsid w:val="00545ADB"/>
    <w:rsid w:val="00562C1E"/>
    <w:rsid w:val="005662D9"/>
    <w:rsid w:val="00566C0B"/>
    <w:rsid w:val="00571A95"/>
    <w:rsid w:val="00573731"/>
    <w:rsid w:val="00583741"/>
    <w:rsid w:val="00584E83"/>
    <w:rsid w:val="00590C3A"/>
    <w:rsid w:val="0059242B"/>
    <w:rsid w:val="00594491"/>
    <w:rsid w:val="0059734B"/>
    <w:rsid w:val="005A4138"/>
    <w:rsid w:val="005A55C3"/>
    <w:rsid w:val="005A6E81"/>
    <w:rsid w:val="005C50FC"/>
    <w:rsid w:val="005D7C5D"/>
    <w:rsid w:val="005E358F"/>
    <w:rsid w:val="005F4B64"/>
    <w:rsid w:val="005F75A9"/>
    <w:rsid w:val="0060206C"/>
    <w:rsid w:val="00602F6F"/>
    <w:rsid w:val="006077C5"/>
    <w:rsid w:val="00607C37"/>
    <w:rsid w:val="00615134"/>
    <w:rsid w:val="00615829"/>
    <w:rsid w:val="00621F92"/>
    <w:rsid w:val="00627F2B"/>
    <w:rsid w:val="00644936"/>
    <w:rsid w:val="0065176D"/>
    <w:rsid w:val="00655E52"/>
    <w:rsid w:val="006723D7"/>
    <w:rsid w:val="00674849"/>
    <w:rsid w:val="00680311"/>
    <w:rsid w:val="006847AD"/>
    <w:rsid w:val="00685946"/>
    <w:rsid w:val="00697B43"/>
    <w:rsid w:val="006A4985"/>
    <w:rsid w:val="006B168B"/>
    <w:rsid w:val="006B1D2D"/>
    <w:rsid w:val="006B2424"/>
    <w:rsid w:val="006C3477"/>
    <w:rsid w:val="006C5AED"/>
    <w:rsid w:val="006D1BB7"/>
    <w:rsid w:val="006E033A"/>
    <w:rsid w:val="006F07FA"/>
    <w:rsid w:val="00704776"/>
    <w:rsid w:val="0072285D"/>
    <w:rsid w:val="00722CD4"/>
    <w:rsid w:val="00723CB8"/>
    <w:rsid w:val="00725CFA"/>
    <w:rsid w:val="00740A15"/>
    <w:rsid w:val="007455BC"/>
    <w:rsid w:val="007526D6"/>
    <w:rsid w:val="00753333"/>
    <w:rsid w:val="00756B51"/>
    <w:rsid w:val="00757747"/>
    <w:rsid w:val="00781349"/>
    <w:rsid w:val="00782933"/>
    <w:rsid w:val="007951E3"/>
    <w:rsid w:val="007A3ECC"/>
    <w:rsid w:val="007A7306"/>
    <w:rsid w:val="007C3B08"/>
    <w:rsid w:val="007C4970"/>
    <w:rsid w:val="007D45B8"/>
    <w:rsid w:val="007F5CFF"/>
    <w:rsid w:val="00806419"/>
    <w:rsid w:val="00811A7E"/>
    <w:rsid w:val="00814BB2"/>
    <w:rsid w:val="0081726E"/>
    <w:rsid w:val="0081749C"/>
    <w:rsid w:val="00820074"/>
    <w:rsid w:val="00820B52"/>
    <w:rsid w:val="008227D1"/>
    <w:rsid w:val="00824CB3"/>
    <w:rsid w:val="00833AA6"/>
    <w:rsid w:val="008462D9"/>
    <w:rsid w:val="008513B2"/>
    <w:rsid w:val="00861074"/>
    <w:rsid w:val="008705BE"/>
    <w:rsid w:val="00871D9B"/>
    <w:rsid w:val="008737A1"/>
    <w:rsid w:val="00874601"/>
    <w:rsid w:val="00882622"/>
    <w:rsid w:val="0089323D"/>
    <w:rsid w:val="008954E3"/>
    <w:rsid w:val="008A5127"/>
    <w:rsid w:val="008D5478"/>
    <w:rsid w:val="008E1450"/>
    <w:rsid w:val="008E26A7"/>
    <w:rsid w:val="008E5135"/>
    <w:rsid w:val="008E7E57"/>
    <w:rsid w:val="008F3455"/>
    <w:rsid w:val="009147C2"/>
    <w:rsid w:val="009415AD"/>
    <w:rsid w:val="00942980"/>
    <w:rsid w:val="00944551"/>
    <w:rsid w:val="00946EBE"/>
    <w:rsid w:val="0096410A"/>
    <w:rsid w:val="00985CF2"/>
    <w:rsid w:val="00996826"/>
    <w:rsid w:val="00997642"/>
    <w:rsid w:val="009A00DD"/>
    <w:rsid w:val="009B2871"/>
    <w:rsid w:val="009B3C27"/>
    <w:rsid w:val="009C014D"/>
    <w:rsid w:val="009D3F4B"/>
    <w:rsid w:val="009F0DF7"/>
    <w:rsid w:val="009F46D8"/>
    <w:rsid w:val="009F78A6"/>
    <w:rsid w:val="00A0459A"/>
    <w:rsid w:val="00A063A3"/>
    <w:rsid w:val="00A17C63"/>
    <w:rsid w:val="00A21454"/>
    <w:rsid w:val="00A41E5D"/>
    <w:rsid w:val="00A82670"/>
    <w:rsid w:val="00A9029A"/>
    <w:rsid w:val="00A91174"/>
    <w:rsid w:val="00A973AF"/>
    <w:rsid w:val="00AA02B4"/>
    <w:rsid w:val="00AA3CB0"/>
    <w:rsid w:val="00AC38F3"/>
    <w:rsid w:val="00AD6AAA"/>
    <w:rsid w:val="00AF1E21"/>
    <w:rsid w:val="00B01151"/>
    <w:rsid w:val="00B0590B"/>
    <w:rsid w:val="00B23FC3"/>
    <w:rsid w:val="00B3037C"/>
    <w:rsid w:val="00B3637D"/>
    <w:rsid w:val="00B37386"/>
    <w:rsid w:val="00B46B1B"/>
    <w:rsid w:val="00B4763B"/>
    <w:rsid w:val="00B726BD"/>
    <w:rsid w:val="00B80760"/>
    <w:rsid w:val="00B84A3F"/>
    <w:rsid w:val="00B94BC2"/>
    <w:rsid w:val="00B957CA"/>
    <w:rsid w:val="00BA0C3A"/>
    <w:rsid w:val="00BB47B2"/>
    <w:rsid w:val="00BB767D"/>
    <w:rsid w:val="00BC0189"/>
    <w:rsid w:val="00BC187B"/>
    <w:rsid w:val="00BD16F2"/>
    <w:rsid w:val="00BD37A0"/>
    <w:rsid w:val="00BD51BC"/>
    <w:rsid w:val="00BE6E52"/>
    <w:rsid w:val="00C0392F"/>
    <w:rsid w:val="00C465C0"/>
    <w:rsid w:val="00C57963"/>
    <w:rsid w:val="00C72347"/>
    <w:rsid w:val="00C76170"/>
    <w:rsid w:val="00C97466"/>
    <w:rsid w:val="00CA143C"/>
    <w:rsid w:val="00CC275F"/>
    <w:rsid w:val="00CC6D9A"/>
    <w:rsid w:val="00CE32A9"/>
    <w:rsid w:val="00CF001F"/>
    <w:rsid w:val="00CF3DA3"/>
    <w:rsid w:val="00D0096C"/>
    <w:rsid w:val="00D10E34"/>
    <w:rsid w:val="00D166C9"/>
    <w:rsid w:val="00D215EC"/>
    <w:rsid w:val="00D24A73"/>
    <w:rsid w:val="00D40ACF"/>
    <w:rsid w:val="00D40D21"/>
    <w:rsid w:val="00D45ED0"/>
    <w:rsid w:val="00D51FDD"/>
    <w:rsid w:val="00D548A7"/>
    <w:rsid w:val="00D567F5"/>
    <w:rsid w:val="00D72D9C"/>
    <w:rsid w:val="00D73F57"/>
    <w:rsid w:val="00D74FED"/>
    <w:rsid w:val="00D81308"/>
    <w:rsid w:val="00D86983"/>
    <w:rsid w:val="00D8776F"/>
    <w:rsid w:val="00D9649D"/>
    <w:rsid w:val="00D97030"/>
    <w:rsid w:val="00D97A1D"/>
    <w:rsid w:val="00DA5824"/>
    <w:rsid w:val="00DA67D6"/>
    <w:rsid w:val="00DB0DEF"/>
    <w:rsid w:val="00DB5C63"/>
    <w:rsid w:val="00DB5FF5"/>
    <w:rsid w:val="00DC0B59"/>
    <w:rsid w:val="00DC6B5C"/>
    <w:rsid w:val="00DE6597"/>
    <w:rsid w:val="00DE6CFF"/>
    <w:rsid w:val="00DF2469"/>
    <w:rsid w:val="00DF4D56"/>
    <w:rsid w:val="00E06E62"/>
    <w:rsid w:val="00E326D9"/>
    <w:rsid w:val="00E34CE0"/>
    <w:rsid w:val="00E53709"/>
    <w:rsid w:val="00E63D01"/>
    <w:rsid w:val="00E81FF8"/>
    <w:rsid w:val="00E845D6"/>
    <w:rsid w:val="00E90B52"/>
    <w:rsid w:val="00EB1DB5"/>
    <w:rsid w:val="00EB52A2"/>
    <w:rsid w:val="00EB5E87"/>
    <w:rsid w:val="00ED196E"/>
    <w:rsid w:val="00EF4A53"/>
    <w:rsid w:val="00F00771"/>
    <w:rsid w:val="00F10978"/>
    <w:rsid w:val="00F13861"/>
    <w:rsid w:val="00F23A7B"/>
    <w:rsid w:val="00F25F6A"/>
    <w:rsid w:val="00F26E95"/>
    <w:rsid w:val="00F355D7"/>
    <w:rsid w:val="00F5288D"/>
    <w:rsid w:val="00F53D28"/>
    <w:rsid w:val="00F8199D"/>
    <w:rsid w:val="00F91D05"/>
    <w:rsid w:val="00FA14B1"/>
    <w:rsid w:val="00FA38D9"/>
    <w:rsid w:val="00FB2BB5"/>
    <w:rsid w:val="00FB3C11"/>
    <w:rsid w:val="00FB6E6B"/>
    <w:rsid w:val="00FC156D"/>
    <w:rsid w:val="00FC7134"/>
    <w:rsid w:val="00FD1064"/>
    <w:rsid w:val="00FD2E3D"/>
    <w:rsid w:val="00FD64BD"/>
    <w:rsid w:val="00FE27F3"/>
    <w:rsid w:val="00FE71BD"/>
    <w:rsid w:val="00FE7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8" style="mso-wrap-style:tight" fillcolor="white">
      <v:fill color="white"/>
    </o:shapedefaults>
    <o:shapelayout v:ext="edit">
      <o:idmap v:ext="edit" data="2"/>
    </o:shapelayout>
  </w:shapeDefaults>
  <w:decimalSymbol w:val=","/>
  <w:listSeparator w:val=";"/>
  <w14:docId w14:val="49861786"/>
  <w15:chartTrackingRefBased/>
  <w15:docId w15:val="{214B42CE-1086-4594-BEC1-A0007B3E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27"/>
    <w:rPr>
      <w:noProof/>
    </w:rPr>
  </w:style>
  <w:style w:type="paragraph" w:styleId="Balk1">
    <w:name w:val="heading 1"/>
    <w:basedOn w:val="Normal"/>
    <w:next w:val="Normal"/>
    <w:link w:val="Balk1Char"/>
    <w:uiPriority w:val="9"/>
    <w:qFormat/>
    <w:rsid w:val="00FB3C11"/>
    <w:pPr>
      <w:keepNext/>
      <w:keepLines/>
      <w:tabs>
        <w:tab w:val="left" w:pos="709"/>
      </w:tabs>
      <w:spacing w:before="240" w:after="240" w:line="240" w:lineRule="auto"/>
      <w:ind w:left="709"/>
      <w:outlineLvl w:val="0"/>
    </w:pPr>
    <w:rPr>
      <w:rFonts w:ascii="Times New Roman" w:eastAsiaTheme="majorEastAsia" w:hAnsi="Times New Roman" w:cstheme="majorBidi"/>
      <w:b/>
      <w:bCs/>
      <w:noProof w:val="0"/>
      <w:sz w:val="24"/>
      <w:szCs w:val="28"/>
    </w:rPr>
  </w:style>
  <w:style w:type="paragraph" w:styleId="Balk2">
    <w:name w:val="heading 2"/>
    <w:basedOn w:val="Normal"/>
    <w:next w:val="Normal"/>
    <w:link w:val="Balk2Char"/>
    <w:uiPriority w:val="9"/>
    <w:unhideWhenUsed/>
    <w:qFormat/>
    <w:rsid w:val="00C76170"/>
    <w:pPr>
      <w:keepNext/>
      <w:keepLines/>
      <w:spacing w:before="240" w:after="240" w:line="360" w:lineRule="auto"/>
      <w:ind w:left="709"/>
      <w:contextualSpacing/>
      <w:outlineLvl w:val="1"/>
    </w:pPr>
    <w:rPr>
      <w:rFonts w:ascii="Times New Roman" w:eastAsiaTheme="majorEastAsia" w:hAnsi="Times New Roman" w:cstheme="majorBid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B3C11"/>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C76170"/>
    <w:rPr>
      <w:rFonts w:ascii="Times New Roman" w:eastAsiaTheme="majorEastAsia" w:hAnsi="Times New Roman" w:cstheme="majorBidi"/>
      <w:color w:val="000000" w:themeColor="text1"/>
      <w:sz w:val="24"/>
      <w:szCs w:val="26"/>
    </w:rPr>
  </w:style>
  <w:style w:type="paragraph" w:styleId="ListeParagraf">
    <w:name w:val="List Paragraph"/>
    <w:basedOn w:val="Normal"/>
    <w:uiPriority w:val="34"/>
    <w:qFormat/>
    <w:rsid w:val="00067219"/>
    <w:pPr>
      <w:ind w:left="720"/>
      <w:contextualSpacing/>
    </w:pPr>
  </w:style>
  <w:style w:type="character" w:customStyle="1" w:styleId="fontstyle01">
    <w:name w:val="fontstyle01"/>
    <w:basedOn w:val="VarsaylanParagrafYazTipi"/>
    <w:rsid w:val="00704776"/>
    <w:rPr>
      <w:rFonts w:ascii="Cambria" w:hAnsi="Cambria" w:hint="default"/>
      <w:b w:val="0"/>
      <w:bCs w:val="0"/>
      <w:i w:val="0"/>
      <w:iCs w:val="0"/>
      <w:color w:val="000000"/>
      <w:sz w:val="24"/>
      <w:szCs w:val="24"/>
    </w:rPr>
  </w:style>
  <w:style w:type="character" w:customStyle="1" w:styleId="fontstyle21">
    <w:name w:val="fontstyle21"/>
    <w:basedOn w:val="VarsaylanParagrafYazTipi"/>
    <w:rsid w:val="00704776"/>
    <w:rPr>
      <w:rFonts w:ascii="Calibri" w:hAnsi="Calibri" w:cs="Calibri" w:hint="default"/>
      <w:b/>
      <w:bCs/>
      <w:i w:val="0"/>
      <w:iCs w:val="0"/>
      <w:color w:val="000000"/>
      <w:sz w:val="24"/>
      <w:szCs w:val="24"/>
    </w:rPr>
  </w:style>
  <w:style w:type="character" w:customStyle="1" w:styleId="fontstyle31">
    <w:name w:val="fontstyle31"/>
    <w:basedOn w:val="VarsaylanParagrafYazTipi"/>
    <w:rsid w:val="00704776"/>
    <w:rPr>
      <w:rFonts w:ascii="Calibri" w:hAnsi="Calibri" w:cs="Calibri" w:hint="default"/>
      <w:b w:val="0"/>
      <w:bCs w:val="0"/>
      <w:i w:val="0"/>
      <w:iCs w:val="0"/>
      <w:color w:val="000000"/>
      <w:sz w:val="22"/>
      <w:szCs w:val="22"/>
    </w:rPr>
  </w:style>
  <w:style w:type="character" w:styleId="AklamaBavurusu">
    <w:name w:val="annotation reference"/>
    <w:basedOn w:val="VarsaylanParagrafYazTipi"/>
    <w:uiPriority w:val="99"/>
    <w:semiHidden/>
    <w:unhideWhenUsed/>
    <w:rsid w:val="008E7E57"/>
    <w:rPr>
      <w:sz w:val="16"/>
      <w:szCs w:val="16"/>
    </w:rPr>
  </w:style>
  <w:style w:type="paragraph" w:styleId="AklamaMetni">
    <w:name w:val="annotation text"/>
    <w:basedOn w:val="Normal"/>
    <w:link w:val="AklamaMetniChar"/>
    <w:uiPriority w:val="99"/>
    <w:semiHidden/>
    <w:unhideWhenUsed/>
    <w:rsid w:val="008E7E5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E7E57"/>
    <w:rPr>
      <w:noProof/>
      <w:sz w:val="20"/>
      <w:szCs w:val="20"/>
    </w:rPr>
  </w:style>
  <w:style w:type="paragraph" w:styleId="AklamaKonusu">
    <w:name w:val="annotation subject"/>
    <w:basedOn w:val="AklamaMetni"/>
    <w:next w:val="AklamaMetni"/>
    <w:link w:val="AklamaKonusuChar"/>
    <w:uiPriority w:val="99"/>
    <w:semiHidden/>
    <w:unhideWhenUsed/>
    <w:rsid w:val="008E7E57"/>
    <w:rPr>
      <w:b/>
      <w:bCs/>
    </w:rPr>
  </w:style>
  <w:style w:type="character" w:customStyle="1" w:styleId="AklamaKonusuChar">
    <w:name w:val="Açıklama Konusu Char"/>
    <w:basedOn w:val="AklamaMetniChar"/>
    <w:link w:val="AklamaKonusu"/>
    <w:uiPriority w:val="99"/>
    <w:semiHidden/>
    <w:rsid w:val="008E7E57"/>
    <w:rPr>
      <w:b/>
      <w:bCs/>
      <w:noProof/>
      <w:sz w:val="20"/>
      <w:szCs w:val="20"/>
    </w:rPr>
  </w:style>
  <w:style w:type="character" w:customStyle="1" w:styleId="fontstyle41">
    <w:name w:val="fontstyle41"/>
    <w:basedOn w:val="VarsaylanParagrafYazTipi"/>
    <w:rsid w:val="00F10978"/>
    <w:rPr>
      <w:rFonts w:ascii="SymbolMT" w:hAnsi="SymbolMT" w:hint="default"/>
      <w:b w:val="0"/>
      <w:bCs w:val="0"/>
      <w:i w:val="0"/>
      <w:iCs w:val="0"/>
      <w:color w:val="000000"/>
      <w:sz w:val="24"/>
      <w:szCs w:val="24"/>
    </w:rPr>
  </w:style>
  <w:style w:type="character" w:customStyle="1" w:styleId="fontstyle51">
    <w:name w:val="fontstyle51"/>
    <w:basedOn w:val="VarsaylanParagrafYazTipi"/>
    <w:rsid w:val="00F10978"/>
    <w:rPr>
      <w:rFonts w:ascii="PalatinoLinotype-Bold" w:hAnsi="PalatinoLinotype-Bold" w:hint="default"/>
      <w:b/>
      <w:bCs/>
      <w:i w:val="0"/>
      <w:iCs w:val="0"/>
      <w:color w:val="000000"/>
      <w:sz w:val="22"/>
      <w:szCs w:val="22"/>
    </w:rPr>
  </w:style>
  <w:style w:type="paragraph" w:styleId="DipnotMetni">
    <w:name w:val="footnote text"/>
    <w:basedOn w:val="Normal"/>
    <w:link w:val="DipnotMetniChar"/>
    <w:uiPriority w:val="99"/>
    <w:semiHidden/>
    <w:unhideWhenUsed/>
    <w:rsid w:val="008064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6419"/>
    <w:rPr>
      <w:noProof/>
      <w:sz w:val="20"/>
      <w:szCs w:val="20"/>
    </w:rPr>
  </w:style>
  <w:style w:type="character" w:styleId="DipnotBavurusu">
    <w:name w:val="footnote reference"/>
    <w:basedOn w:val="VarsaylanParagrafYazTipi"/>
    <w:uiPriority w:val="99"/>
    <w:semiHidden/>
    <w:unhideWhenUsed/>
    <w:rsid w:val="00806419"/>
    <w:rPr>
      <w:vertAlign w:val="superscript"/>
    </w:rPr>
  </w:style>
  <w:style w:type="paragraph" w:styleId="Dzeltme">
    <w:name w:val="Revision"/>
    <w:hidden/>
    <w:uiPriority w:val="99"/>
    <w:semiHidden/>
    <w:rsid w:val="00BA0C3A"/>
    <w:pPr>
      <w:spacing w:after="0" w:line="240" w:lineRule="auto"/>
    </w:pPr>
    <w:rPr>
      <w:noProof/>
    </w:rPr>
  </w:style>
  <w:style w:type="paragraph" w:styleId="BalonMetni">
    <w:name w:val="Balloon Text"/>
    <w:basedOn w:val="Normal"/>
    <w:link w:val="BalonMetniChar"/>
    <w:uiPriority w:val="99"/>
    <w:semiHidden/>
    <w:unhideWhenUsed/>
    <w:rsid w:val="00BA0C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C3A"/>
    <w:rPr>
      <w:rFonts w:ascii="Segoe UI" w:hAnsi="Segoe UI" w:cs="Segoe UI"/>
      <w:noProof/>
      <w:sz w:val="18"/>
      <w:szCs w:val="18"/>
    </w:rPr>
  </w:style>
  <w:style w:type="character" w:styleId="Kpr">
    <w:name w:val="Hyperlink"/>
    <w:basedOn w:val="VarsaylanParagrafYazTipi"/>
    <w:uiPriority w:val="99"/>
    <w:unhideWhenUsed/>
    <w:rsid w:val="00010811"/>
    <w:rPr>
      <w:color w:val="0563C1" w:themeColor="hyperlink"/>
      <w:u w:val="single"/>
    </w:rPr>
  </w:style>
  <w:style w:type="character" w:styleId="zmlenmeyenBahsetme">
    <w:name w:val="Unresolved Mention"/>
    <w:basedOn w:val="VarsaylanParagrafYazTipi"/>
    <w:uiPriority w:val="99"/>
    <w:semiHidden/>
    <w:unhideWhenUsed/>
    <w:rsid w:val="000A34AB"/>
    <w:rPr>
      <w:color w:val="605E5C"/>
      <w:shd w:val="clear" w:color="auto" w:fill="E1DFDD"/>
    </w:rPr>
  </w:style>
  <w:style w:type="paragraph" w:styleId="stBilgi">
    <w:name w:val="header"/>
    <w:basedOn w:val="Normal"/>
    <w:link w:val="stBilgiChar"/>
    <w:uiPriority w:val="99"/>
    <w:unhideWhenUsed/>
    <w:rsid w:val="00214AB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4ABA"/>
    <w:rPr>
      <w:noProof/>
    </w:rPr>
  </w:style>
  <w:style w:type="paragraph" w:styleId="AltBilgi">
    <w:name w:val="footer"/>
    <w:basedOn w:val="Normal"/>
    <w:link w:val="AltBilgiChar"/>
    <w:uiPriority w:val="99"/>
    <w:unhideWhenUsed/>
    <w:rsid w:val="00214AB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4AB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888">
      <w:bodyDiv w:val="1"/>
      <w:marLeft w:val="0"/>
      <w:marRight w:val="0"/>
      <w:marTop w:val="0"/>
      <w:marBottom w:val="0"/>
      <w:divBdr>
        <w:top w:val="none" w:sz="0" w:space="0" w:color="auto"/>
        <w:left w:val="none" w:sz="0" w:space="0" w:color="auto"/>
        <w:bottom w:val="none" w:sz="0" w:space="0" w:color="auto"/>
        <w:right w:val="none" w:sz="0" w:space="0" w:color="auto"/>
      </w:divBdr>
    </w:div>
    <w:div w:id="160896140">
      <w:bodyDiv w:val="1"/>
      <w:marLeft w:val="0"/>
      <w:marRight w:val="0"/>
      <w:marTop w:val="0"/>
      <w:marBottom w:val="0"/>
      <w:divBdr>
        <w:top w:val="none" w:sz="0" w:space="0" w:color="auto"/>
        <w:left w:val="none" w:sz="0" w:space="0" w:color="auto"/>
        <w:bottom w:val="none" w:sz="0" w:space="0" w:color="auto"/>
        <w:right w:val="none" w:sz="0" w:space="0" w:color="auto"/>
      </w:divBdr>
    </w:div>
    <w:div w:id="172644955">
      <w:bodyDiv w:val="1"/>
      <w:marLeft w:val="0"/>
      <w:marRight w:val="0"/>
      <w:marTop w:val="0"/>
      <w:marBottom w:val="0"/>
      <w:divBdr>
        <w:top w:val="none" w:sz="0" w:space="0" w:color="auto"/>
        <w:left w:val="none" w:sz="0" w:space="0" w:color="auto"/>
        <w:bottom w:val="none" w:sz="0" w:space="0" w:color="auto"/>
        <w:right w:val="none" w:sz="0" w:space="0" w:color="auto"/>
      </w:divBdr>
    </w:div>
    <w:div w:id="180514470">
      <w:bodyDiv w:val="1"/>
      <w:marLeft w:val="0"/>
      <w:marRight w:val="0"/>
      <w:marTop w:val="0"/>
      <w:marBottom w:val="0"/>
      <w:divBdr>
        <w:top w:val="none" w:sz="0" w:space="0" w:color="auto"/>
        <w:left w:val="none" w:sz="0" w:space="0" w:color="auto"/>
        <w:bottom w:val="none" w:sz="0" w:space="0" w:color="auto"/>
        <w:right w:val="none" w:sz="0" w:space="0" w:color="auto"/>
      </w:divBdr>
    </w:div>
    <w:div w:id="223835349">
      <w:bodyDiv w:val="1"/>
      <w:marLeft w:val="0"/>
      <w:marRight w:val="0"/>
      <w:marTop w:val="0"/>
      <w:marBottom w:val="0"/>
      <w:divBdr>
        <w:top w:val="none" w:sz="0" w:space="0" w:color="auto"/>
        <w:left w:val="none" w:sz="0" w:space="0" w:color="auto"/>
        <w:bottom w:val="none" w:sz="0" w:space="0" w:color="auto"/>
        <w:right w:val="none" w:sz="0" w:space="0" w:color="auto"/>
      </w:divBdr>
    </w:div>
    <w:div w:id="236596755">
      <w:bodyDiv w:val="1"/>
      <w:marLeft w:val="0"/>
      <w:marRight w:val="0"/>
      <w:marTop w:val="0"/>
      <w:marBottom w:val="0"/>
      <w:divBdr>
        <w:top w:val="none" w:sz="0" w:space="0" w:color="auto"/>
        <w:left w:val="none" w:sz="0" w:space="0" w:color="auto"/>
        <w:bottom w:val="none" w:sz="0" w:space="0" w:color="auto"/>
        <w:right w:val="none" w:sz="0" w:space="0" w:color="auto"/>
      </w:divBdr>
    </w:div>
    <w:div w:id="265113712">
      <w:bodyDiv w:val="1"/>
      <w:marLeft w:val="0"/>
      <w:marRight w:val="0"/>
      <w:marTop w:val="0"/>
      <w:marBottom w:val="0"/>
      <w:divBdr>
        <w:top w:val="none" w:sz="0" w:space="0" w:color="auto"/>
        <w:left w:val="none" w:sz="0" w:space="0" w:color="auto"/>
        <w:bottom w:val="none" w:sz="0" w:space="0" w:color="auto"/>
        <w:right w:val="none" w:sz="0" w:space="0" w:color="auto"/>
      </w:divBdr>
    </w:div>
    <w:div w:id="390275583">
      <w:bodyDiv w:val="1"/>
      <w:marLeft w:val="0"/>
      <w:marRight w:val="0"/>
      <w:marTop w:val="0"/>
      <w:marBottom w:val="0"/>
      <w:divBdr>
        <w:top w:val="none" w:sz="0" w:space="0" w:color="auto"/>
        <w:left w:val="none" w:sz="0" w:space="0" w:color="auto"/>
        <w:bottom w:val="none" w:sz="0" w:space="0" w:color="auto"/>
        <w:right w:val="none" w:sz="0" w:space="0" w:color="auto"/>
      </w:divBdr>
    </w:div>
    <w:div w:id="401411676">
      <w:bodyDiv w:val="1"/>
      <w:marLeft w:val="0"/>
      <w:marRight w:val="0"/>
      <w:marTop w:val="0"/>
      <w:marBottom w:val="0"/>
      <w:divBdr>
        <w:top w:val="none" w:sz="0" w:space="0" w:color="auto"/>
        <w:left w:val="none" w:sz="0" w:space="0" w:color="auto"/>
        <w:bottom w:val="none" w:sz="0" w:space="0" w:color="auto"/>
        <w:right w:val="none" w:sz="0" w:space="0" w:color="auto"/>
      </w:divBdr>
    </w:div>
    <w:div w:id="410733839">
      <w:bodyDiv w:val="1"/>
      <w:marLeft w:val="0"/>
      <w:marRight w:val="0"/>
      <w:marTop w:val="0"/>
      <w:marBottom w:val="0"/>
      <w:divBdr>
        <w:top w:val="none" w:sz="0" w:space="0" w:color="auto"/>
        <w:left w:val="none" w:sz="0" w:space="0" w:color="auto"/>
        <w:bottom w:val="none" w:sz="0" w:space="0" w:color="auto"/>
        <w:right w:val="none" w:sz="0" w:space="0" w:color="auto"/>
      </w:divBdr>
    </w:div>
    <w:div w:id="428744115">
      <w:bodyDiv w:val="1"/>
      <w:marLeft w:val="0"/>
      <w:marRight w:val="0"/>
      <w:marTop w:val="0"/>
      <w:marBottom w:val="0"/>
      <w:divBdr>
        <w:top w:val="none" w:sz="0" w:space="0" w:color="auto"/>
        <w:left w:val="none" w:sz="0" w:space="0" w:color="auto"/>
        <w:bottom w:val="none" w:sz="0" w:space="0" w:color="auto"/>
        <w:right w:val="none" w:sz="0" w:space="0" w:color="auto"/>
      </w:divBdr>
    </w:div>
    <w:div w:id="434906804">
      <w:bodyDiv w:val="1"/>
      <w:marLeft w:val="0"/>
      <w:marRight w:val="0"/>
      <w:marTop w:val="0"/>
      <w:marBottom w:val="0"/>
      <w:divBdr>
        <w:top w:val="none" w:sz="0" w:space="0" w:color="auto"/>
        <w:left w:val="none" w:sz="0" w:space="0" w:color="auto"/>
        <w:bottom w:val="none" w:sz="0" w:space="0" w:color="auto"/>
        <w:right w:val="none" w:sz="0" w:space="0" w:color="auto"/>
      </w:divBdr>
    </w:div>
    <w:div w:id="643893101">
      <w:bodyDiv w:val="1"/>
      <w:marLeft w:val="0"/>
      <w:marRight w:val="0"/>
      <w:marTop w:val="0"/>
      <w:marBottom w:val="0"/>
      <w:divBdr>
        <w:top w:val="none" w:sz="0" w:space="0" w:color="auto"/>
        <w:left w:val="none" w:sz="0" w:space="0" w:color="auto"/>
        <w:bottom w:val="none" w:sz="0" w:space="0" w:color="auto"/>
        <w:right w:val="none" w:sz="0" w:space="0" w:color="auto"/>
      </w:divBdr>
      <w:divsChild>
        <w:div w:id="157037586">
          <w:marLeft w:val="0"/>
          <w:marRight w:val="0"/>
          <w:marTop w:val="0"/>
          <w:marBottom w:val="0"/>
          <w:divBdr>
            <w:top w:val="none" w:sz="0" w:space="0" w:color="auto"/>
            <w:left w:val="none" w:sz="0" w:space="0" w:color="auto"/>
            <w:bottom w:val="none" w:sz="0" w:space="0" w:color="auto"/>
            <w:right w:val="none" w:sz="0" w:space="0" w:color="auto"/>
          </w:divBdr>
        </w:div>
      </w:divsChild>
    </w:div>
    <w:div w:id="687171497">
      <w:bodyDiv w:val="1"/>
      <w:marLeft w:val="0"/>
      <w:marRight w:val="0"/>
      <w:marTop w:val="0"/>
      <w:marBottom w:val="0"/>
      <w:divBdr>
        <w:top w:val="none" w:sz="0" w:space="0" w:color="auto"/>
        <w:left w:val="none" w:sz="0" w:space="0" w:color="auto"/>
        <w:bottom w:val="none" w:sz="0" w:space="0" w:color="auto"/>
        <w:right w:val="none" w:sz="0" w:space="0" w:color="auto"/>
      </w:divBdr>
    </w:div>
    <w:div w:id="779568172">
      <w:bodyDiv w:val="1"/>
      <w:marLeft w:val="0"/>
      <w:marRight w:val="0"/>
      <w:marTop w:val="0"/>
      <w:marBottom w:val="0"/>
      <w:divBdr>
        <w:top w:val="none" w:sz="0" w:space="0" w:color="auto"/>
        <w:left w:val="none" w:sz="0" w:space="0" w:color="auto"/>
        <w:bottom w:val="none" w:sz="0" w:space="0" w:color="auto"/>
        <w:right w:val="none" w:sz="0" w:space="0" w:color="auto"/>
      </w:divBdr>
    </w:div>
    <w:div w:id="1047796385">
      <w:bodyDiv w:val="1"/>
      <w:marLeft w:val="0"/>
      <w:marRight w:val="0"/>
      <w:marTop w:val="0"/>
      <w:marBottom w:val="0"/>
      <w:divBdr>
        <w:top w:val="none" w:sz="0" w:space="0" w:color="auto"/>
        <w:left w:val="none" w:sz="0" w:space="0" w:color="auto"/>
        <w:bottom w:val="none" w:sz="0" w:space="0" w:color="auto"/>
        <w:right w:val="none" w:sz="0" w:space="0" w:color="auto"/>
      </w:divBdr>
    </w:div>
    <w:div w:id="1119493063">
      <w:bodyDiv w:val="1"/>
      <w:marLeft w:val="0"/>
      <w:marRight w:val="0"/>
      <w:marTop w:val="0"/>
      <w:marBottom w:val="0"/>
      <w:divBdr>
        <w:top w:val="none" w:sz="0" w:space="0" w:color="auto"/>
        <w:left w:val="none" w:sz="0" w:space="0" w:color="auto"/>
        <w:bottom w:val="none" w:sz="0" w:space="0" w:color="auto"/>
        <w:right w:val="none" w:sz="0" w:space="0" w:color="auto"/>
      </w:divBdr>
    </w:div>
    <w:div w:id="1132478194">
      <w:bodyDiv w:val="1"/>
      <w:marLeft w:val="0"/>
      <w:marRight w:val="0"/>
      <w:marTop w:val="0"/>
      <w:marBottom w:val="0"/>
      <w:divBdr>
        <w:top w:val="none" w:sz="0" w:space="0" w:color="auto"/>
        <w:left w:val="none" w:sz="0" w:space="0" w:color="auto"/>
        <w:bottom w:val="none" w:sz="0" w:space="0" w:color="auto"/>
        <w:right w:val="none" w:sz="0" w:space="0" w:color="auto"/>
      </w:divBdr>
    </w:div>
    <w:div w:id="1174762155">
      <w:bodyDiv w:val="1"/>
      <w:marLeft w:val="0"/>
      <w:marRight w:val="0"/>
      <w:marTop w:val="0"/>
      <w:marBottom w:val="0"/>
      <w:divBdr>
        <w:top w:val="none" w:sz="0" w:space="0" w:color="auto"/>
        <w:left w:val="none" w:sz="0" w:space="0" w:color="auto"/>
        <w:bottom w:val="none" w:sz="0" w:space="0" w:color="auto"/>
        <w:right w:val="none" w:sz="0" w:space="0" w:color="auto"/>
      </w:divBdr>
    </w:div>
    <w:div w:id="1274941526">
      <w:bodyDiv w:val="1"/>
      <w:marLeft w:val="0"/>
      <w:marRight w:val="0"/>
      <w:marTop w:val="0"/>
      <w:marBottom w:val="0"/>
      <w:divBdr>
        <w:top w:val="none" w:sz="0" w:space="0" w:color="auto"/>
        <w:left w:val="none" w:sz="0" w:space="0" w:color="auto"/>
        <w:bottom w:val="none" w:sz="0" w:space="0" w:color="auto"/>
        <w:right w:val="none" w:sz="0" w:space="0" w:color="auto"/>
      </w:divBdr>
    </w:div>
    <w:div w:id="1295409195">
      <w:bodyDiv w:val="1"/>
      <w:marLeft w:val="0"/>
      <w:marRight w:val="0"/>
      <w:marTop w:val="0"/>
      <w:marBottom w:val="0"/>
      <w:divBdr>
        <w:top w:val="none" w:sz="0" w:space="0" w:color="auto"/>
        <w:left w:val="none" w:sz="0" w:space="0" w:color="auto"/>
        <w:bottom w:val="none" w:sz="0" w:space="0" w:color="auto"/>
        <w:right w:val="none" w:sz="0" w:space="0" w:color="auto"/>
      </w:divBdr>
    </w:div>
    <w:div w:id="1302267443">
      <w:bodyDiv w:val="1"/>
      <w:marLeft w:val="0"/>
      <w:marRight w:val="0"/>
      <w:marTop w:val="0"/>
      <w:marBottom w:val="0"/>
      <w:divBdr>
        <w:top w:val="none" w:sz="0" w:space="0" w:color="auto"/>
        <w:left w:val="none" w:sz="0" w:space="0" w:color="auto"/>
        <w:bottom w:val="none" w:sz="0" w:space="0" w:color="auto"/>
        <w:right w:val="none" w:sz="0" w:space="0" w:color="auto"/>
      </w:divBdr>
    </w:div>
    <w:div w:id="1334988868">
      <w:bodyDiv w:val="1"/>
      <w:marLeft w:val="0"/>
      <w:marRight w:val="0"/>
      <w:marTop w:val="0"/>
      <w:marBottom w:val="0"/>
      <w:divBdr>
        <w:top w:val="none" w:sz="0" w:space="0" w:color="auto"/>
        <w:left w:val="none" w:sz="0" w:space="0" w:color="auto"/>
        <w:bottom w:val="none" w:sz="0" w:space="0" w:color="auto"/>
        <w:right w:val="none" w:sz="0" w:space="0" w:color="auto"/>
      </w:divBdr>
    </w:div>
    <w:div w:id="1336153375">
      <w:bodyDiv w:val="1"/>
      <w:marLeft w:val="0"/>
      <w:marRight w:val="0"/>
      <w:marTop w:val="0"/>
      <w:marBottom w:val="0"/>
      <w:divBdr>
        <w:top w:val="none" w:sz="0" w:space="0" w:color="auto"/>
        <w:left w:val="none" w:sz="0" w:space="0" w:color="auto"/>
        <w:bottom w:val="none" w:sz="0" w:space="0" w:color="auto"/>
        <w:right w:val="none" w:sz="0" w:space="0" w:color="auto"/>
      </w:divBdr>
    </w:div>
    <w:div w:id="1346589406">
      <w:bodyDiv w:val="1"/>
      <w:marLeft w:val="0"/>
      <w:marRight w:val="0"/>
      <w:marTop w:val="0"/>
      <w:marBottom w:val="0"/>
      <w:divBdr>
        <w:top w:val="none" w:sz="0" w:space="0" w:color="auto"/>
        <w:left w:val="none" w:sz="0" w:space="0" w:color="auto"/>
        <w:bottom w:val="none" w:sz="0" w:space="0" w:color="auto"/>
        <w:right w:val="none" w:sz="0" w:space="0" w:color="auto"/>
      </w:divBdr>
    </w:div>
    <w:div w:id="1367022170">
      <w:bodyDiv w:val="1"/>
      <w:marLeft w:val="0"/>
      <w:marRight w:val="0"/>
      <w:marTop w:val="0"/>
      <w:marBottom w:val="0"/>
      <w:divBdr>
        <w:top w:val="none" w:sz="0" w:space="0" w:color="auto"/>
        <w:left w:val="none" w:sz="0" w:space="0" w:color="auto"/>
        <w:bottom w:val="none" w:sz="0" w:space="0" w:color="auto"/>
        <w:right w:val="none" w:sz="0" w:space="0" w:color="auto"/>
      </w:divBdr>
    </w:div>
    <w:div w:id="1372075965">
      <w:bodyDiv w:val="1"/>
      <w:marLeft w:val="0"/>
      <w:marRight w:val="0"/>
      <w:marTop w:val="0"/>
      <w:marBottom w:val="0"/>
      <w:divBdr>
        <w:top w:val="none" w:sz="0" w:space="0" w:color="auto"/>
        <w:left w:val="none" w:sz="0" w:space="0" w:color="auto"/>
        <w:bottom w:val="none" w:sz="0" w:space="0" w:color="auto"/>
        <w:right w:val="none" w:sz="0" w:space="0" w:color="auto"/>
      </w:divBdr>
    </w:div>
    <w:div w:id="1393194792">
      <w:bodyDiv w:val="1"/>
      <w:marLeft w:val="0"/>
      <w:marRight w:val="0"/>
      <w:marTop w:val="0"/>
      <w:marBottom w:val="0"/>
      <w:divBdr>
        <w:top w:val="none" w:sz="0" w:space="0" w:color="auto"/>
        <w:left w:val="none" w:sz="0" w:space="0" w:color="auto"/>
        <w:bottom w:val="none" w:sz="0" w:space="0" w:color="auto"/>
        <w:right w:val="none" w:sz="0" w:space="0" w:color="auto"/>
      </w:divBdr>
    </w:div>
    <w:div w:id="1466389886">
      <w:bodyDiv w:val="1"/>
      <w:marLeft w:val="0"/>
      <w:marRight w:val="0"/>
      <w:marTop w:val="0"/>
      <w:marBottom w:val="0"/>
      <w:divBdr>
        <w:top w:val="none" w:sz="0" w:space="0" w:color="auto"/>
        <w:left w:val="none" w:sz="0" w:space="0" w:color="auto"/>
        <w:bottom w:val="none" w:sz="0" w:space="0" w:color="auto"/>
        <w:right w:val="none" w:sz="0" w:space="0" w:color="auto"/>
      </w:divBdr>
    </w:div>
    <w:div w:id="1492791921">
      <w:bodyDiv w:val="1"/>
      <w:marLeft w:val="0"/>
      <w:marRight w:val="0"/>
      <w:marTop w:val="0"/>
      <w:marBottom w:val="0"/>
      <w:divBdr>
        <w:top w:val="none" w:sz="0" w:space="0" w:color="auto"/>
        <w:left w:val="none" w:sz="0" w:space="0" w:color="auto"/>
        <w:bottom w:val="none" w:sz="0" w:space="0" w:color="auto"/>
        <w:right w:val="none" w:sz="0" w:space="0" w:color="auto"/>
      </w:divBdr>
    </w:div>
    <w:div w:id="1622687423">
      <w:bodyDiv w:val="1"/>
      <w:marLeft w:val="0"/>
      <w:marRight w:val="0"/>
      <w:marTop w:val="0"/>
      <w:marBottom w:val="0"/>
      <w:divBdr>
        <w:top w:val="none" w:sz="0" w:space="0" w:color="auto"/>
        <w:left w:val="none" w:sz="0" w:space="0" w:color="auto"/>
        <w:bottom w:val="none" w:sz="0" w:space="0" w:color="auto"/>
        <w:right w:val="none" w:sz="0" w:space="0" w:color="auto"/>
      </w:divBdr>
    </w:div>
    <w:div w:id="1673528646">
      <w:bodyDiv w:val="1"/>
      <w:marLeft w:val="0"/>
      <w:marRight w:val="0"/>
      <w:marTop w:val="0"/>
      <w:marBottom w:val="0"/>
      <w:divBdr>
        <w:top w:val="none" w:sz="0" w:space="0" w:color="auto"/>
        <w:left w:val="none" w:sz="0" w:space="0" w:color="auto"/>
        <w:bottom w:val="none" w:sz="0" w:space="0" w:color="auto"/>
        <w:right w:val="none" w:sz="0" w:space="0" w:color="auto"/>
      </w:divBdr>
    </w:div>
    <w:div w:id="1702394000">
      <w:bodyDiv w:val="1"/>
      <w:marLeft w:val="0"/>
      <w:marRight w:val="0"/>
      <w:marTop w:val="0"/>
      <w:marBottom w:val="0"/>
      <w:divBdr>
        <w:top w:val="none" w:sz="0" w:space="0" w:color="auto"/>
        <w:left w:val="none" w:sz="0" w:space="0" w:color="auto"/>
        <w:bottom w:val="none" w:sz="0" w:space="0" w:color="auto"/>
        <w:right w:val="none" w:sz="0" w:space="0" w:color="auto"/>
      </w:divBdr>
    </w:div>
    <w:div w:id="1813019579">
      <w:bodyDiv w:val="1"/>
      <w:marLeft w:val="0"/>
      <w:marRight w:val="0"/>
      <w:marTop w:val="0"/>
      <w:marBottom w:val="0"/>
      <w:divBdr>
        <w:top w:val="none" w:sz="0" w:space="0" w:color="auto"/>
        <w:left w:val="none" w:sz="0" w:space="0" w:color="auto"/>
        <w:bottom w:val="none" w:sz="0" w:space="0" w:color="auto"/>
        <w:right w:val="none" w:sz="0" w:space="0" w:color="auto"/>
      </w:divBdr>
    </w:div>
    <w:div w:id="1820002481">
      <w:bodyDiv w:val="1"/>
      <w:marLeft w:val="0"/>
      <w:marRight w:val="0"/>
      <w:marTop w:val="0"/>
      <w:marBottom w:val="0"/>
      <w:divBdr>
        <w:top w:val="none" w:sz="0" w:space="0" w:color="auto"/>
        <w:left w:val="none" w:sz="0" w:space="0" w:color="auto"/>
        <w:bottom w:val="none" w:sz="0" w:space="0" w:color="auto"/>
        <w:right w:val="none" w:sz="0" w:space="0" w:color="auto"/>
      </w:divBdr>
    </w:div>
    <w:div w:id="1857428603">
      <w:bodyDiv w:val="1"/>
      <w:marLeft w:val="0"/>
      <w:marRight w:val="0"/>
      <w:marTop w:val="0"/>
      <w:marBottom w:val="0"/>
      <w:divBdr>
        <w:top w:val="none" w:sz="0" w:space="0" w:color="auto"/>
        <w:left w:val="none" w:sz="0" w:space="0" w:color="auto"/>
        <w:bottom w:val="none" w:sz="0" w:space="0" w:color="auto"/>
        <w:right w:val="none" w:sz="0" w:space="0" w:color="auto"/>
      </w:divBdr>
    </w:div>
    <w:div w:id="1857884909">
      <w:bodyDiv w:val="1"/>
      <w:marLeft w:val="0"/>
      <w:marRight w:val="0"/>
      <w:marTop w:val="0"/>
      <w:marBottom w:val="0"/>
      <w:divBdr>
        <w:top w:val="none" w:sz="0" w:space="0" w:color="auto"/>
        <w:left w:val="none" w:sz="0" w:space="0" w:color="auto"/>
        <w:bottom w:val="none" w:sz="0" w:space="0" w:color="auto"/>
        <w:right w:val="none" w:sz="0" w:space="0" w:color="auto"/>
      </w:divBdr>
    </w:div>
    <w:div w:id="1906836976">
      <w:bodyDiv w:val="1"/>
      <w:marLeft w:val="0"/>
      <w:marRight w:val="0"/>
      <w:marTop w:val="0"/>
      <w:marBottom w:val="0"/>
      <w:divBdr>
        <w:top w:val="none" w:sz="0" w:space="0" w:color="auto"/>
        <w:left w:val="none" w:sz="0" w:space="0" w:color="auto"/>
        <w:bottom w:val="none" w:sz="0" w:space="0" w:color="auto"/>
        <w:right w:val="none" w:sz="0" w:space="0" w:color="auto"/>
      </w:divBdr>
    </w:div>
    <w:div w:id="1976792872">
      <w:bodyDiv w:val="1"/>
      <w:marLeft w:val="0"/>
      <w:marRight w:val="0"/>
      <w:marTop w:val="0"/>
      <w:marBottom w:val="0"/>
      <w:divBdr>
        <w:top w:val="none" w:sz="0" w:space="0" w:color="auto"/>
        <w:left w:val="none" w:sz="0" w:space="0" w:color="auto"/>
        <w:bottom w:val="none" w:sz="0" w:space="0" w:color="auto"/>
        <w:right w:val="none" w:sz="0" w:space="0" w:color="auto"/>
      </w:divBdr>
    </w:div>
    <w:div w:id="2106025949">
      <w:bodyDiv w:val="1"/>
      <w:marLeft w:val="0"/>
      <w:marRight w:val="0"/>
      <w:marTop w:val="0"/>
      <w:marBottom w:val="0"/>
      <w:divBdr>
        <w:top w:val="none" w:sz="0" w:space="0" w:color="auto"/>
        <w:left w:val="none" w:sz="0" w:space="0" w:color="auto"/>
        <w:bottom w:val="none" w:sz="0" w:space="0" w:color="auto"/>
        <w:right w:val="none" w:sz="0" w:space="0" w:color="auto"/>
      </w:divBdr>
    </w:div>
    <w:div w:id="21457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erkanyucel@duzc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55AA9-A9E0-4A92-B4B4-2377DB0AA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9336</Words>
  <Characters>53216</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yücel</dc:creator>
  <cp:keywords/>
  <dc:description/>
  <cp:lastModifiedBy>serkan yücel</cp:lastModifiedBy>
  <cp:revision>2</cp:revision>
  <dcterms:created xsi:type="dcterms:W3CDTF">2022-05-21T04:27:00Z</dcterms:created>
  <dcterms:modified xsi:type="dcterms:W3CDTF">2022-05-21T04:27:00Z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d1095ad0-8ed5-30d9-83b0-80556c2bd54d</vt:lpwstr>
  </property>
  <property fmtid="{D5CDD505-2E9C-101B-9397-08002B2CF9AE}" pid="24" name="Mendeley Citation Style_1">
    <vt:lpwstr>http://www.zotero.org/styles/apa</vt:lpwstr>
  </property>
</Properties>
</file>