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DBE84" w14:textId="1B5332AC" w:rsidR="00296CD7" w:rsidRPr="003D316C" w:rsidRDefault="008A4C8B" w:rsidP="00CC5545">
      <w:pPr>
        <w:pStyle w:val="KonuBal"/>
        <w:spacing w:after="240"/>
      </w:pPr>
      <w:r w:rsidRPr="003D316C">
        <w:t>Lise ve Üniversite Öğrencilerinin Programlamaya Yönelik Öz-Yeterlik Düzeylerinin Karşılaştırılması</w:t>
      </w:r>
    </w:p>
    <w:p w14:paraId="5AE203EB" w14:textId="064A1072" w:rsidR="00AA0C99" w:rsidRPr="003D316C" w:rsidRDefault="008A4C8B" w:rsidP="00CC5545">
      <w:pPr>
        <w:pStyle w:val="Altyaz"/>
        <w:spacing w:after="0"/>
      </w:pPr>
      <w:r w:rsidRPr="003D316C">
        <w:t>Seyfullah Gökoğlu</w:t>
      </w:r>
      <w:r w:rsidR="00474DB6" w:rsidRPr="003D316C">
        <w:rPr>
          <w:vertAlign w:val="superscript"/>
        </w:rPr>
        <w:t>1</w:t>
      </w:r>
      <w:r w:rsidR="00696F69" w:rsidRPr="003D316C">
        <w:t xml:space="preserve">, </w:t>
      </w:r>
      <w:r w:rsidRPr="003D316C">
        <w:t>0000-0003-0074-7692</w:t>
      </w:r>
      <w:r w:rsidR="00AD396A" w:rsidRPr="003D316C">
        <w:t xml:space="preserve">, </w:t>
      </w:r>
      <w:hyperlink r:id="rId7" w:history="1">
        <w:r w:rsidRPr="003D316C">
          <w:rPr>
            <w:rStyle w:val="Kpr"/>
          </w:rPr>
          <w:t>sgokoglu@kastamonu.edu.tr</w:t>
        </w:r>
      </w:hyperlink>
      <w:r w:rsidRPr="003D316C">
        <w:t xml:space="preserve"> </w:t>
      </w:r>
      <w:r w:rsidR="00474DB6" w:rsidRPr="003D316C">
        <w:t xml:space="preserve"> </w:t>
      </w:r>
    </w:p>
    <w:p w14:paraId="457924B4" w14:textId="190DC466" w:rsidR="00474DB6" w:rsidRPr="003D316C" w:rsidRDefault="00474DB6" w:rsidP="00CC5545">
      <w:pPr>
        <w:pStyle w:val="Altyaz"/>
        <w:spacing w:after="0"/>
      </w:pPr>
    </w:p>
    <w:p w14:paraId="40343E05" w14:textId="7ED7F619" w:rsidR="00474DB6" w:rsidRPr="003D316C" w:rsidRDefault="00474DB6" w:rsidP="00CC5545">
      <w:pPr>
        <w:pStyle w:val="Altyaz"/>
        <w:spacing w:after="0"/>
      </w:pPr>
      <w:r w:rsidRPr="003D316C">
        <w:rPr>
          <w:vertAlign w:val="superscript"/>
        </w:rPr>
        <w:t>1</w:t>
      </w:r>
      <w:r w:rsidR="008A4C8B" w:rsidRPr="003D316C">
        <w:t>Kastamonu Üniversitesi</w:t>
      </w:r>
      <w:r w:rsidR="00D96A71" w:rsidRPr="003D316C">
        <w:t>, Cide Rıfat Ilgaz Meslek Yüksekokulu</w:t>
      </w:r>
    </w:p>
    <w:p w14:paraId="3E336251" w14:textId="21769436" w:rsidR="00474DB6" w:rsidRPr="003D316C" w:rsidRDefault="00474DB6" w:rsidP="00CC5545">
      <w:pPr>
        <w:spacing w:after="0"/>
        <w:jc w:val="center"/>
        <w:rPr>
          <w:sz w:val="16"/>
          <w:szCs w:val="16"/>
        </w:rPr>
      </w:pPr>
    </w:p>
    <w:p w14:paraId="52750A60" w14:textId="77777777" w:rsidR="002F7534" w:rsidRPr="003D316C" w:rsidRDefault="002F7534" w:rsidP="002F7534">
      <w:pPr>
        <w:pStyle w:val="Balk1"/>
      </w:pPr>
    </w:p>
    <w:p w14:paraId="2D80A7AD" w14:textId="31CE4D37" w:rsidR="002F7534" w:rsidRPr="003D316C" w:rsidRDefault="002F7534" w:rsidP="002F7534">
      <w:pPr>
        <w:pStyle w:val="Balk1"/>
      </w:pPr>
      <w:r w:rsidRPr="003D316C">
        <w:t>Özet</w:t>
      </w:r>
    </w:p>
    <w:p w14:paraId="62690E38" w14:textId="220367B5" w:rsidR="00B6252C" w:rsidRPr="003D316C" w:rsidRDefault="002F7534" w:rsidP="00441C7F">
      <w:r w:rsidRPr="003D316C">
        <w:t>Bu araştırma</w:t>
      </w:r>
      <w:r w:rsidR="00C4075B" w:rsidRPr="003D316C">
        <w:t xml:space="preserve">nın amacı </w:t>
      </w:r>
      <w:r w:rsidRPr="003D316C">
        <w:t>programlama öğretimi almış olan öğrencilerin öğrenim seviyelerine göre progra</w:t>
      </w:r>
      <w:r w:rsidR="00C4075B" w:rsidRPr="003D316C">
        <w:t>mlamaya yönelik öz-yeterlik</w:t>
      </w:r>
      <w:r w:rsidRPr="003D316C">
        <w:t xml:space="preserve"> düzeyleri arasında farklılık olup olmadığının belirlenmesi</w:t>
      </w:r>
      <w:r w:rsidR="00C4075B" w:rsidRPr="003D316C">
        <w:t xml:space="preserve">dir. </w:t>
      </w:r>
      <w:proofErr w:type="spellStart"/>
      <w:r w:rsidRPr="003D316C">
        <w:t>Nedensel</w:t>
      </w:r>
      <w:proofErr w:type="spellEnd"/>
      <w:r w:rsidRPr="003D316C">
        <w:t xml:space="preserve"> karşılaştırma türünde gerçekleştirilen araştırma kapsamında lise ve üniversite düzeyinde öğrenim gören ve en az bir ders dönemi boyunca programlama öğrenimi görmüş olan öğrenciler gruplandırılarak programlamaya yönelik öz-yeterlik düzeyleri incelenmiştir. </w:t>
      </w:r>
      <w:r w:rsidR="00C4075B" w:rsidRPr="003D316C">
        <w:t xml:space="preserve">Katılımcılar </w:t>
      </w:r>
      <w:r w:rsidRPr="003D316C">
        <w:t>Kastamonu ilinde öğrenim görmekte olan 193 lise ve 174 üniversite öğrencisinden oluşmaktadır. Veri toplama aracı olarak Bilgisaya</w:t>
      </w:r>
      <w:r w:rsidR="00C4075B" w:rsidRPr="003D316C">
        <w:t>r Programlama Öz-Yeterlik</w:t>
      </w:r>
      <w:r w:rsidRPr="003D316C">
        <w:t xml:space="preserve"> Ölçeği kullanılmıştır. Ölçekten elde edilen veriler</w:t>
      </w:r>
      <w:r w:rsidR="00C4075B" w:rsidRPr="003D316C">
        <w:t xml:space="preserve"> </w:t>
      </w:r>
      <w:r w:rsidRPr="003D316C">
        <w:t>Mann-</w:t>
      </w:r>
      <w:proofErr w:type="spellStart"/>
      <w:r w:rsidRPr="003D316C">
        <w:t>Whitney</w:t>
      </w:r>
      <w:proofErr w:type="spellEnd"/>
      <w:r w:rsidRPr="003D316C">
        <w:t xml:space="preserve"> U ve </w:t>
      </w:r>
      <w:proofErr w:type="spellStart"/>
      <w:r w:rsidRPr="003D316C">
        <w:t>Kruskal</w:t>
      </w:r>
      <w:proofErr w:type="spellEnd"/>
      <w:r w:rsidRPr="003D316C">
        <w:t>-Wallis testleri kullanıl</w:t>
      </w:r>
      <w:r w:rsidR="00C4075B" w:rsidRPr="003D316C">
        <w:t>arak analiz edilmiştir.</w:t>
      </w:r>
      <w:r w:rsidRPr="003D316C">
        <w:t xml:space="preserve"> Analizler sonucunda lise ve üniversitede öğrenim gören öğrencilerin bilgisayar programlamaya yönelik öz-yeterlik düzeyleri arasında anlamlı </w:t>
      </w:r>
      <w:r w:rsidR="008E36CE" w:rsidRPr="003D316C">
        <w:t>bir farklılık bulunamamıştır</w:t>
      </w:r>
      <w:r w:rsidRPr="003D316C">
        <w:t xml:space="preserve">. </w:t>
      </w:r>
      <w:r w:rsidR="003F5A77" w:rsidRPr="003D316C">
        <w:t>Ö</w:t>
      </w:r>
      <w:r w:rsidRPr="003D316C">
        <w:t>lçeğinin alt faktörleri bağlamında incelendiğinde programlama becerisi ve öz-düzenleme faktörleri bakımından öğrenim düzeyine göre anlamlı bir farklılık bulunama</w:t>
      </w:r>
      <w:r w:rsidR="003F5A77" w:rsidRPr="003D316C">
        <w:t xml:space="preserve">zken </w:t>
      </w:r>
      <w:r w:rsidRPr="003D316C">
        <w:t>programlama yeterliği faktörüne yönelik olarak üniversite ve lise öğrencileri arasında anlam</w:t>
      </w:r>
      <w:r w:rsidR="008E36CE" w:rsidRPr="003D316C">
        <w:t>lı bir farklılık bulunmuştur</w:t>
      </w:r>
      <w:r w:rsidRPr="003D316C">
        <w:t xml:space="preserve">. </w:t>
      </w:r>
      <w:r w:rsidR="00441C7F" w:rsidRPr="003D316C">
        <w:t>Ö</w:t>
      </w:r>
      <w:r w:rsidRPr="003D316C">
        <w:t xml:space="preserve">ğrencilerin programlama deneyimleri </w:t>
      </w:r>
      <w:r w:rsidR="00441C7F" w:rsidRPr="003D316C">
        <w:t xml:space="preserve">arttıkça </w:t>
      </w:r>
      <w:r w:rsidRPr="003D316C">
        <w:t>programlamaya yönelik öz-yeterlik algıları</w:t>
      </w:r>
      <w:r w:rsidR="00441C7F" w:rsidRPr="003D316C">
        <w:t>nın da anlamlı bir şekilde farklıl</w:t>
      </w:r>
      <w:r w:rsidR="008E36CE" w:rsidRPr="003D316C">
        <w:t>aştığı belirlenmiştir</w:t>
      </w:r>
      <w:r w:rsidR="00B072D8" w:rsidRPr="003D316C">
        <w:t>.</w:t>
      </w:r>
    </w:p>
    <w:p w14:paraId="5000FB7F" w14:textId="738D839D" w:rsidR="00740CF5" w:rsidRPr="003D316C" w:rsidRDefault="00740CF5" w:rsidP="00CC5545">
      <w:pPr>
        <w:rPr>
          <w:i/>
          <w:iCs/>
        </w:rPr>
      </w:pPr>
      <w:r w:rsidRPr="003D316C">
        <w:rPr>
          <w:b/>
          <w:bCs/>
        </w:rPr>
        <w:t xml:space="preserve">Anahtar Kelimeler: </w:t>
      </w:r>
      <w:r w:rsidR="00BB2F27" w:rsidRPr="003D316C">
        <w:rPr>
          <w:i/>
          <w:iCs/>
        </w:rPr>
        <w:t>bilgisayar programlama</w:t>
      </w:r>
      <w:r w:rsidRPr="003D316C">
        <w:rPr>
          <w:i/>
          <w:iCs/>
        </w:rPr>
        <w:t xml:space="preserve">, </w:t>
      </w:r>
      <w:r w:rsidR="00BB2F27" w:rsidRPr="003D316C">
        <w:rPr>
          <w:i/>
          <w:iCs/>
        </w:rPr>
        <w:t>öz-yeterlik</w:t>
      </w:r>
      <w:r w:rsidRPr="003D316C">
        <w:rPr>
          <w:i/>
          <w:iCs/>
        </w:rPr>
        <w:t xml:space="preserve">, </w:t>
      </w:r>
      <w:r w:rsidR="00BB2F27" w:rsidRPr="003D316C">
        <w:rPr>
          <w:i/>
          <w:iCs/>
        </w:rPr>
        <w:t>programlama yeterliği, programlama becerisi, öz-düzenleme</w:t>
      </w:r>
    </w:p>
    <w:p w14:paraId="0DEBE1C3" w14:textId="0D2E4AEF" w:rsidR="006C0DAA" w:rsidRPr="003D316C" w:rsidRDefault="006516C6" w:rsidP="006516C6">
      <w:pPr>
        <w:pStyle w:val="Balk1"/>
      </w:pPr>
      <w:r w:rsidRPr="003D316C">
        <w:t>Giriş</w:t>
      </w:r>
    </w:p>
    <w:p w14:paraId="172D693C" w14:textId="5C5DD586" w:rsidR="006516C6" w:rsidRPr="003D316C" w:rsidRDefault="006516C6" w:rsidP="006516C6">
      <w:r w:rsidRPr="003D316C">
        <w:t>Günümüzde yaşanan teknolojik gelişmeler ile birlikte ortaya çıkan yenilikler hayatımızın hemen her alanında kendisine yer bulmakta ve bizleri giderek daha fazla teknolojik araç ile etkileşim içerisinde olduğumuz bir yaşantıya yönlendirmektedir. Günlük yaşamdan iş hayatına, eğlence ortamlarından eğitim ortamlarına kadar etrafımız</w:t>
      </w:r>
      <w:r w:rsidR="008E36CE" w:rsidRPr="003D316C">
        <w:t>ın</w:t>
      </w:r>
      <w:r w:rsidRPr="003D316C">
        <w:t xml:space="preserve"> teknoloji ile sarılmış durumda</w:t>
      </w:r>
      <w:r w:rsidR="008E36CE" w:rsidRPr="003D316C">
        <w:t xml:space="preserve"> olduğu söylenebilir </w:t>
      </w:r>
      <w:r w:rsidRPr="003D316C">
        <w:t>(</w:t>
      </w:r>
      <w:proofErr w:type="spellStart"/>
      <w:r w:rsidRPr="003D316C">
        <w:t>Erümit</w:t>
      </w:r>
      <w:proofErr w:type="spellEnd"/>
      <w:r w:rsidRPr="003D316C">
        <w:t xml:space="preserve"> ve </w:t>
      </w:r>
      <w:proofErr w:type="spellStart"/>
      <w:r w:rsidRPr="003D316C">
        <w:t>Berigel</w:t>
      </w:r>
      <w:proofErr w:type="spellEnd"/>
      <w:r w:rsidRPr="003D316C">
        <w:t>, 2018). Bu dönüşüme uyum sağlay</w:t>
      </w:r>
      <w:r w:rsidR="008E36CE" w:rsidRPr="003D316C">
        <w:t>abilmek amacıyla özellikle öğretme-öğren</w:t>
      </w:r>
      <w:r w:rsidRPr="003D316C">
        <w:t>me ortamlarında yürütülen faaliyetler, bireylere 21. yüzyıl öğrenen yeterlilikleri arasında da gösterilen teknolojik okuryazarlık becerilerinin kazandırılmasına yönelik olacak şekilde düzenlenmektedir. Bu düzenlemeler arasında önemi giderek artan şekilde vurgulanan uygulamalardan birisi de programlama öğretimidir.</w:t>
      </w:r>
    </w:p>
    <w:p w14:paraId="73089834" w14:textId="4BF9A09C" w:rsidR="00743882" w:rsidRPr="003D316C" w:rsidRDefault="006B4E49" w:rsidP="005E4FD2">
      <w:r w:rsidRPr="003D316C">
        <w:t>Programlama öğretimi ile bireylerin düşünme ve soyutlama becerilerinin geliştiği, olayların ve olguların gelişimini sorgulayarak bilişsel gelişim gösterdikleri vurgulanmaktadır (</w:t>
      </w:r>
      <w:proofErr w:type="spellStart"/>
      <w:r w:rsidRPr="003D316C">
        <w:t>Papert</w:t>
      </w:r>
      <w:proofErr w:type="spellEnd"/>
      <w:r w:rsidRPr="003D316C">
        <w:t>, 1980). Ayrıca programlama öğretiminin bireylerin çeşitli bilişsel becerilerin</w:t>
      </w:r>
      <w:r w:rsidR="008E36CE" w:rsidRPr="003D316C">
        <w:t>in</w:t>
      </w:r>
      <w:r w:rsidRPr="003D316C">
        <w:t xml:space="preserve"> geliştirilmesine katkıda bulunmasının yanı sıra özellikle üst düzey düşünme ve problem çözme becerilerinin geliştirilmesinde </w:t>
      </w:r>
      <w:r w:rsidR="008E36CE" w:rsidRPr="003D316C">
        <w:t xml:space="preserve">de </w:t>
      </w:r>
      <w:r w:rsidRPr="003D316C">
        <w:t xml:space="preserve">yardımcı bir araç olarak kullanılabileceği belirtilmektedir (Özmen ve </w:t>
      </w:r>
      <w:proofErr w:type="spellStart"/>
      <w:r w:rsidRPr="003D316C">
        <w:t>Altun</w:t>
      </w:r>
      <w:proofErr w:type="spellEnd"/>
      <w:r w:rsidRPr="003D316C">
        <w:t>, 2014). Bu doğrultuda p</w:t>
      </w:r>
      <w:r w:rsidR="00743882" w:rsidRPr="003D316C">
        <w:t xml:space="preserve">rogramlama öğretiminin önemini fark eden ülkelerde, gerek ayrı bir ders olarak gerekse farklı derslerin müfredatlarına </w:t>
      </w:r>
      <w:proofErr w:type="gramStart"/>
      <w:r w:rsidR="00743882" w:rsidRPr="003D316C">
        <w:t>entegre</w:t>
      </w:r>
      <w:proofErr w:type="gramEnd"/>
      <w:r w:rsidR="00743882" w:rsidRPr="003D316C">
        <w:t xml:space="preserve"> edilerek programlama öğretimi gerçekleştirilmektedir (</w:t>
      </w:r>
      <w:proofErr w:type="spellStart"/>
      <w:r w:rsidR="00743882" w:rsidRPr="003D316C">
        <w:t>Apiola</w:t>
      </w:r>
      <w:proofErr w:type="spellEnd"/>
      <w:r w:rsidR="00743882" w:rsidRPr="003D316C">
        <w:t xml:space="preserve"> ve </w:t>
      </w:r>
      <w:proofErr w:type="spellStart"/>
      <w:r w:rsidR="00743882" w:rsidRPr="003D316C">
        <w:t>Tedre</w:t>
      </w:r>
      <w:proofErr w:type="spellEnd"/>
      <w:r w:rsidR="00743882" w:rsidRPr="003D316C">
        <w:t xml:space="preserve">, 2012). </w:t>
      </w:r>
      <w:r w:rsidR="008E36CE" w:rsidRPr="003D316C">
        <w:t xml:space="preserve">Bu doğrultuda </w:t>
      </w:r>
      <w:proofErr w:type="spellStart"/>
      <w:r w:rsidR="00743882" w:rsidRPr="003D316C">
        <w:t>European</w:t>
      </w:r>
      <w:proofErr w:type="spellEnd"/>
      <w:r w:rsidR="00743882" w:rsidRPr="003D316C">
        <w:t xml:space="preserve"> </w:t>
      </w:r>
      <w:proofErr w:type="spellStart"/>
      <w:r w:rsidR="00743882" w:rsidRPr="003D316C">
        <w:t>Schoolnet</w:t>
      </w:r>
      <w:proofErr w:type="spellEnd"/>
      <w:r w:rsidR="00743882" w:rsidRPr="003D316C">
        <w:t xml:space="preserve"> tarafından gerçekleştirilen bir araştırmaya göre 21 Avrupa Birliği ülkesinden 16’sında programlama öğretimi eğitim programının bir parçası haline gelmiştir. Diğer 5 ülkede de bu yönde planlamalar yapılmaktadır. Programlama öğretimini eğitim programlarına </w:t>
      </w:r>
      <w:proofErr w:type="gramStart"/>
      <w:r w:rsidR="00743882" w:rsidRPr="003D316C">
        <w:t>entegre</w:t>
      </w:r>
      <w:proofErr w:type="gramEnd"/>
      <w:r w:rsidR="00743882" w:rsidRPr="003D316C">
        <w:t xml:space="preserve"> eden ülkelerin 7’sinde ise programlama zorunlu bir ders olarak </w:t>
      </w:r>
      <w:r w:rsidRPr="003D316C">
        <w:t>okutulmaktadır</w:t>
      </w:r>
      <w:r w:rsidR="00743882" w:rsidRPr="003D316C">
        <w:t xml:space="preserve"> (Şimşek, 2018).</w:t>
      </w:r>
    </w:p>
    <w:p w14:paraId="2E68AB1F" w14:textId="2DB2C19D" w:rsidR="008E36CE" w:rsidRPr="003D316C" w:rsidRDefault="008E36CE" w:rsidP="008E36CE">
      <w:r w:rsidRPr="003D316C">
        <w:lastRenderedPageBreak/>
        <w:t>Programlama öğretiminin önemi ve öğrencilere kazandırdığı bilişsel beceriler göz önünde bulundurularak yürütülen çalışmalar çerçevesinde programlama öğretimi ile ilişkili olan faktörler belirlenmeye çalışılmaktadır. Programlamanın öğrenciler tarafından ileri düzey eğitim gerektiren ve uzman kişilerin yapabileceği zor bir iş olarak görülmesi (Genç ve Karakuş, 2011), programlama yaparken genelleme, soyutlama, eleştirel düşünme gibi birçok becerinin bir arada kullanılmasının gerekliliği (</w:t>
      </w:r>
      <w:proofErr w:type="spellStart"/>
      <w:r w:rsidRPr="003D316C">
        <w:t>Gomes</w:t>
      </w:r>
      <w:proofErr w:type="spellEnd"/>
      <w:r w:rsidRPr="003D316C">
        <w:t xml:space="preserve"> ve Mendes, 2007), öğrencilerin problem çözme yaklaşımlarını ve çözüm üretebilme becerilerini etkin biçimde öğrenememeleri (</w:t>
      </w:r>
      <w:proofErr w:type="spellStart"/>
      <w:r w:rsidRPr="003D316C">
        <w:t>Pillay</w:t>
      </w:r>
      <w:proofErr w:type="spellEnd"/>
      <w:r w:rsidRPr="003D316C">
        <w:t xml:space="preserve"> ve </w:t>
      </w:r>
      <w:proofErr w:type="spellStart"/>
      <w:r w:rsidRPr="003D316C">
        <w:t>Jugoo</w:t>
      </w:r>
      <w:proofErr w:type="spellEnd"/>
      <w:r w:rsidRPr="003D316C">
        <w:t>, 2005)</w:t>
      </w:r>
      <w:r w:rsidR="007C542F" w:rsidRPr="003D316C">
        <w:t xml:space="preserve">, öğrencilerin sahip oldukları düşük </w:t>
      </w:r>
      <w:proofErr w:type="gramStart"/>
      <w:r w:rsidR="007C542F" w:rsidRPr="003D316C">
        <w:t>motivasyon</w:t>
      </w:r>
      <w:proofErr w:type="gramEnd"/>
      <w:r w:rsidR="007C542F" w:rsidRPr="003D316C">
        <w:t xml:space="preserve"> ve </w:t>
      </w:r>
      <w:r w:rsidR="00C512A0" w:rsidRPr="003D316C">
        <w:t>öz-yeterlik inancı (</w:t>
      </w:r>
      <w:proofErr w:type="spellStart"/>
      <w:r w:rsidR="00C512A0" w:rsidRPr="003D316C">
        <w:t>Fang</w:t>
      </w:r>
      <w:proofErr w:type="spellEnd"/>
      <w:r w:rsidR="00C512A0" w:rsidRPr="003D316C">
        <w:t>, 2012</w:t>
      </w:r>
      <w:r w:rsidR="007C542F" w:rsidRPr="003D316C">
        <w:t>) bu faktörler içerisinde ön plana çıkmaktadır.</w:t>
      </w:r>
    </w:p>
    <w:p w14:paraId="009705D2" w14:textId="7957DC31" w:rsidR="007E0DE0" w:rsidRPr="003D316C" w:rsidRDefault="008E0D4A" w:rsidP="007E0DE0">
      <w:r w:rsidRPr="003D316C">
        <w:t>Programlama öğretimi ile ilişkili olan önemli faktörlerden birisi olarak değerlendirilen öz-yeterlik (</w:t>
      </w:r>
      <w:proofErr w:type="spellStart"/>
      <w:r w:rsidRPr="003D316C">
        <w:t>Tsai</w:t>
      </w:r>
      <w:proofErr w:type="spellEnd"/>
      <w:r w:rsidR="00987E0C" w:rsidRPr="003D316C">
        <w:t xml:space="preserve">, </w:t>
      </w:r>
      <w:proofErr w:type="spellStart"/>
      <w:r w:rsidR="00987E0C" w:rsidRPr="003D316C">
        <w:t>Wang</w:t>
      </w:r>
      <w:proofErr w:type="spellEnd"/>
      <w:r w:rsidR="00987E0C" w:rsidRPr="003D316C">
        <w:t xml:space="preserve"> ve </w:t>
      </w:r>
      <w:proofErr w:type="spellStart"/>
      <w:r w:rsidR="00987E0C" w:rsidRPr="003D316C">
        <w:t>Hsu</w:t>
      </w:r>
      <w:proofErr w:type="spellEnd"/>
      <w:r w:rsidRPr="003D316C">
        <w:t>, 2019), bireylerin farklı koşullar altındaki bireysel inanışlarını ve psikolojik durumlarını yansıtan ve sergileyecekleri performansları belirleyen psikolojik bir kavram olarak ifade edilmektedir (</w:t>
      </w:r>
      <w:proofErr w:type="spellStart"/>
      <w:r w:rsidRPr="003D316C">
        <w:t>Bandura</w:t>
      </w:r>
      <w:proofErr w:type="spellEnd"/>
      <w:r w:rsidRPr="003D316C">
        <w:t>, 1997). Öz-yeterlik algısı yüksek olan bireyler düşük olan</w:t>
      </w:r>
      <w:r w:rsidR="00C54CF8" w:rsidRPr="003D316C">
        <w:t xml:space="preserve">lara göre karşılaşacakları </w:t>
      </w:r>
      <w:r w:rsidRPr="003D316C">
        <w:t xml:space="preserve">zorluklarla başa çıkmada daha </w:t>
      </w:r>
      <w:r w:rsidR="007E0DE0" w:rsidRPr="003D316C">
        <w:t>başarılı</w:t>
      </w:r>
      <w:r w:rsidRPr="003D316C">
        <w:t xml:space="preserve"> olmakta, hedeflerine ulaşmak için daha fazla </w:t>
      </w:r>
      <w:r w:rsidR="007E0DE0" w:rsidRPr="003D316C">
        <w:t>çaba</w:t>
      </w:r>
      <w:r w:rsidRPr="003D316C">
        <w:t xml:space="preserve"> göstermekte, daha az karmaşa yaşamakta ve bu nedenle de psikolojik olarak kendilerini daha iyi hissetmektedirler (</w:t>
      </w:r>
      <w:proofErr w:type="spellStart"/>
      <w:r w:rsidRPr="003D316C">
        <w:t>Davidss</w:t>
      </w:r>
      <w:r w:rsidR="00C54CF8" w:rsidRPr="003D316C">
        <w:t>on</w:t>
      </w:r>
      <w:proofErr w:type="spellEnd"/>
      <w:r w:rsidR="00C54CF8" w:rsidRPr="003D316C">
        <w:t xml:space="preserve">, </w:t>
      </w:r>
      <w:proofErr w:type="spellStart"/>
      <w:r w:rsidR="00C54CF8" w:rsidRPr="003D316C">
        <w:t>Larzon</w:t>
      </w:r>
      <w:proofErr w:type="spellEnd"/>
      <w:r w:rsidR="00C54CF8" w:rsidRPr="003D316C">
        <w:t xml:space="preserve"> ve </w:t>
      </w:r>
      <w:proofErr w:type="spellStart"/>
      <w:r w:rsidR="00C54CF8" w:rsidRPr="003D316C">
        <w:t>Ljunggren</w:t>
      </w:r>
      <w:proofErr w:type="spellEnd"/>
      <w:r w:rsidR="00C54CF8" w:rsidRPr="003D316C">
        <w:t>, 2010).</w:t>
      </w:r>
      <w:r w:rsidR="007E0DE0" w:rsidRPr="003D316C">
        <w:t xml:space="preserve"> Bilgisayar okuryazarlığı bağlamında değerlendirildiğinde öz-yeterliğin akademik başarı ve beceri öğrenimi performansı ile ilişkili olduğu belirtilmektedir </w:t>
      </w:r>
      <w:r w:rsidR="00712E10" w:rsidRPr="003D316C">
        <w:t>(</w:t>
      </w:r>
      <w:proofErr w:type="spellStart"/>
      <w:r w:rsidR="00712E10" w:rsidRPr="003D316C">
        <w:t>Ber</w:t>
      </w:r>
      <w:r w:rsidR="007E0DE0" w:rsidRPr="003D316C">
        <w:t>gey</w:t>
      </w:r>
      <w:proofErr w:type="spellEnd"/>
      <w:r w:rsidR="00712E10" w:rsidRPr="003D316C">
        <w:t xml:space="preserve"> vd</w:t>
      </w:r>
      <w:proofErr w:type="gramStart"/>
      <w:r w:rsidR="00712E10" w:rsidRPr="003D316C">
        <w:t>.</w:t>
      </w:r>
      <w:r w:rsidR="007E0DE0" w:rsidRPr="003D316C">
        <w:t>,</w:t>
      </w:r>
      <w:proofErr w:type="gramEnd"/>
      <w:r w:rsidR="007E0DE0" w:rsidRPr="003D316C">
        <w:t xml:space="preserve"> 2015; </w:t>
      </w:r>
      <w:proofErr w:type="spellStart"/>
      <w:r w:rsidR="007E0DE0" w:rsidRPr="003D316C">
        <w:t>Hoffman</w:t>
      </w:r>
      <w:proofErr w:type="spellEnd"/>
      <w:r w:rsidR="007E0DE0" w:rsidRPr="003D316C">
        <w:t xml:space="preserve"> ve </w:t>
      </w:r>
      <w:proofErr w:type="spellStart"/>
      <w:r w:rsidR="007E0DE0" w:rsidRPr="003D316C">
        <w:t>Spatariu</w:t>
      </w:r>
      <w:proofErr w:type="spellEnd"/>
      <w:r w:rsidR="007E0DE0" w:rsidRPr="003D316C">
        <w:t>, 2008). Programlama öğreniminin önemli bileşenlerinden birisi olarak değerlendirilen öz-yeterliğin</w:t>
      </w:r>
      <w:r w:rsidR="00F70570" w:rsidRPr="003D316C">
        <w:t>,</w:t>
      </w:r>
      <w:r w:rsidR="007E0DE0" w:rsidRPr="003D316C">
        <w:t xml:space="preserve"> öğrencilerin bilgisayar programlamaya yönelik performanslarını olumlu yönde </w:t>
      </w:r>
      <w:proofErr w:type="spellStart"/>
      <w:r w:rsidR="007E0DE0" w:rsidRPr="003D316C">
        <w:t>yordadığı</w:t>
      </w:r>
      <w:proofErr w:type="spellEnd"/>
      <w:r w:rsidR="007E0DE0" w:rsidRPr="003D316C">
        <w:t xml:space="preserve"> vurgulanmaktadır (</w:t>
      </w:r>
      <w:proofErr w:type="spellStart"/>
      <w:r w:rsidR="007E0DE0" w:rsidRPr="003D316C">
        <w:t>Ramalingam</w:t>
      </w:r>
      <w:proofErr w:type="spellEnd"/>
      <w:r w:rsidR="007E0DE0" w:rsidRPr="003D316C">
        <w:t xml:space="preserve">, </w:t>
      </w:r>
      <w:proofErr w:type="spellStart"/>
      <w:r w:rsidR="007E0DE0" w:rsidRPr="003D316C">
        <w:t>LaBelle</w:t>
      </w:r>
      <w:proofErr w:type="spellEnd"/>
      <w:r w:rsidR="007E0DE0" w:rsidRPr="003D316C">
        <w:t xml:space="preserve"> ve </w:t>
      </w:r>
      <w:proofErr w:type="spellStart"/>
      <w:r w:rsidR="007E0DE0" w:rsidRPr="003D316C">
        <w:t>Wiedenbeck</w:t>
      </w:r>
      <w:proofErr w:type="spellEnd"/>
      <w:r w:rsidR="007E0DE0" w:rsidRPr="003D316C">
        <w:t>, 2004).</w:t>
      </w:r>
    </w:p>
    <w:p w14:paraId="1F910A54" w14:textId="41EE68AF" w:rsidR="00C54CF8" w:rsidRPr="003D316C" w:rsidRDefault="007E0DE0" w:rsidP="008E0D4A">
      <w:r w:rsidRPr="003D316C">
        <w:t>Öz-yeterliğin programlama öğretimi üzerindeki etkisi göz önünde bulundurularak bu araştırmada programlama öğretimi almış olan öğrencilerin öğrenim seviyelerine göre programlamaya yönelik öz-yeterlik düzeyleri arasında farklılık olup olmadığının belirlenmesi amaçlanmıştır.</w:t>
      </w:r>
    </w:p>
    <w:p w14:paraId="43E85D71" w14:textId="7B44B893" w:rsidR="00C54CF8" w:rsidRPr="003D316C" w:rsidRDefault="003252F2" w:rsidP="003252F2">
      <w:pPr>
        <w:pStyle w:val="Balk1"/>
      </w:pPr>
      <w:r w:rsidRPr="003D316C">
        <w:t>Yöntem</w:t>
      </w:r>
    </w:p>
    <w:p w14:paraId="05C3821F" w14:textId="77777777" w:rsidR="003252F2" w:rsidRPr="003D316C" w:rsidRDefault="003252F2" w:rsidP="003252F2">
      <w:pPr>
        <w:pStyle w:val="Balk2"/>
      </w:pPr>
      <w:r w:rsidRPr="003D316C">
        <w:t>Araştırma Modeli</w:t>
      </w:r>
    </w:p>
    <w:p w14:paraId="38639224" w14:textId="788DF2FE" w:rsidR="003252F2" w:rsidRPr="003D316C" w:rsidRDefault="003252F2" w:rsidP="003252F2">
      <w:r w:rsidRPr="003D316C">
        <w:t xml:space="preserve">Bu araştırma programlama eğitimi almış olan öğrencilerin öğrenim seviyelerine göre programlamaya yönelik öz-yeterlik düzeyleri arasında farklılık olup olmadığının belirlenebilmesi amacıyla </w:t>
      </w:r>
      <w:proofErr w:type="spellStart"/>
      <w:r w:rsidRPr="003D316C">
        <w:t>nedensel</w:t>
      </w:r>
      <w:proofErr w:type="spellEnd"/>
      <w:r w:rsidRPr="003D316C">
        <w:t xml:space="preserve"> karşılaştırma türünde gerçekleştirilmiştir. </w:t>
      </w:r>
      <w:proofErr w:type="spellStart"/>
      <w:r w:rsidRPr="003D316C">
        <w:t>Nedensel</w:t>
      </w:r>
      <w:proofErr w:type="spellEnd"/>
      <w:r w:rsidRPr="003D316C">
        <w:t xml:space="preserve"> karşılaştırma araştırmaları, insan grupları arasındaki farklılıkların nedenlerini ve sonuçlarını koşullar ve katılımcılar üzerinde herhangi bir müdahale olmaksızın belirlemeyi amaçla</w:t>
      </w:r>
      <w:r w:rsidR="00625C31" w:rsidRPr="003D316C">
        <w:t>yan araştırmalardı</w:t>
      </w:r>
      <w:r w:rsidRPr="003D316C">
        <w:t xml:space="preserve">r (Büyüköztürk ve </w:t>
      </w:r>
      <w:proofErr w:type="spellStart"/>
      <w:r w:rsidRPr="003D316C">
        <w:t>diğ</w:t>
      </w:r>
      <w:proofErr w:type="spellEnd"/>
      <w:proofErr w:type="gramStart"/>
      <w:r w:rsidRPr="003D316C">
        <w:t>.,</w:t>
      </w:r>
      <w:proofErr w:type="gramEnd"/>
      <w:r w:rsidRPr="003D316C">
        <w:t xml:space="preserve"> 2013</w:t>
      </w:r>
      <w:r w:rsidR="00204170" w:rsidRPr="003D316C">
        <w:t>)</w:t>
      </w:r>
      <w:r w:rsidRPr="003D316C">
        <w:t>.</w:t>
      </w:r>
    </w:p>
    <w:p w14:paraId="5524BF89" w14:textId="22D3051B" w:rsidR="00C54CF8" w:rsidRPr="003D316C" w:rsidRDefault="003252F2" w:rsidP="003252F2">
      <w:r w:rsidRPr="003D316C">
        <w:t xml:space="preserve">Araştırma kapsamında lise ve üniversite düzeyinde öğrenim gören ve en az 1 dönem boyunca programlama eğitimi almış olan öğrenciler gruplandırılarak programlamaya yönelik öz-yeterlik düzeyleri incelenmiştir. Böylece öğrencilerin öz-yeterlik düzeyleri üzerinde lise ve üniversitede yürütülen </w:t>
      </w:r>
      <w:r w:rsidR="00D15C75" w:rsidRPr="003D316C">
        <w:t xml:space="preserve">derslerin </w:t>
      </w:r>
      <w:r w:rsidRPr="003D316C">
        <w:t>programlamaya yönelik etkisi belirlenmeye çalışılmıştır.</w:t>
      </w:r>
    </w:p>
    <w:p w14:paraId="38E7E2B1" w14:textId="13A8CBC7" w:rsidR="00C94846" w:rsidRPr="003D316C" w:rsidRDefault="00C94846" w:rsidP="00C94846">
      <w:pPr>
        <w:pStyle w:val="Balk2"/>
      </w:pPr>
      <w:r w:rsidRPr="003D316C">
        <w:t>Katılımcılar</w:t>
      </w:r>
    </w:p>
    <w:p w14:paraId="1477A172" w14:textId="1A671E45" w:rsidR="00C94846" w:rsidRDefault="00C94846" w:rsidP="00FF560C">
      <w:r w:rsidRPr="003D316C">
        <w:t>Katılımcıların belirlenmesinde amaçlı örnekleme yöntemlerinden ölçüt örnekleme yöntemi kullanılmıştır. Bu doğrultuda araştırmaya katılan öğrencilerin lise ve üniversite düzeyinde bilgisayar programlamaya yönelik bölümlerde öğrenim görmeleri ve en az 1 dönem boyunca programlama ile ilgili ders almış olmaları ölçüt olarak değerlendirilmiştir. Gerekli yasal ve etik izinler alındıktan sonra gönüllülük esasına göre Kastamonu ilinde öğrenim görmekte olan 193 lise (%52.6) ve 174 üniversite (%47.4) öğrencisi araştırmaya katılmıştır.</w:t>
      </w:r>
      <w:r w:rsidR="00FF560C" w:rsidRPr="003D316C">
        <w:t xml:space="preserve"> </w:t>
      </w:r>
      <w:r w:rsidRPr="003D316C">
        <w:t>Katılımcılara ilişkin demografik bilgiler Tablo 1’de sunulmuştur.</w:t>
      </w:r>
    </w:p>
    <w:p w14:paraId="01010AB2" w14:textId="21903DC4" w:rsidR="00BD3E15" w:rsidRDefault="00BD3E15" w:rsidP="00FF560C"/>
    <w:p w14:paraId="359E4C3D" w14:textId="77777777" w:rsidR="00BD3E15" w:rsidRPr="003D316C" w:rsidRDefault="00BD3E15" w:rsidP="00FF560C"/>
    <w:p w14:paraId="6C02AA44" w14:textId="03A7D4A5" w:rsidR="00744442" w:rsidRPr="003D316C" w:rsidRDefault="00744442" w:rsidP="00744442">
      <w:pPr>
        <w:pStyle w:val="AralkYok"/>
        <w:rPr>
          <w:b/>
        </w:rPr>
      </w:pPr>
      <w:r w:rsidRPr="003D316C">
        <w:rPr>
          <w:b/>
        </w:rPr>
        <w:lastRenderedPageBreak/>
        <w:t>Tablo 1</w:t>
      </w:r>
    </w:p>
    <w:p w14:paraId="58957BE8" w14:textId="45B3C9D1" w:rsidR="00744442" w:rsidRPr="003D316C" w:rsidRDefault="00744442" w:rsidP="00974BBE">
      <w:pPr>
        <w:pStyle w:val="AralkYok"/>
        <w:rPr>
          <w:i/>
        </w:rPr>
      </w:pPr>
      <w:r w:rsidRPr="003D316C">
        <w:rPr>
          <w:i/>
        </w:rPr>
        <w:t>Katılımcılara İlişkin Demografik Bilgiler</w:t>
      </w:r>
    </w:p>
    <w:tbl>
      <w:tblPr>
        <w:tblW w:w="89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273"/>
        <w:gridCol w:w="1975"/>
        <w:gridCol w:w="1276"/>
        <w:gridCol w:w="1134"/>
        <w:gridCol w:w="1134"/>
        <w:gridCol w:w="1134"/>
      </w:tblGrid>
      <w:tr w:rsidR="00D26DE0" w:rsidRPr="003D316C" w14:paraId="4B8F3DE9" w14:textId="77777777" w:rsidTr="002F0AB3">
        <w:trPr>
          <w:trHeight w:val="340"/>
        </w:trPr>
        <w:tc>
          <w:tcPr>
            <w:tcW w:w="2273" w:type="dxa"/>
            <w:tcBorders>
              <w:left w:val="nil"/>
              <w:bottom w:val="nil"/>
            </w:tcBorders>
            <w:shd w:val="clear" w:color="auto" w:fill="auto"/>
            <w:vAlign w:val="center"/>
          </w:tcPr>
          <w:p w14:paraId="46144D17" w14:textId="77777777" w:rsidR="00D26DE0" w:rsidRPr="003D316C" w:rsidRDefault="00D26DE0" w:rsidP="0096426F">
            <w:pPr>
              <w:pStyle w:val="AralkYok"/>
              <w:jc w:val="center"/>
            </w:pPr>
          </w:p>
        </w:tc>
        <w:tc>
          <w:tcPr>
            <w:tcW w:w="1975" w:type="dxa"/>
            <w:tcBorders>
              <w:bottom w:val="nil"/>
            </w:tcBorders>
            <w:shd w:val="clear" w:color="auto" w:fill="auto"/>
            <w:vAlign w:val="center"/>
          </w:tcPr>
          <w:p w14:paraId="13DE4E30" w14:textId="77777777" w:rsidR="00D26DE0" w:rsidRPr="003D316C" w:rsidRDefault="00D26DE0" w:rsidP="0096426F">
            <w:pPr>
              <w:pStyle w:val="AralkYok"/>
              <w:jc w:val="center"/>
            </w:pPr>
          </w:p>
        </w:tc>
        <w:tc>
          <w:tcPr>
            <w:tcW w:w="2410" w:type="dxa"/>
            <w:gridSpan w:val="2"/>
            <w:shd w:val="clear" w:color="auto" w:fill="auto"/>
            <w:vAlign w:val="center"/>
          </w:tcPr>
          <w:p w14:paraId="526A5151" w14:textId="77777777" w:rsidR="00D26DE0" w:rsidRPr="003D316C" w:rsidRDefault="00D26DE0" w:rsidP="0096426F">
            <w:pPr>
              <w:pStyle w:val="AralkYok"/>
              <w:jc w:val="center"/>
              <w:rPr>
                <w:bCs/>
              </w:rPr>
            </w:pPr>
            <w:r w:rsidRPr="003D316C">
              <w:rPr>
                <w:bCs/>
              </w:rPr>
              <w:t>Lise</w:t>
            </w:r>
          </w:p>
        </w:tc>
        <w:tc>
          <w:tcPr>
            <w:tcW w:w="2268" w:type="dxa"/>
            <w:gridSpan w:val="2"/>
            <w:tcBorders>
              <w:right w:val="nil"/>
            </w:tcBorders>
            <w:vAlign w:val="center"/>
          </w:tcPr>
          <w:p w14:paraId="53BE6E03" w14:textId="77777777" w:rsidR="00D26DE0" w:rsidRPr="003D316C" w:rsidRDefault="00D26DE0" w:rsidP="0096426F">
            <w:pPr>
              <w:pStyle w:val="AralkYok"/>
              <w:jc w:val="center"/>
              <w:rPr>
                <w:bCs/>
              </w:rPr>
            </w:pPr>
            <w:r w:rsidRPr="003D316C">
              <w:rPr>
                <w:bCs/>
              </w:rPr>
              <w:t>Üniversite</w:t>
            </w:r>
          </w:p>
        </w:tc>
      </w:tr>
      <w:tr w:rsidR="00386058" w:rsidRPr="003D316C" w14:paraId="323DDB3B" w14:textId="77777777" w:rsidTr="002F0AB3">
        <w:trPr>
          <w:trHeight w:val="340"/>
        </w:trPr>
        <w:tc>
          <w:tcPr>
            <w:tcW w:w="2273" w:type="dxa"/>
            <w:tcBorders>
              <w:top w:val="nil"/>
              <w:left w:val="nil"/>
            </w:tcBorders>
            <w:shd w:val="clear" w:color="auto" w:fill="auto"/>
            <w:vAlign w:val="center"/>
          </w:tcPr>
          <w:p w14:paraId="5146DECC" w14:textId="77777777" w:rsidR="00386058" w:rsidRPr="003D316C" w:rsidRDefault="00386058" w:rsidP="00386058">
            <w:pPr>
              <w:pStyle w:val="AralkYok"/>
              <w:jc w:val="center"/>
            </w:pPr>
          </w:p>
        </w:tc>
        <w:tc>
          <w:tcPr>
            <w:tcW w:w="1975" w:type="dxa"/>
            <w:tcBorders>
              <w:top w:val="nil"/>
              <w:bottom w:val="single" w:sz="4" w:space="0" w:color="auto"/>
            </w:tcBorders>
            <w:shd w:val="clear" w:color="auto" w:fill="auto"/>
            <w:vAlign w:val="center"/>
          </w:tcPr>
          <w:p w14:paraId="26DE1912" w14:textId="77777777" w:rsidR="00386058" w:rsidRPr="003D316C" w:rsidRDefault="00386058" w:rsidP="00386058">
            <w:pPr>
              <w:pStyle w:val="AralkYok"/>
              <w:jc w:val="center"/>
            </w:pPr>
          </w:p>
        </w:tc>
        <w:tc>
          <w:tcPr>
            <w:tcW w:w="1276" w:type="dxa"/>
            <w:tcBorders>
              <w:bottom w:val="single" w:sz="4" w:space="0" w:color="auto"/>
            </w:tcBorders>
            <w:shd w:val="clear" w:color="auto" w:fill="auto"/>
            <w:vAlign w:val="center"/>
          </w:tcPr>
          <w:p w14:paraId="31747CAA" w14:textId="664273F1" w:rsidR="00386058" w:rsidRPr="003D316C" w:rsidRDefault="00386058" w:rsidP="00386058">
            <w:pPr>
              <w:pStyle w:val="AralkYok"/>
              <w:jc w:val="center"/>
              <w:rPr>
                <w:bCs/>
              </w:rPr>
            </w:pPr>
            <w:r w:rsidRPr="003D316C">
              <w:rPr>
                <w:bCs/>
              </w:rPr>
              <w:t>N</w:t>
            </w:r>
          </w:p>
        </w:tc>
        <w:tc>
          <w:tcPr>
            <w:tcW w:w="1134" w:type="dxa"/>
            <w:tcBorders>
              <w:bottom w:val="single" w:sz="4" w:space="0" w:color="auto"/>
            </w:tcBorders>
            <w:shd w:val="clear" w:color="auto" w:fill="auto"/>
            <w:vAlign w:val="center"/>
          </w:tcPr>
          <w:p w14:paraId="5CDF5747" w14:textId="1E66D060" w:rsidR="00386058" w:rsidRPr="003D316C" w:rsidRDefault="00386058" w:rsidP="00386058">
            <w:pPr>
              <w:pStyle w:val="AralkYok"/>
              <w:jc w:val="center"/>
              <w:rPr>
                <w:bCs/>
              </w:rPr>
            </w:pPr>
            <w:r w:rsidRPr="003D316C">
              <w:rPr>
                <w:bCs/>
              </w:rPr>
              <w:t>%</w:t>
            </w:r>
          </w:p>
        </w:tc>
        <w:tc>
          <w:tcPr>
            <w:tcW w:w="1134" w:type="dxa"/>
            <w:tcBorders>
              <w:bottom w:val="single" w:sz="4" w:space="0" w:color="auto"/>
            </w:tcBorders>
            <w:vAlign w:val="center"/>
          </w:tcPr>
          <w:p w14:paraId="7F24309B" w14:textId="1ABFBB04" w:rsidR="00386058" w:rsidRPr="003D316C" w:rsidRDefault="00386058" w:rsidP="00386058">
            <w:pPr>
              <w:pStyle w:val="AralkYok"/>
              <w:jc w:val="center"/>
              <w:rPr>
                <w:bCs/>
              </w:rPr>
            </w:pPr>
            <w:r w:rsidRPr="003D316C">
              <w:rPr>
                <w:bCs/>
              </w:rPr>
              <w:t>N</w:t>
            </w:r>
          </w:p>
        </w:tc>
        <w:tc>
          <w:tcPr>
            <w:tcW w:w="1134" w:type="dxa"/>
            <w:tcBorders>
              <w:bottom w:val="single" w:sz="4" w:space="0" w:color="auto"/>
              <w:right w:val="nil"/>
            </w:tcBorders>
            <w:vAlign w:val="center"/>
          </w:tcPr>
          <w:p w14:paraId="2A69A724" w14:textId="48763FC0" w:rsidR="00386058" w:rsidRPr="003D316C" w:rsidRDefault="00386058" w:rsidP="00386058">
            <w:pPr>
              <w:pStyle w:val="AralkYok"/>
              <w:jc w:val="center"/>
              <w:rPr>
                <w:bCs/>
              </w:rPr>
            </w:pPr>
            <w:r w:rsidRPr="003D316C">
              <w:rPr>
                <w:bCs/>
              </w:rPr>
              <w:t>%</w:t>
            </w:r>
          </w:p>
        </w:tc>
      </w:tr>
      <w:tr w:rsidR="00386058" w:rsidRPr="003D316C" w14:paraId="22F9E7A6" w14:textId="77777777" w:rsidTr="002F0AB3">
        <w:tc>
          <w:tcPr>
            <w:tcW w:w="2273" w:type="dxa"/>
            <w:vMerge w:val="restart"/>
            <w:tcBorders>
              <w:left w:val="nil"/>
            </w:tcBorders>
            <w:shd w:val="clear" w:color="auto" w:fill="auto"/>
            <w:vAlign w:val="center"/>
          </w:tcPr>
          <w:p w14:paraId="0A104765" w14:textId="77777777" w:rsidR="00386058" w:rsidRPr="003D316C" w:rsidRDefault="00386058" w:rsidP="00386058">
            <w:pPr>
              <w:pStyle w:val="AralkYok"/>
              <w:rPr>
                <w:bCs/>
              </w:rPr>
            </w:pPr>
            <w:r w:rsidRPr="003D316C">
              <w:rPr>
                <w:bCs/>
              </w:rPr>
              <w:t>Cinsiyet</w:t>
            </w:r>
          </w:p>
        </w:tc>
        <w:tc>
          <w:tcPr>
            <w:tcW w:w="1975" w:type="dxa"/>
            <w:tcBorders>
              <w:bottom w:val="nil"/>
            </w:tcBorders>
            <w:shd w:val="clear" w:color="auto" w:fill="auto"/>
          </w:tcPr>
          <w:p w14:paraId="2D8FA2D1" w14:textId="77777777" w:rsidR="00386058" w:rsidRPr="003D316C" w:rsidRDefault="00386058" w:rsidP="00386058">
            <w:pPr>
              <w:pStyle w:val="AralkYok"/>
            </w:pPr>
            <w:r w:rsidRPr="003D316C">
              <w:t>Kız</w:t>
            </w:r>
          </w:p>
        </w:tc>
        <w:tc>
          <w:tcPr>
            <w:tcW w:w="1276" w:type="dxa"/>
            <w:tcBorders>
              <w:bottom w:val="nil"/>
            </w:tcBorders>
            <w:shd w:val="clear" w:color="auto" w:fill="auto"/>
          </w:tcPr>
          <w:p w14:paraId="7A65FD72" w14:textId="6954B4F6" w:rsidR="00386058" w:rsidRPr="003D316C" w:rsidRDefault="00386058" w:rsidP="00386058">
            <w:pPr>
              <w:pStyle w:val="AralkYok"/>
              <w:jc w:val="center"/>
            </w:pPr>
            <w:r w:rsidRPr="003D316C">
              <w:t>108</w:t>
            </w:r>
          </w:p>
        </w:tc>
        <w:tc>
          <w:tcPr>
            <w:tcW w:w="1134" w:type="dxa"/>
            <w:tcBorders>
              <w:bottom w:val="nil"/>
            </w:tcBorders>
            <w:shd w:val="clear" w:color="auto" w:fill="auto"/>
          </w:tcPr>
          <w:p w14:paraId="35B8F03B" w14:textId="71AF2325" w:rsidR="00386058" w:rsidRPr="003D316C" w:rsidRDefault="00386058" w:rsidP="00386058">
            <w:pPr>
              <w:pStyle w:val="AralkYok"/>
              <w:jc w:val="center"/>
            </w:pPr>
            <w:r w:rsidRPr="003D316C">
              <w:t>56</w:t>
            </w:r>
          </w:p>
        </w:tc>
        <w:tc>
          <w:tcPr>
            <w:tcW w:w="1134" w:type="dxa"/>
            <w:tcBorders>
              <w:bottom w:val="nil"/>
            </w:tcBorders>
          </w:tcPr>
          <w:p w14:paraId="12E4DDFB" w14:textId="7B788489" w:rsidR="00386058" w:rsidRPr="003D316C" w:rsidRDefault="00386058" w:rsidP="00386058">
            <w:pPr>
              <w:pStyle w:val="AralkYok"/>
              <w:jc w:val="center"/>
            </w:pPr>
            <w:r w:rsidRPr="003D316C">
              <w:t>69</w:t>
            </w:r>
          </w:p>
        </w:tc>
        <w:tc>
          <w:tcPr>
            <w:tcW w:w="1134" w:type="dxa"/>
            <w:tcBorders>
              <w:bottom w:val="nil"/>
              <w:right w:val="nil"/>
            </w:tcBorders>
          </w:tcPr>
          <w:p w14:paraId="712491CA" w14:textId="5981692A" w:rsidR="00386058" w:rsidRPr="003D316C" w:rsidRDefault="00386058" w:rsidP="00386058">
            <w:pPr>
              <w:pStyle w:val="AralkYok"/>
              <w:jc w:val="center"/>
            </w:pPr>
            <w:r w:rsidRPr="003D316C">
              <w:t>39.7</w:t>
            </w:r>
          </w:p>
        </w:tc>
      </w:tr>
      <w:tr w:rsidR="00386058" w:rsidRPr="003D316C" w14:paraId="57717F18" w14:textId="77777777" w:rsidTr="002F0AB3">
        <w:tc>
          <w:tcPr>
            <w:tcW w:w="2273" w:type="dxa"/>
            <w:vMerge/>
            <w:tcBorders>
              <w:left w:val="nil"/>
            </w:tcBorders>
            <w:shd w:val="clear" w:color="auto" w:fill="auto"/>
            <w:vAlign w:val="center"/>
          </w:tcPr>
          <w:p w14:paraId="6838891E" w14:textId="77777777" w:rsidR="00386058" w:rsidRPr="003D316C" w:rsidRDefault="00386058" w:rsidP="00386058">
            <w:pPr>
              <w:pStyle w:val="AralkYok"/>
              <w:rPr>
                <w:bCs/>
              </w:rPr>
            </w:pPr>
          </w:p>
        </w:tc>
        <w:tc>
          <w:tcPr>
            <w:tcW w:w="1975" w:type="dxa"/>
            <w:tcBorders>
              <w:top w:val="nil"/>
            </w:tcBorders>
            <w:shd w:val="clear" w:color="auto" w:fill="auto"/>
          </w:tcPr>
          <w:p w14:paraId="5BF13E7B" w14:textId="77777777" w:rsidR="00386058" w:rsidRPr="003D316C" w:rsidRDefault="00386058" w:rsidP="00386058">
            <w:pPr>
              <w:pStyle w:val="AralkYok"/>
            </w:pPr>
            <w:r w:rsidRPr="003D316C">
              <w:t>Erkek</w:t>
            </w:r>
          </w:p>
        </w:tc>
        <w:tc>
          <w:tcPr>
            <w:tcW w:w="1276" w:type="dxa"/>
            <w:tcBorders>
              <w:top w:val="nil"/>
            </w:tcBorders>
            <w:shd w:val="clear" w:color="auto" w:fill="auto"/>
          </w:tcPr>
          <w:p w14:paraId="50F6D4D1" w14:textId="66E44437" w:rsidR="00386058" w:rsidRPr="003D316C" w:rsidRDefault="00386058" w:rsidP="00386058">
            <w:pPr>
              <w:pStyle w:val="AralkYok"/>
              <w:jc w:val="center"/>
            </w:pPr>
            <w:r w:rsidRPr="003D316C">
              <w:t>85</w:t>
            </w:r>
          </w:p>
        </w:tc>
        <w:tc>
          <w:tcPr>
            <w:tcW w:w="1134" w:type="dxa"/>
            <w:tcBorders>
              <w:top w:val="nil"/>
            </w:tcBorders>
            <w:shd w:val="clear" w:color="auto" w:fill="auto"/>
          </w:tcPr>
          <w:p w14:paraId="284F317D" w14:textId="5E19E2E5" w:rsidR="00386058" w:rsidRPr="003D316C" w:rsidRDefault="00386058" w:rsidP="00386058">
            <w:pPr>
              <w:pStyle w:val="AralkYok"/>
              <w:jc w:val="center"/>
            </w:pPr>
            <w:r w:rsidRPr="003D316C">
              <w:t>44</w:t>
            </w:r>
          </w:p>
        </w:tc>
        <w:tc>
          <w:tcPr>
            <w:tcW w:w="1134" w:type="dxa"/>
            <w:tcBorders>
              <w:top w:val="nil"/>
            </w:tcBorders>
          </w:tcPr>
          <w:p w14:paraId="012A60E8" w14:textId="54AC5197" w:rsidR="00386058" w:rsidRPr="003D316C" w:rsidRDefault="00386058" w:rsidP="00386058">
            <w:pPr>
              <w:pStyle w:val="AralkYok"/>
              <w:jc w:val="center"/>
            </w:pPr>
            <w:r w:rsidRPr="003D316C">
              <w:t>105</w:t>
            </w:r>
          </w:p>
        </w:tc>
        <w:tc>
          <w:tcPr>
            <w:tcW w:w="1134" w:type="dxa"/>
            <w:tcBorders>
              <w:top w:val="nil"/>
              <w:right w:val="nil"/>
            </w:tcBorders>
          </w:tcPr>
          <w:p w14:paraId="51D44540" w14:textId="71C2E5D2" w:rsidR="00386058" w:rsidRPr="003D316C" w:rsidRDefault="00386058" w:rsidP="00386058">
            <w:pPr>
              <w:pStyle w:val="AralkYok"/>
              <w:jc w:val="center"/>
            </w:pPr>
            <w:r w:rsidRPr="003D316C">
              <w:t>60.3</w:t>
            </w:r>
          </w:p>
        </w:tc>
      </w:tr>
      <w:tr w:rsidR="00386058" w:rsidRPr="003D316C" w14:paraId="1CD8C501" w14:textId="77777777" w:rsidTr="002F0AB3">
        <w:tc>
          <w:tcPr>
            <w:tcW w:w="2273" w:type="dxa"/>
            <w:vMerge w:val="restart"/>
            <w:tcBorders>
              <w:left w:val="nil"/>
            </w:tcBorders>
            <w:shd w:val="clear" w:color="auto" w:fill="auto"/>
            <w:vAlign w:val="center"/>
          </w:tcPr>
          <w:p w14:paraId="38258EAA" w14:textId="77777777" w:rsidR="00386058" w:rsidRPr="003D316C" w:rsidRDefault="00386058" w:rsidP="00386058">
            <w:pPr>
              <w:pStyle w:val="AralkYok"/>
              <w:rPr>
                <w:bCs/>
              </w:rPr>
            </w:pPr>
            <w:r w:rsidRPr="003D316C">
              <w:rPr>
                <w:bCs/>
              </w:rPr>
              <w:t>Programlama Deneyimi</w:t>
            </w:r>
          </w:p>
        </w:tc>
        <w:tc>
          <w:tcPr>
            <w:tcW w:w="1975" w:type="dxa"/>
            <w:tcBorders>
              <w:bottom w:val="nil"/>
            </w:tcBorders>
            <w:shd w:val="clear" w:color="auto" w:fill="auto"/>
          </w:tcPr>
          <w:p w14:paraId="13DEEC86" w14:textId="77777777" w:rsidR="00386058" w:rsidRPr="003D316C" w:rsidRDefault="00386058" w:rsidP="00386058">
            <w:pPr>
              <w:pStyle w:val="AralkYok"/>
            </w:pPr>
            <w:r w:rsidRPr="003D316C">
              <w:t>1 yıl ve daha az</w:t>
            </w:r>
          </w:p>
        </w:tc>
        <w:tc>
          <w:tcPr>
            <w:tcW w:w="1276" w:type="dxa"/>
            <w:tcBorders>
              <w:bottom w:val="nil"/>
            </w:tcBorders>
            <w:shd w:val="clear" w:color="auto" w:fill="auto"/>
          </w:tcPr>
          <w:p w14:paraId="6A247F35" w14:textId="22226121" w:rsidR="00386058" w:rsidRPr="003D316C" w:rsidRDefault="00386058" w:rsidP="00386058">
            <w:pPr>
              <w:pStyle w:val="AralkYok"/>
              <w:jc w:val="center"/>
            </w:pPr>
            <w:r w:rsidRPr="003D316C">
              <w:t>91</w:t>
            </w:r>
          </w:p>
        </w:tc>
        <w:tc>
          <w:tcPr>
            <w:tcW w:w="1134" w:type="dxa"/>
            <w:tcBorders>
              <w:bottom w:val="nil"/>
            </w:tcBorders>
            <w:shd w:val="clear" w:color="auto" w:fill="auto"/>
          </w:tcPr>
          <w:p w14:paraId="15310CBE" w14:textId="1BF50515" w:rsidR="00386058" w:rsidRPr="003D316C" w:rsidRDefault="00386058" w:rsidP="00386058">
            <w:pPr>
              <w:pStyle w:val="AralkYok"/>
              <w:jc w:val="center"/>
            </w:pPr>
            <w:r w:rsidRPr="003D316C">
              <w:t>45.15</w:t>
            </w:r>
          </w:p>
        </w:tc>
        <w:tc>
          <w:tcPr>
            <w:tcW w:w="1134" w:type="dxa"/>
            <w:tcBorders>
              <w:bottom w:val="nil"/>
            </w:tcBorders>
          </w:tcPr>
          <w:p w14:paraId="15C28B80" w14:textId="5CF78C91" w:rsidR="00386058" w:rsidRPr="003D316C" w:rsidRDefault="00386058" w:rsidP="00386058">
            <w:pPr>
              <w:pStyle w:val="AralkYok"/>
              <w:jc w:val="center"/>
            </w:pPr>
            <w:r w:rsidRPr="003D316C">
              <w:t>81</w:t>
            </w:r>
          </w:p>
        </w:tc>
        <w:tc>
          <w:tcPr>
            <w:tcW w:w="1134" w:type="dxa"/>
            <w:tcBorders>
              <w:bottom w:val="nil"/>
              <w:right w:val="nil"/>
            </w:tcBorders>
          </w:tcPr>
          <w:p w14:paraId="636E62FF" w14:textId="1FD88A71" w:rsidR="00386058" w:rsidRPr="003D316C" w:rsidRDefault="00386058" w:rsidP="00386058">
            <w:pPr>
              <w:pStyle w:val="AralkYok"/>
              <w:jc w:val="center"/>
            </w:pPr>
            <w:r w:rsidRPr="003D316C">
              <w:t>46.6</w:t>
            </w:r>
          </w:p>
        </w:tc>
      </w:tr>
      <w:tr w:rsidR="00386058" w:rsidRPr="003D316C" w14:paraId="656FF620" w14:textId="77777777" w:rsidTr="002F0AB3">
        <w:tc>
          <w:tcPr>
            <w:tcW w:w="2273" w:type="dxa"/>
            <w:vMerge/>
            <w:tcBorders>
              <w:left w:val="nil"/>
            </w:tcBorders>
            <w:shd w:val="clear" w:color="auto" w:fill="auto"/>
          </w:tcPr>
          <w:p w14:paraId="430A6E36" w14:textId="77777777" w:rsidR="00386058" w:rsidRPr="003D316C" w:rsidRDefault="00386058" w:rsidP="00386058">
            <w:pPr>
              <w:pStyle w:val="AralkYok"/>
            </w:pPr>
          </w:p>
        </w:tc>
        <w:tc>
          <w:tcPr>
            <w:tcW w:w="1975" w:type="dxa"/>
            <w:tcBorders>
              <w:top w:val="nil"/>
              <w:bottom w:val="nil"/>
            </w:tcBorders>
            <w:shd w:val="clear" w:color="auto" w:fill="auto"/>
          </w:tcPr>
          <w:p w14:paraId="0232E5F6" w14:textId="77777777" w:rsidR="00386058" w:rsidRPr="003D316C" w:rsidRDefault="00386058" w:rsidP="00386058">
            <w:pPr>
              <w:pStyle w:val="AralkYok"/>
            </w:pPr>
            <w:r w:rsidRPr="003D316C">
              <w:t>1-3 yıl arası</w:t>
            </w:r>
          </w:p>
        </w:tc>
        <w:tc>
          <w:tcPr>
            <w:tcW w:w="1276" w:type="dxa"/>
            <w:tcBorders>
              <w:top w:val="nil"/>
              <w:bottom w:val="nil"/>
            </w:tcBorders>
            <w:shd w:val="clear" w:color="auto" w:fill="auto"/>
          </w:tcPr>
          <w:p w14:paraId="75ACC7C2" w14:textId="21D0C528" w:rsidR="00386058" w:rsidRPr="003D316C" w:rsidRDefault="00386058" w:rsidP="00386058">
            <w:pPr>
              <w:pStyle w:val="AralkYok"/>
              <w:jc w:val="center"/>
            </w:pPr>
            <w:r w:rsidRPr="003D316C">
              <w:t>90</w:t>
            </w:r>
          </w:p>
        </w:tc>
        <w:tc>
          <w:tcPr>
            <w:tcW w:w="1134" w:type="dxa"/>
            <w:tcBorders>
              <w:top w:val="nil"/>
              <w:bottom w:val="nil"/>
            </w:tcBorders>
            <w:shd w:val="clear" w:color="auto" w:fill="auto"/>
          </w:tcPr>
          <w:p w14:paraId="007862EE" w14:textId="612850CB" w:rsidR="00386058" w:rsidRPr="003D316C" w:rsidRDefault="00386058" w:rsidP="00386058">
            <w:pPr>
              <w:pStyle w:val="AralkYok"/>
              <w:jc w:val="center"/>
            </w:pPr>
            <w:r w:rsidRPr="003D316C">
              <w:t>46.63</w:t>
            </w:r>
          </w:p>
        </w:tc>
        <w:tc>
          <w:tcPr>
            <w:tcW w:w="1134" w:type="dxa"/>
            <w:tcBorders>
              <w:top w:val="nil"/>
              <w:bottom w:val="nil"/>
            </w:tcBorders>
          </w:tcPr>
          <w:p w14:paraId="2577FBD6" w14:textId="5143DCE1" w:rsidR="00386058" w:rsidRPr="003D316C" w:rsidRDefault="00386058" w:rsidP="00386058">
            <w:pPr>
              <w:pStyle w:val="AralkYok"/>
              <w:jc w:val="center"/>
            </w:pPr>
            <w:r w:rsidRPr="003D316C">
              <w:t>36</w:t>
            </w:r>
          </w:p>
        </w:tc>
        <w:tc>
          <w:tcPr>
            <w:tcW w:w="1134" w:type="dxa"/>
            <w:tcBorders>
              <w:top w:val="nil"/>
              <w:bottom w:val="nil"/>
              <w:right w:val="nil"/>
            </w:tcBorders>
          </w:tcPr>
          <w:p w14:paraId="0704FD24" w14:textId="337D76AF" w:rsidR="00386058" w:rsidRPr="003D316C" w:rsidRDefault="00386058" w:rsidP="00386058">
            <w:pPr>
              <w:pStyle w:val="AralkYok"/>
              <w:jc w:val="center"/>
            </w:pPr>
            <w:r w:rsidRPr="003D316C">
              <w:t>20.7</w:t>
            </w:r>
          </w:p>
        </w:tc>
      </w:tr>
      <w:tr w:rsidR="00386058" w:rsidRPr="003D316C" w14:paraId="26917BD4" w14:textId="77777777" w:rsidTr="002F0AB3">
        <w:tc>
          <w:tcPr>
            <w:tcW w:w="2273" w:type="dxa"/>
            <w:vMerge/>
            <w:tcBorders>
              <w:left w:val="nil"/>
            </w:tcBorders>
            <w:shd w:val="clear" w:color="auto" w:fill="auto"/>
          </w:tcPr>
          <w:p w14:paraId="134219FC" w14:textId="77777777" w:rsidR="00386058" w:rsidRPr="003D316C" w:rsidRDefault="00386058" w:rsidP="00386058">
            <w:pPr>
              <w:pStyle w:val="AralkYok"/>
            </w:pPr>
          </w:p>
        </w:tc>
        <w:tc>
          <w:tcPr>
            <w:tcW w:w="1975" w:type="dxa"/>
            <w:tcBorders>
              <w:top w:val="nil"/>
              <w:bottom w:val="nil"/>
            </w:tcBorders>
            <w:shd w:val="clear" w:color="auto" w:fill="auto"/>
          </w:tcPr>
          <w:p w14:paraId="69EB8700" w14:textId="77777777" w:rsidR="00386058" w:rsidRPr="003D316C" w:rsidRDefault="00386058" w:rsidP="00386058">
            <w:pPr>
              <w:pStyle w:val="AralkYok"/>
            </w:pPr>
            <w:r w:rsidRPr="003D316C">
              <w:t>3-5 yıl arası</w:t>
            </w:r>
          </w:p>
        </w:tc>
        <w:tc>
          <w:tcPr>
            <w:tcW w:w="1276" w:type="dxa"/>
            <w:tcBorders>
              <w:top w:val="nil"/>
              <w:bottom w:val="nil"/>
            </w:tcBorders>
            <w:shd w:val="clear" w:color="auto" w:fill="auto"/>
          </w:tcPr>
          <w:p w14:paraId="0BA6FC85" w14:textId="62B05D9A" w:rsidR="00386058" w:rsidRPr="003D316C" w:rsidRDefault="00386058" w:rsidP="00386058">
            <w:pPr>
              <w:pStyle w:val="AralkYok"/>
              <w:jc w:val="center"/>
            </w:pPr>
            <w:r w:rsidRPr="003D316C">
              <w:t>9</w:t>
            </w:r>
          </w:p>
        </w:tc>
        <w:tc>
          <w:tcPr>
            <w:tcW w:w="1134" w:type="dxa"/>
            <w:tcBorders>
              <w:top w:val="nil"/>
              <w:bottom w:val="nil"/>
            </w:tcBorders>
            <w:shd w:val="clear" w:color="auto" w:fill="auto"/>
          </w:tcPr>
          <w:p w14:paraId="203234EA" w14:textId="2303BF54" w:rsidR="00386058" w:rsidRPr="003D316C" w:rsidRDefault="00386058" w:rsidP="00386058">
            <w:pPr>
              <w:pStyle w:val="AralkYok"/>
              <w:jc w:val="center"/>
            </w:pPr>
            <w:r w:rsidRPr="003D316C">
              <w:t>4.66</w:t>
            </w:r>
          </w:p>
        </w:tc>
        <w:tc>
          <w:tcPr>
            <w:tcW w:w="1134" w:type="dxa"/>
            <w:tcBorders>
              <w:top w:val="nil"/>
              <w:bottom w:val="nil"/>
            </w:tcBorders>
          </w:tcPr>
          <w:p w14:paraId="4124AA22" w14:textId="6F3EF455" w:rsidR="00386058" w:rsidRPr="003D316C" w:rsidRDefault="00386058" w:rsidP="00386058">
            <w:pPr>
              <w:pStyle w:val="AralkYok"/>
              <w:jc w:val="center"/>
            </w:pPr>
            <w:r w:rsidRPr="003D316C">
              <w:t>40</w:t>
            </w:r>
          </w:p>
        </w:tc>
        <w:tc>
          <w:tcPr>
            <w:tcW w:w="1134" w:type="dxa"/>
            <w:tcBorders>
              <w:top w:val="nil"/>
              <w:bottom w:val="nil"/>
              <w:right w:val="nil"/>
            </w:tcBorders>
          </w:tcPr>
          <w:p w14:paraId="369FABE0" w14:textId="5D305C22" w:rsidR="00386058" w:rsidRPr="003D316C" w:rsidRDefault="00386058" w:rsidP="00386058">
            <w:pPr>
              <w:pStyle w:val="AralkYok"/>
              <w:jc w:val="center"/>
            </w:pPr>
            <w:r w:rsidRPr="003D316C">
              <w:t>23</w:t>
            </w:r>
          </w:p>
        </w:tc>
      </w:tr>
      <w:tr w:rsidR="00386058" w:rsidRPr="003D316C" w14:paraId="0C45CBAF" w14:textId="77777777" w:rsidTr="002F0AB3">
        <w:tc>
          <w:tcPr>
            <w:tcW w:w="2273" w:type="dxa"/>
            <w:vMerge/>
            <w:tcBorders>
              <w:left w:val="nil"/>
            </w:tcBorders>
            <w:shd w:val="clear" w:color="auto" w:fill="auto"/>
          </w:tcPr>
          <w:p w14:paraId="36484A7C" w14:textId="77777777" w:rsidR="00386058" w:rsidRPr="003D316C" w:rsidRDefault="00386058" w:rsidP="00386058">
            <w:pPr>
              <w:pStyle w:val="AralkYok"/>
            </w:pPr>
          </w:p>
        </w:tc>
        <w:tc>
          <w:tcPr>
            <w:tcW w:w="1975" w:type="dxa"/>
            <w:tcBorders>
              <w:top w:val="nil"/>
              <w:bottom w:val="nil"/>
            </w:tcBorders>
            <w:shd w:val="clear" w:color="auto" w:fill="auto"/>
          </w:tcPr>
          <w:p w14:paraId="0E5E420E" w14:textId="77777777" w:rsidR="00386058" w:rsidRPr="003D316C" w:rsidRDefault="00386058" w:rsidP="00386058">
            <w:pPr>
              <w:pStyle w:val="AralkYok"/>
            </w:pPr>
            <w:r w:rsidRPr="003D316C">
              <w:t>5-7 yıl arası</w:t>
            </w:r>
          </w:p>
        </w:tc>
        <w:tc>
          <w:tcPr>
            <w:tcW w:w="1276" w:type="dxa"/>
            <w:tcBorders>
              <w:top w:val="nil"/>
              <w:bottom w:val="nil"/>
            </w:tcBorders>
            <w:shd w:val="clear" w:color="auto" w:fill="auto"/>
          </w:tcPr>
          <w:p w14:paraId="5118BFBE" w14:textId="61CFBFF2" w:rsidR="00386058" w:rsidRPr="003D316C" w:rsidRDefault="00386058" w:rsidP="00386058">
            <w:pPr>
              <w:pStyle w:val="AralkYok"/>
              <w:jc w:val="center"/>
            </w:pPr>
            <w:r w:rsidRPr="003D316C">
              <w:t>2</w:t>
            </w:r>
          </w:p>
        </w:tc>
        <w:tc>
          <w:tcPr>
            <w:tcW w:w="1134" w:type="dxa"/>
            <w:tcBorders>
              <w:top w:val="nil"/>
              <w:bottom w:val="nil"/>
            </w:tcBorders>
            <w:shd w:val="clear" w:color="auto" w:fill="auto"/>
          </w:tcPr>
          <w:p w14:paraId="3D80BFC1" w14:textId="7A039D39" w:rsidR="00386058" w:rsidRPr="003D316C" w:rsidRDefault="00386058" w:rsidP="00386058">
            <w:pPr>
              <w:pStyle w:val="AralkYok"/>
              <w:jc w:val="center"/>
            </w:pPr>
            <w:r w:rsidRPr="003D316C">
              <w:t>1.04</w:t>
            </w:r>
          </w:p>
        </w:tc>
        <w:tc>
          <w:tcPr>
            <w:tcW w:w="1134" w:type="dxa"/>
            <w:tcBorders>
              <w:top w:val="nil"/>
              <w:bottom w:val="nil"/>
            </w:tcBorders>
          </w:tcPr>
          <w:p w14:paraId="0F491FE4" w14:textId="234B7CEA" w:rsidR="00386058" w:rsidRPr="003D316C" w:rsidRDefault="00386058" w:rsidP="00386058">
            <w:pPr>
              <w:pStyle w:val="AralkYok"/>
              <w:jc w:val="center"/>
            </w:pPr>
            <w:r w:rsidRPr="003D316C">
              <w:t>13</w:t>
            </w:r>
          </w:p>
        </w:tc>
        <w:tc>
          <w:tcPr>
            <w:tcW w:w="1134" w:type="dxa"/>
            <w:tcBorders>
              <w:top w:val="nil"/>
              <w:bottom w:val="nil"/>
              <w:right w:val="nil"/>
            </w:tcBorders>
          </w:tcPr>
          <w:p w14:paraId="035919F7" w14:textId="2203DA73" w:rsidR="00386058" w:rsidRPr="003D316C" w:rsidRDefault="00386058" w:rsidP="00386058">
            <w:pPr>
              <w:pStyle w:val="AralkYok"/>
              <w:jc w:val="center"/>
            </w:pPr>
            <w:r w:rsidRPr="003D316C">
              <w:t>7.5</w:t>
            </w:r>
          </w:p>
        </w:tc>
      </w:tr>
      <w:tr w:rsidR="00386058" w:rsidRPr="003D316C" w14:paraId="7D023D07" w14:textId="77777777" w:rsidTr="002F0AB3">
        <w:tc>
          <w:tcPr>
            <w:tcW w:w="2273" w:type="dxa"/>
            <w:vMerge/>
            <w:tcBorders>
              <w:left w:val="nil"/>
            </w:tcBorders>
            <w:shd w:val="clear" w:color="auto" w:fill="auto"/>
          </w:tcPr>
          <w:p w14:paraId="6CA3BFD4" w14:textId="77777777" w:rsidR="00386058" w:rsidRPr="003D316C" w:rsidRDefault="00386058" w:rsidP="00386058">
            <w:pPr>
              <w:pStyle w:val="AralkYok"/>
            </w:pPr>
          </w:p>
        </w:tc>
        <w:tc>
          <w:tcPr>
            <w:tcW w:w="1975" w:type="dxa"/>
            <w:tcBorders>
              <w:top w:val="nil"/>
            </w:tcBorders>
            <w:shd w:val="clear" w:color="auto" w:fill="auto"/>
          </w:tcPr>
          <w:p w14:paraId="61031E40" w14:textId="77777777" w:rsidR="00386058" w:rsidRPr="003D316C" w:rsidRDefault="00386058" w:rsidP="00386058">
            <w:pPr>
              <w:pStyle w:val="AralkYok"/>
            </w:pPr>
            <w:r w:rsidRPr="003D316C">
              <w:t>7 yıl ve üzeri</w:t>
            </w:r>
          </w:p>
        </w:tc>
        <w:tc>
          <w:tcPr>
            <w:tcW w:w="1276" w:type="dxa"/>
            <w:tcBorders>
              <w:top w:val="nil"/>
            </w:tcBorders>
            <w:shd w:val="clear" w:color="auto" w:fill="auto"/>
          </w:tcPr>
          <w:p w14:paraId="4FAC6F5D" w14:textId="77B38CA3" w:rsidR="00386058" w:rsidRPr="003D316C" w:rsidRDefault="00386058" w:rsidP="00386058">
            <w:pPr>
              <w:pStyle w:val="AralkYok"/>
              <w:jc w:val="center"/>
            </w:pPr>
            <w:r w:rsidRPr="003D316C">
              <w:t>1</w:t>
            </w:r>
          </w:p>
        </w:tc>
        <w:tc>
          <w:tcPr>
            <w:tcW w:w="1134" w:type="dxa"/>
            <w:tcBorders>
              <w:top w:val="nil"/>
            </w:tcBorders>
            <w:shd w:val="clear" w:color="auto" w:fill="auto"/>
          </w:tcPr>
          <w:p w14:paraId="25393521" w14:textId="3E275003" w:rsidR="00386058" w:rsidRPr="003D316C" w:rsidRDefault="00386058" w:rsidP="00386058">
            <w:pPr>
              <w:pStyle w:val="AralkYok"/>
              <w:jc w:val="center"/>
            </w:pPr>
            <w:r w:rsidRPr="003D316C">
              <w:t>0.52</w:t>
            </w:r>
          </w:p>
        </w:tc>
        <w:tc>
          <w:tcPr>
            <w:tcW w:w="1134" w:type="dxa"/>
            <w:tcBorders>
              <w:top w:val="nil"/>
            </w:tcBorders>
          </w:tcPr>
          <w:p w14:paraId="1EB7ED82" w14:textId="08E04586" w:rsidR="00386058" w:rsidRPr="003D316C" w:rsidRDefault="00386058" w:rsidP="00386058">
            <w:pPr>
              <w:pStyle w:val="AralkYok"/>
              <w:jc w:val="center"/>
            </w:pPr>
            <w:r w:rsidRPr="003D316C">
              <w:t>4</w:t>
            </w:r>
          </w:p>
        </w:tc>
        <w:tc>
          <w:tcPr>
            <w:tcW w:w="1134" w:type="dxa"/>
            <w:tcBorders>
              <w:top w:val="nil"/>
              <w:right w:val="nil"/>
            </w:tcBorders>
          </w:tcPr>
          <w:p w14:paraId="111F68C0" w14:textId="1ED7CDB2" w:rsidR="00386058" w:rsidRPr="003D316C" w:rsidRDefault="00386058" w:rsidP="00386058">
            <w:pPr>
              <w:pStyle w:val="AralkYok"/>
              <w:jc w:val="center"/>
            </w:pPr>
            <w:r w:rsidRPr="003D316C">
              <w:t>2.3</w:t>
            </w:r>
          </w:p>
        </w:tc>
      </w:tr>
    </w:tbl>
    <w:p w14:paraId="67B01C39" w14:textId="77777777" w:rsidR="006741E5" w:rsidRPr="003D316C" w:rsidRDefault="006741E5" w:rsidP="00D26DE0">
      <w:pPr>
        <w:ind w:firstLine="0"/>
      </w:pPr>
    </w:p>
    <w:p w14:paraId="644A834A" w14:textId="77777777" w:rsidR="00C35E37" w:rsidRPr="003D316C" w:rsidRDefault="00C35E37" w:rsidP="00C35E37">
      <w:pPr>
        <w:pStyle w:val="Balk2"/>
      </w:pPr>
      <w:r w:rsidRPr="003D316C">
        <w:t>Veri Toplama Aracı</w:t>
      </w:r>
    </w:p>
    <w:p w14:paraId="199B8C85" w14:textId="6F34C4FF" w:rsidR="00C35E37" w:rsidRPr="003D316C" w:rsidRDefault="00C35E37" w:rsidP="00C35E37">
      <w:r w:rsidRPr="003D316C">
        <w:t xml:space="preserve">Araştırmada veri toplama aracı olarak </w:t>
      </w:r>
      <w:proofErr w:type="spellStart"/>
      <w:r w:rsidRPr="003D316C">
        <w:t>Tsai</w:t>
      </w:r>
      <w:proofErr w:type="spellEnd"/>
      <w:r w:rsidRPr="003D316C">
        <w:t xml:space="preserve"> ve diğerleri (2019) tarafından lise ve üniversite düzeyinde öğrenim gören öğrencilerin programlama öğrenimine yönelik algılarını ortaya koymak amacıyla geliştirilen ve Gökoğlu (</w:t>
      </w:r>
      <w:r w:rsidR="00B0085C" w:rsidRPr="003D316C">
        <w:t>Baskıda</w:t>
      </w:r>
      <w:r w:rsidRPr="003D316C">
        <w:t xml:space="preserve">) tarafından </w:t>
      </w:r>
      <w:proofErr w:type="spellStart"/>
      <w:r w:rsidRPr="003D316C">
        <w:t>Türkçe’ye</w:t>
      </w:r>
      <w:proofErr w:type="spellEnd"/>
      <w:r w:rsidRPr="003D316C">
        <w:t xml:space="preserve"> uyarlanan Bilgisayar Programlama Öz-Yeterlik Ölçeği (BPÖY) kullanılmıştır. Ölçekte programlama yeterliği, programlama becerisi ve öz-düzenleme olmak üzere 3 faktör altında toplam 16 madde bulunmaktadır. Ölçeğin açıkladığı toplam </w:t>
      </w:r>
      <w:proofErr w:type="spellStart"/>
      <w:r w:rsidRPr="003D316C">
        <w:t>varyans</w:t>
      </w:r>
      <w:proofErr w:type="spellEnd"/>
      <w:r w:rsidRPr="003D316C">
        <w:t xml:space="preserve"> %68.853 olarak hesaplanmıştır. 16 </w:t>
      </w:r>
      <w:r w:rsidR="003D686C" w:rsidRPr="003D316C">
        <w:t xml:space="preserve">maddeye yönelik </w:t>
      </w:r>
      <w:proofErr w:type="spellStart"/>
      <w:r w:rsidR="003D686C" w:rsidRPr="003D316C">
        <w:t>Cronbach</w:t>
      </w:r>
      <w:proofErr w:type="spellEnd"/>
      <w:r w:rsidR="003D686C" w:rsidRPr="003D316C">
        <w:t xml:space="preserve"> Alpha</w:t>
      </w:r>
      <w:r w:rsidRPr="003D316C">
        <w:t xml:space="preserve"> güvenirlik </w:t>
      </w:r>
      <w:proofErr w:type="gramStart"/>
      <w:r w:rsidRPr="003D316C">
        <w:t>kat</w:t>
      </w:r>
      <w:r w:rsidR="003D686C" w:rsidRPr="003D316C">
        <w:t>sayısı .936</w:t>
      </w:r>
      <w:proofErr w:type="gramEnd"/>
      <w:r w:rsidR="003D686C" w:rsidRPr="003D316C">
        <w:t xml:space="preserve"> olarak bulunmuştur.</w:t>
      </w:r>
    </w:p>
    <w:p w14:paraId="7F6A8D99" w14:textId="77777777" w:rsidR="00C35E37" w:rsidRPr="003D316C" w:rsidRDefault="00C35E37" w:rsidP="003D686C">
      <w:pPr>
        <w:pStyle w:val="Balk2"/>
      </w:pPr>
      <w:r w:rsidRPr="003D316C">
        <w:t>Veri Analizi</w:t>
      </w:r>
    </w:p>
    <w:p w14:paraId="31E7A171" w14:textId="7AD34547" w:rsidR="007E4379" w:rsidRPr="003D316C" w:rsidRDefault="00C35E37" w:rsidP="007E4379">
      <w:r w:rsidRPr="003D316C">
        <w:t>BPÖY ö</w:t>
      </w:r>
      <w:r w:rsidR="007E4379" w:rsidRPr="003D316C">
        <w:t xml:space="preserve">lçeğinden elde edilen veriler üzerine gerçekleştirilecek analizlere karar vermeden önce verilerin normal dağılım gösterip göstermediği incelenmiştir. Bu amaçla uygulanan </w:t>
      </w:r>
      <w:r w:rsidR="00C710B0" w:rsidRPr="003D316C">
        <w:t>normallik</w:t>
      </w:r>
      <w:r w:rsidR="007E4379" w:rsidRPr="003D316C">
        <w:t xml:space="preserve"> testi sonuçları Tablo 2’de gösterilmiştir.</w:t>
      </w:r>
    </w:p>
    <w:p w14:paraId="27856CDA" w14:textId="6BF8C8CC" w:rsidR="007E4379" w:rsidRPr="003D316C" w:rsidRDefault="00706CEE" w:rsidP="0074629D">
      <w:pPr>
        <w:pStyle w:val="AralkYok"/>
        <w:rPr>
          <w:b/>
        </w:rPr>
      </w:pPr>
      <w:r w:rsidRPr="003D316C">
        <w:rPr>
          <w:b/>
        </w:rPr>
        <w:t>Tablo 2</w:t>
      </w:r>
    </w:p>
    <w:p w14:paraId="423C37C4" w14:textId="74E95DFF" w:rsidR="0074629D" w:rsidRPr="003D316C" w:rsidRDefault="0074629D" w:rsidP="0074629D">
      <w:pPr>
        <w:pStyle w:val="AralkYok"/>
        <w:rPr>
          <w:i/>
        </w:rPr>
      </w:pPr>
      <w:r w:rsidRPr="003D316C">
        <w:rPr>
          <w:i/>
        </w:rPr>
        <w:t>Normallik Testi Sonuçları</w:t>
      </w:r>
    </w:p>
    <w:tbl>
      <w:tblPr>
        <w:tblStyle w:val="TabloKlavuzu"/>
        <w:tblW w:w="0" w:type="auto"/>
        <w:tblBorders>
          <w:insideV w:val="none" w:sz="0" w:space="0" w:color="auto"/>
        </w:tblBorders>
        <w:tblLook w:val="04A0" w:firstRow="1" w:lastRow="0" w:firstColumn="1" w:lastColumn="0" w:noHBand="0" w:noVBand="1"/>
      </w:tblPr>
      <w:tblGrid>
        <w:gridCol w:w="1288"/>
        <w:gridCol w:w="1288"/>
        <w:gridCol w:w="1288"/>
        <w:gridCol w:w="1288"/>
        <w:gridCol w:w="1288"/>
        <w:gridCol w:w="1288"/>
        <w:gridCol w:w="1288"/>
      </w:tblGrid>
      <w:tr w:rsidR="0074629D" w:rsidRPr="003D316C" w14:paraId="56238F76" w14:textId="77777777" w:rsidTr="0074629D">
        <w:tc>
          <w:tcPr>
            <w:tcW w:w="1288" w:type="dxa"/>
            <w:vMerge w:val="restart"/>
            <w:tcBorders>
              <w:left w:val="nil"/>
            </w:tcBorders>
            <w:vAlign w:val="center"/>
          </w:tcPr>
          <w:p w14:paraId="0D6D60E7" w14:textId="29351136" w:rsidR="0074629D" w:rsidRPr="003D316C" w:rsidRDefault="0074629D" w:rsidP="0074629D">
            <w:pPr>
              <w:ind w:firstLine="0"/>
            </w:pPr>
            <w:r w:rsidRPr="003D316C">
              <w:t>Okul Türü</w:t>
            </w:r>
          </w:p>
        </w:tc>
        <w:tc>
          <w:tcPr>
            <w:tcW w:w="3864" w:type="dxa"/>
            <w:gridSpan w:val="3"/>
            <w:vAlign w:val="center"/>
          </w:tcPr>
          <w:p w14:paraId="0B54DBC0" w14:textId="6B8F0195" w:rsidR="0074629D" w:rsidRPr="003D316C" w:rsidRDefault="0074629D" w:rsidP="0074629D">
            <w:pPr>
              <w:ind w:firstLine="0"/>
              <w:jc w:val="center"/>
            </w:pPr>
            <w:proofErr w:type="spellStart"/>
            <w:r w:rsidRPr="003D316C">
              <w:t>Kolmogorov-Smirnov</w:t>
            </w:r>
            <w:proofErr w:type="spellEnd"/>
          </w:p>
        </w:tc>
        <w:tc>
          <w:tcPr>
            <w:tcW w:w="3864" w:type="dxa"/>
            <w:gridSpan w:val="3"/>
            <w:tcBorders>
              <w:right w:val="nil"/>
            </w:tcBorders>
            <w:vAlign w:val="center"/>
          </w:tcPr>
          <w:p w14:paraId="2DC41342" w14:textId="55BBCF9C" w:rsidR="0074629D" w:rsidRPr="003D316C" w:rsidRDefault="0074629D" w:rsidP="0074629D">
            <w:pPr>
              <w:ind w:firstLine="0"/>
              <w:jc w:val="center"/>
            </w:pPr>
            <w:proofErr w:type="spellStart"/>
            <w:r w:rsidRPr="003D316C">
              <w:t>Shapiro-Wilk</w:t>
            </w:r>
            <w:proofErr w:type="spellEnd"/>
          </w:p>
        </w:tc>
      </w:tr>
      <w:tr w:rsidR="0074629D" w:rsidRPr="003D316C" w14:paraId="29C2EF7C" w14:textId="77777777" w:rsidTr="0074629D">
        <w:tc>
          <w:tcPr>
            <w:tcW w:w="1288" w:type="dxa"/>
            <w:vMerge/>
            <w:tcBorders>
              <w:left w:val="nil"/>
              <w:bottom w:val="single" w:sz="4" w:space="0" w:color="auto"/>
            </w:tcBorders>
          </w:tcPr>
          <w:p w14:paraId="2D437C75" w14:textId="34E76157" w:rsidR="0074629D" w:rsidRPr="003D316C" w:rsidRDefault="0074629D" w:rsidP="0074629D">
            <w:pPr>
              <w:ind w:firstLine="0"/>
            </w:pPr>
          </w:p>
        </w:tc>
        <w:tc>
          <w:tcPr>
            <w:tcW w:w="1288" w:type="dxa"/>
            <w:tcBorders>
              <w:bottom w:val="single" w:sz="4" w:space="0" w:color="auto"/>
            </w:tcBorders>
            <w:vAlign w:val="center"/>
          </w:tcPr>
          <w:p w14:paraId="110A5F23" w14:textId="72094785" w:rsidR="0074629D" w:rsidRPr="003D316C" w:rsidRDefault="0074629D" w:rsidP="0074629D">
            <w:pPr>
              <w:ind w:firstLine="0"/>
              <w:jc w:val="center"/>
            </w:pPr>
            <w:r w:rsidRPr="003D316C">
              <w:t>İstatistik</w:t>
            </w:r>
          </w:p>
        </w:tc>
        <w:tc>
          <w:tcPr>
            <w:tcW w:w="1288" w:type="dxa"/>
            <w:tcBorders>
              <w:bottom w:val="single" w:sz="4" w:space="0" w:color="auto"/>
            </w:tcBorders>
            <w:vAlign w:val="center"/>
          </w:tcPr>
          <w:p w14:paraId="55F071E5" w14:textId="5D9613DF" w:rsidR="0074629D" w:rsidRPr="003D316C" w:rsidRDefault="0074629D" w:rsidP="0074629D">
            <w:pPr>
              <w:ind w:firstLine="0"/>
              <w:jc w:val="center"/>
            </w:pPr>
            <w:proofErr w:type="spellStart"/>
            <w:r w:rsidRPr="003D316C">
              <w:t>Sd</w:t>
            </w:r>
            <w:proofErr w:type="spellEnd"/>
          </w:p>
        </w:tc>
        <w:tc>
          <w:tcPr>
            <w:tcW w:w="1288" w:type="dxa"/>
            <w:tcBorders>
              <w:bottom w:val="single" w:sz="4" w:space="0" w:color="auto"/>
            </w:tcBorders>
            <w:vAlign w:val="center"/>
          </w:tcPr>
          <w:p w14:paraId="044E302B" w14:textId="2B61BAD3" w:rsidR="0074629D" w:rsidRPr="003D316C" w:rsidRDefault="0074629D" w:rsidP="0074629D">
            <w:pPr>
              <w:ind w:firstLine="0"/>
              <w:jc w:val="center"/>
            </w:pPr>
            <w:proofErr w:type="gramStart"/>
            <w:r w:rsidRPr="003D316C">
              <w:t>p</w:t>
            </w:r>
            <w:proofErr w:type="gramEnd"/>
          </w:p>
        </w:tc>
        <w:tc>
          <w:tcPr>
            <w:tcW w:w="1288" w:type="dxa"/>
            <w:tcBorders>
              <w:bottom w:val="single" w:sz="4" w:space="0" w:color="auto"/>
            </w:tcBorders>
            <w:vAlign w:val="center"/>
          </w:tcPr>
          <w:p w14:paraId="469A8A28" w14:textId="6FAF0E71" w:rsidR="0074629D" w:rsidRPr="003D316C" w:rsidRDefault="0074629D" w:rsidP="0074629D">
            <w:pPr>
              <w:ind w:firstLine="0"/>
              <w:jc w:val="center"/>
            </w:pPr>
            <w:r w:rsidRPr="003D316C">
              <w:t>İstatistik</w:t>
            </w:r>
          </w:p>
        </w:tc>
        <w:tc>
          <w:tcPr>
            <w:tcW w:w="1288" w:type="dxa"/>
            <w:tcBorders>
              <w:bottom w:val="single" w:sz="4" w:space="0" w:color="auto"/>
            </w:tcBorders>
            <w:vAlign w:val="center"/>
          </w:tcPr>
          <w:p w14:paraId="31B304A3" w14:textId="29C9E543" w:rsidR="0074629D" w:rsidRPr="003D316C" w:rsidRDefault="0074629D" w:rsidP="0074629D">
            <w:pPr>
              <w:ind w:firstLine="0"/>
              <w:jc w:val="center"/>
            </w:pPr>
            <w:proofErr w:type="spellStart"/>
            <w:r w:rsidRPr="003D316C">
              <w:t>Sd</w:t>
            </w:r>
            <w:proofErr w:type="spellEnd"/>
          </w:p>
        </w:tc>
        <w:tc>
          <w:tcPr>
            <w:tcW w:w="1288" w:type="dxa"/>
            <w:tcBorders>
              <w:bottom w:val="single" w:sz="4" w:space="0" w:color="auto"/>
              <w:right w:val="nil"/>
            </w:tcBorders>
            <w:vAlign w:val="center"/>
          </w:tcPr>
          <w:p w14:paraId="3BC5AE77" w14:textId="416CF782" w:rsidR="0074629D" w:rsidRPr="003D316C" w:rsidRDefault="0074629D" w:rsidP="0074629D">
            <w:pPr>
              <w:ind w:firstLine="0"/>
              <w:jc w:val="center"/>
            </w:pPr>
            <w:proofErr w:type="gramStart"/>
            <w:r w:rsidRPr="003D316C">
              <w:t>p</w:t>
            </w:r>
            <w:proofErr w:type="gramEnd"/>
          </w:p>
        </w:tc>
      </w:tr>
      <w:tr w:rsidR="0074629D" w:rsidRPr="003D316C" w14:paraId="2E96CAA5" w14:textId="77777777" w:rsidTr="0074629D">
        <w:tc>
          <w:tcPr>
            <w:tcW w:w="1288" w:type="dxa"/>
            <w:tcBorders>
              <w:left w:val="nil"/>
              <w:bottom w:val="nil"/>
            </w:tcBorders>
          </w:tcPr>
          <w:p w14:paraId="366A433C" w14:textId="0B326950" w:rsidR="0074629D" w:rsidRPr="003D316C" w:rsidRDefault="0074629D" w:rsidP="0074629D">
            <w:pPr>
              <w:ind w:firstLine="0"/>
            </w:pPr>
            <w:r w:rsidRPr="003D316C">
              <w:t>Lise</w:t>
            </w:r>
          </w:p>
        </w:tc>
        <w:tc>
          <w:tcPr>
            <w:tcW w:w="1288" w:type="dxa"/>
            <w:tcBorders>
              <w:bottom w:val="nil"/>
            </w:tcBorders>
            <w:vAlign w:val="center"/>
          </w:tcPr>
          <w:p w14:paraId="25A230D0" w14:textId="3539C667" w:rsidR="0074629D" w:rsidRPr="003D316C" w:rsidRDefault="00B57B4C" w:rsidP="0074629D">
            <w:pPr>
              <w:ind w:firstLine="0"/>
              <w:jc w:val="center"/>
            </w:pPr>
            <w:r w:rsidRPr="003D316C">
              <w:t>.</w:t>
            </w:r>
            <w:r w:rsidR="0074629D" w:rsidRPr="003D316C">
              <w:t>078</w:t>
            </w:r>
          </w:p>
        </w:tc>
        <w:tc>
          <w:tcPr>
            <w:tcW w:w="1288" w:type="dxa"/>
            <w:tcBorders>
              <w:bottom w:val="nil"/>
            </w:tcBorders>
            <w:vAlign w:val="center"/>
          </w:tcPr>
          <w:p w14:paraId="5A375123" w14:textId="524ED7FD" w:rsidR="0074629D" w:rsidRPr="003D316C" w:rsidRDefault="0074629D" w:rsidP="0074629D">
            <w:pPr>
              <w:ind w:firstLine="0"/>
              <w:jc w:val="center"/>
            </w:pPr>
            <w:r w:rsidRPr="003D316C">
              <w:t>193</w:t>
            </w:r>
          </w:p>
        </w:tc>
        <w:tc>
          <w:tcPr>
            <w:tcW w:w="1288" w:type="dxa"/>
            <w:tcBorders>
              <w:bottom w:val="nil"/>
            </w:tcBorders>
            <w:vAlign w:val="center"/>
          </w:tcPr>
          <w:p w14:paraId="173080B0" w14:textId="30FC74E9" w:rsidR="0074629D" w:rsidRPr="003D316C" w:rsidRDefault="00B57B4C" w:rsidP="0074629D">
            <w:pPr>
              <w:ind w:firstLine="0"/>
              <w:jc w:val="center"/>
            </w:pPr>
            <w:r w:rsidRPr="003D316C">
              <w:t>.</w:t>
            </w:r>
            <w:r w:rsidR="0074629D" w:rsidRPr="003D316C">
              <w:t>006</w:t>
            </w:r>
          </w:p>
        </w:tc>
        <w:tc>
          <w:tcPr>
            <w:tcW w:w="1288" w:type="dxa"/>
            <w:tcBorders>
              <w:bottom w:val="nil"/>
            </w:tcBorders>
            <w:vAlign w:val="center"/>
          </w:tcPr>
          <w:p w14:paraId="3AC592AA" w14:textId="0AE4D733" w:rsidR="0074629D" w:rsidRPr="003D316C" w:rsidRDefault="00B57B4C" w:rsidP="0074629D">
            <w:pPr>
              <w:ind w:firstLine="0"/>
              <w:jc w:val="center"/>
            </w:pPr>
            <w:r w:rsidRPr="003D316C">
              <w:t>.</w:t>
            </w:r>
            <w:r w:rsidR="0074629D" w:rsidRPr="003D316C">
              <w:t>980</w:t>
            </w:r>
          </w:p>
        </w:tc>
        <w:tc>
          <w:tcPr>
            <w:tcW w:w="1288" w:type="dxa"/>
            <w:tcBorders>
              <w:bottom w:val="nil"/>
            </w:tcBorders>
            <w:vAlign w:val="center"/>
          </w:tcPr>
          <w:p w14:paraId="48985C79" w14:textId="2AE6C68D" w:rsidR="0074629D" w:rsidRPr="003D316C" w:rsidRDefault="0074629D" w:rsidP="0074629D">
            <w:pPr>
              <w:ind w:firstLine="0"/>
              <w:jc w:val="center"/>
            </w:pPr>
            <w:r w:rsidRPr="003D316C">
              <w:t>193</w:t>
            </w:r>
          </w:p>
        </w:tc>
        <w:tc>
          <w:tcPr>
            <w:tcW w:w="1288" w:type="dxa"/>
            <w:tcBorders>
              <w:bottom w:val="nil"/>
              <w:right w:val="nil"/>
            </w:tcBorders>
            <w:vAlign w:val="center"/>
          </w:tcPr>
          <w:p w14:paraId="18206A32" w14:textId="79588F9B" w:rsidR="0074629D" w:rsidRPr="003D316C" w:rsidRDefault="00B57B4C" w:rsidP="0074629D">
            <w:pPr>
              <w:ind w:firstLine="0"/>
              <w:jc w:val="center"/>
            </w:pPr>
            <w:r w:rsidRPr="003D316C">
              <w:t>.</w:t>
            </w:r>
            <w:r w:rsidR="0074629D" w:rsidRPr="003D316C">
              <w:t>007</w:t>
            </w:r>
          </w:p>
        </w:tc>
      </w:tr>
      <w:tr w:rsidR="0074629D" w:rsidRPr="003D316C" w14:paraId="69CFB27F" w14:textId="77777777" w:rsidTr="0074629D">
        <w:tc>
          <w:tcPr>
            <w:tcW w:w="1288" w:type="dxa"/>
            <w:tcBorders>
              <w:top w:val="nil"/>
              <w:left w:val="nil"/>
            </w:tcBorders>
          </w:tcPr>
          <w:p w14:paraId="69E8E48B" w14:textId="0F3A58C1" w:rsidR="0074629D" w:rsidRPr="003D316C" w:rsidRDefault="0074629D" w:rsidP="0074629D">
            <w:pPr>
              <w:ind w:firstLine="0"/>
            </w:pPr>
            <w:r w:rsidRPr="003D316C">
              <w:t>Üniversite</w:t>
            </w:r>
          </w:p>
        </w:tc>
        <w:tc>
          <w:tcPr>
            <w:tcW w:w="1288" w:type="dxa"/>
            <w:tcBorders>
              <w:top w:val="nil"/>
            </w:tcBorders>
            <w:vAlign w:val="center"/>
          </w:tcPr>
          <w:p w14:paraId="2694A913" w14:textId="3706C4EB" w:rsidR="0074629D" w:rsidRPr="003D316C" w:rsidRDefault="00B57B4C" w:rsidP="0074629D">
            <w:pPr>
              <w:ind w:firstLine="0"/>
              <w:jc w:val="center"/>
            </w:pPr>
            <w:r w:rsidRPr="003D316C">
              <w:t>.</w:t>
            </w:r>
            <w:r w:rsidR="0074629D" w:rsidRPr="003D316C">
              <w:t>070</w:t>
            </w:r>
          </w:p>
        </w:tc>
        <w:tc>
          <w:tcPr>
            <w:tcW w:w="1288" w:type="dxa"/>
            <w:tcBorders>
              <w:top w:val="nil"/>
            </w:tcBorders>
            <w:vAlign w:val="center"/>
          </w:tcPr>
          <w:p w14:paraId="30270C0E" w14:textId="35C0D5E9" w:rsidR="0074629D" w:rsidRPr="003D316C" w:rsidRDefault="0074629D" w:rsidP="0074629D">
            <w:pPr>
              <w:ind w:firstLine="0"/>
              <w:jc w:val="center"/>
            </w:pPr>
            <w:r w:rsidRPr="003D316C">
              <w:t>174</w:t>
            </w:r>
          </w:p>
        </w:tc>
        <w:tc>
          <w:tcPr>
            <w:tcW w:w="1288" w:type="dxa"/>
            <w:tcBorders>
              <w:top w:val="nil"/>
            </w:tcBorders>
            <w:vAlign w:val="center"/>
          </w:tcPr>
          <w:p w14:paraId="650639DE" w14:textId="11957CAB" w:rsidR="0074629D" w:rsidRPr="003D316C" w:rsidRDefault="00B57B4C" w:rsidP="0074629D">
            <w:pPr>
              <w:ind w:firstLine="0"/>
              <w:jc w:val="center"/>
            </w:pPr>
            <w:r w:rsidRPr="003D316C">
              <w:t>.</w:t>
            </w:r>
            <w:r w:rsidR="0074629D" w:rsidRPr="003D316C">
              <w:t>039</w:t>
            </w:r>
          </w:p>
        </w:tc>
        <w:tc>
          <w:tcPr>
            <w:tcW w:w="1288" w:type="dxa"/>
            <w:tcBorders>
              <w:top w:val="nil"/>
            </w:tcBorders>
            <w:vAlign w:val="center"/>
          </w:tcPr>
          <w:p w14:paraId="3AE6F01C" w14:textId="00E615C1" w:rsidR="0074629D" w:rsidRPr="003D316C" w:rsidRDefault="00B57B4C" w:rsidP="0074629D">
            <w:pPr>
              <w:ind w:firstLine="0"/>
              <w:jc w:val="center"/>
            </w:pPr>
            <w:r w:rsidRPr="003D316C">
              <w:t>.</w:t>
            </w:r>
            <w:r w:rsidR="0074629D" w:rsidRPr="003D316C">
              <w:t>963</w:t>
            </w:r>
          </w:p>
        </w:tc>
        <w:tc>
          <w:tcPr>
            <w:tcW w:w="1288" w:type="dxa"/>
            <w:tcBorders>
              <w:top w:val="nil"/>
            </w:tcBorders>
            <w:vAlign w:val="center"/>
          </w:tcPr>
          <w:p w14:paraId="489642AE" w14:textId="069F4910" w:rsidR="0074629D" w:rsidRPr="003D316C" w:rsidRDefault="0074629D" w:rsidP="0074629D">
            <w:pPr>
              <w:ind w:firstLine="0"/>
              <w:jc w:val="center"/>
            </w:pPr>
            <w:r w:rsidRPr="003D316C">
              <w:t>174</w:t>
            </w:r>
          </w:p>
        </w:tc>
        <w:tc>
          <w:tcPr>
            <w:tcW w:w="1288" w:type="dxa"/>
            <w:tcBorders>
              <w:top w:val="nil"/>
              <w:right w:val="nil"/>
            </w:tcBorders>
            <w:vAlign w:val="center"/>
          </w:tcPr>
          <w:p w14:paraId="4788E540" w14:textId="363138B6" w:rsidR="0074629D" w:rsidRPr="003D316C" w:rsidRDefault="00B57B4C" w:rsidP="0074629D">
            <w:pPr>
              <w:ind w:firstLine="0"/>
              <w:jc w:val="center"/>
            </w:pPr>
            <w:r w:rsidRPr="003D316C">
              <w:t>.</w:t>
            </w:r>
            <w:r w:rsidR="0074629D" w:rsidRPr="003D316C">
              <w:t>000</w:t>
            </w:r>
          </w:p>
        </w:tc>
      </w:tr>
    </w:tbl>
    <w:p w14:paraId="7C8E5217" w14:textId="77777777" w:rsidR="00706CEE" w:rsidRPr="003D316C" w:rsidRDefault="00706CEE" w:rsidP="0074629D">
      <w:pPr>
        <w:ind w:firstLine="0"/>
      </w:pPr>
    </w:p>
    <w:p w14:paraId="03F48853" w14:textId="0988C33E" w:rsidR="00706CEE" w:rsidRPr="003D316C" w:rsidRDefault="00B57B4C" w:rsidP="00C35E37">
      <w:r w:rsidRPr="003D316C">
        <w:t xml:space="preserve">Tablo 2’de gösterilen </w:t>
      </w:r>
      <w:proofErr w:type="spellStart"/>
      <w:r w:rsidRPr="003D316C">
        <w:t>Kolmogorov-Smirnov</w:t>
      </w:r>
      <w:proofErr w:type="spellEnd"/>
      <w:r w:rsidRPr="003D316C">
        <w:t xml:space="preserve"> testi sonuçlarına göre veriler normal dağılım göstermediğinden (p&lt;.05) parametrik olmayan testler kullanılarak analizler gerçekleştirilmiştir. Bu doğrultuda öğrenim düzeyi faktörünün programlamaya yönelik öz-yeterlik algısı üzerindeki etkisi Mann-</w:t>
      </w:r>
      <w:proofErr w:type="spellStart"/>
      <w:r w:rsidRPr="003D316C">
        <w:t>Whitney</w:t>
      </w:r>
      <w:proofErr w:type="spellEnd"/>
      <w:r w:rsidRPr="003D316C">
        <w:t xml:space="preserve"> U testi kullanılarak incelenmiştir.</w:t>
      </w:r>
    </w:p>
    <w:p w14:paraId="1249F89E" w14:textId="75453152" w:rsidR="006516C6" w:rsidRPr="003D316C" w:rsidRDefault="00B57B4C" w:rsidP="00B57B4C">
      <w:pPr>
        <w:pStyle w:val="Balk1"/>
      </w:pPr>
      <w:r w:rsidRPr="003D316C">
        <w:t>Bulgular</w:t>
      </w:r>
    </w:p>
    <w:p w14:paraId="7A820707" w14:textId="4177824A" w:rsidR="00B57B4C" w:rsidRPr="003D316C" w:rsidRDefault="00B57B4C" w:rsidP="006516C6">
      <w:r w:rsidRPr="003D316C">
        <w:t>Katılımcıların öğrenim düzeyleri ile bilgisayar programlamaya yönelik öz-yeterlik algıları arasında anlamlı bir farklılık olup olmadığının belirlenmesi amacıyla uygulanan Mann-</w:t>
      </w:r>
      <w:proofErr w:type="spellStart"/>
      <w:r w:rsidRPr="003D316C">
        <w:t>Whitney</w:t>
      </w:r>
      <w:proofErr w:type="spellEnd"/>
      <w:r w:rsidRPr="003D316C">
        <w:t xml:space="preserve"> U testi sonuçları Tablo 3’te sunulmuştur.</w:t>
      </w:r>
    </w:p>
    <w:p w14:paraId="3D71F1E8" w14:textId="2F827127" w:rsidR="00B57B4C" w:rsidRPr="003D316C" w:rsidRDefault="002F7E97" w:rsidP="002F7E97">
      <w:pPr>
        <w:pStyle w:val="AralkYok"/>
        <w:rPr>
          <w:b/>
        </w:rPr>
      </w:pPr>
      <w:r w:rsidRPr="003D316C">
        <w:rPr>
          <w:b/>
        </w:rPr>
        <w:t>Tablo 3</w:t>
      </w:r>
    </w:p>
    <w:p w14:paraId="3A3BA4DC" w14:textId="0D4AEB7D" w:rsidR="002F7E97" w:rsidRPr="003D316C" w:rsidRDefault="002F7E97" w:rsidP="002F7E97">
      <w:pPr>
        <w:pStyle w:val="AralkYok"/>
        <w:rPr>
          <w:i/>
        </w:rPr>
      </w:pPr>
      <w:r w:rsidRPr="003D316C">
        <w:rPr>
          <w:i/>
        </w:rPr>
        <w:t>Öğrenim Türüne Göre Bilgisayar Programlama Öz-Yeterlik Puanları</w:t>
      </w:r>
    </w:p>
    <w:tbl>
      <w:tblPr>
        <w:tblStyle w:val="TabloKlavuzu"/>
        <w:tblW w:w="9214" w:type="dxa"/>
        <w:tblBorders>
          <w:insideV w:val="none" w:sz="0" w:space="0" w:color="auto"/>
        </w:tblBorders>
        <w:tblLook w:val="04A0" w:firstRow="1" w:lastRow="0" w:firstColumn="1" w:lastColumn="0" w:noHBand="0" w:noVBand="1"/>
      </w:tblPr>
      <w:tblGrid>
        <w:gridCol w:w="1294"/>
        <w:gridCol w:w="1683"/>
        <w:gridCol w:w="1418"/>
        <w:gridCol w:w="1842"/>
        <w:gridCol w:w="1560"/>
        <w:gridCol w:w="1417"/>
      </w:tblGrid>
      <w:tr w:rsidR="002F7E97" w:rsidRPr="003D316C" w14:paraId="77806437" w14:textId="77777777" w:rsidTr="002F7E97">
        <w:trPr>
          <w:trHeight w:val="397"/>
        </w:trPr>
        <w:tc>
          <w:tcPr>
            <w:tcW w:w="1294" w:type="dxa"/>
            <w:tcBorders>
              <w:left w:val="nil"/>
            </w:tcBorders>
            <w:vAlign w:val="center"/>
          </w:tcPr>
          <w:p w14:paraId="3FB2987B" w14:textId="77777777" w:rsidR="002F7E97" w:rsidRPr="003D316C" w:rsidRDefault="002F7E97" w:rsidP="002F7E97">
            <w:pPr>
              <w:ind w:firstLine="0"/>
            </w:pPr>
            <w:r w:rsidRPr="003D316C">
              <w:t>Gruplar</w:t>
            </w:r>
          </w:p>
        </w:tc>
        <w:tc>
          <w:tcPr>
            <w:tcW w:w="1683" w:type="dxa"/>
            <w:vAlign w:val="center"/>
          </w:tcPr>
          <w:p w14:paraId="41908E03" w14:textId="77777777" w:rsidR="002F7E97" w:rsidRPr="003D316C" w:rsidRDefault="002F7E97" w:rsidP="002F7E97">
            <w:pPr>
              <w:ind w:firstLine="0"/>
              <w:jc w:val="center"/>
            </w:pPr>
            <w:r w:rsidRPr="003D316C">
              <w:t>N</w:t>
            </w:r>
          </w:p>
        </w:tc>
        <w:tc>
          <w:tcPr>
            <w:tcW w:w="1418" w:type="dxa"/>
            <w:vAlign w:val="center"/>
          </w:tcPr>
          <w:p w14:paraId="61A4CF12" w14:textId="464C8156" w:rsidR="002F7E97" w:rsidRPr="003D316C" w:rsidRDefault="002F7E97" w:rsidP="002F7E97">
            <w:pPr>
              <w:ind w:firstLine="0"/>
              <w:jc w:val="center"/>
            </w:pPr>
            <w:r w:rsidRPr="003D316C">
              <w:rPr>
                <w:position w:val="-4"/>
              </w:rPr>
              <w:object w:dxaOrig="279" w:dyaOrig="320" w14:anchorId="4C4C1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8" o:title=""/>
                </v:shape>
                <o:OLEObject Type="Embed" ProgID="Equation.3" ShapeID="_x0000_i1025" DrawAspect="Content" ObjectID="_1697138521" r:id="rId9"/>
              </w:object>
            </w:r>
          </w:p>
        </w:tc>
        <w:tc>
          <w:tcPr>
            <w:tcW w:w="1842" w:type="dxa"/>
            <w:vAlign w:val="center"/>
          </w:tcPr>
          <w:p w14:paraId="0AA8D868" w14:textId="77777777" w:rsidR="002F7E97" w:rsidRPr="003D316C" w:rsidRDefault="002F7E97" w:rsidP="002F7E97">
            <w:pPr>
              <w:ind w:firstLine="0"/>
              <w:jc w:val="center"/>
            </w:pPr>
            <w:r w:rsidRPr="003D316C">
              <w:t>Sıra Toplam</w:t>
            </w:r>
          </w:p>
        </w:tc>
        <w:tc>
          <w:tcPr>
            <w:tcW w:w="1560" w:type="dxa"/>
            <w:vAlign w:val="center"/>
          </w:tcPr>
          <w:p w14:paraId="0A82D2B8" w14:textId="77777777" w:rsidR="002F7E97" w:rsidRPr="003D316C" w:rsidRDefault="002F7E97" w:rsidP="002F7E97">
            <w:pPr>
              <w:ind w:firstLine="0"/>
              <w:jc w:val="center"/>
            </w:pPr>
            <w:r w:rsidRPr="003D316C">
              <w:t>U</w:t>
            </w:r>
          </w:p>
        </w:tc>
        <w:tc>
          <w:tcPr>
            <w:tcW w:w="1417" w:type="dxa"/>
            <w:tcBorders>
              <w:right w:val="nil"/>
            </w:tcBorders>
            <w:vAlign w:val="center"/>
          </w:tcPr>
          <w:p w14:paraId="57DA9484" w14:textId="77777777" w:rsidR="002F7E97" w:rsidRPr="003D316C" w:rsidRDefault="002F7E97" w:rsidP="002F7E97">
            <w:pPr>
              <w:ind w:firstLine="0"/>
              <w:jc w:val="center"/>
            </w:pPr>
            <w:proofErr w:type="gramStart"/>
            <w:r w:rsidRPr="003D316C">
              <w:t>p</w:t>
            </w:r>
            <w:proofErr w:type="gramEnd"/>
          </w:p>
        </w:tc>
      </w:tr>
      <w:tr w:rsidR="002F7E97" w:rsidRPr="003D316C" w14:paraId="4F7F3F94" w14:textId="77777777" w:rsidTr="002F7E97">
        <w:trPr>
          <w:trHeight w:val="397"/>
        </w:trPr>
        <w:tc>
          <w:tcPr>
            <w:tcW w:w="1294" w:type="dxa"/>
            <w:tcBorders>
              <w:left w:val="nil"/>
            </w:tcBorders>
            <w:vAlign w:val="center"/>
          </w:tcPr>
          <w:p w14:paraId="13919123" w14:textId="77777777" w:rsidR="002F7E97" w:rsidRPr="003D316C" w:rsidRDefault="002F7E97" w:rsidP="002F7E97">
            <w:pPr>
              <w:ind w:firstLine="0"/>
            </w:pPr>
            <w:r w:rsidRPr="003D316C">
              <w:t>Lise</w:t>
            </w:r>
          </w:p>
        </w:tc>
        <w:tc>
          <w:tcPr>
            <w:tcW w:w="1683" w:type="dxa"/>
            <w:vAlign w:val="center"/>
          </w:tcPr>
          <w:p w14:paraId="5279A8A1" w14:textId="77777777" w:rsidR="002F7E97" w:rsidRPr="003D316C" w:rsidRDefault="002F7E97" w:rsidP="002F7E97">
            <w:pPr>
              <w:ind w:firstLine="0"/>
              <w:jc w:val="center"/>
            </w:pPr>
            <w:r w:rsidRPr="003D316C">
              <w:t>193</w:t>
            </w:r>
          </w:p>
        </w:tc>
        <w:tc>
          <w:tcPr>
            <w:tcW w:w="1418" w:type="dxa"/>
            <w:vAlign w:val="center"/>
          </w:tcPr>
          <w:p w14:paraId="20471C2E" w14:textId="77777777" w:rsidR="002F7E97" w:rsidRPr="003D316C" w:rsidRDefault="002F7E97" w:rsidP="002F7E97">
            <w:pPr>
              <w:ind w:firstLine="0"/>
              <w:jc w:val="center"/>
            </w:pPr>
            <w:r w:rsidRPr="003D316C">
              <w:t>174,11</w:t>
            </w:r>
          </w:p>
        </w:tc>
        <w:tc>
          <w:tcPr>
            <w:tcW w:w="1842" w:type="dxa"/>
            <w:vAlign w:val="center"/>
          </w:tcPr>
          <w:p w14:paraId="6310D591" w14:textId="77777777" w:rsidR="002F7E97" w:rsidRPr="003D316C" w:rsidRDefault="002F7E97" w:rsidP="002F7E97">
            <w:pPr>
              <w:ind w:firstLine="0"/>
              <w:jc w:val="center"/>
            </w:pPr>
            <w:r w:rsidRPr="003D316C">
              <w:t>33603,00</w:t>
            </w:r>
          </w:p>
        </w:tc>
        <w:tc>
          <w:tcPr>
            <w:tcW w:w="1560" w:type="dxa"/>
            <w:vMerge w:val="restart"/>
            <w:vAlign w:val="center"/>
          </w:tcPr>
          <w:p w14:paraId="17DE191C" w14:textId="77777777" w:rsidR="002F7E97" w:rsidRPr="003D316C" w:rsidRDefault="002F7E97" w:rsidP="002F7E97">
            <w:pPr>
              <w:ind w:firstLine="0"/>
              <w:jc w:val="center"/>
            </w:pPr>
            <w:r w:rsidRPr="003D316C">
              <w:t>14882,000</w:t>
            </w:r>
          </w:p>
        </w:tc>
        <w:tc>
          <w:tcPr>
            <w:tcW w:w="1417" w:type="dxa"/>
            <w:vMerge w:val="restart"/>
            <w:tcBorders>
              <w:right w:val="nil"/>
            </w:tcBorders>
            <w:vAlign w:val="center"/>
          </w:tcPr>
          <w:p w14:paraId="3E75FD32" w14:textId="0E1EACD4" w:rsidR="002F7E97" w:rsidRPr="003D316C" w:rsidRDefault="002F7E97" w:rsidP="002F7E97">
            <w:pPr>
              <w:ind w:firstLine="0"/>
              <w:jc w:val="center"/>
            </w:pPr>
            <w:r w:rsidRPr="003D316C">
              <w:t>.060</w:t>
            </w:r>
          </w:p>
        </w:tc>
      </w:tr>
      <w:tr w:rsidR="002F7E97" w:rsidRPr="003D316C" w14:paraId="3BC8DBE5" w14:textId="77777777" w:rsidTr="002F7E97">
        <w:trPr>
          <w:trHeight w:val="397"/>
        </w:trPr>
        <w:tc>
          <w:tcPr>
            <w:tcW w:w="1294" w:type="dxa"/>
            <w:tcBorders>
              <w:left w:val="nil"/>
            </w:tcBorders>
            <w:vAlign w:val="center"/>
          </w:tcPr>
          <w:p w14:paraId="5FB6F77E" w14:textId="77777777" w:rsidR="002F7E97" w:rsidRPr="003D316C" w:rsidRDefault="002F7E97" w:rsidP="002F7E97">
            <w:pPr>
              <w:ind w:firstLine="0"/>
            </w:pPr>
            <w:r w:rsidRPr="003D316C">
              <w:t>Üniversite</w:t>
            </w:r>
          </w:p>
        </w:tc>
        <w:tc>
          <w:tcPr>
            <w:tcW w:w="1683" w:type="dxa"/>
            <w:vAlign w:val="center"/>
          </w:tcPr>
          <w:p w14:paraId="094177BD" w14:textId="77777777" w:rsidR="002F7E97" w:rsidRPr="003D316C" w:rsidRDefault="002F7E97" w:rsidP="002F7E97">
            <w:pPr>
              <w:ind w:firstLine="0"/>
              <w:jc w:val="center"/>
            </w:pPr>
            <w:r w:rsidRPr="003D316C">
              <w:t>174</w:t>
            </w:r>
          </w:p>
        </w:tc>
        <w:tc>
          <w:tcPr>
            <w:tcW w:w="1418" w:type="dxa"/>
            <w:vAlign w:val="center"/>
          </w:tcPr>
          <w:p w14:paraId="2F9B54C5" w14:textId="77777777" w:rsidR="002F7E97" w:rsidRPr="003D316C" w:rsidRDefault="002F7E97" w:rsidP="002F7E97">
            <w:pPr>
              <w:ind w:firstLine="0"/>
              <w:jc w:val="center"/>
            </w:pPr>
            <w:r w:rsidRPr="003D316C">
              <w:t>194,97</w:t>
            </w:r>
          </w:p>
        </w:tc>
        <w:tc>
          <w:tcPr>
            <w:tcW w:w="1842" w:type="dxa"/>
            <w:vAlign w:val="center"/>
          </w:tcPr>
          <w:p w14:paraId="750FCB80" w14:textId="77777777" w:rsidR="002F7E97" w:rsidRPr="003D316C" w:rsidRDefault="002F7E97" w:rsidP="002F7E97">
            <w:pPr>
              <w:ind w:firstLine="0"/>
              <w:jc w:val="center"/>
            </w:pPr>
            <w:r w:rsidRPr="003D316C">
              <w:t>33925,00</w:t>
            </w:r>
          </w:p>
        </w:tc>
        <w:tc>
          <w:tcPr>
            <w:tcW w:w="1560" w:type="dxa"/>
            <w:vMerge/>
            <w:vAlign w:val="center"/>
          </w:tcPr>
          <w:p w14:paraId="79FEE7B4" w14:textId="77777777" w:rsidR="002F7E97" w:rsidRPr="003D316C" w:rsidRDefault="002F7E97" w:rsidP="0096426F">
            <w:pPr>
              <w:jc w:val="center"/>
            </w:pPr>
          </w:p>
        </w:tc>
        <w:tc>
          <w:tcPr>
            <w:tcW w:w="1417" w:type="dxa"/>
            <w:vMerge/>
            <w:tcBorders>
              <w:right w:val="nil"/>
            </w:tcBorders>
            <w:vAlign w:val="center"/>
          </w:tcPr>
          <w:p w14:paraId="430BEE7C" w14:textId="77777777" w:rsidR="002F7E97" w:rsidRPr="003D316C" w:rsidRDefault="002F7E97" w:rsidP="0096426F">
            <w:pPr>
              <w:jc w:val="center"/>
            </w:pPr>
          </w:p>
        </w:tc>
      </w:tr>
    </w:tbl>
    <w:p w14:paraId="2365D9B5" w14:textId="77777777" w:rsidR="00B57B4C" w:rsidRPr="003D316C" w:rsidRDefault="00B57B4C" w:rsidP="006516C6"/>
    <w:p w14:paraId="0D506B43" w14:textId="1E410CE8" w:rsidR="00B57B4C" w:rsidRPr="003D316C" w:rsidRDefault="00B57B4C" w:rsidP="006516C6">
      <w:r w:rsidRPr="003D316C">
        <w:lastRenderedPageBreak/>
        <w:t xml:space="preserve">Analizler sonucunda lise ve üniversitede öğrenim gören öğrencilerin bilgisayar programlamaya yönelik öz-yeterlik düzeyleri arasında anlamlı bir farklılık </w:t>
      </w:r>
      <w:r w:rsidR="00B0227F" w:rsidRPr="003D316C">
        <w:t>bulunamamıştır (U=14882,000; p=.</w:t>
      </w:r>
      <w:r w:rsidRPr="003D316C">
        <w:t>060).</w:t>
      </w:r>
    </w:p>
    <w:p w14:paraId="5A8E48A7" w14:textId="2C3DB824" w:rsidR="00DA0041" w:rsidRPr="003D316C" w:rsidRDefault="00DA0041" w:rsidP="00DA0041">
      <w:pPr>
        <w:pStyle w:val="AralkYok"/>
        <w:rPr>
          <w:b/>
        </w:rPr>
      </w:pPr>
      <w:r w:rsidRPr="003D316C">
        <w:rPr>
          <w:b/>
        </w:rPr>
        <w:t>Tablo 4</w:t>
      </w:r>
    </w:p>
    <w:p w14:paraId="56CE04B5" w14:textId="1626C4F9" w:rsidR="00DA0041" w:rsidRPr="003D316C" w:rsidRDefault="00DA0041" w:rsidP="00DA0041">
      <w:pPr>
        <w:pStyle w:val="AralkYok"/>
        <w:rPr>
          <w:i/>
        </w:rPr>
      </w:pPr>
      <w:r w:rsidRPr="003D316C">
        <w:rPr>
          <w:i/>
        </w:rPr>
        <w:t>Öğrenim Türüne Göre BPÖY Ölçeğinin Alt Faktörleri Puanları</w:t>
      </w:r>
    </w:p>
    <w:tbl>
      <w:tblPr>
        <w:tblStyle w:val="TabloKlavuzu"/>
        <w:tblW w:w="9129" w:type="dxa"/>
        <w:tblBorders>
          <w:insideV w:val="none" w:sz="0" w:space="0" w:color="auto"/>
        </w:tblBorders>
        <w:tblLook w:val="04A0" w:firstRow="1" w:lastRow="0" w:firstColumn="1" w:lastColumn="0" w:noHBand="0" w:noVBand="1"/>
      </w:tblPr>
      <w:tblGrid>
        <w:gridCol w:w="2091"/>
        <w:gridCol w:w="1224"/>
        <w:gridCol w:w="725"/>
        <w:gridCol w:w="1052"/>
        <w:gridCol w:w="1550"/>
        <w:gridCol w:w="1434"/>
        <w:gridCol w:w="1053"/>
      </w:tblGrid>
      <w:tr w:rsidR="00DA0041" w:rsidRPr="003D316C" w14:paraId="595469FF" w14:textId="77777777" w:rsidTr="000059BD">
        <w:trPr>
          <w:trHeight w:val="397"/>
        </w:trPr>
        <w:tc>
          <w:tcPr>
            <w:tcW w:w="2091" w:type="dxa"/>
            <w:tcBorders>
              <w:left w:val="nil"/>
            </w:tcBorders>
            <w:vAlign w:val="center"/>
          </w:tcPr>
          <w:p w14:paraId="378CB48D" w14:textId="6966CE1D" w:rsidR="00DA0041" w:rsidRPr="003D316C" w:rsidRDefault="00DA0041" w:rsidP="00DA0041">
            <w:pPr>
              <w:ind w:firstLine="0"/>
            </w:pPr>
            <w:r w:rsidRPr="003D316C">
              <w:t>Faktörler</w:t>
            </w:r>
          </w:p>
        </w:tc>
        <w:tc>
          <w:tcPr>
            <w:tcW w:w="1224" w:type="dxa"/>
            <w:tcBorders>
              <w:bottom w:val="single" w:sz="4" w:space="0" w:color="auto"/>
            </w:tcBorders>
            <w:vAlign w:val="center"/>
          </w:tcPr>
          <w:p w14:paraId="35B22568" w14:textId="3F0ED84C" w:rsidR="00DA0041" w:rsidRPr="003D316C" w:rsidRDefault="00DA0041" w:rsidP="0096426F">
            <w:pPr>
              <w:ind w:firstLine="0"/>
            </w:pPr>
            <w:r w:rsidRPr="003D316C">
              <w:t>Gruplar</w:t>
            </w:r>
          </w:p>
        </w:tc>
        <w:tc>
          <w:tcPr>
            <w:tcW w:w="725" w:type="dxa"/>
            <w:tcBorders>
              <w:bottom w:val="single" w:sz="4" w:space="0" w:color="auto"/>
            </w:tcBorders>
            <w:vAlign w:val="center"/>
          </w:tcPr>
          <w:p w14:paraId="0E51CCC5" w14:textId="77777777" w:rsidR="00DA0041" w:rsidRPr="003D316C" w:rsidRDefault="00DA0041" w:rsidP="0096426F">
            <w:pPr>
              <w:ind w:firstLine="0"/>
              <w:jc w:val="center"/>
            </w:pPr>
            <w:r w:rsidRPr="003D316C">
              <w:t>N</w:t>
            </w:r>
          </w:p>
        </w:tc>
        <w:tc>
          <w:tcPr>
            <w:tcW w:w="1052" w:type="dxa"/>
            <w:tcBorders>
              <w:bottom w:val="single" w:sz="4" w:space="0" w:color="auto"/>
            </w:tcBorders>
            <w:vAlign w:val="center"/>
          </w:tcPr>
          <w:p w14:paraId="732947B4" w14:textId="77777777" w:rsidR="00DA0041" w:rsidRPr="003D316C" w:rsidRDefault="00DA0041" w:rsidP="0096426F">
            <w:pPr>
              <w:ind w:firstLine="0"/>
              <w:jc w:val="center"/>
            </w:pPr>
            <w:r w:rsidRPr="003D316C">
              <w:rPr>
                <w:position w:val="-4"/>
              </w:rPr>
              <w:object w:dxaOrig="279" w:dyaOrig="320" w14:anchorId="324FAD25">
                <v:shape id="_x0000_i1026" type="#_x0000_t75" style="width:14.25pt;height:15.75pt" o:ole="">
                  <v:imagedata r:id="rId8" o:title=""/>
                </v:shape>
                <o:OLEObject Type="Embed" ProgID="Equation.3" ShapeID="_x0000_i1026" DrawAspect="Content" ObjectID="_1697138522" r:id="rId10"/>
              </w:object>
            </w:r>
          </w:p>
        </w:tc>
        <w:tc>
          <w:tcPr>
            <w:tcW w:w="1550" w:type="dxa"/>
            <w:tcBorders>
              <w:bottom w:val="single" w:sz="4" w:space="0" w:color="auto"/>
            </w:tcBorders>
            <w:vAlign w:val="center"/>
          </w:tcPr>
          <w:p w14:paraId="11B0AFB1" w14:textId="77777777" w:rsidR="00DA0041" w:rsidRPr="003D316C" w:rsidRDefault="00DA0041" w:rsidP="0096426F">
            <w:pPr>
              <w:ind w:firstLine="0"/>
              <w:jc w:val="center"/>
            </w:pPr>
            <w:r w:rsidRPr="003D316C">
              <w:t>Sıra Toplam</w:t>
            </w:r>
          </w:p>
        </w:tc>
        <w:tc>
          <w:tcPr>
            <w:tcW w:w="1434" w:type="dxa"/>
            <w:vAlign w:val="center"/>
          </w:tcPr>
          <w:p w14:paraId="4250D0F9" w14:textId="77777777" w:rsidR="00DA0041" w:rsidRPr="003D316C" w:rsidRDefault="00DA0041" w:rsidP="0096426F">
            <w:pPr>
              <w:ind w:firstLine="0"/>
              <w:jc w:val="center"/>
            </w:pPr>
            <w:r w:rsidRPr="003D316C">
              <w:t>U</w:t>
            </w:r>
          </w:p>
        </w:tc>
        <w:tc>
          <w:tcPr>
            <w:tcW w:w="1053" w:type="dxa"/>
            <w:tcBorders>
              <w:right w:val="nil"/>
            </w:tcBorders>
            <w:vAlign w:val="center"/>
          </w:tcPr>
          <w:p w14:paraId="316DB8B9" w14:textId="77777777" w:rsidR="00DA0041" w:rsidRPr="003D316C" w:rsidRDefault="00DA0041" w:rsidP="0096426F">
            <w:pPr>
              <w:ind w:firstLine="0"/>
              <w:jc w:val="center"/>
            </w:pPr>
            <w:proofErr w:type="gramStart"/>
            <w:r w:rsidRPr="003D316C">
              <w:t>p</w:t>
            </w:r>
            <w:proofErr w:type="gramEnd"/>
          </w:p>
        </w:tc>
      </w:tr>
      <w:tr w:rsidR="000059BD" w:rsidRPr="003D316C" w14:paraId="120A3478" w14:textId="77777777" w:rsidTr="000059BD">
        <w:trPr>
          <w:trHeight w:val="397"/>
        </w:trPr>
        <w:tc>
          <w:tcPr>
            <w:tcW w:w="2091" w:type="dxa"/>
            <w:vMerge w:val="restart"/>
            <w:tcBorders>
              <w:left w:val="nil"/>
            </w:tcBorders>
            <w:vAlign w:val="center"/>
          </w:tcPr>
          <w:p w14:paraId="49C4F47B" w14:textId="0C13A8B1" w:rsidR="000059BD" w:rsidRPr="003D316C" w:rsidRDefault="000059BD" w:rsidP="000059BD">
            <w:pPr>
              <w:ind w:firstLine="0"/>
            </w:pPr>
            <w:r w:rsidRPr="003D316C">
              <w:t>Programlama Yeterliği</w:t>
            </w:r>
          </w:p>
        </w:tc>
        <w:tc>
          <w:tcPr>
            <w:tcW w:w="1224" w:type="dxa"/>
            <w:tcBorders>
              <w:bottom w:val="nil"/>
            </w:tcBorders>
            <w:vAlign w:val="center"/>
          </w:tcPr>
          <w:p w14:paraId="16733ED8" w14:textId="2BF75001" w:rsidR="000059BD" w:rsidRPr="003D316C" w:rsidRDefault="000059BD" w:rsidP="000059BD">
            <w:pPr>
              <w:ind w:firstLine="0"/>
            </w:pPr>
            <w:r w:rsidRPr="003D316C">
              <w:t>Lise</w:t>
            </w:r>
          </w:p>
        </w:tc>
        <w:tc>
          <w:tcPr>
            <w:tcW w:w="725" w:type="dxa"/>
            <w:tcBorders>
              <w:bottom w:val="nil"/>
            </w:tcBorders>
            <w:vAlign w:val="center"/>
          </w:tcPr>
          <w:p w14:paraId="5E3EAAD3" w14:textId="1822FB82" w:rsidR="000059BD" w:rsidRPr="003D316C" w:rsidRDefault="000059BD" w:rsidP="000059BD">
            <w:pPr>
              <w:ind w:firstLine="0"/>
              <w:jc w:val="center"/>
            </w:pPr>
            <w:r w:rsidRPr="003D316C">
              <w:t>193</w:t>
            </w:r>
          </w:p>
        </w:tc>
        <w:tc>
          <w:tcPr>
            <w:tcW w:w="1052" w:type="dxa"/>
            <w:tcBorders>
              <w:bottom w:val="nil"/>
            </w:tcBorders>
            <w:vAlign w:val="center"/>
          </w:tcPr>
          <w:p w14:paraId="252C4FFF" w14:textId="11176CEA" w:rsidR="000059BD" w:rsidRPr="003D316C" w:rsidRDefault="000059BD" w:rsidP="000059BD">
            <w:pPr>
              <w:ind w:firstLine="0"/>
              <w:jc w:val="center"/>
            </w:pPr>
            <w:r w:rsidRPr="003D316C">
              <w:t>163,97</w:t>
            </w:r>
          </w:p>
        </w:tc>
        <w:tc>
          <w:tcPr>
            <w:tcW w:w="1550" w:type="dxa"/>
            <w:tcBorders>
              <w:bottom w:val="nil"/>
            </w:tcBorders>
            <w:vAlign w:val="center"/>
          </w:tcPr>
          <w:p w14:paraId="3005C054" w14:textId="4ABA19CF" w:rsidR="000059BD" w:rsidRPr="003D316C" w:rsidRDefault="000059BD" w:rsidP="000059BD">
            <w:pPr>
              <w:ind w:firstLine="0"/>
              <w:jc w:val="center"/>
            </w:pPr>
            <w:r w:rsidRPr="003D316C">
              <w:t>31647,00</w:t>
            </w:r>
          </w:p>
        </w:tc>
        <w:tc>
          <w:tcPr>
            <w:tcW w:w="1434" w:type="dxa"/>
            <w:vMerge w:val="restart"/>
            <w:vAlign w:val="center"/>
          </w:tcPr>
          <w:p w14:paraId="67B0366C" w14:textId="1D0393B6" w:rsidR="000059BD" w:rsidRPr="003D316C" w:rsidRDefault="000059BD" w:rsidP="000059BD">
            <w:pPr>
              <w:ind w:firstLine="0"/>
              <w:jc w:val="center"/>
            </w:pPr>
            <w:r w:rsidRPr="003D316C">
              <w:t>12926,000</w:t>
            </w:r>
          </w:p>
        </w:tc>
        <w:tc>
          <w:tcPr>
            <w:tcW w:w="1053" w:type="dxa"/>
            <w:vMerge w:val="restart"/>
            <w:tcBorders>
              <w:right w:val="nil"/>
            </w:tcBorders>
            <w:vAlign w:val="center"/>
          </w:tcPr>
          <w:p w14:paraId="6E24BA41" w14:textId="0C030194" w:rsidR="000059BD" w:rsidRPr="003D316C" w:rsidRDefault="000059BD" w:rsidP="000059BD">
            <w:pPr>
              <w:ind w:firstLine="0"/>
              <w:jc w:val="center"/>
            </w:pPr>
            <w:r w:rsidRPr="003D316C">
              <w:t>.000</w:t>
            </w:r>
          </w:p>
        </w:tc>
      </w:tr>
      <w:tr w:rsidR="000059BD" w:rsidRPr="003D316C" w14:paraId="7C062ADA" w14:textId="77777777" w:rsidTr="000059BD">
        <w:trPr>
          <w:trHeight w:val="397"/>
        </w:trPr>
        <w:tc>
          <w:tcPr>
            <w:tcW w:w="2091" w:type="dxa"/>
            <w:vMerge/>
            <w:tcBorders>
              <w:left w:val="nil"/>
            </w:tcBorders>
            <w:vAlign w:val="center"/>
          </w:tcPr>
          <w:p w14:paraId="5434FEAF" w14:textId="77777777" w:rsidR="000059BD" w:rsidRPr="003D316C" w:rsidRDefault="000059BD" w:rsidP="000059BD">
            <w:pPr>
              <w:ind w:firstLine="0"/>
            </w:pPr>
          </w:p>
        </w:tc>
        <w:tc>
          <w:tcPr>
            <w:tcW w:w="1224" w:type="dxa"/>
            <w:tcBorders>
              <w:top w:val="nil"/>
              <w:bottom w:val="single" w:sz="4" w:space="0" w:color="auto"/>
            </w:tcBorders>
            <w:vAlign w:val="center"/>
          </w:tcPr>
          <w:p w14:paraId="101B5CF0" w14:textId="558FABFD" w:rsidR="000059BD" w:rsidRPr="003D316C" w:rsidRDefault="000059BD" w:rsidP="000059BD">
            <w:pPr>
              <w:ind w:firstLine="0"/>
            </w:pPr>
            <w:r w:rsidRPr="003D316C">
              <w:t>Üniversite</w:t>
            </w:r>
          </w:p>
        </w:tc>
        <w:tc>
          <w:tcPr>
            <w:tcW w:w="725" w:type="dxa"/>
            <w:tcBorders>
              <w:top w:val="nil"/>
              <w:bottom w:val="single" w:sz="4" w:space="0" w:color="auto"/>
            </w:tcBorders>
            <w:vAlign w:val="center"/>
          </w:tcPr>
          <w:p w14:paraId="04C9231B" w14:textId="607CFB01" w:rsidR="000059BD" w:rsidRPr="003D316C" w:rsidRDefault="000059BD" w:rsidP="000059BD">
            <w:pPr>
              <w:ind w:firstLine="0"/>
              <w:jc w:val="center"/>
            </w:pPr>
            <w:r w:rsidRPr="003D316C">
              <w:t>174</w:t>
            </w:r>
          </w:p>
        </w:tc>
        <w:tc>
          <w:tcPr>
            <w:tcW w:w="1052" w:type="dxa"/>
            <w:tcBorders>
              <w:top w:val="nil"/>
              <w:bottom w:val="single" w:sz="4" w:space="0" w:color="auto"/>
            </w:tcBorders>
            <w:vAlign w:val="center"/>
          </w:tcPr>
          <w:p w14:paraId="335473F6" w14:textId="35B64947" w:rsidR="000059BD" w:rsidRPr="003D316C" w:rsidRDefault="000059BD" w:rsidP="000059BD">
            <w:pPr>
              <w:ind w:firstLine="0"/>
              <w:jc w:val="center"/>
            </w:pPr>
            <w:r w:rsidRPr="003D316C">
              <w:t>206,21</w:t>
            </w:r>
          </w:p>
        </w:tc>
        <w:tc>
          <w:tcPr>
            <w:tcW w:w="1550" w:type="dxa"/>
            <w:tcBorders>
              <w:top w:val="nil"/>
              <w:bottom w:val="single" w:sz="4" w:space="0" w:color="auto"/>
            </w:tcBorders>
            <w:vAlign w:val="center"/>
          </w:tcPr>
          <w:p w14:paraId="49F18433" w14:textId="2D26028F" w:rsidR="000059BD" w:rsidRPr="003D316C" w:rsidRDefault="000059BD" w:rsidP="000059BD">
            <w:pPr>
              <w:ind w:firstLine="0"/>
              <w:jc w:val="center"/>
            </w:pPr>
            <w:r w:rsidRPr="003D316C">
              <w:t>35881,00</w:t>
            </w:r>
          </w:p>
        </w:tc>
        <w:tc>
          <w:tcPr>
            <w:tcW w:w="1434" w:type="dxa"/>
            <w:vMerge/>
            <w:vAlign w:val="center"/>
          </w:tcPr>
          <w:p w14:paraId="51697E94" w14:textId="77777777" w:rsidR="000059BD" w:rsidRPr="003D316C" w:rsidRDefault="000059BD" w:rsidP="000059BD">
            <w:pPr>
              <w:ind w:firstLine="0"/>
              <w:jc w:val="center"/>
            </w:pPr>
          </w:p>
        </w:tc>
        <w:tc>
          <w:tcPr>
            <w:tcW w:w="1053" w:type="dxa"/>
            <w:vMerge/>
            <w:tcBorders>
              <w:right w:val="nil"/>
            </w:tcBorders>
            <w:vAlign w:val="center"/>
          </w:tcPr>
          <w:p w14:paraId="5729DCBD" w14:textId="77777777" w:rsidR="000059BD" w:rsidRPr="003D316C" w:rsidRDefault="000059BD" w:rsidP="000059BD">
            <w:pPr>
              <w:ind w:firstLine="0"/>
              <w:jc w:val="center"/>
            </w:pPr>
          </w:p>
        </w:tc>
      </w:tr>
      <w:tr w:rsidR="000059BD" w:rsidRPr="003D316C" w14:paraId="55BA2BED" w14:textId="77777777" w:rsidTr="000059BD">
        <w:trPr>
          <w:trHeight w:val="397"/>
        </w:trPr>
        <w:tc>
          <w:tcPr>
            <w:tcW w:w="2091" w:type="dxa"/>
            <w:vMerge w:val="restart"/>
            <w:tcBorders>
              <w:left w:val="nil"/>
            </w:tcBorders>
            <w:vAlign w:val="center"/>
          </w:tcPr>
          <w:p w14:paraId="778B9E27" w14:textId="63CF22C7" w:rsidR="000059BD" w:rsidRPr="003D316C" w:rsidRDefault="000059BD" w:rsidP="000059BD">
            <w:pPr>
              <w:ind w:firstLine="0"/>
            </w:pPr>
            <w:r w:rsidRPr="003D316C">
              <w:t>Programlama Becerisi</w:t>
            </w:r>
          </w:p>
        </w:tc>
        <w:tc>
          <w:tcPr>
            <w:tcW w:w="1224" w:type="dxa"/>
            <w:tcBorders>
              <w:bottom w:val="nil"/>
            </w:tcBorders>
            <w:vAlign w:val="center"/>
          </w:tcPr>
          <w:p w14:paraId="2C8BA5F4" w14:textId="23485544" w:rsidR="000059BD" w:rsidRPr="003D316C" w:rsidRDefault="000059BD" w:rsidP="000059BD">
            <w:pPr>
              <w:ind w:firstLine="0"/>
            </w:pPr>
            <w:r w:rsidRPr="003D316C">
              <w:t>Lise</w:t>
            </w:r>
          </w:p>
        </w:tc>
        <w:tc>
          <w:tcPr>
            <w:tcW w:w="725" w:type="dxa"/>
            <w:tcBorders>
              <w:bottom w:val="nil"/>
            </w:tcBorders>
            <w:vAlign w:val="center"/>
          </w:tcPr>
          <w:p w14:paraId="046A4AA0" w14:textId="417B3FFD" w:rsidR="000059BD" w:rsidRPr="003D316C" w:rsidRDefault="000059BD" w:rsidP="000059BD">
            <w:pPr>
              <w:ind w:firstLine="0"/>
              <w:jc w:val="center"/>
            </w:pPr>
            <w:r w:rsidRPr="003D316C">
              <w:t>193</w:t>
            </w:r>
          </w:p>
        </w:tc>
        <w:tc>
          <w:tcPr>
            <w:tcW w:w="1052" w:type="dxa"/>
            <w:tcBorders>
              <w:bottom w:val="nil"/>
            </w:tcBorders>
            <w:vAlign w:val="center"/>
          </w:tcPr>
          <w:p w14:paraId="7CBD8C73" w14:textId="3052972A" w:rsidR="000059BD" w:rsidRPr="003D316C" w:rsidRDefault="000059BD" w:rsidP="000059BD">
            <w:pPr>
              <w:ind w:firstLine="0"/>
              <w:jc w:val="center"/>
            </w:pPr>
            <w:r w:rsidRPr="003D316C">
              <w:t>190,22</w:t>
            </w:r>
          </w:p>
        </w:tc>
        <w:tc>
          <w:tcPr>
            <w:tcW w:w="1550" w:type="dxa"/>
            <w:tcBorders>
              <w:bottom w:val="nil"/>
            </w:tcBorders>
            <w:vAlign w:val="center"/>
          </w:tcPr>
          <w:p w14:paraId="0EC21E0D" w14:textId="6B7E0052" w:rsidR="000059BD" w:rsidRPr="003D316C" w:rsidRDefault="000059BD" w:rsidP="000059BD">
            <w:pPr>
              <w:ind w:firstLine="0"/>
              <w:jc w:val="center"/>
            </w:pPr>
            <w:r w:rsidRPr="003D316C">
              <w:t>36712,50</w:t>
            </w:r>
          </w:p>
        </w:tc>
        <w:tc>
          <w:tcPr>
            <w:tcW w:w="1434" w:type="dxa"/>
            <w:vMerge w:val="restart"/>
            <w:vAlign w:val="center"/>
          </w:tcPr>
          <w:p w14:paraId="48079F61" w14:textId="4A3722B5" w:rsidR="000059BD" w:rsidRPr="003D316C" w:rsidRDefault="000059BD" w:rsidP="000059BD">
            <w:pPr>
              <w:ind w:firstLine="0"/>
              <w:jc w:val="center"/>
            </w:pPr>
            <w:r w:rsidRPr="003D316C">
              <w:t>15590,500</w:t>
            </w:r>
          </w:p>
        </w:tc>
        <w:tc>
          <w:tcPr>
            <w:tcW w:w="1053" w:type="dxa"/>
            <w:vMerge w:val="restart"/>
            <w:tcBorders>
              <w:right w:val="nil"/>
            </w:tcBorders>
            <w:vAlign w:val="center"/>
          </w:tcPr>
          <w:p w14:paraId="677A3117" w14:textId="081D6E8C" w:rsidR="000059BD" w:rsidRPr="003D316C" w:rsidRDefault="000059BD" w:rsidP="000059BD">
            <w:pPr>
              <w:ind w:firstLine="0"/>
              <w:jc w:val="center"/>
            </w:pPr>
            <w:r w:rsidRPr="003D316C">
              <w:t>.236</w:t>
            </w:r>
          </w:p>
        </w:tc>
      </w:tr>
      <w:tr w:rsidR="000059BD" w:rsidRPr="003D316C" w14:paraId="57072F31" w14:textId="77777777" w:rsidTr="000059BD">
        <w:trPr>
          <w:trHeight w:val="397"/>
        </w:trPr>
        <w:tc>
          <w:tcPr>
            <w:tcW w:w="2091" w:type="dxa"/>
            <w:vMerge/>
            <w:tcBorders>
              <w:left w:val="nil"/>
            </w:tcBorders>
            <w:vAlign w:val="center"/>
          </w:tcPr>
          <w:p w14:paraId="3F0EB866" w14:textId="77777777" w:rsidR="000059BD" w:rsidRPr="003D316C" w:rsidRDefault="000059BD" w:rsidP="000059BD">
            <w:pPr>
              <w:ind w:firstLine="0"/>
            </w:pPr>
          </w:p>
        </w:tc>
        <w:tc>
          <w:tcPr>
            <w:tcW w:w="1224" w:type="dxa"/>
            <w:tcBorders>
              <w:top w:val="nil"/>
              <w:bottom w:val="single" w:sz="4" w:space="0" w:color="auto"/>
            </w:tcBorders>
            <w:vAlign w:val="center"/>
          </w:tcPr>
          <w:p w14:paraId="32C4F187" w14:textId="28FBE2ED" w:rsidR="000059BD" w:rsidRPr="003D316C" w:rsidRDefault="000059BD" w:rsidP="000059BD">
            <w:pPr>
              <w:ind w:firstLine="0"/>
            </w:pPr>
            <w:r w:rsidRPr="003D316C">
              <w:t>Üniversite</w:t>
            </w:r>
          </w:p>
        </w:tc>
        <w:tc>
          <w:tcPr>
            <w:tcW w:w="725" w:type="dxa"/>
            <w:tcBorders>
              <w:top w:val="nil"/>
              <w:bottom w:val="single" w:sz="4" w:space="0" w:color="auto"/>
            </w:tcBorders>
            <w:vAlign w:val="center"/>
          </w:tcPr>
          <w:p w14:paraId="4872A507" w14:textId="5BDF305D" w:rsidR="000059BD" w:rsidRPr="003D316C" w:rsidRDefault="000059BD" w:rsidP="000059BD">
            <w:pPr>
              <w:ind w:firstLine="0"/>
              <w:jc w:val="center"/>
            </w:pPr>
            <w:r w:rsidRPr="003D316C">
              <w:t>174</w:t>
            </w:r>
          </w:p>
        </w:tc>
        <w:tc>
          <w:tcPr>
            <w:tcW w:w="1052" w:type="dxa"/>
            <w:tcBorders>
              <w:top w:val="nil"/>
              <w:bottom w:val="single" w:sz="4" w:space="0" w:color="auto"/>
            </w:tcBorders>
            <w:vAlign w:val="center"/>
          </w:tcPr>
          <w:p w14:paraId="7131E757" w14:textId="1C4F5341" w:rsidR="000059BD" w:rsidRPr="003D316C" w:rsidRDefault="000059BD" w:rsidP="000059BD">
            <w:pPr>
              <w:ind w:firstLine="0"/>
              <w:jc w:val="center"/>
            </w:pPr>
            <w:r w:rsidRPr="003D316C">
              <w:t>177,10</w:t>
            </w:r>
          </w:p>
        </w:tc>
        <w:tc>
          <w:tcPr>
            <w:tcW w:w="1550" w:type="dxa"/>
            <w:tcBorders>
              <w:top w:val="nil"/>
              <w:bottom w:val="single" w:sz="4" w:space="0" w:color="auto"/>
            </w:tcBorders>
            <w:vAlign w:val="center"/>
          </w:tcPr>
          <w:p w14:paraId="2284E0BB" w14:textId="2A399492" w:rsidR="000059BD" w:rsidRPr="003D316C" w:rsidRDefault="000059BD" w:rsidP="000059BD">
            <w:pPr>
              <w:ind w:firstLine="0"/>
              <w:jc w:val="center"/>
            </w:pPr>
            <w:r w:rsidRPr="003D316C">
              <w:t>30815,50</w:t>
            </w:r>
          </w:p>
        </w:tc>
        <w:tc>
          <w:tcPr>
            <w:tcW w:w="1434" w:type="dxa"/>
            <w:vMerge/>
            <w:vAlign w:val="center"/>
          </w:tcPr>
          <w:p w14:paraId="5EAE1D9B" w14:textId="77777777" w:rsidR="000059BD" w:rsidRPr="003D316C" w:rsidRDefault="000059BD" w:rsidP="000059BD">
            <w:pPr>
              <w:ind w:firstLine="0"/>
              <w:jc w:val="center"/>
            </w:pPr>
          </w:p>
        </w:tc>
        <w:tc>
          <w:tcPr>
            <w:tcW w:w="1053" w:type="dxa"/>
            <w:vMerge/>
            <w:tcBorders>
              <w:right w:val="nil"/>
            </w:tcBorders>
            <w:vAlign w:val="center"/>
          </w:tcPr>
          <w:p w14:paraId="58B29B93" w14:textId="77777777" w:rsidR="000059BD" w:rsidRPr="003D316C" w:rsidRDefault="000059BD" w:rsidP="000059BD">
            <w:pPr>
              <w:ind w:firstLine="0"/>
              <w:jc w:val="center"/>
            </w:pPr>
          </w:p>
        </w:tc>
      </w:tr>
      <w:tr w:rsidR="000059BD" w:rsidRPr="003D316C" w14:paraId="4D1F1934" w14:textId="77777777" w:rsidTr="00BD3E15">
        <w:trPr>
          <w:trHeight w:val="397"/>
        </w:trPr>
        <w:tc>
          <w:tcPr>
            <w:tcW w:w="2091" w:type="dxa"/>
            <w:vMerge w:val="restart"/>
            <w:tcBorders>
              <w:left w:val="nil"/>
            </w:tcBorders>
            <w:vAlign w:val="center"/>
          </w:tcPr>
          <w:p w14:paraId="10A1DD09" w14:textId="1F8C5885" w:rsidR="000059BD" w:rsidRPr="003D316C" w:rsidRDefault="000059BD" w:rsidP="000059BD">
            <w:pPr>
              <w:ind w:firstLine="0"/>
            </w:pPr>
            <w:r w:rsidRPr="003D316C">
              <w:t>Öz-Düzenleme</w:t>
            </w:r>
          </w:p>
        </w:tc>
        <w:tc>
          <w:tcPr>
            <w:tcW w:w="1224" w:type="dxa"/>
            <w:tcBorders>
              <w:bottom w:val="nil"/>
            </w:tcBorders>
            <w:vAlign w:val="center"/>
          </w:tcPr>
          <w:p w14:paraId="2CA965B5" w14:textId="4F44754B" w:rsidR="000059BD" w:rsidRPr="003D316C" w:rsidRDefault="000059BD" w:rsidP="000059BD">
            <w:pPr>
              <w:ind w:firstLine="0"/>
            </w:pPr>
            <w:r w:rsidRPr="003D316C">
              <w:t>Lise</w:t>
            </w:r>
          </w:p>
        </w:tc>
        <w:tc>
          <w:tcPr>
            <w:tcW w:w="725" w:type="dxa"/>
            <w:tcBorders>
              <w:bottom w:val="nil"/>
            </w:tcBorders>
            <w:vAlign w:val="center"/>
          </w:tcPr>
          <w:p w14:paraId="79AF9682" w14:textId="7E05621A" w:rsidR="000059BD" w:rsidRPr="003D316C" w:rsidRDefault="000059BD" w:rsidP="000059BD">
            <w:pPr>
              <w:ind w:firstLine="0"/>
              <w:jc w:val="center"/>
            </w:pPr>
            <w:r w:rsidRPr="003D316C">
              <w:t>193</w:t>
            </w:r>
          </w:p>
        </w:tc>
        <w:tc>
          <w:tcPr>
            <w:tcW w:w="1052" w:type="dxa"/>
            <w:tcBorders>
              <w:bottom w:val="nil"/>
            </w:tcBorders>
            <w:vAlign w:val="center"/>
          </w:tcPr>
          <w:p w14:paraId="602DFD8C" w14:textId="2F918113" w:rsidR="000059BD" w:rsidRPr="003D316C" w:rsidRDefault="000059BD" w:rsidP="000059BD">
            <w:pPr>
              <w:ind w:firstLine="0"/>
              <w:jc w:val="center"/>
            </w:pPr>
            <w:r w:rsidRPr="003D316C">
              <w:t>175,02</w:t>
            </w:r>
          </w:p>
        </w:tc>
        <w:tc>
          <w:tcPr>
            <w:tcW w:w="1550" w:type="dxa"/>
            <w:tcBorders>
              <w:bottom w:val="nil"/>
            </w:tcBorders>
            <w:vAlign w:val="center"/>
          </w:tcPr>
          <w:p w14:paraId="5F64DBAB" w14:textId="7C1172AA" w:rsidR="000059BD" w:rsidRPr="003D316C" w:rsidRDefault="000059BD" w:rsidP="000059BD">
            <w:pPr>
              <w:ind w:firstLine="0"/>
              <w:jc w:val="center"/>
            </w:pPr>
            <w:r w:rsidRPr="003D316C">
              <w:t>33778,00</w:t>
            </w:r>
          </w:p>
        </w:tc>
        <w:tc>
          <w:tcPr>
            <w:tcW w:w="1434" w:type="dxa"/>
            <w:vMerge w:val="restart"/>
            <w:vAlign w:val="center"/>
          </w:tcPr>
          <w:p w14:paraId="3B4C19F8" w14:textId="5FA134B4" w:rsidR="000059BD" w:rsidRPr="003D316C" w:rsidRDefault="000059BD" w:rsidP="000059BD">
            <w:pPr>
              <w:ind w:firstLine="0"/>
              <w:jc w:val="center"/>
            </w:pPr>
            <w:r w:rsidRPr="003D316C">
              <w:t>15057,000</w:t>
            </w:r>
          </w:p>
        </w:tc>
        <w:tc>
          <w:tcPr>
            <w:tcW w:w="1053" w:type="dxa"/>
            <w:vMerge w:val="restart"/>
            <w:tcBorders>
              <w:right w:val="nil"/>
            </w:tcBorders>
            <w:vAlign w:val="center"/>
          </w:tcPr>
          <w:p w14:paraId="718D19AE" w14:textId="458D2567" w:rsidR="000059BD" w:rsidRPr="003D316C" w:rsidRDefault="000059BD" w:rsidP="000059BD">
            <w:pPr>
              <w:ind w:firstLine="0"/>
              <w:jc w:val="center"/>
            </w:pPr>
            <w:r w:rsidRPr="003D316C">
              <w:t>.086</w:t>
            </w:r>
          </w:p>
        </w:tc>
      </w:tr>
      <w:tr w:rsidR="000059BD" w:rsidRPr="003D316C" w14:paraId="11564132" w14:textId="77777777" w:rsidTr="00BD3E15">
        <w:trPr>
          <w:trHeight w:val="397"/>
        </w:trPr>
        <w:tc>
          <w:tcPr>
            <w:tcW w:w="2091" w:type="dxa"/>
            <w:vMerge/>
            <w:tcBorders>
              <w:left w:val="nil"/>
            </w:tcBorders>
            <w:vAlign w:val="center"/>
          </w:tcPr>
          <w:p w14:paraId="0DECB205" w14:textId="77777777" w:rsidR="000059BD" w:rsidRPr="003D316C" w:rsidRDefault="000059BD" w:rsidP="000059BD">
            <w:pPr>
              <w:ind w:firstLine="0"/>
            </w:pPr>
          </w:p>
        </w:tc>
        <w:tc>
          <w:tcPr>
            <w:tcW w:w="1224" w:type="dxa"/>
            <w:tcBorders>
              <w:top w:val="nil"/>
              <w:bottom w:val="single" w:sz="4" w:space="0" w:color="auto"/>
            </w:tcBorders>
            <w:vAlign w:val="center"/>
          </w:tcPr>
          <w:p w14:paraId="4C762B14" w14:textId="10548D86" w:rsidR="000059BD" w:rsidRPr="003D316C" w:rsidRDefault="000059BD" w:rsidP="000059BD">
            <w:pPr>
              <w:ind w:firstLine="0"/>
            </w:pPr>
            <w:r w:rsidRPr="003D316C">
              <w:t>Üniversite</w:t>
            </w:r>
          </w:p>
        </w:tc>
        <w:tc>
          <w:tcPr>
            <w:tcW w:w="725" w:type="dxa"/>
            <w:tcBorders>
              <w:top w:val="nil"/>
              <w:bottom w:val="single" w:sz="4" w:space="0" w:color="auto"/>
            </w:tcBorders>
            <w:vAlign w:val="center"/>
          </w:tcPr>
          <w:p w14:paraId="6C5F801F" w14:textId="4468EFE0" w:rsidR="000059BD" w:rsidRPr="003D316C" w:rsidRDefault="000059BD" w:rsidP="000059BD">
            <w:pPr>
              <w:ind w:firstLine="0"/>
              <w:jc w:val="center"/>
            </w:pPr>
            <w:r w:rsidRPr="003D316C">
              <w:t>174</w:t>
            </w:r>
          </w:p>
        </w:tc>
        <w:tc>
          <w:tcPr>
            <w:tcW w:w="1052" w:type="dxa"/>
            <w:tcBorders>
              <w:top w:val="nil"/>
              <w:bottom w:val="single" w:sz="4" w:space="0" w:color="auto"/>
            </w:tcBorders>
            <w:vAlign w:val="center"/>
          </w:tcPr>
          <w:p w14:paraId="26C307A5" w14:textId="08C731A1" w:rsidR="000059BD" w:rsidRPr="003D316C" w:rsidRDefault="000059BD" w:rsidP="000059BD">
            <w:pPr>
              <w:ind w:firstLine="0"/>
              <w:jc w:val="center"/>
            </w:pPr>
            <w:r w:rsidRPr="003D316C">
              <w:t>193,97</w:t>
            </w:r>
          </w:p>
        </w:tc>
        <w:tc>
          <w:tcPr>
            <w:tcW w:w="1550" w:type="dxa"/>
            <w:tcBorders>
              <w:top w:val="nil"/>
              <w:bottom w:val="single" w:sz="4" w:space="0" w:color="auto"/>
            </w:tcBorders>
            <w:vAlign w:val="center"/>
          </w:tcPr>
          <w:p w14:paraId="23090B73" w14:textId="5CC7AB61" w:rsidR="000059BD" w:rsidRPr="003D316C" w:rsidRDefault="000059BD" w:rsidP="000059BD">
            <w:pPr>
              <w:ind w:firstLine="0"/>
              <w:jc w:val="center"/>
            </w:pPr>
            <w:r w:rsidRPr="003D316C">
              <w:t>33750,00</w:t>
            </w:r>
          </w:p>
        </w:tc>
        <w:tc>
          <w:tcPr>
            <w:tcW w:w="1434" w:type="dxa"/>
            <w:vMerge/>
            <w:vAlign w:val="center"/>
          </w:tcPr>
          <w:p w14:paraId="2D0911B2" w14:textId="77777777" w:rsidR="000059BD" w:rsidRPr="003D316C" w:rsidRDefault="000059BD" w:rsidP="000059BD">
            <w:pPr>
              <w:jc w:val="center"/>
            </w:pPr>
          </w:p>
        </w:tc>
        <w:tc>
          <w:tcPr>
            <w:tcW w:w="1053" w:type="dxa"/>
            <w:vMerge/>
            <w:tcBorders>
              <w:right w:val="nil"/>
            </w:tcBorders>
            <w:vAlign w:val="center"/>
          </w:tcPr>
          <w:p w14:paraId="4FF8A81D" w14:textId="77777777" w:rsidR="000059BD" w:rsidRPr="003D316C" w:rsidRDefault="000059BD" w:rsidP="000059BD">
            <w:pPr>
              <w:jc w:val="center"/>
            </w:pPr>
          </w:p>
        </w:tc>
      </w:tr>
    </w:tbl>
    <w:p w14:paraId="695D6CF0" w14:textId="77777777" w:rsidR="00DA0041" w:rsidRPr="003D316C" w:rsidRDefault="00DA0041" w:rsidP="00DA0041">
      <w:pPr>
        <w:ind w:firstLine="0"/>
      </w:pPr>
    </w:p>
    <w:p w14:paraId="4098E01F" w14:textId="506F0BBD" w:rsidR="00DA0041" w:rsidRPr="003D316C" w:rsidRDefault="00DA0041" w:rsidP="006516C6">
      <w:r w:rsidRPr="003D316C">
        <w:t>BPÖY ölçeğinin genelinde öğrenim düzeyine göre bilgisayar programlamaya yönelik herhangi bir anlamlı farkl</w:t>
      </w:r>
      <w:bookmarkStart w:id="0" w:name="_GoBack"/>
      <w:bookmarkEnd w:id="0"/>
      <w:r w:rsidRPr="003D316C">
        <w:t>ılık olmadığı görüldüğünden alt faktörler bağlamında öğrenim düzeyinin etkisi incelenmiştir</w:t>
      </w:r>
      <w:r w:rsidR="000059BD" w:rsidRPr="003D316C">
        <w:t xml:space="preserve"> (Tablo 4)</w:t>
      </w:r>
      <w:r w:rsidRPr="003D316C">
        <w:t>.</w:t>
      </w:r>
      <w:r w:rsidR="00404831" w:rsidRPr="003D316C">
        <w:t xml:space="preserve"> Analiz sonucunda </w:t>
      </w:r>
      <w:r w:rsidRPr="003D316C">
        <w:t>ölçeğin geneli ile benzer şekilde programlama becerisi ve öz-düzenleme faktörleri bakımından anlamlı bir farklılık bulunamamıştır.</w:t>
      </w:r>
      <w:r w:rsidR="00404831" w:rsidRPr="003D316C">
        <w:t xml:space="preserve"> Ölçeğin programlama yeterliği faktörüne yönelik olarak ise üniversite ve lise öğrencileri arasında anlamlı bir farklıl</w:t>
      </w:r>
      <w:r w:rsidR="00F93C51" w:rsidRPr="003D316C">
        <w:t>ık bulunmuştur (U=12926,000; p=.</w:t>
      </w:r>
      <w:r w:rsidR="00404831" w:rsidRPr="003D316C">
        <w:t>000).</w:t>
      </w:r>
    </w:p>
    <w:p w14:paraId="4553D69A" w14:textId="5333E755" w:rsidR="00F93C51" w:rsidRPr="003D316C" w:rsidRDefault="00F93C51" w:rsidP="00F93C51">
      <w:r w:rsidRPr="003D316C">
        <w:t>Programlama yeterliği faktörüne ilişkin ortaya çıkan farklılığın üniversite öğrencilerinin lise öğrencilerine göre programlama eğitimi bağlamında daha fazla deneyim sahibi olduklarından kaynaklanabileceği düşünülerek programlama deneyimi faktörünün öz-yeterlik algısı üzerindeki etkisi incelenmiştir</w:t>
      </w:r>
      <w:r w:rsidR="003D4C95" w:rsidRPr="003D316C">
        <w:t xml:space="preserve"> (Tablo 5)</w:t>
      </w:r>
      <w:r w:rsidRPr="003D316C">
        <w:t>.</w:t>
      </w:r>
    </w:p>
    <w:p w14:paraId="799DEE56" w14:textId="6E051E2B" w:rsidR="002E108C" w:rsidRPr="003D316C" w:rsidRDefault="002E108C" w:rsidP="002E108C">
      <w:pPr>
        <w:pStyle w:val="AralkYok"/>
        <w:rPr>
          <w:b/>
        </w:rPr>
      </w:pPr>
      <w:r w:rsidRPr="003D316C">
        <w:rPr>
          <w:b/>
        </w:rPr>
        <w:t>Tablo 5</w:t>
      </w:r>
    </w:p>
    <w:p w14:paraId="3ACD5BB1" w14:textId="38BFAE5A" w:rsidR="002E108C" w:rsidRPr="003D316C" w:rsidRDefault="006977E5" w:rsidP="002E108C">
      <w:pPr>
        <w:pStyle w:val="AralkYok"/>
        <w:rPr>
          <w:i/>
        </w:rPr>
      </w:pPr>
      <w:r w:rsidRPr="003D316C">
        <w:rPr>
          <w:i/>
        </w:rPr>
        <w:t>Programlama Deneyimine Göre Öz-Yeterlik Puanları</w:t>
      </w:r>
      <w:r w:rsidR="00166775" w:rsidRPr="003D316C">
        <w:rPr>
          <w:i/>
        </w:rPr>
        <w:t xml:space="preserve">na Ait </w:t>
      </w:r>
      <w:proofErr w:type="spellStart"/>
      <w:r w:rsidR="00166775" w:rsidRPr="003D316C">
        <w:rPr>
          <w:i/>
        </w:rPr>
        <w:t>Kruskal</w:t>
      </w:r>
      <w:proofErr w:type="spellEnd"/>
      <w:r w:rsidR="00166775" w:rsidRPr="003D316C">
        <w:rPr>
          <w:i/>
        </w:rPr>
        <w:t>-Wallis Testi Sonuçları</w:t>
      </w:r>
    </w:p>
    <w:tbl>
      <w:tblPr>
        <w:tblStyle w:val="TabloKlavuzu"/>
        <w:tblW w:w="9219" w:type="dxa"/>
        <w:tblInd w:w="-5" w:type="dxa"/>
        <w:tblBorders>
          <w:insideV w:val="none" w:sz="0" w:space="0" w:color="auto"/>
        </w:tblBorders>
        <w:tblLook w:val="04A0" w:firstRow="1" w:lastRow="0" w:firstColumn="1" w:lastColumn="0" w:noHBand="0" w:noVBand="1"/>
      </w:tblPr>
      <w:tblGrid>
        <w:gridCol w:w="2697"/>
        <w:gridCol w:w="1419"/>
        <w:gridCol w:w="1276"/>
        <w:gridCol w:w="1276"/>
        <w:gridCol w:w="1134"/>
        <w:gridCol w:w="1417"/>
      </w:tblGrid>
      <w:tr w:rsidR="00C718D7" w:rsidRPr="003D316C" w14:paraId="53F992BA" w14:textId="77777777" w:rsidTr="00E77B3E">
        <w:trPr>
          <w:trHeight w:val="397"/>
        </w:trPr>
        <w:tc>
          <w:tcPr>
            <w:tcW w:w="2697" w:type="dxa"/>
            <w:tcBorders>
              <w:left w:val="nil"/>
            </w:tcBorders>
            <w:vAlign w:val="center"/>
          </w:tcPr>
          <w:p w14:paraId="25D1C4DD" w14:textId="00CE8B66" w:rsidR="00C718D7" w:rsidRPr="003D316C" w:rsidRDefault="00C718D7" w:rsidP="00C718D7">
            <w:pPr>
              <w:ind w:firstLine="0"/>
            </w:pPr>
            <w:r w:rsidRPr="003D316C">
              <w:t>Programlama Deneyimi</w:t>
            </w:r>
          </w:p>
        </w:tc>
        <w:tc>
          <w:tcPr>
            <w:tcW w:w="1419" w:type="dxa"/>
            <w:vAlign w:val="center"/>
          </w:tcPr>
          <w:p w14:paraId="7B7A15F1" w14:textId="77777777" w:rsidR="00C718D7" w:rsidRPr="003D316C" w:rsidRDefault="00C718D7" w:rsidP="0096426F">
            <w:pPr>
              <w:ind w:firstLine="0"/>
              <w:jc w:val="center"/>
            </w:pPr>
            <w:r w:rsidRPr="003D316C">
              <w:t>N</w:t>
            </w:r>
          </w:p>
        </w:tc>
        <w:tc>
          <w:tcPr>
            <w:tcW w:w="1276" w:type="dxa"/>
            <w:vAlign w:val="center"/>
          </w:tcPr>
          <w:p w14:paraId="15A8BF95" w14:textId="77777777" w:rsidR="00C718D7" w:rsidRPr="003D316C" w:rsidRDefault="00C718D7" w:rsidP="0096426F">
            <w:pPr>
              <w:ind w:firstLine="0"/>
              <w:jc w:val="center"/>
            </w:pPr>
            <w:r w:rsidRPr="003D316C">
              <w:rPr>
                <w:position w:val="-4"/>
              </w:rPr>
              <w:object w:dxaOrig="279" w:dyaOrig="320" w14:anchorId="6E9C4A10">
                <v:shape id="_x0000_i1027" type="#_x0000_t75" style="width:14.25pt;height:15.75pt" o:ole="">
                  <v:imagedata r:id="rId8" o:title=""/>
                </v:shape>
                <o:OLEObject Type="Embed" ProgID="Equation.3" ShapeID="_x0000_i1027" DrawAspect="Content" ObjectID="_1697138523" r:id="rId11"/>
              </w:object>
            </w:r>
          </w:p>
        </w:tc>
        <w:tc>
          <w:tcPr>
            <w:tcW w:w="1276" w:type="dxa"/>
            <w:vAlign w:val="center"/>
          </w:tcPr>
          <w:p w14:paraId="05CA6284" w14:textId="4CE240B5" w:rsidR="00C718D7" w:rsidRPr="003D316C" w:rsidRDefault="00C718D7" w:rsidP="0096426F">
            <w:pPr>
              <w:ind w:firstLine="0"/>
              <w:jc w:val="center"/>
            </w:pPr>
            <w:proofErr w:type="spellStart"/>
            <w:r w:rsidRPr="003D316C">
              <w:t>Sd</w:t>
            </w:r>
            <w:proofErr w:type="spellEnd"/>
          </w:p>
        </w:tc>
        <w:tc>
          <w:tcPr>
            <w:tcW w:w="1134" w:type="dxa"/>
            <w:vAlign w:val="center"/>
          </w:tcPr>
          <w:p w14:paraId="40321BF3" w14:textId="6EB7CD35" w:rsidR="00C718D7" w:rsidRPr="003D316C" w:rsidRDefault="00E77B3E" w:rsidP="0096426F">
            <w:pPr>
              <w:ind w:firstLine="0"/>
              <w:jc w:val="center"/>
            </w:pPr>
            <w:r w:rsidRPr="003D316C">
              <w:rPr>
                <w:position w:val="-10"/>
              </w:rPr>
              <w:object w:dxaOrig="360" w:dyaOrig="320" w14:anchorId="0AA4BB47">
                <v:shape id="_x0000_i1028" type="#_x0000_t75" style="width:18pt;height:15.75pt" o:ole="">
                  <v:imagedata r:id="rId12" o:title=""/>
                </v:shape>
                <o:OLEObject Type="Embed" ProgID="Equation.3" ShapeID="_x0000_i1028" DrawAspect="Content" ObjectID="_1697138524" r:id="rId13"/>
              </w:object>
            </w:r>
          </w:p>
        </w:tc>
        <w:tc>
          <w:tcPr>
            <w:tcW w:w="1417" w:type="dxa"/>
            <w:tcBorders>
              <w:right w:val="nil"/>
            </w:tcBorders>
            <w:vAlign w:val="center"/>
          </w:tcPr>
          <w:p w14:paraId="5D670361" w14:textId="77777777" w:rsidR="00C718D7" w:rsidRPr="003D316C" w:rsidRDefault="00C718D7" w:rsidP="0096426F">
            <w:pPr>
              <w:ind w:firstLine="0"/>
              <w:jc w:val="center"/>
            </w:pPr>
            <w:proofErr w:type="gramStart"/>
            <w:r w:rsidRPr="003D316C">
              <w:t>p</w:t>
            </w:r>
            <w:proofErr w:type="gramEnd"/>
          </w:p>
        </w:tc>
      </w:tr>
      <w:tr w:rsidR="00E77B3E" w:rsidRPr="003D316C" w14:paraId="6948BE7C" w14:textId="77777777" w:rsidTr="00E77B3E">
        <w:trPr>
          <w:trHeight w:val="397"/>
        </w:trPr>
        <w:tc>
          <w:tcPr>
            <w:tcW w:w="2697" w:type="dxa"/>
            <w:tcBorders>
              <w:left w:val="nil"/>
              <w:bottom w:val="nil"/>
            </w:tcBorders>
            <w:vAlign w:val="center"/>
          </w:tcPr>
          <w:p w14:paraId="2540409B" w14:textId="2DA246AD" w:rsidR="00E77B3E" w:rsidRPr="003D316C" w:rsidRDefault="00E77B3E" w:rsidP="00E77B3E">
            <w:pPr>
              <w:ind w:firstLine="0"/>
            </w:pPr>
            <w:r w:rsidRPr="003D316C">
              <w:t>1 yıl ve daha az</w:t>
            </w:r>
          </w:p>
        </w:tc>
        <w:tc>
          <w:tcPr>
            <w:tcW w:w="1419" w:type="dxa"/>
            <w:tcBorders>
              <w:bottom w:val="nil"/>
            </w:tcBorders>
            <w:vAlign w:val="center"/>
          </w:tcPr>
          <w:p w14:paraId="2CFB50B4" w14:textId="65B26545" w:rsidR="00E77B3E" w:rsidRPr="003D316C" w:rsidRDefault="00E77B3E" w:rsidP="00E77B3E">
            <w:pPr>
              <w:ind w:firstLine="0"/>
              <w:jc w:val="center"/>
            </w:pPr>
            <w:r w:rsidRPr="003D316C">
              <w:t>172</w:t>
            </w:r>
          </w:p>
        </w:tc>
        <w:tc>
          <w:tcPr>
            <w:tcW w:w="1276" w:type="dxa"/>
            <w:tcBorders>
              <w:bottom w:val="nil"/>
            </w:tcBorders>
            <w:vAlign w:val="center"/>
          </w:tcPr>
          <w:p w14:paraId="4053CD6D" w14:textId="07E3E4E8" w:rsidR="00E77B3E" w:rsidRPr="003D316C" w:rsidRDefault="00E77B3E" w:rsidP="00E77B3E">
            <w:pPr>
              <w:ind w:firstLine="0"/>
              <w:jc w:val="center"/>
            </w:pPr>
            <w:r w:rsidRPr="003D316C">
              <w:t>157,44</w:t>
            </w:r>
          </w:p>
        </w:tc>
        <w:tc>
          <w:tcPr>
            <w:tcW w:w="1276" w:type="dxa"/>
            <w:vMerge w:val="restart"/>
            <w:vAlign w:val="center"/>
          </w:tcPr>
          <w:p w14:paraId="69FCA5BD" w14:textId="731127D9" w:rsidR="00E77B3E" w:rsidRPr="003D316C" w:rsidRDefault="00E77B3E" w:rsidP="00E77B3E">
            <w:pPr>
              <w:ind w:firstLine="0"/>
              <w:jc w:val="center"/>
            </w:pPr>
            <w:r w:rsidRPr="003D316C">
              <w:t>4</w:t>
            </w:r>
          </w:p>
        </w:tc>
        <w:tc>
          <w:tcPr>
            <w:tcW w:w="1134" w:type="dxa"/>
            <w:vMerge w:val="restart"/>
            <w:vAlign w:val="center"/>
          </w:tcPr>
          <w:p w14:paraId="1C6F2704" w14:textId="7432AAA3" w:rsidR="00E77B3E" w:rsidRPr="003D316C" w:rsidRDefault="00E77B3E" w:rsidP="00E77B3E">
            <w:pPr>
              <w:ind w:firstLine="0"/>
              <w:jc w:val="center"/>
            </w:pPr>
            <w:r w:rsidRPr="003D316C">
              <w:t>51,400</w:t>
            </w:r>
          </w:p>
        </w:tc>
        <w:tc>
          <w:tcPr>
            <w:tcW w:w="1417" w:type="dxa"/>
            <w:vMerge w:val="restart"/>
            <w:tcBorders>
              <w:right w:val="nil"/>
            </w:tcBorders>
            <w:vAlign w:val="center"/>
          </w:tcPr>
          <w:p w14:paraId="6F3898BF" w14:textId="584AF30A" w:rsidR="00E77B3E" w:rsidRPr="003D316C" w:rsidRDefault="00E77B3E" w:rsidP="00E77B3E">
            <w:pPr>
              <w:ind w:firstLine="0"/>
              <w:jc w:val="center"/>
            </w:pPr>
            <w:r w:rsidRPr="003D316C">
              <w:t>.000</w:t>
            </w:r>
          </w:p>
        </w:tc>
      </w:tr>
      <w:tr w:rsidR="00E77B3E" w:rsidRPr="003D316C" w14:paraId="75B5CBDB" w14:textId="77777777" w:rsidTr="00E77B3E">
        <w:trPr>
          <w:trHeight w:val="397"/>
        </w:trPr>
        <w:tc>
          <w:tcPr>
            <w:tcW w:w="2697" w:type="dxa"/>
            <w:tcBorders>
              <w:top w:val="nil"/>
              <w:left w:val="nil"/>
              <w:bottom w:val="nil"/>
            </w:tcBorders>
            <w:vAlign w:val="center"/>
          </w:tcPr>
          <w:p w14:paraId="45B4BC0F" w14:textId="457E2627" w:rsidR="00E77B3E" w:rsidRPr="003D316C" w:rsidRDefault="00E77B3E" w:rsidP="00E77B3E">
            <w:pPr>
              <w:ind w:firstLine="0"/>
            </w:pPr>
            <w:r w:rsidRPr="003D316C">
              <w:t>1-3 yıl arası</w:t>
            </w:r>
          </w:p>
        </w:tc>
        <w:tc>
          <w:tcPr>
            <w:tcW w:w="1419" w:type="dxa"/>
            <w:tcBorders>
              <w:top w:val="nil"/>
              <w:bottom w:val="nil"/>
            </w:tcBorders>
            <w:vAlign w:val="center"/>
          </w:tcPr>
          <w:p w14:paraId="419F759F" w14:textId="4CD14DC8" w:rsidR="00E77B3E" w:rsidRPr="003D316C" w:rsidRDefault="00E77B3E" w:rsidP="00E77B3E">
            <w:pPr>
              <w:ind w:firstLine="0"/>
              <w:jc w:val="center"/>
            </w:pPr>
            <w:r w:rsidRPr="003D316C">
              <w:t>126</w:t>
            </w:r>
          </w:p>
        </w:tc>
        <w:tc>
          <w:tcPr>
            <w:tcW w:w="1276" w:type="dxa"/>
            <w:tcBorders>
              <w:top w:val="nil"/>
              <w:bottom w:val="nil"/>
            </w:tcBorders>
            <w:vAlign w:val="center"/>
          </w:tcPr>
          <w:p w14:paraId="1D703D5D" w14:textId="14A1BFA9" w:rsidR="00E77B3E" w:rsidRPr="003D316C" w:rsidRDefault="00E77B3E" w:rsidP="00E77B3E">
            <w:pPr>
              <w:ind w:firstLine="0"/>
              <w:jc w:val="center"/>
            </w:pPr>
            <w:r w:rsidRPr="003D316C">
              <w:t>177,85</w:t>
            </w:r>
          </w:p>
        </w:tc>
        <w:tc>
          <w:tcPr>
            <w:tcW w:w="1276" w:type="dxa"/>
            <w:vMerge/>
            <w:vAlign w:val="center"/>
          </w:tcPr>
          <w:p w14:paraId="75EEE223" w14:textId="5064A5E7" w:rsidR="00E77B3E" w:rsidRPr="003D316C" w:rsidRDefault="00E77B3E" w:rsidP="00E77B3E">
            <w:pPr>
              <w:ind w:firstLine="0"/>
              <w:jc w:val="center"/>
            </w:pPr>
          </w:p>
        </w:tc>
        <w:tc>
          <w:tcPr>
            <w:tcW w:w="1134" w:type="dxa"/>
            <w:vMerge/>
            <w:vAlign w:val="center"/>
          </w:tcPr>
          <w:p w14:paraId="6866523F" w14:textId="77777777" w:rsidR="00E77B3E" w:rsidRPr="003D316C" w:rsidRDefault="00E77B3E" w:rsidP="00E77B3E">
            <w:pPr>
              <w:ind w:firstLine="0"/>
              <w:jc w:val="center"/>
            </w:pPr>
          </w:p>
        </w:tc>
        <w:tc>
          <w:tcPr>
            <w:tcW w:w="1417" w:type="dxa"/>
            <w:vMerge/>
            <w:tcBorders>
              <w:right w:val="nil"/>
            </w:tcBorders>
            <w:vAlign w:val="center"/>
          </w:tcPr>
          <w:p w14:paraId="386E2CB4" w14:textId="77777777" w:rsidR="00E77B3E" w:rsidRPr="003D316C" w:rsidRDefault="00E77B3E" w:rsidP="00E77B3E">
            <w:pPr>
              <w:ind w:firstLine="0"/>
              <w:jc w:val="center"/>
            </w:pPr>
          </w:p>
        </w:tc>
      </w:tr>
      <w:tr w:rsidR="00E77B3E" w:rsidRPr="003D316C" w14:paraId="3F821BBA" w14:textId="77777777" w:rsidTr="00E77B3E">
        <w:trPr>
          <w:trHeight w:val="397"/>
        </w:trPr>
        <w:tc>
          <w:tcPr>
            <w:tcW w:w="2697" w:type="dxa"/>
            <w:tcBorders>
              <w:top w:val="nil"/>
              <w:left w:val="nil"/>
              <w:bottom w:val="nil"/>
            </w:tcBorders>
            <w:vAlign w:val="center"/>
          </w:tcPr>
          <w:p w14:paraId="5D373431" w14:textId="138A6EB4" w:rsidR="00E77B3E" w:rsidRPr="003D316C" w:rsidRDefault="00E77B3E" w:rsidP="00E77B3E">
            <w:pPr>
              <w:ind w:firstLine="0"/>
            </w:pPr>
            <w:r w:rsidRPr="003D316C">
              <w:t>3-5 yıl arası</w:t>
            </w:r>
          </w:p>
        </w:tc>
        <w:tc>
          <w:tcPr>
            <w:tcW w:w="1419" w:type="dxa"/>
            <w:tcBorders>
              <w:top w:val="nil"/>
              <w:bottom w:val="nil"/>
            </w:tcBorders>
            <w:vAlign w:val="center"/>
          </w:tcPr>
          <w:p w14:paraId="29DA2680" w14:textId="1C426D3F" w:rsidR="00E77B3E" w:rsidRPr="003D316C" w:rsidRDefault="00E77B3E" w:rsidP="00E77B3E">
            <w:pPr>
              <w:ind w:firstLine="0"/>
              <w:jc w:val="center"/>
            </w:pPr>
            <w:r w:rsidRPr="003D316C">
              <w:t>49</w:t>
            </w:r>
          </w:p>
        </w:tc>
        <w:tc>
          <w:tcPr>
            <w:tcW w:w="1276" w:type="dxa"/>
            <w:tcBorders>
              <w:top w:val="nil"/>
              <w:bottom w:val="nil"/>
            </w:tcBorders>
            <w:vAlign w:val="center"/>
          </w:tcPr>
          <w:p w14:paraId="3103C927" w14:textId="3B65BBDD" w:rsidR="00E77B3E" w:rsidRPr="003D316C" w:rsidRDefault="00E77B3E" w:rsidP="00E77B3E">
            <w:pPr>
              <w:ind w:firstLine="0"/>
              <w:jc w:val="center"/>
            </w:pPr>
            <w:r w:rsidRPr="003D316C">
              <w:t>246,48</w:t>
            </w:r>
          </w:p>
        </w:tc>
        <w:tc>
          <w:tcPr>
            <w:tcW w:w="1276" w:type="dxa"/>
            <w:vMerge/>
            <w:vAlign w:val="center"/>
          </w:tcPr>
          <w:p w14:paraId="7948B009" w14:textId="30CC6C75" w:rsidR="00E77B3E" w:rsidRPr="003D316C" w:rsidRDefault="00E77B3E" w:rsidP="00E77B3E">
            <w:pPr>
              <w:ind w:firstLine="0"/>
              <w:jc w:val="center"/>
            </w:pPr>
          </w:p>
        </w:tc>
        <w:tc>
          <w:tcPr>
            <w:tcW w:w="1134" w:type="dxa"/>
            <w:vMerge/>
            <w:vAlign w:val="center"/>
          </w:tcPr>
          <w:p w14:paraId="7496456C" w14:textId="06A319D5" w:rsidR="00E77B3E" w:rsidRPr="003D316C" w:rsidRDefault="00E77B3E" w:rsidP="00E77B3E">
            <w:pPr>
              <w:ind w:firstLine="0"/>
              <w:jc w:val="center"/>
            </w:pPr>
          </w:p>
        </w:tc>
        <w:tc>
          <w:tcPr>
            <w:tcW w:w="1417" w:type="dxa"/>
            <w:vMerge/>
            <w:tcBorders>
              <w:right w:val="nil"/>
            </w:tcBorders>
            <w:vAlign w:val="center"/>
          </w:tcPr>
          <w:p w14:paraId="43F23FB0" w14:textId="06A1C22E" w:rsidR="00E77B3E" w:rsidRPr="003D316C" w:rsidRDefault="00E77B3E" w:rsidP="00E77B3E">
            <w:pPr>
              <w:ind w:firstLine="0"/>
              <w:jc w:val="center"/>
            </w:pPr>
          </w:p>
        </w:tc>
      </w:tr>
      <w:tr w:rsidR="00E77B3E" w:rsidRPr="003D316C" w14:paraId="34A77751" w14:textId="77777777" w:rsidTr="00E77B3E">
        <w:trPr>
          <w:trHeight w:val="397"/>
        </w:trPr>
        <w:tc>
          <w:tcPr>
            <w:tcW w:w="2697" w:type="dxa"/>
            <w:tcBorders>
              <w:top w:val="nil"/>
              <w:left w:val="nil"/>
              <w:bottom w:val="nil"/>
            </w:tcBorders>
            <w:vAlign w:val="center"/>
          </w:tcPr>
          <w:p w14:paraId="15DB45A7" w14:textId="40C59C46" w:rsidR="00E77B3E" w:rsidRPr="003D316C" w:rsidRDefault="00E77B3E" w:rsidP="00E77B3E">
            <w:pPr>
              <w:ind w:firstLine="0"/>
            </w:pPr>
            <w:r w:rsidRPr="003D316C">
              <w:t>5-7 yıl arası</w:t>
            </w:r>
          </w:p>
        </w:tc>
        <w:tc>
          <w:tcPr>
            <w:tcW w:w="1419" w:type="dxa"/>
            <w:tcBorders>
              <w:top w:val="nil"/>
              <w:bottom w:val="nil"/>
            </w:tcBorders>
            <w:vAlign w:val="center"/>
          </w:tcPr>
          <w:p w14:paraId="180BE0BA" w14:textId="48E4ED0B" w:rsidR="00E77B3E" w:rsidRPr="003D316C" w:rsidRDefault="00E77B3E" w:rsidP="00E77B3E">
            <w:pPr>
              <w:ind w:firstLine="0"/>
              <w:jc w:val="center"/>
            </w:pPr>
            <w:r w:rsidRPr="003D316C">
              <w:t>15</w:t>
            </w:r>
          </w:p>
        </w:tc>
        <w:tc>
          <w:tcPr>
            <w:tcW w:w="1276" w:type="dxa"/>
            <w:tcBorders>
              <w:top w:val="nil"/>
              <w:bottom w:val="nil"/>
            </w:tcBorders>
            <w:vAlign w:val="center"/>
          </w:tcPr>
          <w:p w14:paraId="1AB8F6DF" w14:textId="11669E15" w:rsidR="00E77B3E" w:rsidRPr="003D316C" w:rsidRDefault="00E77B3E" w:rsidP="00E77B3E">
            <w:pPr>
              <w:ind w:firstLine="0"/>
              <w:jc w:val="center"/>
            </w:pPr>
            <w:r w:rsidRPr="003D316C">
              <w:t>297,67</w:t>
            </w:r>
          </w:p>
        </w:tc>
        <w:tc>
          <w:tcPr>
            <w:tcW w:w="1276" w:type="dxa"/>
            <w:vMerge/>
            <w:vAlign w:val="center"/>
          </w:tcPr>
          <w:p w14:paraId="44E37E70" w14:textId="43DB7D3E" w:rsidR="00E77B3E" w:rsidRPr="003D316C" w:rsidRDefault="00E77B3E" w:rsidP="00E77B3E">
            <w:pPr>
              <w:ind w:firstLine="0"/>
              <w:jc w:val="center"/>
            </w:pPr>
          </w:p>
        </w:tc>
        <w:tc>
          <w:tcPr>
            <w:tcW w:w="1134" w:type="dxa"/>
            <w:vMerge/>
            <w:vAlign w:val="center"/>
          </w:tcPr>
          <w:p w14:paraId="667655B8" w14:textId="77777777" w:rsidR="00E77B3E" w:rsidRPr="003D316C" w:rsidRDefault="00E77B3E" w:rsidP="00E77B3E">
            <w:pPr>
              <w:ind w:firstLine="0"/>
              <w:jc w:val="center"/>
            </w:pPr>
          </w:p>
        </w:tc>
        <w:tc>
          <w:tcPr>
            <w:tcW w:w="1417" w:type="dxa"/>
            <w:vMerge/>
            <w:tcBorders>
              <w:right w:val="nil"/>
            </w:tcBorders>
            <w:vAlign w:val="center"/>
          </w:tcPr>
          <w:p w14:paraId="64C3552C" w14:textId="77777777" w:rsidR="00E77B3E" w:rsidRPr="003D316C" w:rsidRDefault="00E77B3E" w:rsidP="00E77B3E">
            <w:pPr>
              <w:ind w:firstLine="0"/>
              <w:jc w:val="center"/>
            </w:pPr>
          </w:p>
        </w:tc>
      </w:tr>
      <w:tr w:rsidR="00E77B3E" w:rsidRPr="003D316C" w14:paraId="6A3C0AAA" w14:textId="77777777" w:rsidTr="00E77B3E">
        <w:trPr>
          <w:trHeight w:val="397"/>
        </w:trPr>
        <w:tc>
          <w:tcPr>
            <w:tcW w:w="2697" w:type="dxa"/>
            <w:tcBorders>
              <w:top w:val="nil"/>
              <w:left w:val="nil"/>
            </w:tcBorders>
            <w:vAlign w:val="center"/>
          </w:tcPr>
          <w:p w14:paraId="67BACC4B" w14:textId="7808FBB3" w:rsidR="00E77B3E" w:rsidRPr="003D316C" w:rsidRDefault="00E77B3E" w:rsidP="00E77B3E">
            <w:pPr>
              <w:ind w:firstLine="0"/>
            </w:pPr>
            <w:r w:rsidRPr="003D316C">
              <w:t>7 yıl ve üzeri</w:t>
            </w:r>
          </w:p>
        </w:tc>
        <w:tc>
          <w:tcPr>
            <w:tcW w:w="1419" w:type="dxa"/>
            <w:tcBorders>
              <w:top w:val="nil"/>
            </w:tcBorders>
            <w:vAlign w:val="center"/>
          </w:tcPr>
          <w:p w14:paraId="043C4479" w14:textId="28CB525D" w:rsidR="00E77B3E" w:rsidRPr="003D316C" w:rsidRDefault="00E77B3E" w:rsidP="00E77B3E">
            <w:pPr>
              <w:ind w:firstLine="0"/>
              <w:jc w:val="center"/>
            </w:pPr>
            <w:r w:rsidRPr="003D316C">
              <w:t>5</w:t>
            </w:r>
          </w:p>
        </w:tc>
        <w:tc>
          <w:tcPr>
            <w:tcW w:w="1276" w:type="dxa"/>
            <w:tcBorders>
              <w:top w:val="nil"/>
            </w:tcBorders>
            <w:vAlign w:val="center"/>
          </w:tcPr>
          <w:p w14:paraId="171B86AA" w14:textId="1B237F3F" w:rsidR="00E77B3E" w:rsidRPr="003D316C" w:rsidRDefault="00E77B3E" w:rsidP="00E77B3E">
            <w:pPr>
              <w:ind w:firstLine="0"/>
              <w:jc w:val="center"/>
            </w:pPr>
            <w:r w:rsidRPr="003D316C">
              <w:t>299,60</w:t>
            </w:r>
          </w:p>
        </w:tc>
        <w:tc>
          <w:tcPr>
            <w:tcW w:w="1276" w:type="dxa"/>
            <w:vMerge/>
            <w:vAlign w:val="center"/>
          </w:tcPr>
          <w:p w14:paraId="1609DDC9" w14:textId="411EE142" w:rsidR="00E77B3E" w:rsidRPr="003D316C" w:rsidRDefault="00E77B3E" w:rsidP="00E77B3E">
            <w:pPr>
              <w:ind w:firstLine="0"/>
              <w:jc w:val="center"/>
            </w:pPr>
          </w:p>
        </w:tc>
        <w:tc>
          <w:tcPr>
            <w:tcW w:w="1134" w:type="dxa"/>
            <w:vMerge/>
            <w:vAlign w:val="center"/>
          </w:tcPr>
          <w:p w14:paraId="138E1A13" w14:textId="62297568" w:rsidR="00E77B3E" w:rsidRPr="003D316C" w:rsidRDefault="00E77B3E" w:rsidP="00E77B3E">
            <w:pPr>
              <w:ind w:firstLine="0"/>
              <w:jc w:val="center"/>
            </w:pPr>
          </w:p>
        </w:tc>
        <w:tc>
          <w:tcPr>
            <w:tcW w:w="1417" w:type="dxa"/>
            <w:vMerge/>
            <w:tcBorders>
              <w:right w:val="nil"/>
            </w:tcBorders>
            <w:vAlign w:val="center"/>
          </w:tcPr>
          <w:p w14:paraId="4D8B0B44" w14:textId="3A22BFEB" w:rsidR="00E77B3E" w:rsidRPr="003D316C" w:rsidRDefault="00E77B3E" w:rsidP="00E77B3E">
            <w:pPr>
              <w:ind w:firstLine="0"/>
              <w:jc w:val="center"/>
            </w:pPr>
          </w:p>
        </w:tc>
      </w:tr>
    </w:tbl>
    <w:p w14:paraId="3D954690" w14:textId="77777777" w:rsidR="002E108C" w:rsidRPr="003D316C" w:rsidRDefault="002E108C" w:rsidP="002E108C">
      <w:pPr>
        <w:ind w:firstLine="0"/>
      </w:pPr>
    </w:p>
    <w:p w14:paraId="4F222F8B" w14:textId="388E31B1" w:rsidR="00F93C51" w:rsidRPr="003D316C" w:rsidRDefault="000B4103" w:rsidP="00F93C51">
      <w:proofErr w:type="spellStart"/>
      <w:r w:rsidRPr="003D316C">
        <w:t>Kruskal</w:t>
      </w:r>
      <w:proofErr w:type="spellEnd"/>
      <w:r w:rsidRPr="003D316C">
        <w:t xml:space="preserve">-Wallis testi sonucuna göre </w:t>
      </w:r>
      <w:r w:rsidR="00F93C51" w:rsidRPr="003D316C">
        <w:t xml:space="preserve">öğrencilerin programlama deneyimleri ile programlamaya yönelik öz-yeterlik algıları arasında istatistiksel olarak </w:t>
      </w:r>
      <w:r w:rsidR="00035C42" w:rsidRPr="003D316C">
        <w:t>anlamlı bir fark</w:t>
      </w:r>
      <w:r w:rsidRPr="003D316C">
        <w:t xml:space="preserve"> bulunmaktadır </w:t>
      </w:r>
      <w:r w:rsidR="00035C42" w:rsidRPr="003D316C">
        <w:t>(</w:t>
      </w:r>
      <w:r w:rsidR="00035C42" w:rsidRPr="003D316C">
        <w:rPr>
          <w:position w:val="-10"/>
        </w:rPr>
        <w:object w:dxaOrig="360" w:dyaOrig="320" w14:anchorId="7647FF09">
          <v:shape id="_x0000_i1029" type="#_x0000_t75" style="width:18pt;height:15.75pt" o:ole="">
            <v:imagedata r:id="rId12" o:title=""/>
          </v:shape>
          <o:OLEObject Type="Embed" ProgID="Equation.3" ShapeID="_x0000_i1029" DrawAspect="Content" ObjectID="_1697138525" r:id="rId14"/>
        </w:object>
      </w:r>
      <w:r w:rsidR="00660BD8" w:rsidRPr="003D316C">
        <w:t xml:space="preserve">=51,400; </w:t>
      </w:r>
      <w:proofErr w:type="spellStart"/>
      <w:r w:rsidR="00660BD8" w:rsidRPr="003D316C">
        <w:t>sd</w:t>
      </w:r>
      <w:proofErr w:type="spellEnd"/>
      <w:r w:rsidR="00660BD8" w:rsidRPr="003D316C">
        <w:t>=4; p=.</w:t>
      </w:r>
      <w:r w:rsidR="00F93C51" w:rsidRPr="003D316C">
        <w:t>000).</w:t>
      </w:r>
    </w:p>
    <w:p w14:paraId="45934113" w14:textId="2AECF079" w:rsidR="000B4103" w:rsidRPr="003D316C" w:rsidRDefault="000B4103" w:rsidP="000B4103">
      <w:pPr>
        <w:pStyle w:val="Balk1"/>
      </w:pPr>
      <w:r w:rsidRPr="003D316C">
        <w:t>Sonuç ve Tartışma</w:t>
      </w:r>
    </w:p>
    <w:p w14:paraId="7F209929" w14:textId="330FA0EC" w:rsidR="000B4103" w:rsidRPr="003D316C" w:rsidRDefault="009E5ADE" w:rsidP="009E5ADE">
      <w:r w:rsidRPr="003D316C">
        <w:t>Araştırma sonucunda lise ve üniversite düzeyinde öğrenim gören öğrencilerin programlamaya yönelik öz-yeterlik düzeyleri arasında anlamlı bir farklılık bulunmadığı görülmüştür. Öğrencilerin bilgisayar programlama deneyimi arttıkça kendilerini programlamaya yönelik daha yeterli düzeyde görmektedirler. Buna karşın programlama deneyimi arttıkça programlama becerileri ve programlamaya yönelik öz-düzenleme algılarında herhangi bir değişim olmamaktadır.</w:t>
      </w:r>
    </w:p>
    <w:p w14:paraId="799D443D" w14:textId="1D811782" w:rsidR="00913191" w:rsidRPr="003D316C" w:rsidRDefault="00913191" w:rsidP="00913191">
      <w:r w:rsidRPr="003D316C">
        <w:lastRenderedPageBreak/>
        <w:t>Araştırmalar, sınıf düzeyinin, öğre</w:t>
      </w:r>
      <w:r w:rsidR="00204170" w:rsidRPr="003D316C">
        <w:t xml:space="preserve">nim görülen bölümün, bilgisayar </w:t>
      </w:r>
      <w:r w:rsidRPr="003D316C">
        <w:t>programlamaya yönelik alınan ders sayısının, bilgisayarla ilgili zihinsel altyapının dolayısıyla tüm bu bileşenlerin işaret ettiği programlama deneyiminin öz-yeterlik algısı üzerinde etkili olduğunu vurgulamaktadır (</w:t>
      </w:r>
      <w:proofErr w:type="spellStart"/>
      <w:r w:rsidRPr="003D316C">
        <w:t>Altun</w:t>
      </w:r>
      <w:proofErr w:type="spellEnd"/>
      <w:r w:rsidRPr="003D316C">
        <w:t xml:space="preserve"> ve </w:t>
      </w:r>
      <w:proofErr w:type="spellStart"/>
      <w:r w:rsidRPr="003D316C">
        <w:t>Mazman</w:t>
      </w:r>
      <w:proofErr w:type="spellEnd"/>
      <w:r w:rsidRPr="003D316C">
        <w:t xml:space="preserve">, 2012; Korkmaz ve </w:t>
      </w:r>
      <w:proofErr w:type="spellStart"/>
      <w:r w:rsidRPr="003D316C">
        <w:t>Altun</w:t>
      </w:r>
      <w:proofErr w:type="spellEnd"/>
      <w:r w:rsidRPr="003D316C">
        <w:t xml:space="preserve">, 2014; Özyurt ve Özyurt, 2015; </w:t>
      </w:r>
      <w:proofErr w:type="spellStart"/>
      <w:r w:rsidRPr="003D316C">
        <w:t>Ramalingam</w:t>
      </w:r>
      <w:proofErr w:type="spellEnd"/>
      <w:r w:rsidRPr="003D316C">
        <w:t xml:space="preserve"> v</w:t>
      </w:r>
      <w:r w:rsidR="00204170" w:rsidRPr="003D316C">
        <w:t>d</w:t>
      </w:r>
      <w:proofErr w:type="gramStart"/>
      <w:r w:rsidR="00204170" w:rsidRPr="003D316C">
        <w:t>.,</w:t>
      </w:r>
      <w:proofErr w:type="gramEnd"/>
      <w:r w:rsidR="00204170" w:rsidRPr="003D316C">
        <w:t xml:space="preserve"> </w:t>
      </w:r>
      <w:r w:rsidRPr="003D316C">
        <w:t>2004). Bu doğrultuda öğrencilerin programlama deneyimlerinin etkili bir şekilde nasıl geliştirilebileceğine yönelik araştırmalar yürütülebilir. Öğrencilerin programlamaya yönelik öz-yeterliklerinin istenilen düzeyde sağlanabilmesi için gerekli olan programlama deneyimi süresi araştırılarak ideal programlama eğitimi süresine yönelik önerilerde bulunulabilir.</w:t>
      </w:r>
    </w:p>
    <w:p w14:paraId="3320FFB3" w14:textId="30C50F22" w:rsidR="000B4103" w:rsidRPr="003D316C" w:rsidRDefault="00774146" w:rsidP="00F93C51">
      <w:r w:rsidRPr="003D316C">
        <w:t>Araştırma kapsamında lise ve üniversite düzeyindeki öğrencilerden daha çok başlangıç sınıflarındaki öğrencilere ulaşılabilmiş, son sınıf öğrencilerine ise yeterince ulaşılamamıştır. Bu sınırlılık ilgili öğrencilerin okul sonrasındaki sınavlara hazırlanmaları, staj uygulamasına tabi olmaları ve ders sayılarının az olması dolayısıyla okulda bulunmamalarından kaynaklanmıştır.</w:t>
      </w:r>
      <w:r w:rsidR="002706C5" w:rsidRPr="003D316C">
        <w:t xml:space="preserve"> </w:t>
      </w:r>
      <w:r w:rsidR="00273D18" w:rsidRPr="003D316C">
        <w:t>Bu doğrultuda araştırma kapsamında ortaya çıkan programlama deneyiminin öz-yeterlik üzerindeki etkisi yeterince dengeli bir şekilde dağılım göstermeyen gruplar üzerinde incelenmiştir. İlerleyen araştırmalarda daha dengeli bir dağılım gösteren öğrenci gruplarının üzerinde programlama deneyiminin öz-yeterlik algısı üzerindeki etkisi sınanabilir.</w:t>
      </w:r>
    </w:p>
    <w:p w14:paraId="76222C9B" w14:textId="01BD4A7E" w:rsidR="00660BD8" w:rsidRPr="003D316C" w:rsidRDefault="00660BD8" w:rsidP="00660BD8">
      <w:pPr>
        <w:pStyle w:val="Balk1"/>
      </w:pPr>
      <w:r w:rsidRPr="003D316C">
        <w:t>Kaynaklar</w:t>
      </w:r>
    </w:p>
    <w:p w14:paraId="2E173B2D" w14:textId="77777777" w:rsidR="003D316C" w:rsidRPr="003D316C" w:rsidRDefault="003D316C" w:rsidP="00712E10">
      <w:pPr>
        <w:ind w:left="425" w:hanging="425"/>
        <w:jc w:val="both"/>
      </w:pPr>
      <w:proofErr w:type="spellStart"/>
      <w:r w:rsidRPr="003D316C">
        <w:t>Altun</w:t>
      </w:r>
      <w:proofErr w:type="spellEnd"/>
      <w:r w:rsidRPr="003D316C">
        <w:t xml:space="preserve">, A. ve </w:t>
      </w:r>
      <w:proofErr w:type="spellStart"/>
      <w:r w:rsidRPr="003D316C">
        <w:t>Mazman</w:t>
      </w:r>
      <w:proofErr w:type="spellEnd"/>
      <w:r w:rsidRPr="003D316C">
        <w:t xml:space="preserve">, S. G. (2012). Programlamaya ilişkin öz yeterlilik algısı ölçeğinin </w:t>
      </w:r>
      <w:proofErr w:type="spellStart"/>
      <w:r w:rsidRPr="003D316C">
        <w:t>Türkçe</w:t>
      </w:r>
      <w:proofErr w:type="spellEnd"/>
      <w:r w:rsidRPr="003D316C">
        <w:t xml:space="preserve"> formumun geçerlilik ve </w:t>
      </w:r>
      <w:proofErr w:type="spellStart"/>
      <w:r w:rsidRPr="003D316C">
        <w:t>güvenirlik</w:t>
      </w:r>
      <w:proofErr w:type="spellEnd"/>
      <w:r w:rsidRPr="003D316C">
        <w:t xml:space="preserve"> çalışması. </w:t>
      </w:r>
      <w:r w:rsidRPr="003D316C">
        <w:rPr>
          <w:i/>
        </w:rPr>
        <w:t>Eğitimde ve Psikolojide Ölçme ve Değerlendirme Dergisi, 3</w:t>
      </w:r>
      <w:r w:rsidRPr="003D316C">
        <w:t>(2), 297-308.</w:t>
      </w:r>
    </w:p>
    <w:p w14:paraId="4C45F56E" w14:textId="77777777" w:rsidR="003D316C" w:rsidRPr="003D316C" w:rsidRDefault="003D316C" w:rsidP="006D436D">
      <w:pPr>
        <w:ind w:left="425" w:hanging="425"/>
        <w:jc w:val="both"/>
      </w:pPr>
      <w:proofErr w:type="spellStart"/>
      <w:r w:rsidRPr="003D316C">
        <w:t>Apiola</w:t>
      </w:r>
      <w:proofErr w:type="spellEnd"/>
      <w:r w:rsidRPr="003D316C">
        <w:t>, M</w:t>
      </w:r>
      <w:proofErr w:type="gramStart"/>
      <w:r w:rsidRPr="003D316C">
        <w:t>.,</w:t>
      </w:r>
      <w:proofErr w:type="gramEnd"/>
      <w:r w:rsidRPr="003D316C">
        <w:t xml:space="preserve"> &amp; </w:t>
      </w:r>
      <w:proofErr w:type="spellStart"/>
      <w:r w:rsidRPr="003D316C">
        <w:t>Tedre</w:t>
      </w:r>
      <w:proofErr w:type="spellEnd"/>
      <w:r w:rsidRPr="003D316C">
        <w:t xml:space="preserve">, M. (2012). New </w:t>
      </w:r>
      <w:proofErr w:type="spellStart"/>
      <w:r w:rsidRPr="003D316C">
        <w:t>perspectives</w:t>
      </w:r>
      <w:proofErr w:type="spellEnd"/>
      <w:r w:rsidRPr="003D316C">
        <w:t xml:space="preserve"> on </w:t>
      </w:r>
      <w:proofErr w:type="spellStart"/>
      <w:r w:rsidRPr="003D316C">
        <w:t>the</w:t>
      </w:r>
      <w:proofErr w:type="spellEnd"/>
      <w:r w:rsidRPr="003D316C">
        <w:t xml:space="preserve"> </w:t>
      </w:r>
      <w:proofErr w:type="spellStart"/>
      <w:r w:rsidRPr="003D316C">
        <w:t>pedagogy</w:t>
      </w:r>
      <w:proofErr w:type="spellEnd"/>
      <w:r w:rsidRPr="003D316C">
        <w:t xml:space="preserve"> of </w:t>
      </w:r>
      <w:proofErr w:type="spellStart"/>
      <w:r w:rsidRPr="003D316C">
        <w:t>programming</w:t>
      </w:r>
      <w:proofErr w:type="spellEnd"/>
      <w:r w:rsidRPr="003D316C">
        <w:t xml:space="preserve"> in a </w:t>
      </w:r>
      <w:proofErr w:type="spellStart"/>
      <w:r w:rsidRPr="003D316C">
        <w:t>developing</w:t>
      </w:r>
      <w:proofErr w:type="spellEnd"/>
      <w:r w:rsidRPr="003D316C">
        <w:t xml:space="preserve"> </w:t>
      </w:r>
      <w:proofErr w:type="spellStart"/>
      <w:r w:rsidRPr="003D316C">
        <w:t>country</w:t>
      </w:r>
      <w:proofErr w:type="spellEnd"/>
      <w:r w:rsidRPr="003D316C">
        <w:t xml:space="preserve"> </w:t>
      </w:r>
      <w:proofErr w:type="spellStart"/>
      <w:r w:rsidRPr="003D316C">
        <w:t>context</w:t>
      </w:r>
      <w:proofErr w:type="spellEnd"/>
      <w:r w:rsidRPr="003D316C">
        <w:t xml:space="preserve">. </w:t>
      </w:r>
      <w:proofErr w:type="spellStart"/>
      <w:r w:rsidRPr="003D316C">
        <w:rPr>
          <w:i/>
        </w:rPr>
        <w:t>Computer</w:t>
      </w:r>
      <w:proofErr w:type="spellEnd"/>
      <w:r w:rsidRPr="003D316C">
        <w:rPr>
          <w:i/>
        </w:rPr>
        <w:t xml:space="preserve"> </w:t>
      </w:r>
      <w:proofErr w:type="spellStart"/>
      <w:r w:rsidRPr="003D316C">
        <w:rPr>
          <w:i/>
        </w:rPr>
        <w:t>Science</w:t>
      </w:r>
      <w:proofErr w:type="spellEnd"/>
      <w:r w:rsidRPr="003D316C">
        <w:rPr>
          <w:i/>
        </w:rPr>
        <w:t xml:space="preserve"> </w:t>
      </w:r>
      <w:proofErr w:type="spellStart"/>
      <w:r w:rsidRPr="003D316C">
        <w:rPr>
          <w:i/>
        </w:rPr>
        <w:t>Education</w:t>
      </w:r>
      <w:proofErr w:type="spellEnd"/>
      <w:r w:rsidRPr="003D316C">
        <w:rPr>
          <w:i/>
        </w:rPr>
        <w:t>, 22</w:t>
      </w:r>
      <w:r w:rsidRPr="003D316C">
        <w:t>(3), 285-313.</w:t>
      </w:r>
    </w:p>
    <w:p w14:paraId="32E54CC3" w14:textId="77777777" w:rsidR="003D316C" w:rsidRPr="003D316C" w:rsidRDefault="003D316C" w:rsidP="006D436D">
      <w:pPr>
        <w:ind w:left="425" w:hanging="425"/>
        <w:jc w:val="both"/>
      </w:pPr>
      <w:proofErr w:type="spellStart"/>
      <w:r w:rsidRPr="003D316C">
        <w:t>Bandura</w:t>
      </w:r>
      <w:proofErr w:type="spellEnd"/>
      <w:r w:rsidRPr="003D316C">
        <w:t>, A. (1977). Self-</w:t>
      </w:r>
      <w:proofErr w:type="spellStart"/>
      <w:r w:rsidRPr="003D316C">
        <w:t>efficacy</w:t>
      </w:r>
      <w:proofErr w:type="spellEnd"/>
      <w:r w:rsidRPr="003D316C">
        <w:t xml:space="preserve">: </w:t>
      </w:r>
      <w:proofErr w:type="spellStart"/>
      <w:r w:rsidRPr="003D316C">
        <w:t>Toward</w:t>
      </w:r>
      <w:proofErr w:type="spellEnd"/>
      <w:r w:rsidRPr="003D316C">
        <w:t xml:space="preserve"> a </w:t>
      </w:r>
      <w:proofErr w:type="spellStart"/>
      <w:r w:rsidRPr="003D316C">
        <w:t>unifying</w:t>
      </w:r>
      <w:proofErr w:type="spellEnd"/>
      <w:r w:rsidRPr="003D316C">
        <w:t xml:space="preserve"> </w:t>
      </w:r>
      <w:proofErr w:type="spellStart"/>
      <w:r w:rsidRPr="003D316C">
        <w:t>theory</w:t>
      </w:r>
      <w:proofErr w:type="spellEnd"/>
      <w:r w:rsidRPr="003D316C">
        <w:t xml:space="preserve"> of </w:t>
      </w:r>
      <w:proofErr w:type="spellStart"/>
      <w:r w:rsidRPr="003D316C">
        <w:t>behavioral</w:t>
      </w:r>
      <w:proofErr w:type="spellEnd"/>
      <w:r w:rsidRPr="003D316C">
        <w:t xml:space="preserve"> </w:t>
      </w:r>
      <w:proofErr w:type="spellStart"/>
      <w:r w:rsidRPr="003D316C">
        <w:t>change</w:t>
      </w:r>
      <w:proofErr w:type="spellEnd"/>
      <w:r w:rsidRPr="003D316C">
        <w:t xml:space="preserve">. </w:t>
      </w:r>
      <w:proofErr w:type="spellStart"/>
      <w:r w:rsidRPr="003D316C">
        <w:rPr>
          <w:i/>
        </w:rPr>
        <w:t>Psychological</w:t>
      </w:r>
      <w:proofErr w:type="spellEnd"/>
      <w:r w:rsidRPr="003D316C">
        <w:rPr>
          <w:i/>
        </w:rPr>
        <w:t xml:space="preserve"> </w:t>
      </w:r>
      <w:proofErr w:type="spellStart"/>
      <w:r w:rsidRPr="003D316C">
        <w:rPr>
          <w:i/>
        </w:rPr>
        <w:t>Review</w:t>
      </w:r>
      <w:proofErr w:type="spellEnd"/>
      <w:r w:rsidRPr="003D316C">
        <w:rPr>
          <w:i/>
        </w:rPr>
        <w:t>, 84</w:t>
      </w:r>
      <w:r w:rsidRPr="003D316C">
        <w:t>(2), 191-215.</w:t>
      </w:r>
    </w:p>
    <w:p w14:paraId="21BE997A" w14:textId="77777777" w:rsidR="003D316C" w:rsidRPr="003D316C" w:rsidRDefault="003D316C" w:rsidP="00712E10">
      <w:pPr>
        <w:ind w:left="425" w:hanging="425"/>
        <w:jc w:val="both"/>
      </w:pPr>
      <w:proofErr w:type="spellStart"/>
      <w:r w:rsidRPr="003D316C">
        <w:t>Bergey</w:t>
      </w:r>
      <w:proofErr w:type="spellEnd"/>
      <w:r w:rsidRPr="003D316C">
        <w:t>, B. W</w:t>
      </w:r>
      <w:proofErr w:type="gramStart"/>
      <w:r w:rsidRPr="003D316C">
        <w:t>.,</w:t>
      </w:r>
      <w:proofErr w:type="gramEnd"/>
      <w:r w:rsidRPr="003D316C">
        <w:t xml:space="preserve"> </w:t>
      </w:r>
      <w:proofErr w:type="spellStart"/>
      <w:r w:rsidRPr="003D316C">
        <w:t>Ketelhut</w:t>
      </w:r>
      <w:proofErr w:type="spellEnd"/>
      <w:r w:rsidRPr="003D316C">
        <w:t xml:space="preserve">, D. J., </w:t>
      </w:r>
      <w:proofErr w:type="spellStart"/>
      <w:r w:rsidRPr="003D316C">
        <w:t>Liang</w:t>
      </w:r>
      <w:proofErr w:type="spellEnd"/>
      <w:r w:rsidRPr="003D316C">
        <w:t xml:space="preserve">, S., </w:t>
      </w:r>
      <w:proofErr w:type="spellStart"/>
      <w:r w:rsidRPr="003D316C">
        <w:t>Natarajan</w:t>
      </w:r>
      <w:proofErr w:type="spellEnd"/>
      <w:r w:rsidRPr="003D316C">
        <w:t xml:space="preserve">, U., &amp; </w:t>
      </w:r>
      <w:proofErr w:type="spellStart"/>
      <w:r w:rsidRPr="003D316C">
        <w:t>Karakus</w:t>
      </w:r>
      <w:proofErr w:type="spellEnd"/>
      <w:r w:rsidRPr="003D316C">
        <w:t xml:space="preserve">, M. (2015). </w:t>
      </w:r>
      <w:proofErr w:type="spellStart"/>
      <w:r w:rsidRPr="003D316C">
        <w:t>Scientific</w:t>
      </w:r>
      <w:proofErr w:type="spellEnd"/>
      <w:r w:rsidRPr="003D316C">
        <w:t xml:space="preserve"> </w:t>
      </w:r>
      <w:proofErr w:type="spellStart"/>
      <w:r w:rsidRPr="003D316C">
        <w:t>inquiry</w:t>
      </w:r>
      <w:proofErr w:type="spellEnd"/>
      <w:r w:rsidRPr="003D316C">
        <w:t xml:space="preserve"> self-</w:t>
      </w:r>
      <w:proofErr w:type="spellStart"/>
      <w:r w:rsidRPr="003D316C">
        <w:t>efficacy</w:t>
      </w:r>
      <w:proofErr w:type="spellEnd"/>
      <w:r w:rsidRPr="003D316C">
        <w:t xml:space="preserve"> </w:t>
      </w:r>
      <w:proofErr w:type="spellStart"/>
      <w:r w:rsidRPr="003D316C">
        <w:t>and</w:t>
      </w:r>
      <w:proofErr w:type="spellEnd"/>
      <w:r w:rsidRPr="003D316C">
        <w:t xml:space="preserve"> </w:t>
      </w:r>
      <w:proofErr w:type="spellStart"/>
      <w:r w:rsidRPr="003D316C">
        <w:t>computer</w:t>
      </w:r>
      <w:proofErr w:type="spellEnd"/>
      <w:r w:rsidRPr="003D316C">
        <w:t xml:space="preserve"> </w:t>
      </w:r>
      <w:proofErr w:type="spellStart"/>
      <w:r w:rsidRPr="003D316C">
        <w:t>game</w:t>
      </w:r>
      <w:proofErr w:type="spellEnd"/>
      <w:r w:rsidRPr="003D316C">
        <w:t xml:space="preserve"> self-</w:t>
      </w:r>
      <w:proofErr w:type="spellStart"/>
      <w:r w:rsidRPr="003D316C">
        <w:t>efficacy</w:t>
      </w:r>
      <w:proofErr w:type="spellEnd"/>
      <w:r w:rsidRPr="003D316C">
        <w:t xml:space="preserve"> as </w:t>
      </w:r>
      <w:proofErr w:type="spellStart"/>
      <w:r w:rsidRPr="003D316C">
        <w:t>predictors</w:t>
      </w:r>
      <w:proofErr w:type="spellEnd"/>
      <w:r w:rsidRPr="003D316C">
        <w:t xml:space="preserve"> </w:t>
      </w:r>
      <w:proofErr w:type="spellStart"/>
      <w:r w:rsidRPr="003D316C">
        <w:t>and</w:t>
      </w:r>
      <w:proofErr w:type="spellEnd"/>
      <w:r w:rsidRPr="003D316C">
        <w:t xml:space="preserve"> </w:t>
      </w:r>
      <w:proofErr w:type="spellStart"/>
      <w:r w:rsidRPr="003D316C">
        <w:t>outcomes</w:t>
      </w:r>
      <w:proofErr w:type="spellEnd"/>
      <w:r w:rsidRPr="003D316C">
        <w:t xml:space="preserve"> of </w:t>
      </w:r>
      <w:proofErr w:type="spellStart"/>
      <w:r w:rsidRPr="003D316C">
        <w:t>middle</w:t>
      </w:r>
      <w:proofErr w:type="spellEnd"/>
      <w:r w:rsidRPr="003D316C">
        <w:t xml:space="preserve"> </w:t>
      </w:r>
      <w:proofErr w:type="spellStart"/>
      <w:r w:rsidRPr="003D316C">
        <w:t>school</w:t>
      </w:r>
      <w:proofErr w:type="spellEnd"/>
      <w:r w:rsidRPr="003D316C">
        <w:t xml:space="preserve"> </w:t>
      </w:r>
      <w:proofErr w:type="spellStart"/>
      <w:r w:rsidRPr="003D316C">
        <w:t>boys</w:t>
      </w:r>
      <w:proofErr w:type="spellEnd"/>
      <w:r w:rsidRPr="003D316C">
        <w:t xml:space="preserve">’ </w:t>
      </w:r>
      <w:proofErr w:type="spellStart"/>
      <w:r w:rsidRPr="003D316C">
        <w:t>and</w:t>
      </w:r>
      <w:proofErr w:type="spellEnd"/>
      <w:r w:rsidRPr="003D316C">
        <w:t xml:space="preserve"> </w:t>
      </w:r>
      <w:proofErr w:type="spellStart"/>
      <w:r w:rsidRPr="003D316C">
        <w:t>girls</w:t>
      </w:r>
      <w:proofErr w:type="spellEnd"/>
      <w:r w:rsidRPr="003D316C">
        <w:t xml:space="preserve">’ </w:t>
      </w:r>
      <w:proofErr w:type="spellStart"/>
      <w:r w:rsidRPr="003D316C">
        <w:t>performance</w:t>
      </w:r>
      <w:proofErr w:type="spellEnd"/>
      <w:r w:rsidRPr="003D316C">
        <w:t xml:space="preserve"> in a </w:t>
      </w:r>
      <w:proofErr w:type="spellStart"/>
      <w:r w:rsidRPr="003D316C">
        <w:t>science</w:t>
      </w:r>
      <w:proofErr w:type="spellEnd"/>
      <w:r w:rsidRPr="003D316C">
        <w:t xml:space="preserve"> </w:t>
      </w:r>
      <w:proofErr w:type="spellStart"/>
      <w:r w:rsidRPr="003D316C">
        <w:t>assessment</w:t>
      </w:r>
      <w:proofErr w:type="spellEnd"/>
      <w:r w:rsidRPr="003D316C">
        <w:t xml:space="preserve"> in a </w:t>
      </w:r>
      <w:proofErr w:type="spellStart"/>
      <w:r w:rsidRPr="003D316C">
        <w:t>virtual</w:t>
      </w:r>
      <w:proofErr w:type="spellEnd"/>
      <w:r w:rsidRPr="003D316C">
        <w:t xml:space="preserve"> </w:t>
      </w:r>
      <w:proofErr w:type="spellStart"/>
      <w:r w:rsidRPr="003D316C">
        <w:t>environment</w:t>
      </w:r>
      <w:proofErr w:type="spellEnd"/>
      <w:r w:rsidRPr="003D316C">
        <w:t xml:space="preserve">. </w:t>
      </w:r>
      <w:proofErr w:type="spellStart"/>
      <w:r w:rsidRPr="003D316C">
        <w:rPr>
          <w:i/>
        </w:rPr>
        <w:t>Journal</w:t>
      </w:r>
      <w:proofErr w:type="spellEnd"/>
      <w:r w:rsidRPr="003D316C">
        <w:rPr>
          <w:i/>
        </w:rPr>
        <w:t xml:space="preserve"> of </w:t>
      </w:r>
      <w:proofErr w:type="spellStart"/>
      <w:r w:rsidRPr="003D316C">
        <w:rPr>
          <w:i/>
        </w:rPr>
        <w:t>Science</w:t>
      </w:r>
      <w:proofErr w:type="spellEnd"/>
      <w:r w:rsidRPr="003D316C">
        <w:rPr>
          <w:i/>
        </w:rPr>
        <w:t xml:space="preserve"> </w:t>
      </w:r>
      <w:proofErr w:type="spellStart"/>
      <w:r w:rsidRPr="003D316C">
        <w:rPr>
          <w:i/>
        </w:rPr>
        <w:t>Education</w:t>
      </w:r>
      <w:proofErr w:type="spellEnd"/>
      <w:r w:rsidRPr="003D316C">
        <w:rPr>
          <w:i/>
        </w:rPr>
        <w:t xml:space="preserve"> </w:t>
      </w:r>
      <w:proofErr w:type="spellStart"/>
      <w:r w:rsidRPr="003D316C">
        <w:rPr>
          <w:i/>
        </w:rPr>
        <w:t>and</w:t>
      </w:r>
      <w:proofErr w:type="spellEnd"/>
      <w:r w:rsidRPr="003D316C">
        <w:rPr>
          <w:i/>
        </w:rPr>
        <w:t xml:space="preserve"> </w:t>
      </w:r>
      <w:proofErr w:type="spellStart"/>
      <w:r w:rsidRPr="003D316C">
        <w:rPr>
          <w:i/>
        </w:rPr>
        <w:t>Technology</w:t>
      </w:r>
      <w:proofErr w:type="spellEnd"/>
      <w:r w:rsidRPr="003D316C">
        <w:rPr>
          <w:i/>
        </w:rPr>
        <w:t>, 24</w:t>
      </w:r>
      <w:r w:rsidRPr="003D316C">
        <w:t>(5), 696-708.</w:t>
      </w:r>
    </w:p>
    <w:p w14:paraId="28129F7C" w14:textId="77777777" w:rsidR="003D316C" w:rsidRPr="003D316C" w:rsidRDefault="003D316C" w:rsidP="00712E10">
      <w:pPr>
        <w:ind w:left="425" w:hanging="425"/>
        <w:jc w:val="both"/>
      </w:pPr>
      <w:r w:rsidRPr="003D316C">
        <w:t>Büyüköztürk, Ş</w:t>
      </w:r>
      <w:proofErr w:type="gramStart"/>
      <w:r w:rsidRPr="003D316C">
        <w:t>.,</w:t>
      </w:r>
      <w:proofErr w:type="gramEnd"/>
      <w:r w:rsidRPr="003D316C">
        <w:t xml:space="preserve"> Kılıç Çakmak, E., Akgün, Ö. E., Karadeniz, Ş. ve Demirel, F. (2013). </w:t>
      </w:r>
      <w:r w:rsidRPr="003D316C">
        <w:rPr>
          <w:i/>
        </w:rPr>
        <w:t>Bilimsel araştırma yöntemleri</w:t>
      </w:r>
      <w:r w:rsidRPr="003D316C">
        <w:t xml:space="preserve"> (15. Baskı). Ankara: </w:t>
      </w:r>
      <w:proofErr w:type="spellStart"/>
      <w:r w:rsidRPr="003D316C">
        <w:t>Pegem</w:t>
      </w:r>
      <w:proofErr w:type="spellEnd"/>
      <w:r w:rsidRPr="003D316C">
        <w:t xml:space="preserve"> Akademi.</w:t>
      </w:r>
    </w:p>
    <w:p w14:paraId="6D7D1A6E" w14:textId="77777777" w:rsidR="003D316C" w:rsidRPr="003D316C" w:rsidRDefault="003D316C" w:rsidP="00712E10">
      <w:pPr>
        <w:ind w:left="425" w:hanging="425"/>
        <w:jc w:val="both"/>
      </w:pPr>
      <w:proofErr w:type="spellStart"/>
      <w:r w:rsidRPr="003D316C">
        <w:t>Davidsson</w:t>
      </w:r>
      <w:proofErr w:type="spellEnd"/>
      <w:r w:rsidRPr="003D316C">
        <w:t>, K</w:t>
      </w:r>
      <w:proofErr w:type="gramStart"/>
      <w:r w:rsidRPr="003D316C">
        <w:t>.,</w:t>
      </w:r>
      <w:proofErr w:type="gramEnd"/>
      <w:r w:rsidRPr="003D316C">
        <w:t xml:space="preserve"> </w:t>
      </w:r>
      <w:proofErr w:type="spellStart"/>
      <w:r w:rsidRPr="003D316C">
        <w:t>Larzon</w:t>
      </w:r>
      <w:proofErr w:type="spellEnd"/>
      <w:r w:rsidRPr="003D316C">
        <w:t xml:space="preserve">, L., &amp; </w:t>
      </w:r>
      <w:proofErr w:type="spellStart"/>
      <w:r w:rsidRPr="003D316C">
        <w:t>Ljunggren</w:t>
      </w:r>
      <w:proofErr w:type="spellEnd"/>
      <w:r w:rsidRPr="003D316C">
        <w:t xml:space="preserve">, K. (2010). </w:t>
      </w:r>
      <w:r w:rsidRPr="003D316C">
        <w:rPr>
          <w:i/>
        </w:rPr>
        <w:t>Self-</w:t>
      </w:r>
      <w:proofErr w:type="spellStart"/>
      <w:r w:rsidRPr="003D316C">
        <w:rPr>
          <w:i/>
        </w:rPr>
        <w:t>efficacy</w:t>
      </w:r>
      <w:proofErr w:type="spellEnd"/>
      <w:r w:rsidRPr="003D316C">
        <w:rPr>
          <w:i/>
        </w:rPr>
        <w:t xml:space="preserve"> in </w:t>
      </w:r>
      <w:proofErr w:type="spellStart"/>
      <w:r w:rsidRPr="003D316C">
        <w:rPr>
          <w:i/>
        </w:rPr>
        <w:t>programming</w:t>
      </w:r>
      <w:proofErr w:type="spellEnd"/>
      <w:r w:rsidRPr="003D316C">
        <w:rPr>
          <w:i/>
        </w:rPr>
        <w:t xml:space="preserve"> </w:t>
      </w:r>
      <w:proofErr w:type="spellStart"/>
      <w:r w:rsidRPr="003D316C">
        <w:rPr>
          <w:i/>
        </w:rPr>
        <w:t>among</w:t>
      </w:r>
      <w:proofErr w:type="spellEnd"/>
      <w:r w:rsidRPr="003D316C">
        <w:rPr>
          <w:i/>
        </w:rPr>
        <w:t xml:space="preserve"> STS </w:t>
      </w:r>
      <w:proofErr w:type="spellStart"/>
      <w:r w:rsidRPr="003D316C">
        <w:rPr>
          <w:i/>
        </w:rPr>
        <w:t>students</w:t>
      </w:r>
      <w:proofErr w:type="spellEnd"/>
      <w:r w:rsidRPr="003D316C">
        <w:t xml:space="preserve"> (Technical </w:t>
      </w:r>
      <w:proofErr w:type="spellStart"/>
      <w:r w:rsidRPr="003D316C">
        <w:t>report</w:t>
      </w:r>
      <w:proofErr w:type="spellEnd"/>
      <w:r w:rsidRPr="003D316C">
        <w:t xml:space="preserve">), </w:t>
      </w:r>
      <w:proofErr w:type="spellStart"/>
      <w:r w:rsidRPr="003D316C">
        <w:t>Computer</w:t>
      </w:r>
      <w:proofErr w:type="spellEnd"/>
      <w:r w:rsidRPr="003D316C">
        <w:t xml:space="preserve"> </w:t>
      </w:r>
      <w:proofErr w:type="spellStart"/>
      <w:r w:rsidRPr="003D316C">
        <w:t>Science</w:t>
      </w:r>
      <w:proofErr w:type="spellEnd"/>
      <w:r w:rsidRPr="003D316C">
        <w:t xml:space="preserve"> </w:t>
      </w:r>
      <w:proofErr w:type="spellStart"/>
      <w:r w:rsidRPr="003D316C">
        <w:t>Education</w:t>
      </w:r>
      <w:proofErr w:type="spellEnd"/>
      <w:r w:rsidRPr="003D316C">
        <w:t xml:space="preserve"> Course of </w:t>
      </w:r>
      <w:proofErr w:type="spellStart"/>
      <w:r w:rsidRPr="003D316C">
        <w:t>Upssala</w:t>
      </w:r>
      <w:proofErr w:type="spellEnd"/>
      <w:r w:rsidRPr="003D316C">
        <w:t xml:space="preserve"> </w:t>
      </w:r>
      <w:proofErr w:type="spellStart"/>
      <w:r w:rsidRPr="003D316C">
        <w:t>University</w:t>
      </w:r>
      <w:proofErr w:type="spellEnd"/>
      <w:r w:rsidRPr="003D316C">
        <w:t xml:space="preserve">. </w:t>
      </w:r>
      <w:proofErr w:type="spellStart"/>
      <w:r w:rsidRPr="003D316C">
        <w:t>Retrieved</w:t>
      </w:r>
      <w:proofErr w:type="spellEnd"/>
      <w:r w:rsidRPr="003D316C">
        <w:t xml:space="preserve"> </w:t>
      </w:r>
      <w:proofErr w:type="spellStart"/>
      <w:r w:rsidRPr="003D316C">
        <w:t>from</w:t>
      </w:r>
      <w:proofErr w:type="spellEnd"/>
      <w:r w:rsidRPr="003D316C">
        <w:t xml:space="preserve"> </w:t>
      </w:r>
      <w:hyperlink r:id="rId15" w:history="1">
        <w:r w:rsidRPr="003D316C">
          <w:rPr>
            <w:rStyle w:val="Kpr"/>
          </w:rPr>
          <w:t>http://www.it.uu.se/edu/course/homepage/datadidaktik/ht10/reports/Self-Efficacy.pdf</w:t>
        </w:r>
      </w:hyperlink>
      <w:r w:rsidRPr="003D316C">
        <w:t xml:space="preserve"> </w:t>
      </w:r>
    </w:p>
    <w:p w14:paraId="736BEB9D" w14:textId="77777777" w:rsidR="003D316C" w:rsidRPr="003D316C" w:rsidRDefault="003D316C" w:rsidP="006D436D">
      <w:pPr>
        <w:ind w:left="425" w:hanging="425"/>
        <w:jc w:val="both"/>
      </w:pPr>
      <w:proofErr w:type="spellStart"/>
      <w:r w:rsidRPr="003D316C">
        <w:t>Erümit</w:t>
      </w:r>
      <w:proofErr w:type="spellEnd"/>
      <w:r w:rsidRPr="003D316C">
        <w:t xml:space="preserve">, A. ve </w:t>
      </w:r>
      <w:proofErr w:type="spellStart"/>
      <w:r w:rsidRPr="003D316C">
        <w:t>Berigel</w:t>
      </w:r>
      <w:proofErr w:type="spellEnd"/>
      <w:r w:rsidRPr="003D316C">
        <w:t xml:space="preserve">, M. (2018). Programlama dillerinin tarihi ve programlama öğretimi. Y. Gülbahar ve H. Karal (Ed.), </w:t>
      </w:r>
      <w:r w:rsidRPr="003D316C">
        <w:rPr>
          <w:i/>
        </w:rPr>
        <w:t>Kuramdan uygulamaya programlama öğretimi</w:t>
      </w:r>
      <w:r w:rsidRPr="003D316C">
        <w:t xml:space="preserve"> içinde (</w:t>
      </w:r>
      <w:proofErr w:type="spellStart"/>
      <w:r w:rsidRPr="003D316C">
        <w:t>ss</w:t>
      </w:r>
      <w:proofErr w:type="spellEnd"/>
      <w:r w:rsidRPr="003D316C">
        <w:t xml:space="preserve">. 1-36). Ankara: </w:t>
      </w:r>
      <w:proofErr w:type="spellStart"/>
      <w:r w:rsidRPr="003D316C">
        <w:t>Pegem</w:t>
      </w:r>
      <w:proofErr w:type="spellEnd"/>
      <w:r w:rsidRPr="003D316C">
        <w:t xml:space="preserve"> Akademi.</w:t>
      </w:r>
    </w:p>
    <w:p w14:paraId="0E3AD768" w14:textId="77777777" w:rsidR="003D316C" w:rsidRPr="003D316C" w:rsidRDefault="003D316C" w:rsidP="006D436D">
      <w:pPr>
        <w:ind w:left="425" w:hanging="425"/>
        <w:jc w:val="both"/>
      </w:pPr>
      <w:proofErr w:type="spellStart"/>
      <w:r w:rsidRPr="003D316C">
        <w:t>Fang</w:t>
      </w:r>
      <w:proofErr w:type="spellEnd"/>
      <w:r w:rsidRPr="003D316C">
        <w:t xml:space="preserve">, X. (2012). Application of </w:t>
      </w:r>
      <w:proofErr w:type="spellStart"/>
      <w:r w:rsidRPr="003D316C">
        <w:t>the</w:t>
      </w:r>
      <w:proofErr w:type="spellEnd"/>
      <w:r w:rsidRPr="003D316C">
        <w:t xml:space="preserve"> </w:t>
      </w:r>
      <w:proofErr w:type="spellStart"/>
      <w:r w:rsidRPr="003D316C">
        <w:t>participatory</w:t>
      </w:r>
      <w:proofErr w:type="spellEnd"/>
      <w:r w:rsidRPr="003D316C">
        <w:t xml:space="preserve"> </w:t>
      </w:r>
      <w:proofErr w:type="spellStart"/>
      <w:r w:rsidRPr="003D316C">
        <w:t>method</w:t>
      </w:r>
      <w:proofErr w:type="spellEnd"/>
      <w:r w:rsidRPr="003D316C">
        <w:t xml:space="preserve"> </w:t>
      </w:r>
      <w:proofErr w:type="spellStart"/>
      <w:r w:rsidRPr="003D316C">
        <w:t>to</w:t>
      </w:r>
      <w:proofErr w:type="spellEnd"/>
      <w:r w:rsidRPr="003D316C">
        <w:t xml:space="preserve"> </w:t>
      </w:r>
      <w:proofErr w:type="spellStart"/>
      <w:r w:rsidRPr="003D316C">
        <w:t>the</w:t>
      </w:r>
      <w:proofErr w:type="spellEnd"/>
      <w:r w:rsidRPr="003D316C">
        <w:t xml:space="preserve"> </w:t>
      </w:r>
      <w:proofErr w:type="spellStart"/>
      <w:r w:rsidRPr="003D316C">
        <w:t>computer</w:t>
      </w:r>
      <w:proofErr w:type="spellEnd"/>
      <w:r w:rsidRPr="003D316C">
        <w:t xml:space="preserve"> </w:t>
      </w:r>
      <w:proofErr w:type="spellStart"/>
      <w:r w:rsidRPr="003D316C">
        <w:t>fundamentals</w:t>
      </w:r>
      <w:proofErr w:type="spellEnd"/>
      <w:r w:rsidRPr="003D316C">
        <w:t xml:space="preserve"> </w:t>
      </w:r>
      <w:proofErr w:type="spellStart"/>
      <w:r w:rsidRPr="003D316C">
        <w:t>course</w:t>
      </w:r>
      <w:proofErr w:type="spellEnd"/>
      <w:r w:rsidRPr="003D316C">
        <w:t xml:space="preserve">. </w:t>
      </w:r>
      <w:proofErr w:type="spellStart"/>
      <w:r w:rsidRPr="003D316C">
        <w:rPr>
          <w:i/>
        </w:rPr>
        <w:t>Affective</w:t>
      </w:r>
      <w:proofErr w:type="spellEnd"/>
      <w:r w:rsidRPr="003D316C">
        <w:rPr>
          <w:i/>
        </w:rPr>
        <w:t xml:space="preserve"> Computing </w:t>
      </w:r>
      <w:proofErr w:type="spellStart"/>
      <w:r w:rsidRPr="003D316C">
        <w:rPr>
          <w:i/>
        </w:rPr>
        <w:t>and</w:t>
      </w:r>
      <w:proofErr w:type="spellEnd"/>
      <w:r w:rsidRPr="003D316C">
        <w:rPr>
          <w:i/>
        </w:rPr>
        <w:t xml:space="preserve"> </w:t>
      </w:r>
      <w:proofErr w:type="spellStart"/>
      <w:r w:rsidRPr="003D316C">
        <w:rPr>
          <w:i/>
        </w:rPr>
        <w:t>Intelligent</w:t>
      </w:r>
      <w:proofErr w:type="spellEnd"/>
      <w:r w:rsidRPr="003D316C">
        <w:rPr>
          <w:i/>
        </w:rPr>
        <w:t xml:space="preserve"> </w:t>
      </w:r>
      <w:proofErr w:type="spellStart"/>
      <w:r w:rsidRPr="003D316C">
        <w:rPr>
          <w:i/>
        </w:rPr>
        <w:t>Interaction</w:t>
      </w:r>
      <w:proofErr w:type="spellEnd"/>
      <w:r w:rsidRPr="003D316C">
        <w:rPr>
          <w:i/>
        </w:rPr>
        <w:t>, 137</w:t>
      </w:r>
      <w:r w:rsidRPr="003D316C">
        <w:t>, 185-189.</w:t>
      </w:r>
    </w:p>
    <w:p w14:paraId="02665D84" w14:textId="77777777" w:rsidR="003D316C" w:rsidRPr="003D316C" w:rsidRDefault="003D316C" w:rsidP="006D436D">
      <w:pPr>
        <w:ind w:left="425" w:hanging="425"/>
        <w:jc w:val="both"/>
      </w:pPr>
      <w:r w:rsidRPr="003D316C">
        <w:t xml:space="preserve">Genç, Z. ve Karakuş, S. (2011, 22-24 Eylül). </w:t>
      </w:r>
      <w:r w:rsidRPr="003D316C">
        <w:rPr>
          <w:i/>
        </w:rPr>
        <w:t xml:space="preserve">Tasarımla öğrenme: Eğitsel bilgisayar oyunları tasarımında </w:t>
      </w:r>
      <w:proofErr w:type="spellStart"/>
      <w:r w:rsidRPr="003D316C">
        <w:rPr>
          <w:i/>
        </w:rPr>
        <w:t>Scratch</w:t>
      </w:r>
      <w:proofErr w:type="spellEnd"/>
      <w:r w:rsidRPr="003D316C">
        <w:rPr>
          <w:i/>
        </w:rPr>
        <w:t xml:space="preserve"> kullanımı</w:t>
      </w:r>
      <w:r w:rsidRPr="003D316C">
        <w:t xml:space="preserve">. 5. Uluslararası Bilgisayar ve Öğretim Teknolojileri Eğitimi Sempozyumunda sunulan bildiri. Fırat Üniversitesi, Elazığ, </w:t>
      </w:r>
      <w:proofErr w:type="spellStart"/>
      <w:r w:rsidRPr="003D316C">
        <w:t>Türkiye</w:t>
      </w:r>
      <w:proofErr w:type="spellEnd"/>
      <w:r w:rsidRPr="003D316C">
        <w:t>.</w:t>
      </w:r>
    </w:p>
    <w:p w14:paraId="2C1E554A" w14:textId="77777777" w:rsidR="003D316C" w:rsidRPr="003D316C" w:rsidRDefault="003D316C" w:rsidP="006D436D">
      <w:pPr>
        <w:ind w:left="425" w:hanging="425"/>
        <w:jc w:val="both"/>
      </w:pPr>
      <w:proofErr w:type="spellStart"/>
      <w:r w:rsidRPr="003D316C">
        <w:t>Gomes</w:t>
      </w:r>
      <w:proofErr w:type="spellEnd"/>
      <w:r w:rsidRPr="003D316C">
        <w:t>, A</w:t>
      </w:r>
      <w:proofErr w:type="gramStart"/>
      <w:r w:rsidRPr="003D316C">
        <w:t>.,</w:t>
      </w:r>
      <w:proofErr w:type="gramEnd"/>
      <w:r w:rsidRPr="003D316C">
        <w:t xml:space="preserve"> &amp; Mendes, A. J. (2007, </w:t>
      </w:r>
      <w:proofErr w:type="spellStart"/>
      <w:r w:rsidRPr="003D316C">
        <w:t>September</w:t>
      </w:r>
      <w:proofErr w:type="spellEnd"/>
      <w:r w:rsidRPr="003D316C">
        <w:t xml:space="preserve"> 3-7). </w:t>
      </w:r>
      <w:r w:rsidRPr="003D316C">
        <w:rPr>
          <w:i/>
        </w:rPr>
        <w:t xml:space="preserve">Learning </w:t>
      </w:r>
      <w:proofErr w:type="spellStart"/>
      <w:r w:rsidRPr="003D316C">
        <w:rPr>
          <w:i/>
        </w:rPr>
        <w:t>to</w:t>
      </w:r>
      <w:proofErr w:type="spellEnd"/>
      <w:r w:rsidRPr="003D316C">
        <w:rPr>
          <w:i/>
        </w:rPr>
        <w:t xml:space="preserve"> program-</w:t>
      </w:r>
      <w:proofErr w:type="spellStart"/>
      <w:r w:rsidRPr="003D316C">
        <w:rPr>
          <w:i/>
        </w:rPr>
        <w:t>difficulties</w:t>
      </w:r>
      <w:proofErr w:type="spellEnd"/>
      <w:r w:rsidRPr="003D316C">
        <w:rPr>
          <w:i/>
        </w:rPr>
        <w:t xml:space="preserve"> </w:t>
      </w:r>
      <w:proofErr w:type="spellStart"/>
      <w:r w:rsidRPr="003D316C">
        <w:rPr>
          <w:i/>
        </w:rPr>
        <w:t>and</w:t>
      </w:r>
      <w:proofErr w:type="spellEnd"/>
      <w:r w:rsidRPr="003D316C">
        <w:rPr>
          <w:i/>
        </w:rPr>
        <w:t xml:space="preserve"> </w:t>
      </w:r>
      <w:proofErr w:type="spellStart"/>
      <w:r w:rsidRPr="003D316C">
        <w:rPr>
          <w:i/>
        </w:rPr>
        <w:t>solutions</w:t>
      </w:r>
      <w:proofErr w:type="spellEnd"/>
      <w:r w:rsidRPr="003D316C">
        <w:t xml:space="preserve">. </w:t>
      </w:r>
      <w:proofErr w:type="spellStart"/>
      <w:r w:rsidRPr="003D316C">
        <w:t>Paper</w:t>
      </w:r>
      <w:proofErr w:type="spellEnd"/>
      <w:r w:rsidRPr="003D316C">
        <w:t xml:space="preserve"> </w:t>
      </w:r>
      <w:proofErr w:type="spellStart"/>
      <w:r w:rsidRPr="003D316C">
        <w:t>presented</w:t>
      </w:r>
      <w:proofErr w:type="spellEnd"/>
      <w:r w:rsidRPr="003D316C">
        <w:t xml:space="preserve"> at </w:t>
      </w:r>
      <w:proofErr w:type="spellStart"/>
      <w:r w:rsidRPr="003D316C">
        <w:t>the</w:t>
      </w:r>
      <w:proofErr w:type="spellEnd"/>
      <w:r w:rsidRPr="003D316C">
        <w:t xml:space="preserve"> International Conference on </w:t>
      </w:r>
      <w:proofErr w:type="spellStart"/>
      <w:r w:rsidRPr="003D316C">
        <w:t>Engineering</w:t>
      </w:r>
      <w:proofErr w:type="spellEnd"/>
      <w:r w:rsidRPr="003D316C">
        <w:t xml:space="preserve"> </w:t>
      </w:r>
      <w:proofErr w:type="spellStart"/>
      <w:r w:rsidRPr="003D316C">
        <w:t>Education</w:t>
      </w:r>
      <w:proofErr w:type="spellEnd"/>
      <w:r w:rsidRPr="003D316C">
        <w:t xml:space="preserve">, </w:t>
      </w:r>
      <w:proofErr w:type="spellStart"/>
      <w:r w:rsidRPr="003D316C">
        <w:t>University</w:t>
      </w:r>
      <w:proofErr w:type="spellEnd"/>
      <w:r w:rsidRPr="003D316C">
        <w:t xml:space="preserve"> of </w:t>
      </w:r>
      <w:proofErr w:type="spellStart"/>
      <w:r w:rsidRPr="003D316C">
        <w:t>Coimbra</w:t>
      </w:r>
      <w:proofErr w:type="spellEnd"/>
      <w:r w:rsidRPr="003D316C">
        <w:t xml:space="preserve">, </w:t>
      </w:r>
      <w:proofErr w:type="spellStart"/>
      <w:r w:rsidRPr="003D316C">
        <w:t>Portugal</w:t>
      </w:r>
      <w:proofErr w:type="spellEnd"/>
      <w:r w:rsidRPr="003D316C">
        <w:t>.</w:t>
      </w:r>
    </w:p>
    <w:p w14:paraId="22BAC48A" w14:textId="77777777" w:rsidR="003D316C" w:rsidRPr="003D316C" w:rsidRDefault="003D316C" w:rsidP="00712E10">
      <w:pPr>
        <w:ind w:left="425" w:hanging="425"/>
        <w:jc w:val="both"/>
      </w:pPr>
      <w:r w:rsidRPr="003D316C">
        <w:lastRenderedPageBreak/>
        <w:t xml:space="preserve">Gökoğlu, S. (Baskıda). </w:t>
      </w:r>
      <w:r w:rsidRPr="003D316C">
        <w:rPr>
          <w:i/>
        </w:rPr>
        <w:t>Bilgisayar okuryazarlığı eğitimi için bilgisayar programlama öz-yeterlik ölçeği: Türkçe geçerlik ve güvenirlik çalışması</w:t>
      </w:r>
      <w:r w:rsidRPr="003D316C">
        <w:t xml:space="preserve">. </w:t>
      </w:r>
      <w:r w:rsidRPr="003D316C">
        <w:rPr>
          <w:i/>
        </w:rPr>
        <w:t>Bolu Abant İzzet Baysal Üniversitesi Eğitim Fakültesi Dergisi</w:t>
      </w:r>
      <w:r w:rsidRPr="003D316C">
        <w:t>.</w:t>
      </w:r>
    </w:p>
    <w:p w14:paraId="7212A5A4" w14:textId="77777777" w:rsidR="003D316C" w:rsidRPr="003D316C" w:rsidRDefault="003D316C" w:rsidP="00712E10">
      <w:pPr>
        <w:ind w:left="425" w:hanging="425"/>
        <w:jc w:val="both"/>
      </w:pPr>
      <w:proofErr w:type="spellStart"/>
      <w:r w:rsidRPr="003D316C">
        <w:t>Hoffman</w:t>
      </w:r>
      <w:proofErr w:type="spellEnd"/>
      <w:r w:rsidRPr="003D316C">
        <w:t>, B</w:t>
      </w:r>
      <w:proofErr w:type="gramStart"/>
      <w:r w:rsidRPr="003D316C">
        <w:t>.,</w:t>
      </w:r>
      <w:proofErr w:type="gramEnd"/>
      <w:r w:rsidRPr="003D316C">
        <w:t xml:space="preserve"> &amp; </w:t>
      </w:r>
      <w:proofErr w:type="spellStart"/>
      <w:r w:rsidRPr="003D316C">
        <w:t>Spatariu</w:t>
      </w:r>
      <w:proofErr w:type="spellEnd"/>
      <w:r w:rsidRPr="003D316C">
        <w:t xml:space="preserve">, A. (2008). </w:t>
      </w:r>
      <w:proofErr w:type="spellStart"/>
      <w:r w:rsidRPr="003D316C">
        <w:t>The</w:t>
      </w:r>
      <w:proofErr w:type="spellEnd"/>
      <w:r w:rsidRPr="003D316C">
        <w:t xml:space="preserve"> </w:t>
      </w:r>
      <w:proofErr w:type="spellStart"/>
      <w:r w:rsidRPr="003D316C">
        <w:t>influence</w:t>
      </w:r>
      <w:proofErr w:type="spellEnd"/>
      <w:r w:rsidRPr="003D316C">
        <w:t xml:space="preserve"> of self-</w:t>
      </w:r>
      <w:proofErr w:type="spellStart"/>
      <w:r w:rsidRPr="003D316C">
        <w:t>efficacy</w:t>
      </w:r>
      <w:proofErr w:type="spellEnd"/>
      <w:r w:rsidRPr="003D316C">
        <w:t xml:space="preserve"> </w:t>
      </w:r>
      <w:proofErr w:type="spellStart"/>
      <w:r w:rsidRPr="003D316C">
        <w:t>and</w:t>
      </w:r>
      <w:proofErr w:type="spellEnd"/>
      <w:r w:rsidRPr="003D316C">
        <w:t xml:space="preserve"> </w:t>
      </w:r>
      <w:proofErr w:type="spellStart"/>
      <w:r w:rsidRPr="003D316C">
        <w:t>metacognitive</w:t>
      </w:r>
      <w:proofErr w:type="spellEnd"/>
      <w:r w:rsidRPr="003D316C">
        <w:t xml:space="preserve"> </w:t>
      </w:r>
      <w:proofErr w:type="spellStart"/>
      <w:r w:rsidRPr="003D316C">
        <w:t>prompting</w:t>
      </w:r>
      <w:proofErr w:type="spellEnd"/>
      <w:r w:rsidRPr="003D316C">
        <w:t xml:space="preserve"> on </w:t>
      </w:r>
      <w:proofErr w:type="spellStart"/>
      <w:r w:rsidRPr="003D316C">
        <w:t>math</w:t>
      </w:r>
      <w:proofErr w:type="spellEnd"/>
      <w:r w:rsidRPr="003D316C">
        <w:t xml:space="preserve"> problem-</w:t>
      </w:r>
      <w:proofErr w:type="spellStart"/>
      <w:r w:rsidRPr="003D316C">
        <w:t>solving</w:t>
      </w:r>
      <w:proofErr w:type="spellEnd"/>
      <w:r w:rsidRPr="003D316C">
        <w:t xml:space="preserve"> </w:t>
      </w:r>
      <w:proofErr w:type="spellStart"/>
      <w:r w:rsidRPr="003D316C">
        <w:t>efficiency</w:t>
      </w:r>
      <w:proofErr w:type="spellEnd"/>
      <w:r w:rsidRPr="003D316C">
        <w:t xml:space="preserve">. </w:t>
      </w:r>
      <w:proofErr w:type="spellStart"/>
      <w:r w:rsidRPr="003D316C">
        <w:rPr>
          <w:i/>
        </w:rPr>
        <w:t>Contemporary</w:t>
      </w:r>
      <w:proofErr w:type="spellEnd"/>
      <w:r w:rsidRPr="003D316C">
        <w:rPr>
          <w:i/>
        </w:rPr>
        <w:t xml:space="preserve"> </w:t>
      </w:r>
      <w:proofErr w:type="spellStart"/>
      <w:r w:rsidRPr="003D316C">
        <w:rPr>
          <w:i/>
        </w:rPr>
        <w:t>Educational</w:t>
      </w:r>
      <w:proofErr w:type="spellEnd"/>
      <w:r w:rsidRPr="003D316C">
        <w:rPr>
          <w:i/>
        </w:rPr>
        <w:t xml:space="preserve"> </w:t>
      </w:r>
      <w:proofErr w:type="spellStart"/>
      <w:r w:rsidRPr="003D316C">
        <w:rPr>
          <w:i/>
        </w:rPr>
        <w:t>Psychology</w:t>
      </w:r>
      <w:proofErr w:type="spellEnd"/>
      <w:r w:rsidRPr="003D316C">
        <w:rPr>
          <w:i/>
        </w:rPr>
        <w:t>, 33</w:t>
      </w:r>
      <w:r w:rsidRPr="003D316C">
        <w:t>(4), 875-893.</w:t>
      </w:r>
    </w:p>
    <w:p w14:paraId="506977AB" w14:textId="77777777" w:rsidR="003D316C" w:rsidRPr="003D316C" w:rsidRDefault="003D316C" w:rsidP="00712E10">
      <w:pPr>
        <w:ind w:left="425" w:hanging="425"/>
        <w:jc w:val="both"/>
      </w:pPr>
      <w:r w:rsidRPr="003D316C">
        <w:t>Korkmaz, Ö</w:t>
      </w:r>
      <w:proofErr w:type="gramStart"/>
      <w:r w:rsidRPr="003D316C">
        <w:t>.,</w:t>
      </w:r>
      <w:proofErr w:type="gramEnd"/>
      <w:r w:rsidRPr="003D316C">
        <w:t xml:space="preserve"> &amp; </w:t>
      </w:r>
      <w:proofErr w:type="spellStart"/>
      <w:r w:rsidRPr="003D316C">
        <w:t>Altun</w:t>
      </w:r>
      <w:proofErr w:type="spellEnd"/>
      <w:r w:rsidRPr="003D316C">
        <w:t xml:space="preserve">, H. (2014). </w:t>
      </w:r>
      <w:proofErr w:type="spellStart"/>
      <w:r w:rsidRPr="003D316C">
        <w:t>Adapting</w:t>
      </w:r>
      <w:proofErr w:type="spellEnd"/>
      <w:r w:rsidRPr="003D316C">
        <w:t xml:space="preserve"> </w:t>
      </w:r>
      <w:proofErr w:type="spellStart"/>
      <w:r w:rsidRPr="003D316C">
        <w:t>computer</w:t>
      </w:r>
      <w:proofErr w:type="spellEnd"/>
      <w:r w:rsidRPr="003D316C">
        <w:t xml:space="preserve"> </w:t>
      </w:r>
      <w:proofErr w:type="spellStart"/>
      <w:r w:rsidRPr="003D316C">
        <w:t>programming</w:t>
      </w:r>
      <w:proofErr w:type="spellEnd"/>
      <w:r w:rsidRPr="003D316C">
        <w:t xml:space="preserve"> self-</w:t>
      </w:r>
      <w:proofErr w:type="spellStart"/>
      <w:r w:rsidRPr="003D316C">
        <w:t>efficacy</w:t>
      </w:r>
      <w:proofErr w:type="spellEnd"/>
      <w:r w:rsidRPr="003D316C">
        <w:t xml:space="preserve"> </w:t>
      </w:r>
      <w:proofErr w:type="spellStart"/>
      <w:r w:rsidRPr="003D316C">
        <w:t>scale</w:t>
      </w:r>
      <w:proofErr w:type="spellEnd"/>
      <w:r w:rsidRPr="003D316C">
        <w:t xml:space="preserve"> </w:t>
      </w:r>
      <w:proofErr w:type="spellStart"/>
      <w:r w:rsidRPr="003D316C">
        <w:t>and</w:t>
      </w:r>
      <w:proofErr w:type="spellEnd"/>
      <w:r w:rsidRPr="003D316C">
        <w:t xml:space="preserve"> </w:t>
      </w:r>
      <w:proofErr w:type="spellStart"/>
      <w:r w:rsidRPr="003D316C">
        <w:t>engineering</w:t>
      </w:r>
      <w:proofErr w:type="spellEnd"/>
      <w:r w:rsidRPr="003D316C">
        <w:t xml:space="preserve"> </w:t>
      </w:r>
      <w:proofErr w:type="spellStart"/>
      <w:r w:rsidRPr="003D316C">
        <w:t>students</w:t>
      </w:r>
      <w:proofErr w:type="spellEnd"/>
      <w:r w:rsidRPr="003D316C">
        <w:t>’ self-</w:t>
      </w:r>
      <w:proofErr w:type="spellStart"/>
      <w:r w:rsidRPr="003D316C">
        <w:t>efficacy</w:t>
      </w:r>
      <w:proofErr w:type="spellEnd"/>
      <w:r w:rsidRPr="003D316C">
        <w:t xml:space="preserve"> </w:t>
      </w:r>
      <w:proofErr w:type="spellStart"/>
      <w:r w:rsidRPr="003D316C">
        <w:t>perceptions</w:t>
      </w:r>
      <w:proofErr w:type="spellEnd"/>
      <w:r w:rsidRPr="003D316C">
        <w:t xml:space="preserve">. </w:t>
      </w:r>
      <w:proofErr w:type="spellStart"/>
      <w:r w:rsidRPr="003D316C">
        <w:rPr>
          <w:i/>
        </w:rPr>
        <w:t>Participatory</w:t>
      </w:r>
      <w:proofErr w:type="spellEnd"/>
      <w:r w:rsidRPr="003D316C">
        <w:rPr>
          <w:i/>
        </w:rPr>
        <w:t xml:space="preserve"> </w:t>
      </w:r>
      <w:proofErr w:type="spellStart"/>
      <w:r w:rsidRPr="003D316C">
        <w:rPr>
          <w:i/>
        </w:rPr>
        <w:t>Educational</w:t>
      </w:r>
      <w:proofErr w:type="spellEnd"/>
      <w:r w:rsidRPr="003D316C">
        <w:rPr>
          <w:i/>
        </w:rPr>
        <w:t xml:space="preserve"> </w:t>
      </w:r>
      <w:proofErr w:type="spellStart"/>
      <w:r w:rsidRPr="003D316C">
        <w:rPr>
          <w:i/>
        </w:rPr>
        <w:t>Research</w:t>
      </w:r>
      <w:proofErr w:type="spellEnd"/>
      <w:r w:rsidRPr="003D316C">
        <w:rPr>
          <w:i/>
        </w:rPr>
        <w:t>, 1</w:t>
      </w:r>
      <w:r w:rsidRPr="003D316C">
        <w:t>(1), 20-31.</w:t>
      </w:r>
    </w:p>
    <w:p w14:paraId="7920B4F5" w14:textId="77777777" w:rsidR="003D316C" w:rsidRPr="003D316C" w:rsidRDefault="003D316C" w:rsidP="006D436D">
      <w:pPr>
        <w:ind w:left="425" w:hanging="425"/>
        <w:jc w:val="both"/>
      </w:pPr>
      <w:r w:rsidRPr="003D316C">
        <w:t>Özmen, B</w:t>
      </w:r>
      <w:proofErr w:type="gramStart"/>
      <w:r w:rsidRPr="003D316C">
        <w:t>.,</w:t>
      </w:r>
      <w:proofErr w:type="gramEnd"/>
      <w:r w:rsidRPr="003D316C">
        <w:t xml:space="preserve"> &amp; </w:t>
      </w:r>
      <w:proofErr w:type="spellStart"/>
      <w:r w:rsidRPr="003D316C">
        <w:t>Altun</w:t>
      </w:r>
      <w:proofErr w:type="spellEnd"/>
      <w:r w:rsidRPr="003D316C">
        <w:t xml:space="preserve">, A. (2014). </w:t>
      </w:r>
      <w:proofErr w:type="spellStart"/>
      <w:r w:rsidRPr="003D316C">
        <w:t>Undergraduate</w:t>
      </w:r>
      <w:proofErr w:type="spellEnd"/>
      <w:r w:rsidRPr="003D316C">
        <w:t xml:space="preserve"> </w:t>
      </w:r>
      <w:proofErr w:type="spellStart"/>
      <w:r w:rsidRPr="003D316C">
        <w:t>students</w:t>
      </w:r>
      <w:proofErr w:type="spellEnd"/>
      <w:r w:rsidRPr="003D316C">
        <w:t xml:space="preserve">’ </w:t>
      </w:r>
      <w:proofErr w:type="spellStart"/>
      <w:r w:rsidRPr="003D316C">
        <w:t>experiences</w:t>
      </w:r>
      <w:proofErr w:type="spellEnd"/>
      <w:r w:rsidRPr="003D316C">
        <w:t xml:space="preserve"> in </w:t>
      </w:r>
      <w:proofErr w:type="spellStart"/>
      <w:r w:rsidRPr="003D316C">
        <w:t>programming</w:t>
      </w:r>
      <w:proofErr w:type="spellEnd"/>
      <w:r w:rsidRPr="003D316C">
        <w:t xml:space="preserve">: </w:t>
      </w:r>
      <w:proofErr w:type="spellStart"/>
      <w:r w:rsidRPr="003D316C">
        <w:t>Difficulties</w:t>
      </w:r>
      <w:proofErr w:type="spellEnd"/>
      <w:r w:rsidRPr="003D316C">
        <w:t xml:space="preserve"> </w:t>
      </w:r>
      <w:proofErr w:type="spellStart"/>
      <w:r w:rsidRPr="003D316C">
        <w:t>and</w:t>
      </w:r>
      <w:proofErr w:type="spellEnd"/>
      <w:r w:rsidRPr="003D316C">
        <w:t xml:space="preserve"> </w:t>
      </w:r>
      <w:proofErr w:type="spellStart"/>
      <w:r w:rsidRPr="003D316C">
        <w:t>obstacles</w:t>
      </w:r>
      <w:proofErr w:type="spellEnd"/>
      <w:r w:rsidRPr="003D316C">
        <w:t xml:space="preserve">. </w:t>
      </w:r>
      <w:proofErr w:type="spellStart"/>
      <w:r w:rsidRPr="003D316C">
        <w:rPr>
          <w:i/>
        </w:rPr>
        <w:t>Turkish</w:t>
      </w:r>
      <w:proofErr w:type="spellEnd"/>
      <w:r w:rsidRPr="003D316C">
        <w:rPr>
          <w:i/>
        </w:rPr>
        <w:t xml:space="preserve"> Online </w:t>
      </w:r>
      <w:proofErr w:type="spellStart"/>
      <w:r w:rsidRPr="003D316C">
        <w:rPr>
          <w:i/>
        </w:rPr>
        <w:t>Journal</w:t>
      </w:r>
      <w:proofErr w:type="spellEnd"/>
      <w:r w:rsidRPr="003D316C">
        <w:rPr>
          <w:i/>
        </w:rPr>
        <w:t xml:space="preserve"> of </w:t>
      </w:r>
      <w:proofErr w:type="spellStart"/>
      <w:r w:rsidRPr="003D316C">
        <w:rPr>
          <w:i/>
        </w:rPr>
        <w:t>Qualitative</w:t>
      </w:r>
      <w:proofErr w:type="spellEnd"/>
      <w:r w:rsidRPr="003D316C">
        <w:rPr>
          <w:i/>
        </w:rPr>
        <w:t xml:space="preserve"> </w:t>
      </w:r>
      <w:proofErr w:type="spellStart"/>
      <w:r w:rsidRPr="003D316C">
        <w:rPr>
          <w:i/>
        </w:rPr>
        <w:t>Inquiry</w:t>
      </w:r>
      <w:proofErr w:type="spellEnd"/>
      <w:r w:rsidRPr="003D316C">
        <w:rPr>
          <w:i/>
        </w:rPr>
        <w:t>, 5</w:t>
      </w:r>
      <w:r w:rsidRPr="003D316C">
        <w:t>(3), 9-27.</w:t>
      </w:r>
    </w:p>
    <w:p w14:paraId="76CB1309" w14:textId="77777777" w:rsidR="003D316C" w:rsidRPr="003D316C" w:rsidRDefault="003D316C" w:rsidP="00712E10">
      <w:pPr>
        <w:ind w:left="425" w:hanging="425"/>
        <w:jc w:val="both"/>
      </w:pPr>
      <w:r w:rsidRPr="003D316C">
        <w:t>Özyurt, Ö</w:t>
      </w:r>
      <w:proofErr w:type="gramStart"/>
      <w:r w:rsidRPr="003D316C">
        <w:t>.,</w:t>
      </w:r>
      <w:proofErr w:type="gramEnd"/>
      <w:r w:rsidRPr="003D316C">
        <w:t xml:space="preserve"> &amp; Özyurt, H. (2015). A </w:t>
      </w:r>
      <w:proofErr w:type="spellStart"/>
      <w:r w:rsidRPr="003D316C">
        <w:t>study</w:t>
      </w:r>
      <w:proofErr w:type="spellEnd"/>
      <w:r w:rsidRPr="003D316C">
        <w:t xml:space="preserve"> </w:t>
      </w:r>
      <w:proofErr w:type="spellStart"/>
      <w:r w:rsidRPr="003D316C">
        <w:t>for</w:t>
      </w:r>
      <w:proofErr w:type="spellEnd"/>
      <w:r w:rsidRPr="003D316C">
        <w:t xml:space="preserve"> </w:t>
      </w:r>
      <w:proofErr w:type="spellStart"/>
      <w:r w:rsidRPr="003D316C">
        <w:t>determining</w:t>
      </w:r>
      <w:proofErr w:type="spellEnd"/>
      <w:r w:rsidRPr="003D316C">
        <w:t xml:space="preserve"> </w:t>
      </w:r>
      <w:proofErr w:type="spellStart"/>
      <w:r w:rsidRPr="003D316C">
        <w:t>computer</w:t>
      </w:r>
      <w:proofErr w:type="spellEnd"/>
      <w:r w:rsidRPr="003D316C">
        <w:t xml:space="preserve"> </w:t>
      </w:r>
      <w:proofErr w:type="spellStart"/>
      <w:r w:rsidRPr="003D316C">
        <w:t>programming</w:t>
      </w:r>
      <w:proofErr w:type="spellEnd"/>
      <w:r w:rsidRPr="003D316C">
        <w:t xml:space="preserve"> </w:t>
      </w:r>
      <w:proofErr w:type="spellStart"/>
      <w:r w:rsidRPr="003D316C">
        <w:t>students</w:t>
      </w:r>
      <w:proofErr w:type="spellEnd"/>
      <w:r w:rsidRPr="003D316C">
        <w:t xml:space="preserve">’ </w:t>
      </w:r>
      <w:proofErr w:type="spellStart"/>
      <w:r w:rsidRPr="003D316C">
        <w:t>attitudes</w:t>
      </w:r>
      <w:proofErr w:type="spellEnd"/>
      <w:r w:rsidRPr="003D316C">
        <w:t xml:space="preserve"> </w:t>
      </w:r>
      <w:proofErr w:type="spellStart"/>
      <w:r w:rsidRPr="003D316C">
        <w:t>towards</w:t>
      </w:r>
      <w:proofErr w:type="spellEnd"/>
      <w:r w:rsidRPr="003D316C">
        <w:t xml:space="preserve"> </w:t>
      </w:r>
      <w:proofErr w:type="spellStart"/>
      <w:r w:rsidRPr="003D316C">
        <w:t>programming</w:t>
      </w:r>
      <w:proofErr w:type="spellEnd"/>
      <w:r w:rsidRPr="003D316C">
        <w:t xml:space="preserve"> </w:t>
      </w:r>
      <w:proofErr w:type="spellStart"/>
      <w:r w:rsidRPr="003D316C">
        <w:t>and</w:t>
      </w:r>
      <w:proofErr w:type="spellEnd"/>
      <w:r w:rsidRPr="003D316C">
        <w:t xml:space="preserve"> </w:t>
      </w:r>
      <w:proofErr w:type="spellStart"/>
      <w:r w:rsidRPr="003D316C">
        <w:t>their</w:t>
      </w:r>
      <w:proofErr w:type="spellEnd"/>
      <w:r w:rsidRPr="003D316C">
        <w:t xml:space="preserve"> </w:t>
      </w:r>
      <w:proofErr w:type="spellStart"/>
      <w:r w:rsidRPr="003D316C">
        <w:t>programming</w:t>
      </w:r>
      <w:proofErr w:type="spellEnd"/>
      <w:r w:rsidRPr="003D316C">
        <w:t xml:space="preserve"> self-</w:t>
      </w:r>
      <w:proofErr w:type="spellStart"/>
      <w:r w:rsidRPr="003D316C">
        <w:t>efficacy</w:t>
      </w:r>
      <w:proofErr w:type="spellEnd"/>
      <w:r w:rsidRPr="003D316C">
        <w:t xml:space="preserve">. </w:t>
      </w:r>
      <w:proofErr w:type="spellStart"/>
      <w:r w:rsidRPr="003D316C">
        <w:rPr>
          <w:i/>
        </w:rPr>
        <w:t>Journal</w:t>
      </w:r>
      <w:proofErr w:type="spellEnd"/>
      <w:r w:rsidRPr="003D316C">
        <w:rPr>
          <w:i/>
        </w:rPr>
        <w:t xml:space="preserve"> of </w:t>
      </w:r>
      <w:proofErr w:type="spellStart"/>
      <w:r w:rsidRPr="003D316C">
        <w:rPr>
          <w:i/>
        </w:rPr>
        <w:t>Theory</w:t>
      </w:r>
      <w:proofErr w:type="spellEnd"/>
      <w:r w:rsidRPr="003D316C">
        <w:rPr>
          <w:i/>
        </w:rPr>
        <w:t xml:space="preserve"> </w:t>
      </w:r>
      <w:proofErr w:type="spellStart"/>
      <w:r w:rsidRPr="003D316C">
        <w:rPr>
          <w:i/>
        </w:rPr>
        <w:t>and</w:t>
      </w:r>
      <w:proofErr w:type="spellEnd"/>
      <w:r w:rsidRPr="003D316C">
        <w:rPr>
          <w:i/>
        </w:rPr>
        <w:t xml:space="preserve"> </w:t>
      </w:r>
      <w:proofErr w:type="spellStart"/>
      <w:r w:rsidRPr="003D316C">
        <w:rPr>
          <w:i/>
        </w:rPr>
        <w:t>Practice</w:t>
      </w:r>
      <w:proofErr w:type="spellEnd"/>
      <w:r w:rsidRPr="003D316C">
        <w:rPr>
          <w:i/>
        </w:rPr>
        <w:t xml:space="preserve"> in </w:t>
      </w:r>
      <w:proofErr w:type="spellStart"/>
      <w:r w:rsidRPr="003D316C">
        <w:rPr>
          <w:i/>
        </w:rPr>
        <w:t>Education</w:t>
      </w:r>
      <w:proofErr w:type="spellEnd"/>
      <w:r w:rsidRPr="003D316C">
        <w:rPr>
          <w:i/>
        </w:rPr>
        <w:t>, 11</w:t>
      </w:r>
      <w:r w:rsidRPr="003D316C">
        <w:t>(1), 51-67.</w:t>
      </w:r>
    </w:p>
    <w:p w14:paraId="67A6402C" w14:textId="77777777" w:rsidR="003D316C" w:rsidRPr="003D316C" w:rsidRDefault="003D316C" w:rsidP="006D436D">
      <w:pPr>
        <w:ind w:left="425" w:hanging="425"/>
        <w:jc w:val="both"/>
      </w:pPr>
      <w:proofErr w:type="spellStart"/>
      <w:r w:rsidRPr="003D316C">
        <w:t>Papert</w:t>
      </w:r>
      <w:proofErr w:type="spellEnd"/>
      <w:r w:rsidRPr="003D316C">
        <w:t xml:space="preserve">, S. (1980). </w:t>
      </w:r>
      <w:proofErr w:type="spellStart"/>
      <w:r w:rsidRPr="003D316C">
        <w:rPr>
          <w:i/>
        </w:rPr>
        <w:t>Mindstorms</w:t>
      </w:r>
      <w:proofErr w:type="spellEnd"/>
      <w:r w:rsidRPr="003D316C">
        <w:rPr>
          <w:i/>
        </w:rPr>
        <w:t xml:space="preserve">: </w:t>
      </w:r>
      <w:proofErr w:type="spellStart"/>
      <w:r w:rsidRPr="003D316C">
        <w:rPr>
          <w:i/>
        </w:rPr>
        <w:t>Children</w:t>
      </w:r>
      <w:proofErr w:type="spellEnd"/>
      <w:r w:rsidRPr="003D316C">
        <w:rPr>
          <w:i/>
        </w:rPr>
        <w:t xml:space="preserve">, </w:t>
      </w:r>
      <w:proofErr w:type="spellStart"/>
      <w:r w:rsidRPr="003D316C">
        <w:rPr>
          <w:i/>
        </w:rPr>
        <w:t>computers</w:t>
      </w:r>
      <w:proofErr w:type="spellEnd"/>
      <w:r w:rsidRPr="003D316C">
        <w:rPr>
          <w:i/>
        </w:rPr>
        <w:t xml:space="preserve">, </w:t>
      </w:r>
      <w:proofErr w:type="spellStart"/>
      <w:r w:rsidRPr="003D316C">
        <w:rPr>
          <w:i/>
        </w:rPr>
        <w:t>and</w:t>
      </w:r>
      <w:proofErr w:type="spellEnd"/>
      <w:r w:rsidRPr="003D316C">
        <w:rPr>
          <w:i/>
        </w:rPr>
        <w:t xml:space="preserve"> </w:t>
      </w:r>
      <w:proofErr w:type="spellStart"/>
      <w:r w:rsidRPr="003D316C">
        <w:rPr>
          <w:i/>
        </w:rPr>
        <w:t>powerful</w:t>
      </w:r>
      <w:proofErr w:type="spellEnd"/>
      <w:r w:rsidRPr="003D316C">
        <w:rPr>
          <w:i/>
        </w:rPr>
        <w:t xml:space="preserve"> </w:t>
      </w:r>
      <w:proofErr w:type="spellStart"/>
      <w:r w:rsidRPr="003D316C">
        <w:rPr>
          <w:i/>
        </w:rPr>
        <w:t>ideas</w:t>
      </w:r>
      <w:proofErr w:type="spellEnd"/>
      <w:r w:rsidRPr="003D316C">
        <w:t xml:space="preserve">. New York: Basic </w:t>
      </w:r>
      <w:proofErr w:type="spellStart"/>
      <w:r w:rsidRPr="003D316C">
        <w:t>Books</w:t>
      </w:r>
      <w:proofErr w:type="spellEnd"/>
      <w:r w:rsidRPr="003D316C">
        <w:t>.</w:t>
      </w:r>
    </w:p>
    <w:p w14:paraId="6FF8B438" w14:textId="77777777" w:rsidR="003D316C" w:rsidRPr="003D316C" w:rsidRDefault="003D316C" w:rsidP="006D436D">
      <w:pPr>
        <w:ind w:left="425" w:hanging="425"/>
        <w:jc w:val="both"/>
      </w:pPr>
      <w:proofErr w:type="spellStart"/>
      <w:r w:rsidRPr="003D316C">
        <w:t>Pillay</w:t>
      </w:r>
      <w:proofErr w:type="spellEnd"/>
      <w:r w:rsidRPr="003D316C">
        <w:t>, N</w:t>
      </w:r>
      <w:proofErr w:type="gramStart"/>
      <w:r w:rsidRPr="003D316C">
        <w:t>.,</w:t>
      </w:r>
      <w:proofErr w:type="gramEnd"/>
      <w:r w:rsidRPr="003D316C">
        <w:t xml:space="preserve"> &amp; </w:t>
      </w:r>
      <w:proofErr w:type="spellStart"/>
      <w:r w:rsidRPr="003D316C">
        <w:t>Jugoo</w:t>
      </w:r>
      <w:proofErr w:type="spellEnd"/>
      <w:r w:rsidRPr="003D316C">
        <w:t xml:space="preserve">, V. R. (2005). An </w:t>
      </w:r>
      <w:proofErr w:type="spellStart"/>
      <w:r w:rsidRPr="003D316C">
        <w:t>investigation</w:t>
      </w:r>
      <w:proofErr w:type="spellEnd"/>
      <w:r w:rsidRPr="003D316C">
        <w:t xml:space="preserve"> </w:t>
      </w:r>
      <w:proofErr w:type="spellStart"/>
      <w:r w:rsidRPr="003D316C">
        <w:t>into</w:t>
      </w:r>
      <w:proofErr w:type="spellEnd"/>
      <w:r w:rsidRPr="003D316C">
        <w:t xml:space="preserve"> </w:t>
      </w:r>
      <w:proofErr w:type="spellStart"/>
      <w:r w:rsidRPr="003D316C">
        <w:t>student</w:t>
      </w:r>
      <w:proofErr w:type="spellEnd"/>
      <w:r w:rsidRPr="003D316C">
        <w:t xml:space="preserve"> </w:t>
      </w:r>
      <w:proofErr w:type="spellStart"/>
      <w:r w:rsidRPr="003D316C">
        <w:t>characteristics</w:t>
      </w:r>
      <w:proofErr w:type="spellEnd"/>
      <w:r w:rsidRPr="003D316C">
        <w:t xml:space="preserve"> </w:t>
      </w:r>
      <w:proofErr w:type="spellStart"/>
      <w:r w:rsidRPr="003D316C">
        <w:t>affecting</w:t>
      </w:r>
      <w:proofErr w:type="spellEnd"/>
      <w:r w:rsidRPr="003D316C">
        <w:t xml:space="preserve"> </w:t>
      </w:r>
      <w:proofErr w:type="spellStart"/>
      <w:r w:rsidRPr="003D316C">
        <w:t>novice</w:t>
      </w:r>
      <w:proofErr w:type="spellEnd"/>
      <w:r w:rsidRPr="003D316C">
        <w:t xml:space="preserve"> </w:t>
      </w:r>
      <w:proofErr w:type="spellStart"/>
      <w:r w:rsidRPr="003D316C">
        <w:t>programming</w:t>
      </w:r>
      <w:proofErr w:type="spellEnd"/>
      <w:r w:rsidRPr="003D316C">
        <w:t xml:space="preserve"> </w:t>
      </w:r>
      <w:proofErr w:type="spellStart"/>
      <w:r w:rsidRPr="003D316C">
        <w:t>performance</w:t>
      </w:r>
      <w:proofErr w:type="spellEnd"/>
      <w:r w:rsidRPr="003D316C">
        <w:t xml:space="preserve">. </w:t>
      </w:r>
      <w:r w:rsidRPr="003D316C">
        <w:rPr>
          <w:i/>
        </w:rPr>
        <w:t xml:space="preserve">SIGCSE </w:t>
      </w:r>
      <w:proofErr w:type="spellStart"/>
      <w:r w:rsidRPr="003D316C">
        <w:rPr>
          <w:i/>
        </w:rPr>
        <w:t>Bulletin</w:t>
      </w:r>
      <w:proofErr w:type="spellEnd"/>
      <w:r w:rsidRPr="003D316C">
        <w:rPr>
          <w:i/>
        </w:rPr>
        <w:t>, 37</w:t>
      </w:r>
      <w:r w:rsidRPr="003D316C">
        <w:t>(4), 107-110.</w:t>
      </w:r>
    </w:p>
    <w:p w14:paraId="3326B930" w14:textId="77777777" w:rsidR="003D316C" w:rsidRPr="003D316C" w:rsidRDefault="003D316C" w:rsidP="00712E10">
      <w:pPr>
        <w:ind w:left="425" w:hanging="425"/>
        <w:jc w:val="both"/>
      </w:pPr>
      <w:proofErr w:type="spellStart"/>
      <w:r w:rsidRPr="003D316C">
        <w:t>Ramalingam</w:t>
      </w:r>
      <w:proofErr w:type="spellEnd"/>
      <w:r w:rsidRPr="003D316C">
        <w:t>, V</w:t>
      </w:r>
      <w:proofErr w:type="gramStart"/>
      <w:r w:rsidRPr="003D316C">
        <w:t>.,</w:t>
      </w:r>
      <w:proofErr w:type="gramEnd"/>
      <w:r w:rsidRPr="003D316C">
        <w:t xml:space="preserve"> </w:t>
      </w:r>
      <w:proofErr w:type="spellStart"/>
      <w:r w:rsidRPr="003D316C">
        <w:t>LaBelle</w:t>
      </w:r>
      <w:proofErr w:type="spellEnd"/>
      <w:r w:rsidRPr="003D316C">
        <w:t xml:space="preserve">, D., &amp; </w:t>
      </w:r>
      <w:proofErr w:type="spellStart"/>
      <w:r w:rsidRPr="003D316C">
        <w:t>Wiedenbeck</w:t>
      </w:r>
      <w:proofErr w:type="spellEnd"/>
      <w:r w:rsidRPr="003D316C">
        <w:t xml:space="preserve">, S. (2004, </w:t>
      </w:r>
      <w:proofErr w:type="spellStart"/>
      <w:r w:rsidRPr="003D316C">
        <w:t>June</w:t>
      </w:r>
      <w:proofErr w:type="spellEnd"/>
      <w:r w:rsidRPr="003D316C">
        <w:t xml:space="preserve"> 28-30). </w:t>
      </w:r>
      <w:r w:rsidRPr="003D316C">
        <w:rPr>
          <w:i/>
        </w:rPr>
        <w:t>Self-</w:t>
      </w:r>
      <w:proofErr w:type="spellStart"/>
      <w:r w:rsidRPr="003D316C">
        <w:rPr>
          <w:i/>
        </w:rPr>
        <w:t>efficacy</w:t>
      </w:r>
      <w:proofErr w:type="spellEnd"/>
      <w:r w:rsidRPr="003D316C">
        <w:rPr>
          <w:i/>
        </w:rPr>
        <w:t xml:space="preserve"> </w:t>
      </w:r>
      <w:proofErr w:type="spellStart"/>
      <w:r w:rsidRPr="003D316C">
        <w:rPr>
          <w:i/>
        </w:rPr>
        <w:t>and</w:t>
      </w:r>
      <w:proofErr w:type="spellEnd"/>
      <w:r w:rsidRPr="003D316C">
        <w:rPr>
          <w:i/>
        </w:rPr>
        <w:t xml:space="preserve"> </w:t>
      </w:r>
      <w:proofErr w:type="spellStart"/>
      <w:r w:rsidRPr="003D316C">
        <w:rPr>
          <w:i/>
        </w:rPr>
        <w:t>mental</w:t>
      </w:r>
      <w:proofErr w:type="spellEnd"/>
      <w:r w:rsidRPr="003D316C">
        <w:rPr>
          <w:i/>
        </w:rPr>
        <w:t xml:space="preserve"> </w:t>
      </w:r>
      <w:proofErr w:type="spellStart"/>
      <w:r w:rsidRPr="003D316C">
        <w:rPr>
          <w:i/>
        </w:rPr>
        <w:t>models</w:t>
      </w:r>
      <w:proofErr w:type="spellEnd"/>
      <w:r w:rsidRPr="003D316C">
        <w:rPr>
          <w:i/>
        </w:rPr>
        <w:t xml:space="preserve"> in </w:t>
      </w:r>
      <w:proofErr w:type="spellStart"/>
      <w:r w:rsidRPr="003D316C">
        <w:rPr>
          <w:i/>
        </w:rPr>
        <w:t>learning</w:t>
      </w:r>
      <w:proofErr w:type="spellEnd"/>
      <w:r w:rsidRPr="003D316C">
        <w:rPr>
          <w:i/>
        </w:rPr>
        <w:t xml:space="preserve"> </w:t>
      </w:r>
      <w:proofErr w:type="spellStart"/>
      <w:r w:rsidRPr="003D316C">
        <w:rPr>
          <w:i/>
        </w:rPr>
        <w:t>to</w:t>
      </w:r>
      <w:proofErr w:type="spellEnd"/>
      <w:r w:rsidRPr="003D316C">
        <w:rPr>
          <w:i/>
        </w:rPr>
        <w:t xml:space="preserve"> program</w:t>
      </w:r>
      <w:r w:rsidRPr="003D316C">
        <w:t xml:space="preserve">. </w:t>
      </w:r>
      <w:proofErr w:type="spellStart"/>
      <w:r w:rsidRPr="003D316C">
        <w:t>Paper</w:t>
      </w:r>
      <w:proofErr w:type="spellEnd"/>
      <w:r w:rsidRPr="003D316C">
        <w:t xml:space="preserve"> </w:t>
      </w:r>
      <w:proofErr w:type="spellStart"/>
      <w:r w:rsidRPr="003D316C">
        <w:t>presented</w:t>
      </w:r>
      <w:proofErr w:type="spellEnd"/>
      <w:r w:rsidRPr="003D316C">
        <w:t xml:space="preserve"> at </w:t>
      </w:r>
      <w:proofErr w:type="spellStart"/>
      <w:r w:rsidRPr="003D316C">
        <w:t>the</w:t>
      </w:r>
      <w:proofErr w:type="spellEnd"/>
      <w:r w:rsidRPr="003D316C">
        <w:t xml:space="preserve"> 9th </w:t>
      </w:r>
      <w:proofErr w:type="spellStart"/>
      <w:r w:rsidRPr="003D316C">
        <w:t>Annual</w:t>
      </w:r>
      <w:proofErr w:type="spellEnd"/>
      <w:r w:rsidRPr="003D316C">
        <w:t xml:space="preserve"> SIGCSE Conference on </w:t>
      </w:r>
      <w:proofErr w:type="spellStart"/>
      <w:r w:rsidRPr="003D316C">
        <w:t>Innovation</w:t>
      </w:r>
      <w:proofErr w:type="spellEnd"/>
      <w:r w:rsidRPr="003D316C">
        <w:t xml:space="preserve"> </w:t>
      </w:r>
      <w:proofErr w:type="spellStart"/>
      <w:r w:rsidRPr="003D316C">
        <w:t>and</w:t>
      </w:r>
      <w:proofErr w:type="spellEnd"/>
      <w:r w:rsidRPr="003D316C">
        <w:t xml:space="preserve"> </w:t>
      </w:r>
      <w:proofErr w:type="spellStart"/>
      <w:r w:rsidRPr="003D316C">
        <w:t>Technology</w:t>
      </w:r>
      <w:proofErr w:type="spellEnd"/>
      <w:r w:rsidRPr="003D316C">
        <w:t xml:space="preserve"> in </w:t>
      </w:r>
      <w:proofErr w:type="spellStart"/>
      <w:r w:rsidRPr="003D316C">
        <w:t>Computer</w:t>
      </w:r>
      <w:proofErr w:type="spellEnd"/>
      <w:r w:rsidRPr="003D316C">
        <w:t xml:space="preserve"> </w:t>
      </w:r>
      <w:proofErr w:type="spellStart"/>
      <w:r w:rsidRPr="003D316C">
        <w:t>Science</w:t>
      </w:r>
      <w:proofErr w:type="spellEnd"/>
      <w:r w:rsidRPr="003D316C">
        <w:t xml:space="preserve"> </w:t>
      </w:r>
      <w:proofErr w:type="spellStart"/>
      <w:r w:rsidRPr="003D316C">
        <w:t>Education</w:t>
      </w:r>
      <w:proofErr w:type="spellEnd"/>
      <w:r w:rsidRPr="003D316C">
        <w:t xml:space="preserve">. Leeds, United </w:t>
      </w:r>
      <w:proofErr w:type="spellStart"/>
      <w:r w:rsidRPr="003D316C">
        <w:t>Kingdom</w:t>
      </w:r>
      <w:proofErr w:type="spellEnd"/>
      <w:r w:rsidRPr="003D316C">
        <w:t>.</w:t>
      </w:r>
    </w:p>
    <w:p w14:paraId="6F9B2F31" w14:textId="77777777" w:rsidR="003D316C" w:rsidRPr="003D316C" w:rsidRDefault="003D316C" w:rsidP="006D436D">
      <w:pPr>
        <w:ind w:left="425" w:hanging="425"/>
        <w:jc w:val="both"/>
      </w:pPr>
      <w:r w:rsidRPr="003D316C">
        <w:t xml:space="preserve">Şimşek, İ. (2018). Dünyada programlama öğretimi. Y. Gülbahar ve H. Karal (Ed.), </w:t>
      </w:r>
      <w:r w:rsidRPr="003D316C">
        <w:rPr>
          <w:i/>
        </w:rPr>
        <w:t>Kuramdan uygulamaya programlama öğretimi</w:t>
      </w:r>
      <w:r w:rsidRPr="003D316C">
        <w:t xml:space="preserve"> içinde (</w:t>
      </w:r>
      <w:proofErr w:type="spellStart"/>
      <w:r w:rsidRPr="003D316C">
        <w:t>ss</w:t>
      </w:r>
      <w:proofErr w:type="spellEnd"/>
      <w:r w:rsidRPr="003D316C">
        <w:t xml:space="preserve">. 38-65). Ankara: </w:t>
      </w:r>
      <w:proofErr w:type="spellStart"/>
      <w:r w:rsidRPr="003D316C">
        <w:t>Pegem</w:t>
      </w:r>
      <w:proofErr w:type="spellEnd"/>
      <w:r w:rsidRPr="003D316C">
        <w:t xml:space="preserve"> Akademi.</w:t>
      </w:r>
    </w:p>
    <w:p w14:paraId="2F6E52F4" w14:textId="77777777" w:rsidR="003D316C" w:rsidRDefault="003D316C" w:rsidP="006D436D">
      <w:pPr>
        <w:ind w:left="425" w:hanging="425"/>
        <w:jc w:val="both"/>
      </w:pPr>
      <w:proofErr w:type="spellStart"/>
      <w:r w:rsidRPr="003D316C">
        <w:t>Tsai</w:t>
      </w:r>
      <w:proofErr w:type="spellEnd"/>
      <w:r w:rsidRPr="003D316C">
        <w:t>, M.-J</w:t>
      </w:r>
      <w:proofErr w:type="gramStart"/>
      <w:r w:rsidRPr="003D316C">
        <w:t>.,</w:t>
      </w:r>
      <w:proofErr w:type="gramEnd"/>
      <w:r w:rsidRPr="003D316C">
        <w:t xml:space="preserve"> </w:t>
      </w:r>
      <w:proofErr w:type="spellStart"/>
      <w:r w:rsidRPr="003D316C">
        <w:t>Wang</w:t>
      </w:r>
      <w:proofErr w:type="spellEnd"/>
      <w:r w:rsidRPr="003D316C">
        <w:t xml:space="preserve">, C.-Y., &amp; </w:t>
      </w:r>
      <w:proofErr w:type="spellStart"/>
      <w:r w:rsidRPr="003D316C">
        <w:t>Hsu</w:t>
      </w:r>
      <w:proofErr w:type="spellEnd"/>
      <w:r w:rsidRPr="003D316C">
        <w:t xml:space="preserve">, P.-F. (2019). </w:t>
      </w:r>
      <w:proofErr w:type="spellStart"/>
      <w:r w:rsidRPr="003D316C">
        <w:t>Developing</w:t>
      </w:r>
      <w:proofErr w:type="spellEnd"/>
      <w:r w:rsidRPr="003D316C">
        <w:t xml:space="preserve"> </w:t>
      </w:r>
      <w:proofErr w:type="spellStart"/>
      <w:r w:rsidRPr="003D316C">
        <w:t>the</w:t>
      </w:r>
      <w:proofErr w:type="spellEnd"/>
      <w:r w:rsidRPr="003D316C">
        <w:t xml:space="preserve"> </w:t>
      </w:r>
      <w:proofErr w:type="spellStart"/>
      <w:r w:rsidRPr="003D316C">
        <w:t>computer</w:t>
      </w:r>
      <w:proofErr w:type="spellEnd"/>
      <w:r w:rsidRPr="003D316C">
        <w:t xml:space="preserve"> </w:t>
      </w:r>
      <w:proofErr w:type="spellStart"/>
      <w:r w:rsidRPr="003D316C">
        <w:t>programming</w:t>
      </w:r>
      <w:proofErr w:type="spellEnd"/>
      <w:r w:rsidRPr="003D316C">
        <w:t xml:space="preserve"> self-</w:t>
      </w:r>
      <w:proofErr w:type="spellStart"/>
      <w:r w:rsidRPr="003D316C">
        <w:t>efficacy</w:t>
      </w:r>
      <w:proofErr w:type="spellEnd"/>
      <w:r w:rsidRPr="003D316C">
        <w:t xml:space="preserve"> </w:t>
      </w:r>
      <w:proofErr w:type="spellStart"/>
      <w:r w:rsidRPr="003D316C">
        <w:t>scale</w:t>
      </w:r>
      <w:proofErr w:type="spellEnd"/>
      <w:r w:rsidRPr="003D316C">
        <w:t xml:space="preserve"> (CPSES) </w:t>
      </w:r>
      <w:proofErr w:type="spellStart"/>
      <w:r w:rsidRPr="003D316C">
        <w:t>for</w:t>
      </w:r>
      <w:proofErr w:type="spellEnd"/>
      <w:r w:rsidRPr="003D316C">
        <w:t xml:space="preserve"> </w:t>
      </w:r>
      <w:proofErr w:type="spellStart"/>
      <w:r w:rsidRPr="003D316C">
        <w:t>computer</w:t>
      </w:r>
      <w:proofErr w:type="spellEnd"/>
      <w:r w:rsidRPr="003D316C">
        <w:t xml:space="preserve"> </w:t>
      </w:r>
      <w:proofErr w:type="spellStart"/>
      <w:r w:rsidRPr="003D316C">
        <w:t>literacy</w:t>
      </w:r>
      <w:proofErr w:type="spellEnd"/>
      <w:r w:rsidRPr="003D316C">
        <w:t xml:space="preserve"> </w:t>
      </w:r>
      <w:proofErr w:type="spellStart"/>
      <w:r w:rsidRPr="003D316C">
        <w:t>education</w:t>
      </w:r>
      <w:proofErr w:type="spellEnd"/>
      <w:r w:rsidRPr="003D316C">
        <w:t xml:space="preserve">. </w:t>
      </w:r>
      <w:proofErr w:type="spellStart"/>
      <w:r w:rsidRPr="003D316C">
        <w:rPr>
          <w:i/>
        </w:rPr>
        <w:t>Journal</w:t>
      </w:r>
      <w:proofErr w:type="spellEnd"/>
      <w:r w:rsidRPr="003D316C">
        <w:rPr>
          <w:i/>
        </w:rPr>
        <w:t xml:space="preserve"> of </w:t>
      </w:r>
      <w:proofErr w:type="spellStart"/>
      <w:r w:rsidRPr="003D316C">
        <w:rPr>
          <w:i/>
        </w:rPr>
        <w:t>Educational</w:t>
      </w:r>
      <w:proofErr w:type="spellEnd"/>
      <w:r w:rsidRPr="003D316C">
        <w:rPr>
          <w:i/>
        </w:rPr>
        <w:t xml:space="preserve"> Computing </w:t>
      </w:r>
      <w:proofErr w:type="spellStart"/>
      <w:r w:rsidRPr="003D316C">
        <w:rPr>
          <w:i/>
        </w:rPr>
        <w:t>Research</w:t>
      </w:r>
      <w:proofErr w:type="spellEnd"/>
      <w:r w:rsidRPr="003D316C">
        <w:rPr>
          <w:i/>
        </w:rPr>
        <w:t>, 56</w:t>
      </w:r>
      <w:r w:rsidRPr="003D316C">
        <w:t>(8), 1345–1360.</w:t>
      </w:r>
    </w:p>
    <w:sectPr w:rsidR="003D316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1479E" w14:textId="77777777" w:rsidR="00262D77" w:rsidRDefault="00262D77" w:rsidP="00D82260">
      <w:pPr>
        <w:spacing w:after="0"/>
      </w:pPr>
      <w:r>
        <w:separator/>
      </w:r>
    </w:p>
  </w:endnote>
  <w:endnote w:type="continuationSeparator" w:id="0">
    <w:p w14:paraId="44BC0340" w14:textId="77777777" w:rsidR="00262D77" w:rsidRDefault="00262D77"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60AA3656" w14:textId="1CF1E28B" w:rsidR="00D82260" w:rsidRDefault="00D82260">
        <w:pPr>
          <w:pStyle w:val="AltBilgi"/>
          <w:jc w:val="center"/>
        </w:pPr>
        <w:r>
          <w:fldChar w:fldCharType="begin"/>
        </w:r>
        <w:r>
          <w:instrText>PAGE   \* MERGEFORMAT</w:instrText>
        </w:r>
        <w:r>
          <w:fldChar w:fldCharType="separate"/>
        </w:r>
        <w:r w:rsidR="00BD3E15">
          <w:rPr>
            <w:noProof/>
          </w:rPr>
          <w:t>6</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8BF7E" w14:textId="77777777" w:rsidR="00262D77" w:rsidRDefault="00262D77" w:rsidP="00D82260">
      <w:pPr>
        <w:spacing w:after="0"/>
      </w:pPr>
      <w:r>
        <w:separator/>
      </w:r>
    </w:p>
  </w:footnote>
  <w:footnote w:type="continuationSeparator" w:id="0">
    <w:p w14:paraId="2F3F3177" w14:textId="77777777" w:rsidR="00262D77" w:rsidRDefault="00262D77"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059BD"/>
    <w:rsid w:val="000106F9"/>
    <w:rsid w:val="00026746"/>
    <w:rsid w:val="00035C42"/>
    <w:rsid w:val="00036A01"/>
    <w:rsid w:val="00085B38"/>
    <w:rsid w:val="000B4103"/>
    <w:rsid w:val="000F598C"/>
    <w:rsid w:val="00134C30"/>
    <w:rsid w:val="00166775"/>
    <w:rsid w:val="00204170"/>
    <w:rsid w:val="00261EF3"/>
    <w:rsid w:val="00262D77"/>
    <w:rsid w:val="002706C5"/>
    <w:rsid w:val="00273D18"/>
    <w:rsid w:val="00296CD7"/>
    <w:rsid w:val="002B2547"/>
    <w:rsid w:val="002E108C"/>
    <w:rsid w:val="002F0AB3"/>
    <w:rsid w:val="002F4AF3"/>
    <w:rsid w:val="002F7534"/>
    <w:rsid w:val="002F7E97"/>
    <w:rsid w:val="003252F2"/>
    <w:rsid w:val="00347819"/>
    <w:rsid w:val="00386058"/>
    <w:rsid w:val="0039718A"/>
    <w:rsid w:val="003A28B2"/>
    <w:rsid w:val="003A7296"/>
    <w:rsid w:val="003D316C"/>
    <w:rsid w:val="003D4C95"/>
    <w:rsid w:val="003D686C"/>
    <w:rsid w:val="003F1841"/>
    <w:rsid w:val="003F4392"/>
    <w:rsid w:val="003F5A77"/>
    <w:rsid w:val="00404831"/>
    <w:rsid w:val="00441C7F"/>
    <w:rsid w:val="00474DB6"/>
    <w:rsid w:val="004A2F13"/>
    <w:rsid w:val="004C2974"/>
    <w:rsid w:val="004F2CAE"/>
    <w:rsid w:val="00537C84"/>
    <w:rsid w:val="005439B1"/>
    <w:rsid w:val="00580C5F"/>
    <w:rsid w:val="005C6ED2"/>
    <w:rsid w:val="005D1478"/>
    <w:rsid w:val="005E4FD2"/>
    <w:rsid w:val="00625C31"/>
    <w:rsid w:val="00632B05"/>
    <w:rsid w:val="006516C6"/>
    <w:rsid w:val="00656660"/>
    <w:rsid w:val="006608B1"/>
    <w:rsid w:val="00660BD8"/>
    <w:rsid w:val="006741E5"/>
    <w:rsid w:val="00696F69"/>
    <w:rsid w:val="006977E5"/>
    <w:rsid w:val="006B4E49"/>
    <w:rsid w:val="006C0DAA"/>
    <w:rsid w:val="006D436D"/>
    <w:rsid w:val="00704DFF"/>
    <w:rsid w:val="00706CEE"/>
    <w:rsid w:val="00712E10"/>
    <w:rsid w:val="00740CF5"/>
    <w:rsid w:val="0074123B"/>
    <w:rsid w:val="00743882"/>
    <w:rsid w:val="00744442"/>
    <w:rsid w:val="0074629D"/>
    <w:rsid w:val="00774146"/>
    <w:rsid w:val="00781CE5"/>
    <w:rsid w:val="00785F3D"/>
    <w:rsid w:val="007C4C5B"/>
    <w:rsid w:val="007C542F"/>
    <w:rsid w:val="007C7FF0"/>
    <w:rsid w:val="007E0DE0"/>
    <w:rsid w:val="007E4379"/>
    <w:rsid w:val="008157E0"/>
    <w:rsid w:val="00822663"/>
    <w:rsid w:val="00834D2B"/>
    <w:rsid w:val="00843804"/>
    <w:rsid w:val="0084505E"/>
    <w:rsid w:val="00894310"/>
    <w:rsid w:val="008949D2"/>
    <w:rsid w:val="008A4C8B"/>
    <w:rsid w:val="008C1B3E"/>
    <w:rsid w:val="008E0D4A"/>
    <w:rsid w:val="008E36CE"/>
    <w:rsid w:val="00913191"/>
    <w:rsid w:val="00917E45"/>
    <w:rsid w:val="0093742D"/>
    <w:rsid w:val="009474C1"/>
    <w:rsid w:val="009553B1"/>
    <w:rsid w:val="00956831"/>
    <w:rsid w:val="009570B9"/>
    <w:rsid w:val="00974BBE"/>
    <w:rsid w:val="00987E0C"/>
    <w:rsid w:val="009A54E3"/>
    <w:rsid w:val="009E5ADE"/>
    <w:rsid w:val="009F501B"/>
    <w:rsid w:val="00A04BA0"/>
    <w:rsid w:val="00A60C29"/>
    <w:rsid w:val="00AA0C99"/>
    <w:rsid w:val="00AD396A"/>
    <w:rsid w:val="00AD7448"/>
    <w:rsid w:val="00B0085C"/>
    <w:rsid w:val="00B0227F"/>
    <w:rsid w:val="00B072D8"/>
    <w:rsid w:val="00B21A02"/>
    <w:rsid w:val="00B57B4C"/>
    <w:rsid w:val="00B6252C"/>
    <w:rsid w:val="00B62B01"/>
    <w:rsid w:val="00BB2F27"/>
    <w:rsid w:val="00BD3E15"/>
    <w:rsid w:val="00BD6C79"/>
    <w:rsid w:val="00C11FB8"/>
    <w:rsid w:val="00C17B04"/>
    <w:rsid w:val="00C2176C"/>
    <w:rsid w:val="00C35E37"/>
    <w:rsid w:val="00C4075B"/>
    <w:rsid w:val="00C512A0"/>
    <w:rsid w:val="00C54CF8"/>
    <w:rsid w:val="00C56808"/>
    <w:rsid w:val="00C710B0"/>
    <w:rsid w:val="00C718D7"/>
    <w:rsid w:val="00C94846"/>
    <w:rsid w:val="00CB1F25"/>
    <w:rsid w:val="00CC5545"/>
    <w:rsid w:val="00CF7497"/>
    <w:rsid w:val="00D15C75"/>
    <w:rsid w:val="00D26DE0"/>
    <w:rsid w:val="00D43B50"/>
    <w:rsid w:val="00D63C60"/>
    <w:rsid w:val="00D82260"/>
    <w:rsid w:val="00D96A71"/>
    <w:rsid w:val="00DA0041"/>
    <w:rsid w:val="00DA52CD"/>
    <w:rsid w:val="00DC0A6E"/>
    <w:rsid w:val="00E15421"/>
    <w:rsid w:val="00E160D8"/>
    <w:rsid w:val="00E21C45"/>
    <w:rsid w:val="00E77B3E"/>
    <w:rsid w:val="00EB5843"/>
    <w:rsid w:val="00EC2FF0"/>
    <w:rsid w:val="00EC42DE"/>
    <w:rsid w:val="00EF220F"/>
    <w:rsid w:val="00F70570"/>
    <w:rsid w:val="00F91256"/>
    <w:rsid w:val="00F93C51"/>
    <w:rsid w:val="00FB5405"/>
    <w:rsid w:val="00FC4ADB"/>
    <w:rsid w:val="00FF560C"/>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link w:val="AralkYokChar"/>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styleId="HafifVurgulama">
    <w:name w:val="Subtle Emphasis"/>
    <w:basedOn w:val="VarsaylanParagrafYazTipi"/>
    <w:uiPriority w:val="19"/>
    <w:qFormat/>
    <w:rsid w:val="00E15421"/>
    <w:rPr>
      <w:i/>
      <w:iCs/>
      <w:color w:val="404040" w:themeColor="text1" w:themeTint="BF"/>
    </w:rPr>
  </w:style>
  <w:style w:type="character" w:customStyle="1" w:styleId="AralkYokChar">
    <w:name w:val="Aralık Yok Char"/>
    <w:basedOn w:val="VarsaylanParagrafYazTipi"/>
    <w:link w:val="AralkYok"/>
    <w:uiPriority w:val="1"/>
    <w:rsid w:val="006741E5"/>
    <w:rPr>
      <w:rFonts w:ascii="Verdana" w:hAnsi="Verdana"/>
      <w:sz w:val="20"/>
    </w:rPr>
  </w:style>
  <w:style w:type="paragraph" w:styleId="BalonMetni">
    <w:name w:val="Balloon Text"/>
    <w:basedOn w:val="Normal"/>
    <w:link w:val="BalonMetniChar"/>
    <w:uiPriority w:val="99"/>
    <w:semiHidden/>
    <w:unhideWhenUsed/>
    <w:rsid w:val="00744442"/>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4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31062">
      <w:bodyDiv w:val="1"/>
      <w:marLeft w:val="0"/>
      <w:marRight w:val="0"/>
      <w:marTop w:val="0"/>
      <w:marBottom w:val="0"/>
      <w:divBdr>
        <w:top w:val="none" w:sz="0" w:space="0" w:color="auto"/>
        <w:left w:val="none" w:sz="0" w:space="0" w:color="auto"/>
        <w:bottom w:val="none" w:sz="0" w:space="0" w:color="auto"/>
        <w:right w:val="none" w:sz="0" w:space="0" w:color="auto"/>
      </w:divBdr>
      <w:divsChild>
        <w:div w:id="1313488283">
          <w:marLeft w:val="547"/>
          <w:marRight w:val="0"/>
          <w:marTop w:val="0"/>
          <w:marBottom w:val="600"/>
          <w:divBdr>
            <w:top w:val="none" w:sz="0" w:space="0" w:color="auto"/>
            <w:left w:val="none" w:sz="0" w:space="0" w:color="auto"/>
            <w:bottom w:val="none" w:sz="0" w:space="0" w:color="auto"/>
            <w:right w:val="none" w:sz="0" w:space="0" w:color="auto"/>
          </w:divBdr>
        </w:div>
      </w:divsChild>
    </w:div>
    <w:div w:id="470952026">
      <w:bodyDiv w:val="1"/>
      <w:marLeft w:val="0"/>
      <w:marRight w:val="0"/>
      <w:marTop w:val="0"/>
      <w:marBottom w:val="0"/>
      <w:divBdr>
        <w:top w:val="none" w:sz="0" w:space="0" w:color="auto"/>
        <w:left w:val="none" w:sz="0" w:space="0" w:color="auto"/>
        <w:bottom w:val="none" w:sz="0" w:space="0" w:color="auto"/>
        <w:right w:val="none" w:sz="0" w:space="0" w:color="auto"/>
      </w:divBdr>
      <w:divsChild>
        <w:div w:id="203375785">
          <w:marLeft w:val="547"/>
          <w:marRight w:val="0"/>
          <w:marTop w:val="0"/>
          <w:marBottom w:val="600"/>
          <w:divBdr>
            <w:top w:val="none" w:sz="0" w:space="0" w:color="auto"/>
            <w:left w:val="none" w:sz="0" w:space="0" w:color="auto"/>
            <w:bottom w:val="none" w:sz="0" w:space="0" w:color="auto"/>
            <w:right w:val="none" w:sz="0" w:space="0" w:color="auto"/>
          </w:divBdr>
        </w:div>
      </w:divsChild>
    </w:div>
    <w:div w:id="481891180">
      <w:bodyDiv w:val="1"/>
      <w:marLeft w:val="0"/>
      <w:marRight w:val="0"/>
      <w:marTop w:val="0"/>
      <w:marBottom w:val="0"/>
      <w:divBdr>
        <w:top w:val="none" w:sz="0" w:space="0" w:color="auto"/>
        <w:left w:val="none" w:sz="0" w:space="0" w:color="auto"/>
        <w:bottom w:val="none" w:sz="0" w:space="0" w:color="auto"/>
        <w:right w:val="none" w:sz="0" w:space="0" w:color="auto"/>
      </w:divBdr>
    </w:div>
    <w:div w:id="663819633">
      <w:bodyDiv w:val="1"/>
      <w:marLeft w:val="0"/>
      <w:marRight w:val="0"/>
      <w:marTop w:val="0"/>
      <w:marBottom w:val="0"/>
      <w:divBdr>
        <w:top w:val="none" w:sz="0" w:space="0" w:color="auto"/>
        <w:left w:val="none" w:sz="0" w:space="0" w:color="auto"/>
        <w:bottom w:val="none" w:sz="0" w:space="0" w:color="auto"/>
        <w:right w:val="none" w:sz="0" w:space="0" w:color="auto"/>
      </w:divBdr>
      <w:divsChild>
        <w:div w:id="747700244">
          <w:marLeft w:val="547"/>
          <w:marRight w:val="0"/>
          <w:marTop w:val="0"/>
          <w:marBottom w:val="600"/>
          <w:divBdr>
            <w:top w:val="none" w:sz="0" w:space="0" w:color="auto"/>
            <w:left w:val="none" w:sz="0" w:space="0" w:color="auto"/>
            <w:bottom w:val="none" w:sz="0" w:space="0" w:color="auto"/>
            <w:right w:val="none" w:sz="0" w:space="0" w:color="auto"/>
          </w:divBdr>
        </w:div>
        <w:div w:id="1969822239">
          <w:marLeft w:val="547"/>
          <w:marRight w:val="0"/>
          <w:marTop w:val="0"/>
          <w:marBottom w:val="600"/>
          <w:divBdr>
            <w:top w:val="none" w:sz="0" w:space="0" w:color="auto"/>
            <w:left w:val="none" w:sz="0" w:space="0" w:color="auto"/>
            <w:bottom w:val="none" w:sz="0" w:space="0" w:color="auto"/>
            <w:right w:val="none" w:sz="0" w:space="0" w:color="auto"/>
          </w:divBdr>
        </w:div>
        <w:div w:id="174465147">
          <w:marLeft w:val="547"/>
          <w:marRight w:val="0"/>
          <w:marTop w:val="0"/>
          <w:marBottom w:val="600"/>
          <w:divBdr>
            <w:top w:val="none" w:sz="0" w:space="0" w:color="auto"/>
            <w:left w:val="none" w:sz="0" w:space="0" w:color="auto"/>
            <w:bottom w:val="none" w:sz="0" w:space="0" w:color="auto"/>
            <w:right w:val="none" w:sz="0" w:space="0" w:color="auto"/>
          </w:divBdr>
        </w:div>
      </w:divsChild>
    </w:div>
    <w:div w:id="992610622">
      <w:bodyDiv w:val="1"/>
      <w:marLeft w:val="0"/>
      <w:marRight w:val="0"/>
      <w:marTop w:val="0"/>
      <w:marBottom w:val="0"/>
      <w:divBdr>
        <w:top w:val="none" w:sz="0" w:space="0" w:color="auto"/>
        <w:left w:val="none" w:sz="0" w:space="0" w:color="auto"/>
        <w:bottom w:val="none" w:sz="0" w:space="0" w:color="auto"/>
        <w:right w:val="none" w:sz="0" w:space="0" w:color="auto"/>
      </w:divBdr>
    </w:div>
    <w:div w:id="1290548737">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okoglu@kastamonu.edu.tr" TargetMode="Externa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yperlink" Target="http://www.it.uu.se/edu/course/homepage/datadidaktik/ht10/reports/Self-Efficacy.pdf"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6</Pages>
  <Words>2579</Words>
  <Characters>14703</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SEYFULLAH GOKOGLU</cp:lastModifiedBy>
  <cp:revision>73</cp:revision>
  <cp:lastPrinted>2021-06-16T13:33:00Z</cp:lastPrinted>
  <dcterms:created xsi:type="dcterms:W3CDTF">2021-10-29T20:34:00Z</dcterms:created>
  <dcterms:modified xsi:type="dcterms:W3CDTF">2021-10-30T19:36:00Z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