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723" w:rsidRPr="00D31AA9" w:rsidRDefault="00C65D94" w:rsidP="00592AF8">
      <w:pPr>
        <w:spacing w:after="120" w:line="360" w:lineRule="auto"/>
        <w:jc w:val="center"/>
        <w:rPr>
          <w:rFonts w:ascii="Times New Roman" w:hAnsi="Times New Roman" w:cs="Times New Roman"/>
          <w:b/>
          <w:sz w:val="24"/>
          <w:szCs w:val="24"/>
        </w:rPr>
      </w:pPr>
      <w:r w:rsidRPr="00D31AA9">
        <w:rPr>
          <w:rFonts w:ascii="Times New Roman" w:hAnsi="Times New Roman" w:cs="Times New Roman"/>
          <w:b/>
          <w:bCs/>
          <w:sz w:val="24"/>
          <w:szCs w:val="24"/>
        </w:rPr>
        <w:t>COVID-19</w:t>
      </w:r>
      <w:r>
        <w:rPr>
          <w:rFonts w:ascii="Times New Roman" w:hAnsi="Times New Roman" w:cs="Times New Roman"/>
          <w:b/>
          <w:bCs/>
          <w:sz w:val="24"/>
          <w:szCs w:val="24"/>
        </w:rPr>
        <w:t>’UN</w:t>
      </w:r>
      <w:r w:rsidRPr="00D31AA9">
        <w:rPr>
          <w:rFonts w:ascii="Times New Roman" w:hAnsi="Times New Roman" w:cs="Times New Roman"/>
          <w:b/>
          <w:bCs/>
          <w:sz w:val="24"/>
          <w:szCs w:val="24"/>
        </w:rPr>
        <w:t xml:space="preserve"> ÇİFTE VERGİLENDİRMEYİ ÖNLEME ANLAŞMALARINA ETKİLERİ</w:t>
      </w:r>
      <w:r>
        <w:rPr>
          <w:rFonts w:ascii="Times New Roman" w:hAnsi="Times New Roman" w:cs="Times New Roman"/>
          <w:b/>
          <w:bCs/>
          <w:sz w:val="24"/>
          <w:szCs w:val="24"/>
        </w:rPr>
        <w:t>NE DAİR ENDİŞELERİN GİDERİLMESİ</w:t>
      </w:r>
    </w:p>
    <w:p w:rsidR="006D4ED6" w:rsidRPr="00936C50" w:rsidRDefault="00320CD8" w:rsidP="00D31AA9">
      <w:pPr>
        <w:spacing w:after="120" w:line="360" w:lineRule="auto"/>
        <w:rPr>
          <w:rFonts w:ascii="Times New Roman" w:hAnsi="Times New Roman" w:cs="Times New Roman"/>
          <w:b/>
          <w:sz w:val="24"/>
          <w:szCs w:val="24"/>
        </w:rPr>
      </w:pPr>
      <w:r w:rsidRPr="00D31AA9">
        <w:rPr>
          <w:rFonts w:ascii="Times New Roman" w:hAnsi="Times New Roman" w:cs="Times New Roman"/>
          <w:bCs/>
          <w:sz w:val="20"/>
          <w:szCs w:val="20"/>
        </w:rPr>
        <w:t>Dr. Mustafa Cemil Kara</w:t>
      </w:r>
      <w:r w:rsidRPr="00D31AA9">
        <w:rPr>
          <w:rStyle w:val="DipnotBavurusu"/>
          <w:rFonts w:ascii="Times New Roman" w:hAnsi="Times New Roman" w:cs="Times New Roman"/>
          <w:sz w:val="20"/>
          <w:szCs w:val="20"/>
        </w:rPr>
        <w:footnoteReference w:customMarkFollows="1" w:id="1"/>
        <w:t>*</w:t>
      </w:r>
    </w:p>
    <w:p w:rsidR="003A7F85" w:rsidRPr="00C65D94" w:rsidRDefault="00C4557C" w:rsidP="00C65D94">
      <w:pPr>
        <w:spacing w:before="120" w:after="0" w:line="240" w:lineRule="auto"/>
        <w:jc w:val="both"/>
        <w:rPr>
          <w:rFonts w:ascii="Times New Roman" w:hAnsi="Times New Roman" w:cs="Times New Roman"/>
          <w:b/>
          <w:i/>
          <w:sz w:val="20"/>
          <w:szCs w:val="20"/>
        </w:rPr>
      </w:pPr>
      <w:r w:rsidRPr="00C65D94">
        <w:rPr>
          <w:rFonts w:ascii="Times New Roman" w:hAnsi="Times New Roman" w:cs="Times New Roman"/>
          <w:b/>
          <w:i/>
          <w:sz w:val="20"/>
          <w:szCs w:val="20"/>
        </w:rPr>
        <w:t>Öz</w:t>
      </w:r>
      <w:r w:rsidR="00C65D94" w:rsidRPr="00C65D94">
        <w:rPr>
          <w:rFonts w:ascii="Times New Roman" w:hAnsi="Times New Roman" w:cs="Times New Roman"/>
          <w:b/>
          <w:i/>
          <w:sz w:val="20"/>
          <w:szCs w:val="20"/>
        </w:rPr>
        <w:t>et</w:t>
      </w:r>
    </w:p>
    <w:p w:rsidR="0033161B" w:rsidRPr="00C65D94" w:rsidRDefault="00BF0FEA" w:rsidP="00C65D94">
      <w:pPr>
        <w:spacing w:before="120" w:after="0" w:line="240" w:lineRule="auto"/>
        <w:jc w:val="both"/>
        <w:rPr>
          <w:rFonts w:ascii="Times New Roman" w:eastAsia="Calibri" w:hAnsi="Times New Roman" w:cs="Times New Roman"/>
          <w:i/>
          <w:sz w:val="20"/>
          <w:szCs w:val="20"/>
        </w:rPr>
      </w:pPr>
      <w:r w:rsidRPr="00C65D94">
        <w:rPr>
          <w:rFonts w:ascii="Times New Roman" w:eastAsia="Calibri" w:hAnsi="Times New Roman" w:cs="Times New Roman"/>
          <w:i/>
          <w:iCs/>
          <w:sz w:val="20"/>
          <w:szCs w:val="20"/>
        </w:rPr>
        <w:t>Dünya Sağlık Örgütü</w:t>
      </w:r>
      <w:r w:rsidR="008D03AC" w:rsidRPr="00C65D94">
        <w:rPr>
          <w:rFonts w:ascii="Times New Roman" w:eastAsia="Calibri" w:hAnsi="Times New Roman" w:cs="Times New Roman"/>
          <w:i/>
          <w:iCs/>
          <w:sz w:val="20"/>
          <w:szCs w:val="20"/>
        </w:rPr>
        <w:t xml:space="preserve"> </w:t>
      </w:r>
      <w:r w:rsidRPr="00C65D94">
        <w:rPr>
          <w:rFonts w:ascii="Times New Roman" w:eastAsia="Calibri" w:hAnsi="Times New Roman" w:cs="Times New Roman"/>
          <w:i/>
          <w:iCs/>
          <w:sz w:val="20"/>
          <w:szCs w:val="20"/>
        </w:rPr>
        <w:t>tarafından pandemi ilan edilen COVID-19</w:t>
      </w:r>
      <w:r w:rsidR="00027010" w:rsidRPr="00C65D94">
        <w:rPr>
          <w:rFonts w:ascii="Times New Roman" w:eastAsia="Calibri" w:hAnsi="Times New Roman" w:cs="Times New Roman"/>
          <w:i/>
          <w:iCs/>
          <w:sz w:val="20"/>
          <w:szCs w:val="20"/>
        </w:rPr>
        <w:t>,</w:t>
      </w:r>
      <w:r w:rsidRPr="00C65D94">
        <w:rPr>
          <w:rFonts w:ascii="Times New Roman" w:eastAsia="Calibri" w:hAnsi="Times New Roman" w:cs="Times New Roman"/>
          <w:i/>
          <w:iCs/>
          <w:sz w:val="20"/>
          <w:szCs w:val="20"/>
        </w:rPr>
        <w:t xml:space="preserve"> </w:t>
      </w:r>
      <w:r w:rsidRPr="00C65D94">
        <w:rPr>
          <w:rFonts w:ascii="Times New Roman" w:eastAsia="Calibri" w:hAnsi="Times New Roman" w:cs="Times New Roman"/>
          <w:i/>
          <w:sz w:val="20"/>
          <w:szCs w:val="20"/>
        </w:rPr>
        <w:t>ülkeleri</w:t>
      </w:r>
      <w:r w:rsidR="0033161B" w:rsidRPr="00C65D94">
        <w:rPr>
          <w:rFonts w:ascii="Times New Roman" w:eastAsia="Calibri" w:hAnsi="Times New Roman" w:cs="Times New Roman"/>
          <w:i/>
          <w:sz w:val="20"/>
          <w:szCs w:val="20"/>
        </w:rPr>
        <w:t xml:space="preserve"> sokağa çıkma yasağı ve seyahat kısıtlamaları gibi katı kuralları </w:t>
      </w:r>
      <w:r w:rsidRPr="00C65D94">
        <w:rPr>
          <w:rFonts w:ascii="Times New Roman" w:eastAsia="Calibri" w:hAnsi="Times New Roman" w:cs="Times New Roman"/>
          <w:i/>
          <w:sz w:val="20"/>
          <w:szCs w:val="20"/>
        </w:rPr>
        <w:t xml:space="preserve">uygulamak zorunda bırakmıştır. </w:t>
      </w:r>
      <w:r w:rsidR="002C5B31" w:rsidRPr="00C65D94">
        <w:rPr>
          <w:rFonts w:ascii="Times New Roman" w:hAnsi="Times New Roman" w:cs="Times New Roman"/>
          <w:i/>
          <w:sz w:val="20"/>
          <w:szCs w:val="20"/>
        </w:rPr>
        <w:t xml:space="preserve">Pandeminin </w:t>
      </w:r>
      <w:r w:rsidR="002C5B31" w:rsidRPr="00C65D94">
        <w:rPr>
          <w:rFonts w:ascii="Times New Roman" w:eastAsia="Calibri" w:hAnsi="Times New Roman" w:cs="Times New Roman"/>
          <w:i/>
          <w:sz w:val="20"/>
          <w:szCs w:val="20"/>
        </w:rPr>
        <w:t>kısıtlamacı etkilerin</w:t>
      </w:r>
      <w:r w:rsidR="002C5B31" w:rsidRPr="00C65D94">
        <w:rPr>
          <w:rFonts w:ascii="Times New Roman" w:hAnsi="Times New Roman" w:cs="Times New Roman"/>
          <w:i/>
          <w:sz w:val="20"/>
          <w:szCs w:val="20"/>
        </w:rPr>
        <w:t xml:space="preserve">den </w:t>
      </w:r>
      <w:r w:rsidR="001A0E33" w:rsidRPr="00C65D94">
        <w:rPr>
          <w:rFonts w:ascii="Times New Roman" w:hAnsi="Times New Roman" w:cs="Times New Roman"/>
          <w:i/>
          <w:sz w:val="20"/>
          <w:szCs w:val="20"/>
        </w:rPr>
        <w:t xml:space="preserve">çifte vergilendirmeyi önleme </w:t>
      </w:r>
      <w:r w:rsidR="002C5B31" w:rsidRPr="00C65D94">
        <w:rPr>
          <w:rFonts w:ascii="Times New Roman" w:hAnsi="Times New Roman" w:cs="Times New Roman"/>
          <w:i/>
          <w:sz w:val="20"/>
          <w:szCs w:val="20"/>
        </w:rPr>
        <w:t>anlaşmaların</w:t>
      </w:r>
      <w:r w:rsidR="001A0E33" w:rsidRPr="00C65D94">
        <w:rPr>
          <w:rFonts w:ascii="Times New Roman" w:hAnsi="Times New Roman" w:cs="Times New Roman"/>
          <w:i/>
          <w:sz w:val="20"/>
          <w:szCs w:val="20"/>
        </w:rPr>
        <w:t>ın</w:t>
      </w:r>
      <w:r w:rsidR="008D03AC" w:rsidRPr="00C65D94">
        <w:rPr>
          <w:rFonts w:ascii="Times New Roman" w:hAnsi="Times New Roman" w:cs="Times New Roman"/>
          <w:i/>
          <w:sz w:val="20"/>
          <w:szCs w:val="20"/>
        </w:rPr>
        <w:t xml:space="preserve"> </w:t>
      </w:r>
      <w:r w:rsidR="002C5B31" w:rsidRPr="00C65D94">
        <w:rPr>
          <w:rFonts w:ascii="Times New Roman" w:hAnsi="Times New Roman" w:cs="Times New Roman"/>
          <w:i/>
          <w:sz w:val="20"/>
          <w:szCs w:val="20"/>
        </w:rPr>
        <w:t xml:space="preserve">ne şekilde etkilenecekleri </w:t>
      </w:r>
      <w:r w:rsidRPr="00C65D94">
        <w:rPr>
          <w:rFonts w:ascii="Times New Roman" w:eastAsia="Calibri" w:hAnsi="Times New Roman" w:cs="Times New Roman"/>
          <w:i/>
          <w:sz w:val="20"/>
          <w:szCs w:val="20"/>
        </w:rPr>
        <w:t xml:space="preserve">endişe konusu olmuştur. </w:t>
      </w:r>
      <w:r w:rsidR="00154F30" w:rsidRPr="00C65D94">
        <w:rPr>
          <w:rFonts w:ascii="Times New Roman" w:eastAsia="Calibri" w:hAnsi="Times New Roman" w:cs="Times New Roman"/>
          <w:i/>
          <w:sz w:val="20"/>
          <w:szCs w:val="20"/>
        </w:rPr>
        <w:t>Bu t</w:t>
      </w:r>
      <w:r w:rsidR="0069703B" w:rsidRPr="00C65D94">
        <w:rPr>
          <w:rFonts w:ascii="Times New Roman" w:hAnsi="Times New Roman" w:cs="Times New Roman"/>
          <w:i/>
          <w:sz w:val="20"/>
          <w:szCs w:val="20"/>
        </w:rPr>
        <w:t xml:space="preserve">ebliğin amacı, </w:t>
      </w:r>
      <w:r w:rsidR="002C5B31" w:rsidRPr="00C65D94">
        <w:rPr>
          <w:rFonts w:ascii="Times New Roman" w:eastAsia="Calibri" w:hAnsi="Times New Roman" w:cs="Times New Roman"/>
          <w:i/>
          <w:sz w:val="20"/>
          <w:szCs w:val="20"/>
        </w:rPr>
        <w:t>pandemi</w:t>
      </w:r>
      <w:r w:rsidR="0069703B" w:rsidRPr="00C65D94">
        <w:rPr>
          <w:rFonts w:ascii="Times New Roman" w:eastAsia="Calibri" w:hAnsi="Times New Roman" w:cs="Times New Roman"/>
          <w:i/>
          <w:sz w:val="20"/>
          <w:szCs w:val="20"/>
        </w:rPr>
        <w:t xml:space="preserve">nin </w:t>
      </w:r>
      <w:r w:rsidR="00CA3123" w:rsidRPr="00C65D94">
        <w:rPr>
          <w:rFonts w:ascii="Times New Roman" w:eastAsia="Calibri" w:hAnsi="Times New Roman" w:cs="Times New Roman"/>
          <w:i/>
          <w:sz w:val="20"/>
          <w:szCs w:val="20"/>
        </w:rPr>
        <w:t>vergi anlaşma</w:t>
      </w:r>
      <w:r w:rsidR="008D03AC" w:rsidRPr="00C65D94">
        <w:rPr>
          <w:rFonts w:ascii="Times New Roman" w:eastAsia="Calibri" w:hAnsi="Times New Roman" w:cs="Times New Roman"/>
          <w:i/>
          <w:sz w:val="20"/>
          <w:szCs w:val="20"/>
        </w:rPr>
        <w:t>lar</w:t>
      </w:r>
      <w:r w:rsidR="00CA3123" w:rsidRPr="00C65D94">
        <w:rPr>
          <w:rFonts w:ascii="Times New Roman" w:eastAsia="Calibri" w:hAnsi="Times New Roman" w:cs="Times New Roman"/>
          <w:i/>
          <w:sz w:val="20"/>
          <w:szCs w:val="20"/>
        </w:rPr>
        <w:t>ın</w:t>
      </w:r>
      <w:r w:rsidR="008D03AC" w:rsidRPr="00C65D94">
        <w:rPr>
          <w:rFonts w:ascii="Times New Roman" w:eastAsia="Calibri" w:hAnsi="Times New Roman" w:cs="Times New Roman"/>
          <w:i/>
          <w:sz w:val="20"/>
          <w:szCs w:val="20"/>
        </w:rPr>
        <w:t>a</w:t>
      </w:r>
      <w:r w:rsidR="002C5B31" w:rsidRPr="00C65D94">
        <w:rPr>
          <w:rFonts w:ascii="Times New Roman" w:eastAsia="Calibri" w:hAnsi="Times New Roman" w:cs="Times New Roman"/>
          <w:i/>
          <w:sz w:val="20"/>
          <w:szCs w:val="20"/>
        </w:rPr>
        <w:t xml:space="preserve"> </w:t>
      </w:r>
      <w:r w:rsidR="0069703B" w:rsidRPr="00C65D94">
        <w:rPr>
          <w:rFonts w:ascii="Times New Roman" w:eastAsia="Calibri" w:hAnsi="Times New Roman" w:cs="Times New Roman"/>
          <w:i/>
          <w:sz w:val="20"/>
          <w:szCs w:val="20"/>
        </w:rPr>
        <w:t xml:space="preserve">olan yansımalarını </w:t>
      </w:r>
      <w:r w:rsidR="00F20A60" w:rsidRPr="00C65D94">
        <w:rPr>
          <w:rFonts w:ascii="Times New Roman" w:eastAsia="Calibri" w:hAnsi="Times New Roman" w:cs="Times New Roman"/>
          <w:i/>
          <w:sz w:val="20"/>
          <w:szCs w:val="20"/>
        </w:rPr>
        <w:t xml:space="preserve">ve bunlara dair endişelerin ne şekilde giderilmeye çalışıldığını </w:t>
      </w:r>
      <w:r w:rsidR="00154F30" w:rsidRPr="00C65D94">
        <w:rPr>
          <w:rFonts w:ascii="Times New Roman" w:eastAsia="Calibri" w:hAnsi="Times New Roman" w:cs="Times New Roman"/>
          <w:i/>
          <w:sz w:val="20"/>
          <w:szCs w:val="20"/>
        </w:rPr>
        <w:t>ortaya koymaktır.</w:t>
      </w:r>
    </w:p>
    <w:p w:rsidR="00856EBC" w:rsidRPr="00C65D94" w:rsidRDefault="00D33CE9" w:rsidP="00C65D94">
      <w:pPr>
        <w:spacing w:before="120" w:after="0" w:line="240" w:lineRule="auto"/>
        <w:ind w:left="1985" w:hanging="1985"/>
        <w:jc w:val="both"/>
        <w:rPr>
          <w:rFonts w:ascii="Times New Roman" w:hAnsi="Times New Roman" w:cs="Times New Roman"/>
          <w:i/>
          <w:sz w:val="20"/>
          <w:szCs w:val="20"/>
        </w:rPr>
      </w:pPr>
      <w:r w:rsidRPr="00C65D94">
        <w:rPr>
          <w:rFonts w:ascii="Times New Roman" w:hAnsi="Times New Roman" w:cs="Times New Roman"/>
          <w:b/>
          <w:i/>
          <w:sz w:val="20"/>
          <w:szCs w:val="20"/>
        </w:rPr>
        <w:t>Anahtar Kelimeler</w:t>
      </w:r>
      <w:r w:rsidR="003A7F85" w:rsidRPr="00C65D94">
        <w:rPr>
          <w:rFonts w:ascii="Times New Roman" w:hAnsi="Times New Roman" w:cs="Times New Roman"/>
          <w:b/>
          <w:i/>
          <w:sz w:val="20"/>
          <w:szCs w:val="20"/>
        </w:rPr>
        <w:t xml:space="preserve">: </w:t>
      </w:r>
      <w:r w:rsidR="0069703B" w:rsidRPr="00C65D94">
        <w:rPr>
          <w:rFonts w:ascii="Times New Roman" w:hAnsi="Times New Roman" w:cs="Times New Roman"/>
          <w:i/>
          <w:sz w:val="20"/>
          <w:szCs w:val="20"/>
        </w:rPr>
        <w:t>Çifte Vergilendirmeyi Önleme Anlaşması,</w:t>
      </w:r>
      <w:r w:rsidR="0069703B" w:rsidRPr="00C65D94">
        <w:rPr>
          <w:rFonts w:ascii="Times New Roman" w:hAnsi="Times New Roman" w:cs="Times New Roman"/>
          <w:b/>
          <w:i/>
          <w:sz w:val="20"/>
          <w:szCs w:val="20"/>
        </w:rPr>
        <w:t xml:space="preserve"> </w:t>
      </w:r>
      <w:r w:rsidR="001A0E33" w:rsidRPr="00C65D94">
        <w:rPr>
          <w:rFonts w:ascii="Times New Roman" w:hAnsi="Times New Roman" w:cs="Times New Roman"/>
          <w:i/>
          <w:sz w:val="20"/>
          <w:szCs w:val="20"/>
        </w:rPr>
        <w:t xml:space="preserve">Uluslararası </w:t>
      </w:r>
      <w:r w:rsidR="0069703B" w:rsidRPr="00C65D94">
        <w:rPr>
          <w:rFonts w:ascii="Times New Roman" w:hAnsi="Times New Roman" w:cs="Times New Roman"/>
          <w:i/>
          <w:iCs/>
          <w:sz w:val="20"/>
          <w:szCs w:val="20"/>
        </w:rPr>
        <w:t>Ticaret,</w:t>
      </w:r>
      <w:r w:rsidR="00154F30" w:rsidRPr="00C65D94">
        <w:rPr>
          <w:rFonts w:ascii="Times New Roman" w:hAnsi="Times New Roman" w:cs="Times New Roman"/>
          <w:i/>
          <w:iCs/>
          <w:sz w:val="20"/>
          <w:szCs w:val="20"/>
        </w:rPr>
        <w:t xml:space="preserve"> COVID-19, İş Yeri, Mukim.</w:t>
      </w:r>
      <w:r w:rsidR="00500E3D" w:rsidRPr="00C65D94">
        <w:rPr>
          <w:rFonts w:ascii="Times New Roman" w:hAnsi="Times New Roman" w:cs="Times New Roman"/>
          <w:i/>
          <w:iCs/>
          <w:sz w:val="20"/>
          <w:szCs w:val="20"/>
        </w:rPr>
        <w:t xml:space="preserve"> </w:t>
      </w:r>
      <w:r w:rsidR="0069703B" w:rsidRPr="00C65D94">
        <w:rPr>
          <w:rFonts w:ascii="Times New Roman" w:hAnsi="Times New Roman" w:cs="Times New Roman"/>
          <w:i/>
          <w:iCs/>
          <w:sz w:val="20"/>
          <w:szCs w:val="20"/>
        </w:rPr>
        <w:t xml:space="preserve"> </w:t>
      </w:r>
    </w:p>
    <w:p w:rsidR="005F4FB1" w:rsidRPr="00C65D94" w:rsidRDefault="00C65D94" w:rsidP="00C65D94">
      <w:pPr>
        <w:spacing w:before="120" w:after="0" w:line="360" w:lineRule="auto"/>
        <w:jc w:val="center"/>
        <w:rPr>
          <w:rFonts w:ascii="Times New Roman" w:hAnsi="Times New Roman" w:cs="Times New Roman"/>
          <w:b/>
          <w:i/>
          <w:sz w:val="24"/>
          <w:szCs w:val="24"/>
        </w:rPr>
      </w:pPr>
      <w:r w:rsidRPr="00C65D94">
        <w:rPr>
          <w:rFonts w:ascii="Times New Roman" w:hAnsi="Times New Roman" w:cs="Times New Roman"/>
          <w:b/>
          <w:i/>
          <w:sz w:val="24"/>
          <w:szCs w:val="24"/>
          <w:lang w:val="en"/>
        </w:rPr>
        <w:t>RESOLVING THE CONCERNS ABOUT THE EFFECTS OF COVID-19 ON DOUBLE TAXATION AGREEMENTS</w:t>
      </w:r>
    </w:p>
    <w:p w:rsidR="003A7F85" w:rsidRPr="00C65D94" w:rsidRDefault="003A7F85" w:rsidP="00C65D94">
      <w:pPr>
        <w:spacing w:before="120" w:after="0" w:line="240" w:lineRule="auto"/>
        <w:jc w:val="both"/>
        <w:rPr>
          <w:rFonts w:ascii="Times New Roman" w:hAnsi="Times New Roman" w:cs="Times New Roman"/>
          <w:b/>
          <w:i/>
          <w:sz w:val="20"/>
          <w:szCs w:val="20"/>
        </w:rPr>
      </w:pPr>
      <w:r w:rsidRPr="00C65D94">
        <w:rPr>
          <w:rFonts w:ascii="Times New Roman" w:hAnsi="Times New Roman" w:cs="Times New Roman"/>
          <w:b/>
          <w:i/>
          <w:sz w:val="20"/>
          <w:szCs w:val="20"/>
        </w:rPr>
        <w:t>Abstract</w:t>
      </w:r>
    </w:p>
    <w:p w:rsidR="00F20A60" w:rsidRPr="00C65D94" w:rsidRDefault="005F4FB1" w:rsidP="00C65D94">
      <w:pPr>
        <w:spacing w:before="120" w:after="0" w:line="240" w:lineRule="auto"/>
        <w:jc w:val="both"/>
        <w:rPr>
          <w:rFonts w:ascii="Times New Roman" w:hAnsi="Times New Roman" w:cs="Times New Roman"/>
          <w:i/>
          <w:iCs/>
          <w:sz w:val="20"/>
          <w:szCs w:val="20"/>
        </w:rPr>
      </w:pPr>
      <w:r w:rsidRPr="00C65D94">
        <w:rPr>
          <w:rFonts w:ascii="Times New Roman" w:hAnsi="Times New Roman" w:cs="Times New Roman"/>
          <w:i/>
          <w:iCs/>
          <w:sz w:val="20"/>
          <w:szCs w:val="20"/>
          <w:lang w:val="en"/>
        </w:rPr>
        <w:t>Declared as a pandemic by the World Health Organization, COVID-19 has forced countries to enforce strict rules such as curfews and travel restrictions. It has been a matter of concern how double taxation agreements</w:t>
      </w:r>
      <w:r w:rsidR="008D03AC" w:rsidRPr="00C65D94">
        <w:rPr>
          <w:rFonts w:ascii="Times New Roman" w:hAnsi="Times New Roman" w:cs="Times New Roman"/>
          <w:i/>
          <w:iCs/>
          <w:sz w:val="20"/>
          <w:szCs w:val="20"/>
          <w:lang w:val="en"/>
        </w:rPr>
        <w:t xml:space="preserve"> </w:t>
      </w:r>
      <w:r w:rsidRPr="00C65D94">
        <w:rPr>
          <w:rFonts w:ascii="Times New Roman" w:hAnsi="Times New Roman" w:cs="Times New Roman"/>
          <w:i/>
          <w:iCs/>
          <w:sz w:val="20"/>
          <w:szCs w:val="20"/>
          <w:lang w:val="en"/>
        </w:rPr>
        <w:t xml:space="preserve">will be affected by the restrictive effects of the pandemic. The purpose of the communiqué is to </w:t>
      </w:r>
      <w:r w:rsidR="00154F30" w:rsidRPr="00C65D94">
        <w:rPr>
          <w:rFonts w:ascii="Times New Roman" w:hAnsi="Times New Roman" w:cs="Times New Roman"/>
          <w:i/>
          <w:iCs/>
          <w:sz w:val="20"/>
          <w:szCs w:val="20"/>
          <w:lang w:val="en"/>
        </w:rPr>
        <w:t>reveal</w:t>
      </w:r>
      <w:r w:rsidRPr="00C65D94">
        <w:rPr>
          <w:rFonts w:ascii="Times New Roman" w:hAnsi="Times New Roman" w:cs="Times New Roman"/>
          <w:i/>
          <w:iCs/>
          <w:sz w:val="20"/>
          <w:szCs w:val="20"/>
          <w:lang w:val="en"/>
        </w:rPr>
        <w:t xml:space="preserve"> the implications of the pandemic on </w:t>
      </w:r>
      <w:r w:rsidR="00CA3123" w:rsidRPr="00C65D94">
        <w:rPr>
          <w:rFonts w:ascii="Times New Roman" w:hAnsi="Times New Roman" w:cs="Times New Roman"/>
          <w:i/>
          <w:iCs/>
          <w:sz w:val="20"/>
          <w:szCs w:val="20"/>
          <w:lang w:val="en"/>
        </w:rPr>
        <w:t>tax agreement</w:t>
      </w:r>
      <w:r w:rsidR="008D03AC" w:rsidRPr="00C65D94">
        <w:rPr>
          <w:rFonts w:ascii="Times New Roman" w:hAnsi="Times New Roman" w:cs="Times New Roman"/>
          <w:i/>
          <w:iCs/>
          <w:sz w:val="20"/>
          <w:szCs w:val="20"/>
          <w:lang w:val="en"/>
        </w:rPr>
        <w:t>s</w:t>
      </w:r>
      <w:r w:rsidR="00F20A60" w:rsidRPr="00C65D94">
        <w:rPr>
          <w:rFonts w:ascii="Times New Roman" w:hAnsi="Times New Roman" w:cs="Times New Roman"/>
          <w:i/>
          <w:iCs/>
          <w:sz w:val="20"/>
          <w:szCs w:val="20"/>
          <w:lang w:val="en"/>
        </w:rPr>
        <w:t xml:space="preserve"> and how the worries about these implications are tried to be resolved.</w:t>
      </w:r>
    </w:p>
    <w:p w:rsidR="00FD4248" w:rsidRPr="00C65D94" w:rsidRDefault="00592AF8" w:rsidP="00C65D94">
      <w:pPr>
        <w:spacing w:before="120" w:after="0" w:line="360" w:lineRule="auto"/>
        <w:ind w:left="1276" w:hanging="1276"/>
        <w:jc w:val="both"/>
        <w:rPr>
          <w:rFonts w:ascii="Times New Roman" w:hAnsi="Times New Roman" w:cs="Times New Roman"/>
          <w:b/>
          <w:i/>
          <w:sz w:val="20"/>
          <w:szCs w:val="20"/>
        </w:rPr>
      </w:pPr>
      <w:r w:rsidRPr="00C65D94">
        <w:rPr>
          <w:rFonts w:ascii="Times New Roman" w:hAnsi="Times New Roman" w:cs="Times New Roman"/>
          <w:b/>
          <w:i/>
          <w:sz w:val="20"/>
          <w:szCs w:val="20"/>
        </w:rPr>
        <w:t>Keyw</w:t>
      </w:r>
      <w:r w:rsidR="00154F30" w:rsidRPr="00C65D94">
        <w:rPr>
          <w:rFonts w:ascii="Times New Roman" w:hAnsi="Times New Roman" w:cs="Times New Roman"/>
          <w:b/>
          <w:i/>
          <w:sz w:val="20"/>
          <w:szCs w:val="20"/>
        </w:rPr>
        <w:t>ords</w:t>
      </w:r>
      <w:r w:rsidR="00FD4248" w:rsidRPr="00C65D94">
        <w:rPr>
          <w:rFonts w:ascii="Times New Roman" w:hAnsi="Times New Roman" w:cs="Times New Roman"/>
          <w:b/>
          <w:i/>
          <w:sz w:val="20"/>
          <w:szCs w:val="20"/>
        </w:rPr>
        <w:t xml:space="preserve">: </w:t>
      </w:r>
      <w:r w:rsidR="00F20A60" w:rsidRPr="00C65D94">
        <w:rPr>
          <w:rFonts w:ascii="Times New Roman" w:hAnsi="Times New Roman" w:cs="Times New Roman"/>
          <w:i/>
          <w:sz w:val="20"/>
          <w:szCs w:val="20"/>
        </w:rPr>
        <w:t>Double Tax</w:t>
      </w:r>
      <w:r w:rsidR="00154F30" w:rsidRPr="00C65D94">
        <w:rPr>
          <w:rFonts w:ascii="Times New Roman" w:hAnsi="Times New Roman" w:cs="Times New Roman"/>
          <w:i/>
          <w:sz w:val="20"/>
          <w:szCs w:val="20"/>
        </w:rPr>
        <w:t>ation</w:t>
      </w:r>
      <w:r w:rsidR="00F20A60" w:rsidRPr="00C65D94">
        <w:rPr>
          <w:rFonts w:ascii="Times New Roman" w:hAnsi="Times New Roman" w:cs="Times New Roman"/>
          <w:i/>
          <w:sz w:val="20"/>
          <w:szCs w:val="20"/>
        </w:rPr>
        <w:t xml:space="preserve"> Agreement,</w:t>
      </w:r>
      <w:r w:rsidR="00F20A60" w:rsidRPr="00C65D94">
        <w:rPr>
          <w:rFonts w:ascii="Times New Roman" w:hAnsi="Times New Roman" w:cs="Times New Roman"/>
          <w:b/>
          <w:i/>
          <w:sz w:val="20"/>
          <w:szCs w:val="20"/>
        </w:rPr>
        <w:t xml:space="preserve"> </w:t>
      </w:r>
      <w:r w:rsidR="00CA3123" w:rsidRPr="00C65D94">
        <w:rPr>
          <w:rFonts w:ascii="Times New Roman" w:hAnsi="Times New Roman" w:cs="Times New Roman"/>
          <w:i/>
          <w:sz w:val="20"/>
          <w:szCs w:val="20"/>
        </w:rPr>
        <w:t>International</w:t>
      </w:r>
      <w:r w:rsidR="00CA3123" w:rsidRPr="00C65D94">
        <w:rPr>
          <w:rFonts w:ascii="Times New Roman" w:hAnsi="Times New Roman" w:cs="Times New Roman"/>
          <w:b/>
          <w:i/>
          <w:sz w:val="20"/>
          <w:szCs w:val="20"/>
        </w:rPr>
        <w:t xml:space="preserve"> </w:t>
      </w:r>
      <w:r w:rsidR="00FD4248" w:rsidRPr="00C65D94">
        <w:rPr>
          <w:rFonts w:ascii="Times New Roman" w:hAnsi="Times New Roman" w:cs="Times New Roman"/>
          <w:i/>
          <w:iCs/>
          <w:sz w:val="20"/>
          <w:szCs w:val="20"/>
        </w:rPr>
        <w:t>T</w:t>
      </w:r>
      <w:r w:rsidR="00F20A60" w:rsidRPr="00C65D94">
        <w:rPr>
          <w:rFonts w:ascii="Times New Roman" w:hAnsi="Times New Roman" w:cs="Times New Roman"/>
          <w:i/>
          <w:iCs/>
          <w:sz w:val="20"/>
          <w:szCs w:val="20"/>
        </w:rPr>
        <w:t>rade</w:t>
      </w:r>
      <w:r w:rsidR="00154F30" w:rsidRPr="00C65D94">
        <w:rPr>
          <w:rFonts w:ascii="Times New Roman" w:hAnsi="Times New Roman" w:cs="Times New Roman"/>
          <w:i/>
          <w:iCs/>
          <w:sz w:val="20"/>
          <w:szCs w:val="20"/>
        </w:rPr>
        <w:t>, COVID-19, Permanent Establishment, Resident.</w:t>
      </w:r>
      <w:r w:rsidR="00FD4248" w:rsidRPr="00C65D94">
        <w:rPr>
          <w:rFonts w:ascii="Times New Roman" w:hAnsi="Times New Roman" w:cs="Times New Roman"/>
          <w:b/>
          <w:i/>
          <w:iCs/>
          <w:sz w:val="20"/>
          <w:szCs w:val="20"/>
        </w:rPr>
        <w:t xml:space="preserve"> </w:t>
      </w:r>
    </w:p>
    <w:p w:rsidR="00F54058" w:rsidRPr="00936C50" w:rsidRDefault="003A7F85" w:rsidP="003B0EEC">
      <w:pPr>
        <w:spacing w:before="120"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1.</w:t>
      </w:r>
      <w:r w:rsidR="00C65D94">
        <w:rPr>
          <w:rFonts w:ascii="Times New Roman" w:hAnsi="Times New Roman" w:cs="Times New Roman"/>
          <w:b/>
          <w:sz w:val="24"/>
          <w:szCs w:val="24"/>
        </w:rPr>
        <w:t xml:space="preserve"> GİRİŞ</w:t>
      </w:r>
    </w:p>
    <w:p w:rsidR="006B0FFC" w:rsidRPr="006B0FFC" w:rsidRDefault="00500E3D" w:rsidP="003B0EEC">
      <w:pPr>
        <w:spacing w:before="120" w:after="0" w:line="240" w:lineRule="auto"/>
        <w:ind w:firstLine="709"/>
        <w:jc w:val="both"/>
        <w:rPr>
          <w:rFonts w:ascii="Times New Roman" w:hAnsi="Times New Roman" w:cs="Times New Roman"/>
          <w:color w:val="FF0000"/>
          <w:sz w:val="24"/>
          <w:szCs w:val="24"/>
        </w:rPr>
      </w:pPr>
      <w:r>
        <w:rPr>
          <w:rFonts w:ascii="Times New Roman" w:hAnsi="Times New Roman" w:cs="Times New Roman"/>
          <w:iCs/>
          <w:sz w:val="24"/>
          <w:szCs w:val="24"/>
        </w:rPr>
        <w:t>COVID-19 pandemisiyle</w:t>
      </w:r>
      <w:r w:rsidR="001A22FC">
        <w:rPr>
          <w:rFonts w:ascii="Times New Roman" w:hAnsi="Times New Roman" w:cs="Times New Roman"/>
          <w:iCs/>
          <w:sz w:val="24"/>
          <w:szCs w:val="24"/>
        </w:rPr>
        <w:t xml:space="preserve"> birlikte gündeme gelen ve uygulanan s</w:t>
      </w:r>
      <w:r w:rsidR="001A22FC" w:rsidRPr="001A22FC">
        <w:rPr>
          <w:rFonts w:ascii="Times New Roman" w:hAnsi="Times New Roman" w:cs="Times New Roman"/>
          <w:iCs/>
          <w:sz w:val="24"/>
          <w:szCs w:val="24"/>
        </w:rPr>
        <w:t xml:space="preserve">eyahat kısıtlamaları ve </w:t>
      </w:r>
      <w:r w:rsidR="001A22FC">
        <w:rPr>
          <w:rFonts w:ascii="Times New Roman" w:hAnsi="Times New Roman" w:cs="Times New Roman"/>
          <w:iCs/>
          <w:sz w:val="24"/>
          <w:szCs w:val="24"/>
        </w:rPr>
        <w:t xml:space="preserve">sokağa çıkma yasakları gibi tedbirler </w:t>
      </w:r>
      <w:r w:rsidR="001A22FC" w:rsidRPr="001A22FC">
        <w:rPr>
          <w:rFonts w:ascii="Times New Roman" w:hAnsi="Times New Roman" w:cs="Times New Roman"/>
          <w:iCs/>
          <w:sz w:val="24"/>
          <w:szCs w:val="24"/>
        </w:rPr>
        <w:t>ticari</w:t>
      </w:r>
      <w:r w:rsidR="001A22FC">
        <w:rPr>
          <w:rFonts w:ascii="Times New Roman" w:hAnsi="Times New Roman" w:cs="Times New Roman"/>
          <w:iCs/>
          <w:sz w:val="24"/>
          <w:szCs w:val="24"/>
        </w:rPr>
        <w:t xml:space="preserve"> hayatı derinden etkilemiştir.</w:t>
      </w:r>
      <w:r w:rsidR="001A22FC" w:rsidRPr="001A22FC">
        <w:rPr>
          <w:rFonts w:ascii="Times New Roman" w:hAnsi="Times New Roman" w:cs="Times New Roman"/>
          <w:iCs/>
          <w:sz w:val="24"/>
          <w:szCs w:val="24"/>
        </w:rPr>
        <w:t xml:space="preserve"> </w:t>
      </w:r>
      <w:r w:rsidR="001A22FC">
        <w:rPr>
          <w:rFonts w:ascii="Times New Roman" w:hAnsi="Times New Roman" w:cs="Times New Roman"/>
          <w:iCs/>
          <w:sz w:val="24"/>
          <w:szCs w:val="24"/>
        </w:rPr>
        <w:t>Ülkelerce eş</w:t>
      </w:r>
      <w:r w:rsidR="001A31DC">
        <w:rPr>
          <w:rFonts w:ascii="Times New Roman" w:hAnsi="Times New Roman" w:cs="Times New Roman"/>
          <w:iCs/>
          <w:sz w:val="24"/>
          <w:szCs w:val="24"/>
        </w:rPr>
        <w:t xml:space="preserve"> </w:t>
      </w:r>
      <w:r w:rsidR="001A22FC">
        <w:rPr>
          <w:rFonts w:ascii="Times New Roman" w:hAnsi="Times New Roman" w:cs="Times New Roman"/>
          <w:iCs/>
          <w:sz w:val="24"/>
          <w:szCs w:val="24"/>
        </w:rPr>
        <w:t>zamanlı olarak uygulanan emsali görülmemiş</w:t>
      </w:r>
      <w:r w:rsidR="001A22FC" w:rsidRPr="001A22FC">
        <w:rPr>
          <w:rFonts w:ascii="Times New Roman" w:hAnsi="Times New Roman" w:cs="Times New Roman"/>
          <w:iCs/>
          <w:sz w:val="24"/>
          <w:szCs w:val="24"/>
        </w:rPr>
        <w:t xml:space="preserve"> önlemler</w:t>
      </w:r>
      <w:r w:rsidR="001A22FC">
        <w:rPr>
          <w:rFonts w:ascii="Times New Roman" w:hAnsi="Times New Roman" w:cs="Times New Roman"/>
          <w:iCs/>
          <w:sz w:val="24"/>
          <w:szCs w:val="24"/>
        </w:rPr>
        <w:t>e</w:t>
      </w:r>
      <w:r w:rsidR="001A22FC" w:rsidRPr="001A22FC">
        <w:rPr>
          <w:rFonts w:ascii="Times New Roman" w:hAnsi="Times New Roman" w:cs="Times New Roman"/>
          <w:iCs/>
          <w:sz w:val="24"/>
          <w:szCs w:val="24"/>
        </w:rPr>
        <w:t xml:space="preserve"> 2020</w:t>
      </w:r>
      <w:r w:rsidR="001A22FC">
        <w:rPr>
          <w:rFonts w:ascii="Times New Roman" w:hAnsi="Times New Roman" w:cs="Times New Roman"/>
          <w:iCs/>
          <w:sz w:val="24"/>
          <w:szCs w:val="24"/>
        </w:rPr>
        <w:t xml:space="preserve"> yılında yaygın biçimde başvurulmuş ve 2021 yılında da zaman zaman</w:t>
      </w:r>
      <w:r w:rsidR="00154F30">
        <w:rPr>
          <w:rFonts w:ascii="Times New Roman" w:hAnsi="Times New Roman" w:cs="Times New Roman"/>
          <w:iCs/>
          <w:sz w:val="24"/>
          <w:szCs w:val="24"/>
        </w:rPr>
        <w:t xml:space="preserve"> bunlara</w:t>
      </w:r>
      <w:r w:rsidR="001A22FC">
        <w:rPr>
          <w:rFonts w:ascii="Times New Roman" w:hAnsi="Times New Roman" w:cs="Times New Roman"/>
          <w:iCs/>
          <w:sz w:val="24"/>
          <w:szCs w:val="24"/>
        </w:rPr>
        <w:t xml:space="preserve"> devam edileceği anlaşılmaktadır. </w:t>
      </w:r>
      <w:r w:rsidR="006B0FFC" w:rsidRPr="00510A32">
        <w:rPr>
          <w:rFonts w:ascii="Times New Roman" w:hAnsi="Times New Roman" w:cs="Times New Roman"/>
          <w:iCs/>
          <w:sz w:val="24"/>
          <w:szCs w:val="24"/>
        </w:rPr>
        <w:t xml:space="preserve">Şüphesiz </w:t>
      </w:r>
      <w:r w:rsidR="00154F30">
        <w:rPr>
          <w:rFonts w:ascii="Times New Roman" w:hAnsi="Times New Roman" w:cs="Times New Roman"/>
          <w:iCs/>
          <w:sz w:val="24"/>
          <w:szCs w:val="24"/>
        </w:rPr>
        <w:t>çifte vergilendirmeyi önleme anlaşmalarının</w:t>
      </w:r>
      <w:r w:rsidR="00CA3123">
        <w:rPr>
          <w:rFonts w:ascii="Times New Roman" w:hAnsi="Times New Roman" w:cs="Times New Roman"/>
          <w:iCs/>
          <w:sz w:val="24"/>
          <w:szCs w:val="24"/>
        </w:rPr>
        <w:t xml:space="preserve"> (ÇVÖA)</w:t>
      </w:r>
      <w:r w:rsidR="00154F30">
        <w:rPr>
          <w:rFonts w:ascii="Times New Roman" w:hAnsi="Times New Roman" w:cs="Times New Roman"/>
          <w:iCs/>
          <w:sz w:val="24"/>
          <w:szCs w:val="24"/>
        </w:rPr>
        <w:t xml:space="preserve"> </w:t>
      </w:r>
      <w:r w:rsidR="006B0FFC" w:rsidRPr="00510A32">
        <w:rPr>
          <w:rFonts w:ascii="Times New Roman" w:hAnsi="Times New Roman" w:cs="Times New Roman"/>
          <w:iCs/>
          <w:sz w:val="24"/>
          <w:szCs w:val="24"/>
        </w:rPr>
        <w:t>uluslararası ticaret</w:t>
      </w:r>
      <w:r w:rsidR="006B0FFC">
        <w:rPr>
          <w:rFonts w:ascii="Times New Roman" w:hAnsi="Times New Roman" w:cs="Times New Roman"/>
          <w:iCs/>
          <w:sz w:val="24"/>
          <w:szCs w:val="24"/>
        </w:rPr>
        <w:t xml:space="preserve"> ve yatırımlar</w:t>
      </w:r>
      <w:r w:rsidR="006B0FFC" w:rsidRPr="00510A32">
        <w:rPr>
          <w:rFonts w:ascii="Times New Roman" w:hAnsi="Times New Roman" w:cs="Times New Roman"/>
          <w:iCs/>
          <w:sz w:val="24"/>
          <w:szCs w:val="24"/>
        </w:rPr>
        <w:t xml:space="preserve"> üzerinde olumlu etkileri bulunmaktadır.</w:t>
      </w:r>
      <w:r w:rsidR="006B0FFC">
        <w:rPr>
          <w:rFonts w:ascii="Times New Roman" w:hAnsi="Times New Roman" w:cs="Times New Roman"/>
          <w:iCs/>
          <w:sz w:val="24"/>
          <w:szCs w:val="24"/>
        </w:rPr>
        <w:t xml:space="preserve"> </w:t>
      </w:r>
      <w:r w:rsidR="006B0FFC" w:rsidRPr="00E41B38">
        <w:rPr>
          <w:rFonts w:ascii="Times New Roman" w:hAnsi="Times New Roman" w:cs="Times New Roman"/>
          <w:iCs/>
          <w:sz w:val="24"/>
          <w:szCs w:val="24"/>
        </w:rPr>
        <w:t>OECD</w:t>
      </w:r>
      <w:r w:rsidR="006B0FFC">
        <w:rPr>
          <w:rFonts w:ascii="Times New Roman" w:hAnsi="Times New Roman" w:cs="Times New Roman"/>
          <w:iCs/>
          <w:sz w:val="24"/>
          <w:szCs w:val="24"/>
        </w:rPr>
        <w:t>’nin 1950’</w:t>
      </w:r>
      <w:r w:rsidR="006B0FFC" w:rsidRPr="00E41B38">
        <w:rPr>
          <w:rFonts w:ascii="Times New Roman" w:hAnsi="Times New Roman" w:cs="Times New Roman"/>
          <w:iCs/>
          <w:sz w:val="24"/>
          <w:szCs w:val="24"/>
        </w:rPr>
        <w:t>lerde kurulduğundan</w:t>
      </w:r>
      <w:r w:rsidR="006B0FFC">
        <w:rPr>
          <w:rFonts w:ascii="Times New Roman" w:hAnsi="Times New Roman" w:cs="Times New Roman"/>
          <w:iCs/>
          <w:sz w:val="24"/>
          <w:szCs w:val="24"/>
        </w:rPr>
        <w:t xml:space="preserve"> itibaren</w:t>
      </w:r>
      <w:r w:rsidR="006B0FFC" w:rsidRPr="00E41B38">
        <w:rPr>
          <w:rFonts w:ascii="Times New Roman" w:hAnsi="Times New Roman" w:cs="Times New Roman"/>
          <w:iCs/>
          <w:sz w:val="24"/>
          <w:szCs w:val="24"/>
        </w:rPr>
        <w:t xml:space="preserve"> başlıca amaçlarından biri </w:t>
      </w:r>
      <w:r w:rsidR="006B0FFC">
        <w:rPr>
          <w:rFonts w:ascii="Times New Roman" w:hAnsi="Times New Roman" w:cs="Times New Roman"/>
          <w:iCs/>
          <w:sz w:val="24"/>
          <w:szCs w:val="24"/>
        </w:rPr>
        <w:t>de üye ülkeler arasın</w:t>
      </w:r>
      <w:r w:rsidR="006B0FFC" w:rsidRPr="00E41B38">
        <w:rPr>
          <w:rFonts w:ascii="Times New Roman" w:hAnsi="Times New Roman" w:cs="Times New Roman"/>
          <w:iCs/>
          <w:sz w:val="24"/>
          <w:szCs w:val="24"/>
        </w:rPr>
        <w:t>daki ticareti teşvik etmek ve vergi sorunları</w:t>
      </w:r>
      <w:r w:rsidR="006B0FFC">
        <w:rPr>
          <w:rFonts w:ascii="Times New Roman" w:hAnsi="Times New Roman" w:cs="Times New Roman"/>
          <w:iCs/>
          <w:sz w:val="24"/>
          <w:szCs w:val="24"/>
        </w:rPr>
        <w:t>yla bağlantılı ticari engellerin</w:t>
      </w:r>
      <w:r w:rsidR="006B0FFC" w:rsidRPr="00E41B38">
        <w:rPr>
          <w:rFonts w:ascii="Times New Roman" w:hAnsi="Times New Roman" w:cs="Times New Roman"/>
          <w:iCs/>
          <w:sz w:val="24"/>
          <w:szCs w:val="24"/>
        </w:rPr>
        <w:t xml:space="preserve"> </w:t>
      </w:r>
      <w:r w:rsidR="006B0FFC">
        <w:rPr>
          <w:rFonts w:ascii="Times New Roman" w:hAnsi="Times New Roman" w:cs="Times New Roman"/>
          <w:iCs/>
          <w:sz w:val="24"/>
          <w:szCs w:val="24"/>
        </w:rPr>
        <w:t xml:space="preserve">ortadan </w:t>
      </w:r>
      <w:r w:rsidR="006B0FFC" w:rsidRPr="00E41B38">
        <w:rPr>
          <w:rFonts w:ascii="Times New Roman" w:hAnsi="Times New Roman" w:cs="Times New Roman"/>
          <w:iCs/>
          <w:sz w:val="24"/>
          <w:szCs w:val="24"/>
        </w:rPr>
        <w:t>kaldır</w:t>
      </w:r>
      <w:r w:rsidR="00CA3123">
        <w:rPr>
          <w:rFonts w:ascii="Times New Roman" w:hAnsi="Times New Roman" w:cs="Times New Roman"/>
          <w:iCs/>
          <w:sz w:val="24"/>
          <w:szCs w:val="24"/>
        </w:rPr>
        <w:t xml:space="preserve">ılmasını teminen </w:t>
      </w:r>
      <w:r w:rsidR="006B0FFC">
        <w:rPr>
          <w:rFonts w:ascii="Times New Roman" w:hAnsi="Times New Roman" w:cs="Times New Roman"/>
          <w:iCs/>
          <w:sz w:val="24"/>
          <w:szCs w:val="24"/>
        </w:rPr>
        <w:t>ÇVÖA’ların üretilmesi</w:t>
      </w:r>
      <w:r w:rsidR="00CA3123">
        <w:rPr>
          <w:rFonts w:ascii="Times New Roman" w:hAnsi="Times New Roman" w:cs="Times New Roman"/>
          <w:iCs/>
          <w:sz w:val="24"/>
          <w:szCs w:val="24"/>
        </w:rPr>
        <w:t xml:space="preserve"> ve geliştirilmesi olmuştur</w:t>
      </w:r>
      <w:r w:rsidR="006B0FFC">
        <w:rPr>
          <w:rFonts w:ascii="Times New Roman" w:hAnsi="Times New Roman" w:cs="Times New Roman"/>
          <w:iCs/>
          <w:sz w:val="24"/>
          <w:szCs w:val="24"/>
        </w:rPr>
        <w:t>. Dolayısıyla ÇVÖA’ların temel amacı</w:t>
      </w:r>
      <w:r w:rsidR="00154F30">
        <w:rPr>
          <w:rFonts w:ascii="Times New Roman" w:hAnsi="Times New Roman" w:cs="Times New Roman"/>
          <w:iCs/>
          <w:sz w:val="24"/>
          <w:szCs w:val="24"/>
        </w:rPr>
        <w:t>,</w:t>
      </w:r>
      <w:r w:rsidR="006B0FFC">
        <w:rPr>
          <w:rFonts w:ascii="Times New Roman" w:hAnsi="Times New Roman" w:cs="Times New Roman"/>
          <w:iCs/>
          <w:sz w:val="24"/>
          <w:szCs w:val="24"/>
        </w:rPr>
        <w:t xml:space="preserve"> sınır ötesi ticaretin önünde</w:t>
      </w:r>
      <w:r w:rsidR="006B0FFC" w:rsidRPr="00E41B38">
        <w:rPr>
          <w:rFonts w:ascii="Times New Roman" w:hAnsi="Times New Roman" w:cs="Times New Roman"/>
          <w:iCs/>
          <w:sz w:val="24"/>
          <w:szCs w:val="24"/>
        </w:rPr>
        <w:t xml:space="preserve"> </w:t>
      </w:r>
      <w:r w:rsidR="006B0FFC">
        <w:rPr>
          <w:rFonts w:ascii="Times New Roman" w:hAnsi="Times New Roman" w:cs="Times New Roman"/>
          <w:iCs/>
          <w:sz w:val="24"/>
          <w:szCs w:val="24"/>
        </w:rPr>
        <w:t xml:space="preserve">büyük bir engel olarak </w:t>
      </w:r>
      <w:r w:rsidR="00CA3123">
        <w:rPr>
          <w:rFonts w:ascii="Times New Roman" w:hAnsi="Times New Roman" w:cs="Times New Roman"/>
          <w:iCs/>
          <w:sz w:val="24"/>
          <w:szCs w:val="24"/>
        </w:rPr>
        <w:t>görülen</w:t>
      </w:r>
      <w:r w:rsidR="006B0FFC">
        <w:rPr>
          <w:rFonts w:ascii="Times New Roman" w:hAnsi="Times New Roman" w:cs="Times New Roman"/>
          <w:iCs/>
          <w:sz w:val="24"/>
          <w:szCs w:val="24"/>
        </w:rPr>
        <w:t xml:space="preserve"> </w:t>
      </w:r>
      <w:r w:rsidR="006B0FFC" w:rsidRPr="00E41B38">
        <w:rPr>
          <w:rFonts w:ascii="Times New Roman" w:hAnsi="Times New Roman" w:cs="Times New Roman"/>
          <w:iCs/>
          <w:sz w:val="24"/>
          <w:szCs w:val="24"/>
        </w:rPr>
        <w:t>uluslararası hukuk</w:t>
      </w:r>
      <w:r w:rsidR="006B0FFC">
        <w:rPr>
          <w:rFonts w:ascii="Times New Roman" w:hAnsi="Times New Roman" w:cs="Times New Roman"/>
          <w:iCs/>
          <w:sz w:val="24"/>
          <w:szCs w:val="24"/>
        </w:rPr>
        <w:t xml:space="preserve">i çifte vergilendirmenin ve </w:t>
      </w:r>
      <w:r w:rsidR="006B0FFC" w:rsidRPr="00E41B38">
        <w:rPr>
          <w:rFonts w:ascii="Times New Roman" w:hAnsi="Times New Roman" w:cs="Times New Roman"/>
          <w:iCs/>
          <w:sz w:val="24"/>
          <w:szCs w:val="24"/>
        </w:rPr>
        <w:t>vergi</w:t>
      </w:r>
      <w:r w:rsidR="006B0FFC">
        <w:rPr>
          <w:rFonts w:ascii="Times New Roman" w:hAnsi="Times New Roman" w:cs="Times New Roman"/>
          <w:iCs/>
          <w:sz w:val="24"/>
          <w:szCs w:val="24"/>
        </w:rPr>
        <w:t xml:space="preserve"> kaçırma ve vergiden kaçınma çabalarının </w:t>
      </w:r>
      <w:r w:rsidR="006B0FFC" w:rsidRPr="00E41B38">
        <w:rPr>
          <w:rFonts w:ascii="Times New Roman" w:hAnsi="Times New Roman" w:cs="Times New Roman"/>
          <w:iCs/>
          <w:sz w:val="24"/>
          <w:szCs w:val="24"/>
        </w:rPr>
        <w:t>önlenmesi</w:t>
      </w:r>
      <w:r w:rsidR="006B0FFC">
        <w:rPr>
          <w:rFonts w:ascii="Times New Roman" w:hAnsi="Times New Roman" w:cs="Times New Roman"/>
          <w:iCs/>
          <w:sz w:val="24"/>
          <w:szCs w:val="24"/>
        </w:rPr>
        <w:t xml:space="preserve"> olarak </w:t>
      </w:r>
      <w:r w:rsidR="00CA3123">
        <w:rPr>
          <w:rFonts w:ascii="Times New Roman" w:hAnsi="Times New Roman" w:cs="Times New Roman"/>
          <w:iCs/>
          <w:sz w:val="24"/>
          <w:szCs w:val="24"/>
        </w:rPr>
        <w:t>benimsenmektedir.</w:t>
      </w:r>
      <w:r w:rsidR="006B0FFC">
        <w:rPr>
          <w:rFonts w:ascii="Times New Roman" w:hAnsi="Times New Roman" w:cs="Times New Roman"/>
          <w:iCs/>
          <w:sz w:val="24"/>
          <w:szCs w:val="24"/>
        </w:rPr>
        <w:t xml:space="preserve"> Anlaşmalarda meydana gelebilecek pandemi kaynaklı olası olumsuzlukların sınır ötesi ticareti de etkilemesi nedeniyle konuyla ilgili endişelerin giderilmesi önem arz etmektedir.</w:t>
      </w:r>
      <w:r w:rsidR="006B0FFC" w:rsidRPr="006B0FFC">
        <w:rPr>
          <w:rFonts w:ascii="Times New Roman" w:hAnsi="Times New Roman" w:cs="Times New Roman"/>
          <w:iCs/>
          <w:color w:val="FF0000"/>
          <w:sz w:val="24"/>
          <w:szCs w:val="24"/>
        </w:rPr>
        <w:t xml:space="preserve"> </w:t>
      </w:r>
      <w:r w:rsidR="006B0FFC" w:rsidRPr="006B0FFC">
        <w:rPr>
          <w:rFonts w:ascii="Times New Roman" w:hAnsi="Times New Roman" w:cs="Times New Roman"/>
          <w:iCs/>
          <w:sz w:val="24"/>
          <w:szCs w:val="24"/>
        </w:rPr>
        <w:t xml:space="preserve">Tüm dünyada olduğu gibi ülkemizde de derin etkiler bırakan COVID-19 pandemisi, sokağa çıkma yasağı ve seyahat kısıtlamaları gibi önlemleri gündeme getirmiştir. Bir kısım işletmelerin faaliyet düzeni değişmiş, “ev ofis (home office)” biçiminde çalışma düzenine ağırlık verilmiş, hatta bazı işletmeler çalışma hayatından ya çekilmiş ya da faaliyetlerini durdurmak zorunda kalmışlardır. Pandeminin diğer vergisel sonuçları yanında çifte vergilendirmeyi önleme anlaşmalarına olan etkileri boyutu da dikkat çekmiştir. </w:t>
      </w:r>
    </w:p>
    <w:p w:rsidR="001A22FC" w:rsidRDefault="00500E3D" w:rsidP="00553C86">
      <w:pPr>
        <w:spacing w:before="120"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Bu tebliğde, p</w:t>
      </w:r>
      <w:r w:rsidR="00126A85">
        <w:rPr>
          <w:rFonts w:ascii="Times New Roman" w:hAnsi="Times New Roman" w:cs="Times New Roman"/>
          <w:iCs/>
          <w:sz w:val="24"/>
          <w:szCs w:val="24"/>
        </w:rPr>
        <w:t xml:space="preserve">andeminin kısıtlayıcı etkileri karşısında </w:t>
      </w:r>
      <w:r w:rsidR="007347AF">
        <w:rPr>
          <w:rFonts w:ascii="Times New Roman" w:hAnsi="Times New Roman" w:cs="Times New Roman"/>
          <w:iCs/>
          <w:sz w:val="24"/>
          <w:szCs w:val="24"/>
        </w:rPr>
        <w:t>ÇVÖA</w:t>
      </w:r>
      <w:r w:rsidR="00126A85">
        <w:rPr>
          <w:rFonts w:ascii="Times New Roman" w:hAnsi="Times New Roman" w:cs="Times New Roman"/>
          <w:iCs/>
          <w:sz w:val="24"/>
          <w:szCs w:val="24"/>
        </w:rPr>
        <w:t xml:space="preserve"> hükümlerinin nasıl etkileneceğine dair </w:t>
      </w:r>
      <w:r w:rsidR="00E41B38">
        <w:rPr>
          <w:rFonts w:ascii="Times New Roman" w:hAnsi="Times New Roman" w:cs="Times New Roman"/>
          <w:iCs/>
          <w:sz w:val="24"/>
          <w:szCs w:val="24"/>
        </w:rPr>
        <w:t>Ekonomik İşbirliği ve Kalkınma Örgütünün (</w:t>
      </w:r>
      <w:r w:rsidR="00126A85">
        <w:rPr>
          <w:rFonts w:ascii="Times New Roman" w:hAnsi="Times New Roman" w:cs="Times New Roman"/>
          <w:iCs/>
          <w:sz w:val="24"/>
          <w:szCs w:val="24"/>
        </w:rPr>
        <w:t>OECD</w:t>
      </w:r>
      <w:r w:rsidR="00E41B38">
        <w:rPr>
          <w:rFonts w:ascii="Times New Roman" w:hAnsi="Times New Roman" w:cs="Times New Roman"/>
          <w:iCs/>
          <w:sz w:val="24"/>
          <w:szCs w:val="24"/>
        </w:rPr>
        <w:t xml:space="preserve">) </w:t>
      </w:r>
      <w:r w:rsidR="00126A85">
        <w:rPr>
          <w:rFonts w:ascii="Times New Roman" w:hAnsi="Times New Roman" w:cs="Times New Roman"/>
          <w:iCs/>
          <w:sz w:val="24"/>
          <w:szCs w:val="24"/>
        </w:rPr>
        <w:t xml:space="preserve">görüşlerini temsil </w:t>
      </w:r>
      <w:r w:rsidR="00126A85" w:rsidRPr="00126A85">
        <w:rPr>
          <w:rFonts w:ascii="Times New Roman" w:hAnsi="Times New Roman" w:cs="Times New Roman"/>
          <w:iCs/>
          <w:sz w:val="24"/>
          <w:szCs w:val="24"/>
        </w:rPr>
        <w:t>eden</w:t>
      </w:r>
      <w:r>
        <w:rPr>
          <w:rFonts w:ascii="Times New Roman" w:hAnsi="Times New Roman" w:cs="Times New Roman"/>
          <w:iCs/>
          <w:sz w:val="24"/>
          <w:szCs w:val="24"/>
        </w:rPr>
        <w:t xml:space="preserve"> 21 Ocak 2021 tarihli “</w:t>
      </w:r>
      <w:r w:rsidR="00126A85">
        <w:rPr>
          <w:rFonts w:ascii="Times New Roman" w:hAnsi="Times New Roman" w:cs="Times New Roman"/>
          <w:iCs/>
          <w:sz w:val="24"/>
          <w:szCs w:val="24"/>
        </w:rPr>
        <w:t>Vergi Anlaşmaları ve COVID-19 Pandemisinin E</w:t>
      </w:r>
      <w:r w:rsidR="00126A85" w:rsidRPr="00126A85">
        <w:rPr>
          <w:rFonts w:ascii="Times New Roman" w:hAnsi="Times New Roman" w:cs="Times New Roman"/>
          <w:iCs/>
          <w:sz w:val="24"/>
          <w:szCs w:val="24"/>
        </w:rPr>
        <w:t>tkisi</w:t>
      </w:r>
      <w:r w:rsidR="00126A85">
        <w:rPr>
          <w:rFonts w:ascii="Times New Roman" w:hAnsi="Times New Roman" w:cs="Times New Roman"/>
          <w:iCs/>
          <w:sz w:val="24"/>
          <w:szCs w:val="24"/>
        </w:rPr>
        <w:t xml:space="preserve">ne Dair </w:t>
      </w:r>
      <w:r w:rsidR="00126A85">
        <w:rPr>
          <w:rFonts w:ascii="Times New Roman" w:hAnsi="Times New Roman" w:cs="Times New Roman"/>
          <w:iCs/>
          <w:sz w:val="24"/>
          <w:szCs w:val="24"/>
        </w:rPr>
        <w:lastRenderedPageBreak/>
        <w:t>Güncel Rehber”</w:t>
      </w:r>
      <w:r w:rsidR="00370665">
        <w:rPr>
          <w:rStyle w:val="DipnotBavurusu"/>
          <w:rFonts w:ascii="Times New Roman" w:hAnsi="Times New Roman" w:cs="Times New Roman"/>
          <w:iCs/>
          <w:sz w:val="24"/>
          <w:szCs w:val="24"/>
        </w:rPr>
        <w:footnoteReference w:id="2"/>
      </w:r>
      <w:r w:rsidR="00126A85" w:rsidRPr="00126A85">
        <w:rPr>
          <w:rFonts w:ascii="Times New Roman" w:hAnsi="Times New Roman" w:cs="Times New Roman"/>
          <w:iCs/>
          <w:sz w:val="24"/>
          <w:szCs w:val="24"/>
        </w:rPr>
        <w:t xml:space="preserve"> </w:t>
      </w:r>
      <w:r w:rsidR="00126A85">
        <w:rPr>
          <w:rFonts w:ascii="Times New Roman" w:hAnsi="Times New Roman" w:cs="Times New Roman"/>
          <w:iCs/>
          <w:sz w:val="24"/>
          <w:szCs w:val="24"/>
        </w:rPr>
        <w:t xml:space="preserve">çerçevesinde </w:t>
      </w:r>
      <w:r w:rsidR="00510A32">
        <w:rPr>
          <w:rFonts w:ascii="Times New Roman" w:hAnsi="Times New Roman" w:cs="Times New Roman"/>
          <w:iCs/>
          <w:sz w:val="24"/>
          <w:szCs w:val="24"/>
        </w:rPr>
        <w:t>değerlendirmeler</w:t>
      </w:r>
      <w:r w:rsidR="00C55E1C">
        <w:rPr>
          <w:rFonts w:ascii="Times New Roman" w:hAnsi="Times New Roman" w:cs="Times New Roman"/>
          <w:iCs/>
          <w:sz w:val="24"/>
          <w:szCs w:val="24"/>
        </w:rPr>
        <w:t>e yer verilmiştir.</w:t>
      </w:r>
      <w:r w:rsidR="00510A32">
        <w:rPr>
          <w:rFonts w:ascii="Times New Roman" w:hAnsi="Times New Roman" w:cs="Times New Roman"/>
          <w:iCs/>
          <w:sz w:val="24"/>
          <w:szCs w:val="24"/>
        </w:rPr>
        <w:t xml:space="preserve"> </w:t>
      </w:r>
      <w:r w:rsidR="00C62737">
        <w:rPr>
          <w:rFonts w:ascii="Times New Roman" w:hAnsi="Times New Roman" w:cs="Times New Roman"/>
          <w:iCs/>
          <w:sz w:val="24"/>
          <w:szCs w:val="24"/>
        </w:rPr>
        <w:t xml:space="preserve">Bundan önce, OECD’nin </w:t>
      </w:r>
      <w:r w:rsidR="00C62737" w:rsidRPr="00C62737">
        <w:rPr>
          <w:rFonts w:ascii="Times New Roman" w:hAnsi="Times New Roman" w:cs="Times New Roman"/>
          <w:iCs/>
          <w:sz w:val="24"/>
          <w:szCs w:val="24"/>
        </w:rPr>
        <w:t>3 Nisan 2020 tarih</w:t>
      </w:r>
      <w:r w:rsidR="00C62737">
        <w:rPr>
          <w:rFonts w:ascii="Times New Roman" w:hAnsi="Times New Roman" w:cs="Times New Roman"/>
          <w:iCs/>
          <w:sz w:val="24"/>
          <w:szCs w:val="24"/>
        </w:rPr>
        <w:t xml:space="preserve">li </w:t>
      </w:r>
      <w:r w:rsidR="00C62737" w:rsidRPr="00C62737">
        <w:rPr>
          <w:rFonts w:ascii="Times New Roman" w:hAnsi="Times New Roman" w:cs="Times New Roman"/>
          <w:iCs/>
          <w:sz w:val="24"/>
          <w:szCs w:val="24"/>
        </w:rPr>
        <w:t>“Vergi Anlaşmaları ve COVID-19 Krizinin Etkilerine Dair OECD Analizi”</w:t>
      </w:r>
      <w:r w:rsidR="00C62737">
        <w:rPr>
          <w:rStyle w:val="DipnotBavurusu"/>
          <w:rFonts w:ascii="Times New Roman" w:hAnsi="Times New Roman" w:cs="Times New Roman"/>
          <w:iCs/>
          <w:sz w:val="24"/>
          <w:szCs w:val="24"/>
        </w:rPr>
        <w:footnoteReference w:id="3"/>
      </w:r>
      <w:r w:rsidR="00C62737">
        <w:rPr>
          <w:rFonts w:ascii="Times New Roman" w:hAnsi="Times New Roman" w:cs="Times New Roman"/>
          <w:iCs/>
          <w:sz w:val="24"/>
          <w:szCs w:val="24"/>
        </w:rPr>
        <w:t xml:space="preserve"> adıyla bir çalışması da mevcut idi, ancak yayımlanan sonraki rehberde konu daha </w:t>
      </w:r>
      <w:r w:rsidR="00017E98">
        <w:rPr>
          <w:rFonts w:ascii="Times New Roman" w:hAnsi="Times New Roman" w:cs="Times New Roman"/>
          <w:iCs/>
          <w:sz w:val="24"/>
          <w:szCs w:val="24"/>
        </w:rPr>
        <w:t>kapsamlı</w:t>
      </w:r>
      <w:r w:rsidR="00C62737">
        <w:rPr>
          <w:rFonts w:ascii="Times New Roman" w:hAnsi="Times New Roman" w:cs="Times New Roman"/>
          <w:iCs/>
          <w:sz w:val="24"/>
          <w:szCs w:val="24"/>
        </w:rPr>
        <w:t xml:space="preserve"> ele alındığından tebliğ</w:t>
      </w:r>
      <w:r w:rsidR="007347AF">
        <w:rPr>
          <w:rFonts w:ascii="Times New Roman" w:hAnsi="Times New Roman" w:cs="Times New Roman"/>
          <w:iCs/>
          <w:sz w:val="24"/>
          <w:szCs w:val="24"/>
        </w:rPr>
        <w:t>in</w:t>
      </w:r>
      <w:r w:rsidR="00C62737">
        <w:rPr>
          <w:rFonts w:ascii="Times New Roman" w:hAnsi="Times New Roman" w:cs="Times New Roman"/>
          <w:iCs/>
          <w:sz w:val="24"/>
          <w:szCs w:val="24"/>
        </w:rPr>
        <w:t xml:space="preserve"> adı geçen rehber çerçevesinde hazırlanm</w:t>
      </w:r>
      <w:r w:rsidR="007347AF">
        <w:rPr>
          <w:rFonts w:ascii="Times New Roman" w:hAnsi="Times New Roman" w:cs="Times New Roman"/>
          <w:iCs/>
          <w:sz w:val="24"/>
          <w:szCs w:val="24"/>
        </w:rPr>
        <w:t>asına özen gösterilmiştir.</w:t>
      </w:r>
    </w:p>
    <w:p w:rsidR="00F80B6B" w:rsidRPr="00C62737" w:rsidRDefault="004964F1" w:rsidP="00553C86">
      <w:pPr>
        <w:pStyle w:val="ListeParagraf"/>
        <w:numPr>
          <w:ilvl w:val="0"/>
          <w:numId w:val="11"/>
        </w:numPr>
        <w:spacing w:before="120" w:after="0" w:line="240" w:lineRule="auto"/>
        <w:ind w:left="993" w:hanging="284"/>
        <w:jc w:val="both"/>
        <w:rPr>
          <w:rFonts w:ascii="Times New Roman" w:hAnsi="Times New Roman" w:cs="Times New Roman"/>
          <w:b/>
          <w:sz w:val="24"/>
          <w:szCs w:val="24"/>
        </w:rPr>
      </w:pPr>
      <w:r w:rsidRPr="00C62737">
        <w:rPr>
          <w:rFonts w:ascii="Times New Roman" w:hAnsi="Times New Roman" w:cs="Times New Roman"/>
          <w:b/>
          <w:sz w:val="24"/>
          <w:szCs w:val="24"/>
        </w:rPr>
        <w:t xml:space="preserve">ÇİFTE VERGİLENDİRMEYİ ÖNLEME ANLAŞMALARININ İŞLEVİ VE TARİHİ SEYRİ </w:t>
      </w:r>
    </w:p>
    <w:p w:rsidR="00D67757" w:rsidRDefault="001723FD"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ÇVÖA’lar</w:t>
      </w:r>
      <w:r w:rsidRPr="001723FD">
        <w:rPr>
          <w:rFonts w:ascii="Times New Roman" w:hAnsi="Times New Roman" w:cs="Times New Roman"/>
          <w:sz w:val="24"/>
          <w:szCs w:val="24"/>
        </w:rPr>
        <w:t xml:space="preserve"> genellikle iki </w:t>
      </w:r>
      <w:r>
        <w:rPr>
          <w:rFonts w:ascii="Times New Roman" w:hAnsi="Times New Roman" w:cs="Times New Roman"/>
          <w:sz w:val="24"/>
          <w:szCs w:val="24"/>
        </w:rPr>
        <w:t>devlet arasında</w:t>
      </w:r>
      <w:r w:rsidR="00725387">
        <w:rPr>
          <w:rFonts w:ascii="Times New Roman" w:hAnsi="Times New Roman" w:cs="Times New Roman"/>
          <w:sz w:val="24"/>
          <w:szCs w:val="24"/>
        </w:rPr>
        <w:t xml:space="preserve"> akdedilmekle birlikte ikiden fazla devlet tarafından da akdedilebilmektedir</w:t>
      </w:r>
      <w:r w:rsidR="00017E98">
        <w:rPr>
          <w:rFonts w:ascii="Times New Roman" w:hAnsi="Times New Roman" w:cs="Times New Roman"/>
          <w:sz w:val="24"/>
          <w:szCs w:val="24"/>
        </w:rPr>
        <w:t>ler</w:t>
      </w:r>
      <w:r w:rsidR="00725387">
        <w:rPr>
          <w:rFonts w:ascii="Times New Roman" w:hAnsi="Times New Roman" w:cs="Times New Roman"/>
          <w:sz w:val="24"/>
          <w:szCs w:val="24"/>
        </w:rPr>
        <w:t>. ÇVÖA’ların</w:t>
      </w:r>
      <w:r w:rsidRPr="001723FD">
        <w:rPr>
          <w:rFonts w:ascii="Times New Roman" w:hAnsi="Times New Roman" w:cs="Times New Roman"/>
          <w:sz w:val="24"/>
          <w:szCs w:val="24"/>
        </w:rPr>
        <w:t xml:space="preserve"> </w:t>
      </w:r>
      <w:r w:rsidR="00725387">
        <w:rPr>
          <w:rFonts w:ascii="Times New Roman" w:hAnsi="Times New Roman" w:cs="Times New Roman"/>
          <w:sz w:val="24"/>
          <w:szCs w:val="24"/>
        </w:rPr>
        <w:t xml:space="preserve">çifte vergilendirmeyi önlemek yanında çifte vergilendirmemeye yol açan </w:t>
      </w:r>
      <w:r w:rsidRPr="001723FD">
        <w:rPr>
          <w:rFonts w:ascii="Times New Roman" w:hAnsi="Times New Roman" w:cs="Times New Roman"/>
          <w:sz w:val="24"/>
          <w:szCs w:val="24"/>
        </w:rPr>
        <w:t>vergi</w:t>
      </w:r>
      <w:r w:rsidR="00725387">
        <w:rPr>
          <w:rFonts w:ascii="Times New Roman" w:hAnsi="Times New Roman" w:cs="Times New Roman"/>
          <w:sz w:val="24"/>
          <w:szCs w:val="24"/>
        </w:rPr>
        <w:t>den kaçınma ve vergi</w:t>
      </w:r>
      <w:r w:rsidRPr="001723FD">
        <w:rPr>
          <w:rFonts w:ascii="Times New Roman" w:hAnsi="Times New Roman" w:cs="Times New Roman"/>
          <w:sz w:val="24"/>
          <w:szCs w:val="24"/>
        </w:rPr>
        <w:t xml:space="preserve"> kaçakçılığını önlemek</w:t>
      </w:r>
      <w:r w:rsidR="00725387">
        <w:rPr>
          <w:rFonts w:ascii="Times New Roman" w:hAnsi="Times New Roman" w:cs="Times New Roman"/>
          <w:sz w:val="24"/>
          <w:szCs w:val="24"/>
        </w:rPr>
        <w:t xml:space="preserve"> gibi</w:t>
      </w:r>
      <w:r w:rsidR="00131BAE">
        <w:rPr>
          <w:rFonts w:ascii="Times New Roman" w:hAnsi="Times New Roman" w:cs="Times New Roman"/>
          <w:sz w:val="24"/>
          <w:szCs w:val="24"/>
        </w:rPr>
        <w:t xml:space="preserve"> bir</w:t>
      </w:r>
      <w:r w:rsidR="00725387">
        <w:rPr>
          <w:rFonts w:ascii="Times New Roman" w:hAnsi="Times New Roman" w:cs="Times New Roman"/>
          <w:sz w:val="24"/>
          <w:szCs w:val="24"/>
        </w:rPr>
        <w:t xml:space="preserve"> misyonu bulunmaktadır. ÇVÖA’</w:t>
      </w:r>
      <w:r w:rsidR="005D3B74">
        <w:rPr>
          <w:rFonts w:ascii="Times New Roman" w:hAnsi="Times New Roman" w:cs="Times New Roman"/>
          <w:sz w:val="24"/>
          <w:szCs w:val="24"/>
        </w:rPr>
        <w:t>lar</w:t>
      </w:r>
      <w:r w:rsidR="00725387">
        <w:rPr>
          <w:rFonts w:ascii="Times New Roman" w:hAnsi="Times New Roman" w:cs="Times New Roman"/>
          <w:sz w:val="24"/>
          <w:szCs w:val="24"/>
        </w:rPr>
        <w:t xml:space="preserve"> başlangıçta yalnızca çifte vergilendirmeyi önlemek amacıyla vergilendirme yetkisini </w:t>
      </w:r>
      <w:r w:rsidR="005D3B74">
        <w:rPr>
          <w:rFonts w:ascii="Times New Roman" w:hAnsi="Times New Roman" w:cs="Times New Roman"/>
          <w:sz w:val="24"/>
          <w:szCs w:val="24"/>
        </w:rPr>
        <w:t>ya münhasıran taraf ülkelerden birine vermekte ya da taraf ülkeler arasında paylaştırmaktaydı.</w:t>
      </w:r>
      <w:r w:rsidR="005D3B74">
        <w:rPr>
          <w:rStyle w:val="DipnotBavurusu"/>
          <w:rFonts w:ascii="Times New Roman" w:hAnsi="Times New Roman" w:cs="Times New Roman"/>
          <w:sz w:val="24"/>
          <w:szCs w:val="24"/>
        </w:rPr>
        <w:footnoteReference w:id="4"/>
      </w:r>
      <w:r w:rsidR="00131BAE">
        <w:rPr>
          <w:rFonts w:ascii="Times New Roman" w:hAnsi="Times New Roman" w:cs="Times New Roman"/>
          <w:sz w:val="24"/>
          <w:szCs w:val="24"/>
        </w:rPr>
        <w:t xml:space="preserve"> Bu </w:t>
      </w:r>
      <w:r w:rsidR="00A61A70">
        <w:rPr>
          <w:rFonts w:ascii="Times New Roman" w:hAnsi="Times New Roman" w:cs="Times New Roman"/>
          <w:sz w:val="24"/>
          <w:szCs w:val="24"/>
        </w:rPr>
        <w:t>temel amaç</w:t>
      </w:r>
      <w:r w:rsidR="00131BAE">
        <w:rPr>
          <w:rFonts w:ascii="Times New Roman" w:hAnsi="Times New Roman" w:cs="Times New Roman"/>
          <w:sz w:val="24"/>
          <w:szCs w:val="24"/>
        </w:rPr>
        <w:t xml:space="preserve"> devam etmekle birlikte </w:t>
      </w:r>
      <w:r w:rsidR="00D67757">
        <w:rPr>
          <w:rFonts w:ascii="Times New Roman" w:hAnsi="Times New Roman" w:cs="Times New Roman"/>
          <w:sz w:val="24"/>
          <w:szCs w:val="24"/>
        </w:rPr>
        <w:t xml:space="preserve">vergiden kaçınma ve vergi kaçakçılığını önlemek </w:t>
      </w:r>
      <w:r w:rsidR="00A61A70">
        <w:rPr>
          <w:rFonts w:ascii="Times New Roman" w:hAnsi="Times New Roman" w:cs="Times New Roman"/>
          <w:sz w:val="24"/>
          <w:szCs w:val="24"/>
        </w:rPr>
        <w:t>üzere</w:t>
      </w:r>
      <w:r w:rsidR="00D67757">
        <w:rPr>
          <w:rFonts w:ascii="Times New Roman" w:hAnsi="Times New Roman" w:cs="Times New Roman"/>
          <w:sz w:val="24"/>
          <w:szCs w:val="24"/>
        </w:rPr>
        <w:t xml:space="preserve"> </w:t>
      </w:r>
      <w:r w:rsidR="00131BAE">
        <w:rPr>
          <w:rFonts w:ascii="Times New Roman" w:hAnsi="Times New Roman" w:cs="Times New Roman"/>
          <w:sz w:val="24"/>
          <w:szCs w:val="24"/>
        </w:rPr>
        <w:t>zamanla</w:t>
      </w:r>
      <w:r w:rsidR="005D3B74">
        <w:rPr>
          <w:rFonts w:ascii="Times New Roman" w:hAnsi="Times New Roman" w:cs="Times New Roman"/>
          <w:sz w:val="24"/>
          <w:szCs w:val="24"/>
        </w:rPr>
        <w:t xml:space="preserve"> </w:t>
      </w:r>
      <w:r w:rsidR="00D67757">
        <w:rPr>
          <w:rFonts w:ascii="Times New Roman" w:hAnsi="Times New Roman" w:cs="Times New Roman"/>
          <w:sz w:val="24"/>
          <w:szCs w:val="24"/>
        </w:rPr>
        <w:t xml:space="preserve">idari yardımlaşma, </w:t>
      </w:r>
      <w:r w:rsidR="00D67757" w:rsidRPr="00725387">
        <w:rPr>
          <w:rFonts w:ascii="Times New Roman" w:hAnsi="Times New Roman" w:cs="Times New Roman"/>
          <w:sz w:val="24"/>
          <w:szCs w:val="24"/>
        </w:rPr>
        <w:t xml:space="preserve">bilgi değişimi, </w:t>
      </w:r>
      <w:r w:rsidR="00D67757">
        <w:rPr>
          <w:rFonts w:ascii="Times New Roman" w:hAnsi="Times New Roman" w:cs="Times New Roman"/>
          <w:sz w:val="24"/>
          <w:szCs w:val="24"/>
        </w:rPr>
        <w:t xml:space="preserve">anlaşma istismarını bertaraf etmek üzere son zamanlarda geliştirilen hükümler anlaşmalarda sıkça yer bulmaktadır. </w:t>
      </w:r>
    </w:p>
    <w:p w:rsidR="00725387" w:rsidRPr="00725387" w:rsidRDefault="00725387"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ÇVÖA’lar u</w:t>
      </w:r>
      <w:r w:rsidR="001723FD" w:rsidRPr="001723FD">
        <w:rPr>
          <w:rFonts w:ascii="Times New Roman" w:hAnsi="Times New Roman" w:cs="Times New Roman"/>
          <w:sz w:val="24"/>
          <w:szCs w:val="24"/>
        </w:rPr>
        <w:t>luslararası ticaret</w:t>
      </w:r>
      <w:r>
        <w:rPr>
          <w:rFonts w:ascii="Times New Roman" w:hAnsi="Times New Roman" w:cs="Times New Roman"/>
          <w:sz w:val="24"/>
          <w:szCs w:val="24"/>
        </w:rPr>
        <w:t xml:space="preserve"> ve yatırımların önünü açan, </w:t>
      </w:r>
      <w:r w:rsidR="001723FD" w:rsidRPr="001723FD">
        <w:rPr>
          <w:rFonts w:ascii="Times New Roman" w:hAnsi="Times New Roman" w:cs="Times New Roman"/>
          <w:sz w:val="24"/>
          <w:szCs w:val="24"/>
        </w:rPr>
        <w:t xml:space="preserve">teknoloji transferini </w:t>
      </w:r>
      <w:r>
        <w:rPr>
          <w:rFonts w:ascii="Times New Roman" w:hAnsi="Times New Roman" w:cs="Times New Roman"/>
          <w:sz w:val="24"/>
          <w:szCs w:val="24"/>
        </w:rPr>
        <w:t>kolaylaştıran güçlü araçlar olarak</w:t>
      </w:r>
      <w:r w:rsidR="00A61A70">
        <w:rPr>
          <w:rFonts w:ascii="Times New Roman" w:hAnsi="Times New Roman" w:cs="Times New Roman"/>
          <w:sz w:val="24"/>
          <w:szCs w:val="24"/>
        </w:rPr>
        <w:t xml:space="preserve"> </w:t>
      </w:r>
      <w:r>
        <w:rPr>
          <w:rFonts w:ascii="Times New Roman" w:hAnsi="Times New Roman" w:cs="Times New Roman"/>
          <w:sz w:val="24"/>
          <w:szCs w:val="24"/>
        </w:rPr>
        <w:t xml:space="preserve">kabul edilmektedir. ÇVÖA’ların </w:t>
      </w:r>
      <w:r w:rsidR="00D67757">
        <w:rPr>
          <w:rFonts w:ascii="Times New Roman" w:hAnsi="Times New Roman" w:cs="Times New Roman"/>
          <w:sz w:val="24"/>
          <w:szCs w:val="24"/>
        </w:rPr>
        <w:t>vergi mükelleflerinin korunmasında</w:t>
      </w:r>
      <w:r w:rsidR="001723FD" w:rsidRPr="001723FD">
        <w:rPr>
          <w:rFonts w:ascii="Times New Roman" w:hAnsi="Times New Roman" w:cs="Times New Roman"/>
          <w:sz w:val="24"/>
          <w:szCs w:val="24"/>
        </w:rPr>
        <w:t xml:space="preserve"> ve ayrımcılığı</w:t>
      </w:r>
      <w:r w:rsidR="00D67757">
        <w:rPr>
          <w:rFonts w:ascii="Times New Roman" w:hAnsi="Times New Roman" w:cs="Times New Roman"/>
          <w:sz w:val="24"/>
          <w:szCs w:val="24"/>
        </w:rPr>
        <w:t>n</w:t>
      </w:r>
      <w:r w:rsidR="001723FD" w:rsidRPr="001723FD">
        <w:rPr>
          <w:rFonts w:ascii="Times New Roman" w:hAnsi="Times New Roman" w:cs="Times New Roman"/>
          <w:sz w:val="24"/>
          <w:szCs w:val="24"/>
        </w:rPr>
        <w:t xml:space="preserve"> önle</w:t>
      </w:r>
      <w:r w:rsidR="00D67757">
        <w:rPr>
          <w:rFonts w:ascii="Times New Roman" w:hAnsi="Times New Roman" w:cs="Times New Roman"/>
          <w:sz w:val="24"/>
          <w:szCs w:val="24"/>
        </w:rPr>
        <w:t>n</w:t>
      </w:r>
      <w:r w:rsidR="001723FD" w:rsidRPr="001723FD">
        <w:rPr>
          <w:rFonts w:ascii="Times New Roman" w:hAnsi="Times New Roman" w:cs="Times New Roman"/>
          <w:sz w:val="24"/>
          <w:szCs w:val="24"/>
        </w:rPr>
        <w:t>me</w:t>
      </w:r>
      <w:r w:rsidR="00D67757">
        <w:rPr>
          <w:rFonts w:ascii="Times New Roman" w:hAnsi="Times New Roman" w:cs="Times New Roman"/>
          <w:sz w:val="24"/>
          <w:szCs w:val="24"/>
        </w:rPr>
        <w:t>sinde</w:t>
      </w:r>
      <w:r w:rsidR="001723FD" w:rsidRPr="001723FD">
        <w:rPr>
          <w:rFonts w:ascii="Times New Roman" w:hAnsi="Times New Roman" w:cs="Times New Roman"/>
          <w:sz w:val="24"/>
          <w:szCs w:val="24"/>
        </w:rPr>
        <w:t>k</w:t>
      </w:r>
      <w:r w:rsidR="00D67757">
        <w:rPr>
          <w:rFonts w:ascii="Times New Roman" w:hAnsi="Times New Roman" w:cs="Times New Roman"/>
          <w:sz w:val="24"/>
          <w:szCs w:val="24"/>
        </w:rPr>
        <w:t xml:space="preserve">i rolü yadsınamaz. Dolayısıyla, </w:t>
      </w:r>
      <w:r w:rsidRPr="00725387">
        <w:rPr>
          <w:rFonts w:ascii="Times New Roman" w:hAnsi="Times New Roman" w:cs="Times New Roman"/>
          <w:sz w:val="24"/>
          <w:szCs w:val="24"/>
        </w:rPr>
        <w:t>ÇVÖA’lar yabancı</w:t>
      </w:r>
      <w:r w:rsidR="00D67757">
        <w:rPr>
          <w:rFonts w:ascii="Times New Roman" w:hAnsi="Times New Roman" w:cs="Times New Roman"/>
          <w:sz w:val="24"/>
          <w:szCs w:val="24"/>
        </w:rPr>
        <w:t xml:space="preserve"> işletme ve</w:t>
      </w:r>
      <w:r w:rsidRPr="00725387">
        <w:rPr>
          <w:rFonts w:ascii="Times New Roman" w:hAnsi="Times New Roman" w:cs="Times New Roman"/>
          <w:sz w:val="24"/>
          <w:szCs w:val="24"/>
        </w:rPr>
        <w:t xml:space="preserve"> yatır</w:t>
      </w:r>
      <w:r w:rsidR="00D67757">
        <w:rPr>
          <w:rFonts w:ascii="Times New Roman" w:hAnsi="Times New Roman" w:cs="Times New Roman"/>
          <w:sz w:val="24"/>
          <w:szCs w:val="24"/>
        </w:rPr>
        <w:t>ımcılara yerliler karşısında</w:t>
      </w:r>
      <w:r w:rsidRPr="00725387">
        <w:rPr>
          <w:rFonts w:ascii="Times New Roman" w:hAnsi="Times New Roman" w:cs="Times New Roman"/>
          <w:sz w:val="24"/>
          <w:szCs w:val="24"/>
        </w:rPr>
        <w:t xml:space="preserve"> </w:t>
      </w:r>
      <w:r w:rsidR="00D67757">
        <w:rPr>
          <w:rFonts w:ascii="Times New Roman" w:hAnsi="Times New Roman" w:cs="Times New Roman"/>
          <w:sz w:val="24"/>
          <w:szCs w:val="24"/>
        </w:rPr>
        <w:t xml:space="preserve">güvence vermektedir. </w:t>
      </w:r>
      <w:r w:rsidR="00932FDF">
        <w:rPr>
          <w:rFonts w:ascii="Times New Roman" w:hAnsi="Times New Roman" w:cs="Times New Roman"/>
          <w:sz w:val="24"/>
          <w:szCs w:val="24"/>
        </w:rPr>
        <w:t>Yine ÇVÖA’larda sunulan karşılıklı anlaşma usulü</w:t>
      </w:r>
      <w:r w:rsidR="00EE2DE8">
        <w:rPr>
          <w:rFonts w:ascii="Times New Roman" w:hAnsi="Times New Roman" w:cs="Times New Roman"/>
          <w:sz w:val="24"/>
          <w:szCs w:val="24"/>
        </w:rPr>
        <w:t xml:space="preserve"> (KAU)</w:t>
      </w:r>
      <w:r w:rsidR="00932FDF">
        <w:rPr>
          <w:rFonts w:ascii="Times New Roman" w:hAnsi="Times New Roman" w:cs="Times New Roman"/>
          <w:sz w:val="24"/>
          <w:szCs w:val="24"/>
        </w:rPr>
        <w:t xml:space="preserve"> mekanizması sayesinde mükellefler</w:t>
      </w:r>
      <w:r w:rsidRPr="00725387">
        <w:rPr>
          <w:rFonts w:ascii="Times New Roman" w:hAnsi="Times New Roman" w:cs="Times New Roman"/>
          <w:sz w:val="24"/>
          <w:szCs w:val="24"/>
        </w:rPr>
        <w:t xml:space="preserve"> anlaşma hükümlerine aykırı vergilendirildiklerini düşün</w:t>
      </w:r>
      <w:r w:rsidR="00932FDF">
        <w:rPr>
          <w:rFonts w:ascii="Times New Roman" w:hAnsi="Times New Roman" w:cs="Times New Roman"/>
          <w:sz w:val="24"/>
          <w:szCs w:val="24"/>
        </w:rPr>
        <w:t xml:space="preserve">düklerinde sorunun </w:t>
      </w:r>
      <w:r w:rsidRPr="00725387">
        <w:rPr>
          <w:rFonts w:ascii="Times New Roman" w:hAnsi="Times New Roman" w:cs="Times New Roman"/>
          <w:sz w:val="24"/>
          <w:szCs w:val="24"/>
        </w:rPr>
        <w:t>çözülebilmesi</w:t>
      </w:r>
      <w:r w:rsidR="00932FDF">
        <w:rPr>
          <w:rFonts w:ascii="Times New Roman" w:hAnsi="Times New Roman" w:cs="Times New Roman"/>
          <w:sz w:val="24"/>
          <w:szCs w:val="24"/>
        </w:rPr>
        <w:t xml:space="preserve"> amacıyla</w:t>
      </w:r>
      <w:r w:rsidRPr="00725387">
        <w:rPr>
          <w:rFonts w:ascii="Times New Roman" w:hAnsi="Times New Roman" w:cs="Times New Roman"/>
          <w:sz w:val="24"/>
          <w:szCs w:val="24"/>
        </w:rPr>
        <w:t xml:space="preserve"> </w:t>
      </w:r>
      <w:r w:rsidR="00932FDF">
        <w:rPr>
          <w:rFonts w:ascii="Times New Roman" w:hAnsi="Times New Roman" w:cs="Times New Roman"/>
          <w:sz w:val="24"/>
          <w:szCs w:val="24"/>
        </w:rPr>
        <w:t xml:space="preserve">iki ülkenin de yetkili makamlarına </w:t>
      </w:r>
      <w:r w:rsidRPr="00725387">
        <w:rPr>
          <w:rFonts w:ascii="Times New Roman" w:hAnsi="Times New Roman" w:cs="Times New Roman"/>
          <w:sz w:val="24"/>
          <w:szCs w:val="24"/>
        </w:rPr>
        <w:t>başvur</w:t>
      </w:r>
      <w:r w:rsidR="00932FDF">
        <w:rPr>
          <w:rFonts w:ascii="Times New Roman" w:hAnsi="Times New Roman" w:cs="Times New Roman"/>
          <w:sz w:val="24"/>
          <w:szCs w:val="24"/>
        </w:rPr>
        <w:t>abilmektedirler. Bu çözüm süreci</w:t>
      </w:r>
      <w:r w:rsidR="00A61A70">
        <w:rPr>
          <w:rFonts w:ascii="Times New Roman" w:hAnsi="Times New Roman" w:cs="Times New Roman"/>
          <w:sz w:val="24"/>
          <w:szCs w:val="24"/>
        </w:rPr>
        <w:t>,</w:t>
      </w:r>
      <w:r w:rsidR="00932FDF">
        <w:rPr>
          <w:rFonts w:ascii="Times New Roman" w:hAnsi="Times New Roman" w:cs="Times New Roman"/>
          <w:sz w:val="24"/>
          <w:szCs w:val="24"/>
        </w:rPr>
        <w:t xml:space="preserve"> işletme ve yatırımcılar için </w:t>
      </w:r>
      <w:r w:rsidRPr="00725387">
        <w:rPr>
          <w:rFonts w:ascii="Times New Roman" w:hAnsi="Times New Roman" w:cs="Times New Roman"/>
          <w:sz w:val="24"/>
          <w:szCs w:val="24"/>
        </w:rPr>
        <w:t>güven ortamı</w:t>
      </w:r>
      <w:r w:rsidR="00932FDF">
        <w:rPr>
          <w:rFonts w:ascii="Times New Roman" w:hAnsi="Times New Roman" w:cs="Times New Roman"/>
          <w:sz w:val="24"/>
          <w:szCs w:val="24"/>
        </w:rPr>
        <w:t xml:space="preserve"> tesis etmekte ve ülkeler arasında ticaretin gelişimine katkıda bulunmaktadır. Ayrıca, </w:t>
      </w:r>
      <w:r w:rsidRPr="00725387">
        <w:rPr>
          <w:rFonts w:ascii="Times New Roman" w:hAnsi="Times New Roman" w:cs="Times New Roman"/>
          <w:sz w:val="24"/>
          <w:szCs w:val="24"/>
        </w:rPr>
        <w:t xml:space="preserve">ÇVÖA’ların </w:t>
      </w:r>
      <w:r w:rsidR="00932FDF" w:rsidRPr="00725387">
        <w:rPr>
          <w:rFonts w:ascii="Times New Roman" w:hAnsi="Times New Roman" w:cs="Times New Roman"/>
          <w:sz w:val="24"/>
          <w:szCs w:val="24"/>
        </w:rPr>
        <w:t xml:space="preserve">üretim faktörlerinin </w:t>
      </w:r>
      <w:r w:rsidR="00932FDF">
        <w:rPr>
          <w:rFonts w:ascii="Times New Roman" w:hAnsi="Times New Roman" w:cs="Times New Roman"/>
          <w:sz w:val="24"/>
          <w:szCs w:val="24"/>
        </w:rPr>
        <w:t>(</w:t>
      </w:r>
      <w:r w:rsidRPr="00725387">
        <w:rPr>
          <w:rFonts w:ascii="Times New Roman" w:hAnsi="Times New Roman" w:cs="Times New Roman"/>
          <w:sz w:val="24"/>
          <w:szCs w:val="24"/>
        </w:rPr>
        <w:t>sermaye, kişi, mal ve hizmetler</w:t>
      </w:r>
      <w:r w:rsidR="00932FDF">
        <w:rPr>
          <w:rFonts w:ascii="Times New Roman" w:hAnsi="Times New Roman" w:cs="Times New Roman"/>
          <w:sz w:val="24"/>
          <w:szCs w:val="24"/>
        </w:rPr>
        <w:t>)</w:t>
      </w:r>
      <w:r w:rsidRPr="00725387">
        <w:rPr>
          <w:rFonts w:ascii="Times New Roman" w:hAnsi="Times New Roman" w:cs="Times New Roman"/>
          <w:sz w:val="24"/>
          <w:szCs w:val="24"/>
        </w:rPr>
        <w:t xml:space="preserve"> sınır ötesi hareketliliğini </w:t>
      </w:r>
      <w:r w:rsidR="00932FDF">
        <w:rPr>
          <w:rFonts w:ascii="Times New Roman" w:hAnsi="Times New Roman" w:cs="Times New Roman"/>
          <w:sz w:val="24"/>
          <w:szCs w:val="24"/>
        </w:rPr>
        <w:t xml:space="preserve">kolaylaştırdıkları ya da bunların </w:t>
      </w:r>
      <w:r w:rsidRPr="00725387">
        <w:rPr>
          <w:rFonts w:ascii="Times New Roman" w:hAnsi="Times New Roman" w:cs="Times New Roman"/>
          <w:sz w:val="24"/>
          <w:szCs w:val="24"/>
        </w:rPr>
        <w:t xml:space="preserve">önündeki engelleri </w:t>
      </w:r>
      <w:r w:rsidR="00932FDF">
        <w:rPr>
          <w:rFonts w:ascii="Times New Roman" w:hAnsi="Times New Roman" w:cs="Times New Roman"/>
          <w:sz w:val="24"/>
          <w:szCs w:val="24"/>
        </w:rPr>
        <w:t xml:space="preserve">ortadan </w:t>
      </w:r>
      <w:r w:rsidRPr="00725387">
        <w:rPr>
          <w:rFonts w:ascii="Times New Roman" w:hAnsi="Times New Roman" w:cs="Times New Roman"/>
          <w:sz w:val="24"/>
          <w:szCs w:val="24"/>
        </w:rPr>
        <w:t>kaldır</w:t>
      </w:r>
      <w:r w:rsidR="00932FDF">
        <w:rPr>
          <w:rFonts w:ascii="Times New Roman" w:hAnsi="Times New Roman" w:cs="Times New Roman"/>
          <w:sz w:val="24"/>
          <w:szCs w:val="24"/>
        </w:rPr>
        <w:t>dıkları da kabul edilen bir gerçektir.</w:t>
      </w:r>
      <w:r w:rsidRPr="00725387">
        <w:rPr>
          <w:rFonts w:ascii="Times New Roman" w:hAnsi="Times New Roman" w:cs="Times New Roman"/>
          <w:sz w:val="24"/>
          <w:szCs w:val="24"/>
          <w:vertAlign w:val="superscript"/>
        </w:rPr>
        <w:footnoteReference w:id="5"/>
      </w:r>
      <w:r w:rsidRPr="00725387">
        <w:rPr>
          <w:rFonts w:ascii="Times New Roman" w:hAnsi="Times New Roman" w:cs="Times New Roman"/>
          <w:sz w:val="24"/>
          <w:szCs w:val="24"/>
        </w:rPr>
        <w:t xml:space="preserve"> </w:t>
      </w:r>
    </w:p>
    <w:p w:rsidR="00A625EE" w:rsidRDefault="00370665"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ÇVÖA’ların </w:t>
      </w:r>
      <w:r w:rsidRPr="00370665">
        <w:rPr>
          <w:rFonts w:ascii="Times New Roman" w:hAnsi="Times New Roman" w:cs="Times New Roman"/>
          <w:sz w:val="24"/>
          <w:szCs w:val="24"/>
        </w:rPr>
        <w:t xml:space="preserve">tarihi 19. yüzyılın </w:t>
      </w:r>
      <w:r>
        <w:rPr>
          <w:rFonts w:ascii="Times New Roman" w:hAnsi="Times New Roman" w:cs="Times New Roman"/>
          <w:sz w:val="24"/>
          <w:szCs w:val="24"/>
        </w:rPr>
        <w:t xml:space="preserve">ortalarına kadar </w:t>
      </w:r>
      <w:r w:rsidRPr="00370665">
        <w:rPr>
          <w:rFonts w:ascii="Times New Roman" w:hAnsi="Times New Roman" w:cs="Times New Roman"/>
          <w:sz w:val="24"/>
          <w:szCs w:val="24"/>
        </w:rPr>
        <w:t>uzanmaktadır</w:t>
      </w:r>
      <w:r>
        <w:rPr>
          <w:rFonts w:ascii="Times New Roman" w:hAnsi="Times New Roman" w:cs="Times New Roman"/>
          <w:sz w:val="24"/>
          <w:szCs w:val="24"/>
        </w:rPr>
        <w:t>. İlk uluslararası vergi anlaşmasının Fransa ve Belçika arasında 1843 yılında akdedilen anlaşma olduğunu kabul eden bir görüş bulunmaktadır.</w:t>
      </w:r>
      <w:r>
        <w:rPr>
          <w:rStyle w:val="DipnotBavurusu"/>
          <w:rFonts w:ascii="Times New Roman" w:hAnsi="Times New Roman" w:cs="Times New Roman"/>
          <w:sz w:val="24"/>
          <w:szCs w:val="24"/>
        </w:rPr>
        <w:footnoteReference w:id="6"/>
      </w:r>
      <w:r w:rsidR="0034718D" w:rsidRPr="0034718D">
        <w:rPr>
          <w:rFonts w:ascii="Times New Roman" w:hAnsi="Times New Roman" w:cs="Times New Roman"/>
          <w:sz w:val="24"/>
          <w:szCs w:val="24"/>
        </w:rPr>
        <w:t xml:space="preserve"> </w:t>
      </w:r>
      <w:r w:rsidR="0034718D">
        <w:rPr>
          <w:rFonts w:ascii="Times New Roman" w:hAnsi="Times New Roman" w:cs="Times New Roman"/>
          <w:sz w:val="24"/>
          <w:szCs w:val="24"/>
        </w:rPr>
        <w:t>Anlaşma her iki devlete vergi tahsilini kolaylaştırmak amacıyla gereken belge ve bilgileri değiştirmek olanağı sağlamıştır.</w:t>
      </w:r>
      <w:r w:rsidR="0034718D">
        <w:rPr>
          <w:rStyle w:val="DipnotBavurusu"/>
          <w:rFonts w:ascii="Times New Roman" w:hAnsi="Times New Roman" w:cs="Times New Roman"/>
          <w:sz w:val="24"/>
          <w:szCs w:val="24"/>
        </w:rPr>
        <w:footnoteReference w:id="7"/>
      </w:r>
      <w:r w:rsidR="0034718D" w:rsidRPr="0034718D">
        <w:rPr>
          <w:rFonts w:ascii="Times New Roman" w:hAnsi="Times New Roman" w:cs="Times New Roman"/>
          <w:sz w:val="24"/>
          <w:szCs w:val="24"/>
        </w:rPr>
        <w:t xml:space="preserve"> </w:t>
      </w:r>
      <w:r w:rsidR="0034718D">
        <w:rPr>
          <w:rFonts w:ascii="Times New Roman" w:hAnsi="Times New Roman" w:cs="Times New Roman"/>
          <w:sz w:val="24"/>
          <w:szCs w:val="24"/>
        </w:rPr>
        <w:t>Bu anlaşmanın ardından, 1845 yılında Belçika-Hollanda ve Belçika-Lüksemburg arasında yapılan anlaşmalar gelmektedir.</w:t>
      </w:r>
      <w:r w:rsidR="0034718D">
        <w:rPr>
          <w:rStyle w:val="DipnotBavurusu"/>
          <w:rFonts w:ascii="Times New Roman" w:hAnsi="Times New Roman" w:cs="Times New Roman"/>
          <w:sz w:val="24"/>
          <w:szCs w:val="24"/>
        </w:rPr>
        <w:footnoteReference w:id="8"/>
      </w:r>
      <w:r w:rsidR="0034718D">
        <w:rPr>
          <w:rFonts w:ascii="Times New Roman" w:hAnsi="Times New Roman" w:cs="Times New Roman"/>
          <w:sz w:val="24"/>
          <w:szCs w:val="24"/>
        </w:rPr>
        <w:t xml:space="preserve"> Bu anlaşmalar daha ziyade vergi kaçakçılığını önlemeye dair idari yardımlaşma konularını kapsamına almaktadır.</w:t>
      </w:r>
      <w:r w:rsidR="0034718D">
        <w:rPr>
          <w:rStyle w:val="DipnotBavurusu"/>
          <w:rFonts w:ascii="Times New Roman" w:hAnsi="Times New Roman" w:cs="Times New Roman"/>
          <w:sz w:val="24"/>
          <w:szCs w:val="24"/>
        </w:rPr>
        <w:footnoteReference w:id="9"/>
      </w:r>
      <w:r w:rsidR="0034718D">
        <w:rPr>
          <w:rFonts w:ascii="Times New Roman" w:hAnsi="Times New Roman" w:cs="Times New Roman"/>
          <w:sz w:val="24"/>
          <w:szCs w:val="24"/>
        </w:rPr>
        <w:t xml:space="preserve"> </w:t>
      </w:r>
      <w:r w:rsidR="00A625EE">
        <w:rPr>
          <w:rFonts w:ascii="Times New Roman" w:hAnsi="Times New Roman" w:cs="Times New Roman"/>
          <w:sz w:val="24"/>
          <w:szCs w:val="24"/>
        </w:rPr>
        <w:t>B</w:t>
      </w:r>
      <w:r w:rsidR="0034718D">
        <w:rPr>
          <w:rFonts w:ascii="Times New Roman" w:hAnsi="Times New Roman" w:cs="Times New Roman"/>
          <w:sz w:val="24"/>
          <w:szCs w:val="24"/>
        </w:rPr>
        <w:t>aşka bir görüşe göre ilk vergi anlaşması 1872 yılında İngiltere ve İsviçre (Waadt Kantonu) arasında veraset vergisinde çifte vergilendirmenin önlenmesi</w:t>
      </w:r>
      <w:r w:rsidR="00A625EE">
        <w:rPr>
          <w:rFonts w:ascii="Times New Roman" w:hAnsi="Times New Roman" w:cs="Times New Roman"/>
          <w:sz w:val="24"/>
          <w:szCs w:val="24"/>
        </w:rPr>
        <w:t xml:space="preserve"> amacıyla</w:t>
      </w:r>
      <w:r w:rsidR="0034718D">
        <w:rPr>
          <w:rFonts w:ascii="Times New Roman" w:hAnsi="Times New Roman" w:cs="Times New Roman"/>
          <w:sz w:val="24"/>
          <w:szCs w:val="24"/>
        </w:rPr>
        <w:t xml:space="preserve"> yapılmış, sonrasında da benzer anlaşmalar devam e</w:t>
      </w:r>
      <w:r w:rsidR="00A625EE">
        <w:rPr>
          <w:rFonts w:ascii="Times New Roman" w:hAnsi="Times New Roman" w:cs="Times New Roman"/>
          <w:sz w:val="24"/>
          <w:szCs w:val="24"/>
        </w:rPr>
        <w:t xml:space="preserve">tmiş ve </w:t>
      </w:r>
      <w:r w:rsidR="0034718D">
        <w:rPr>
          <w:rFonts w:ascii="Times New Roman" w:hAnsi="Times New Roman" w:cs="Times New Roman"/>
          <w:sz w:val="24"/>
          <w:szCs w:val="24"/>
        </w:rPr>
        <w:t xml:space="preserve">1947 yılına kadar Avrupa </w:t>
      </w:r>
      <w:r w:rsidR="0034718D">
        <w:rPr>
          <w:rFonts w:ascii="Times New Roman" w:hAnsi="Times New Roman" w:cs="Times New Roman"/>
          <w:sz w:val="24"/>
          <w:szCs w:val="24"/>
        </w:rPr>
        <w:lastRenderedPageBreak/>
        <w:t xml:space="preserve">ülkeleri arasında </w:t>
      </w:r>
      <w:r w:rsidR="00A625EE">
        <w:rPr>
          <w:rFonts w:ascii="Times New Roman" w:hAnsi="Times New Roman" w:cs="Times New Roman"/>
          <w:sz w:val="24"/>
          <w:szCs w:val="24"/>
        </w:rPr>
        <w:t>akdedilen</w:t>
      </w:r>
      <w:r w:rsidR="0034718D">
        <w:rPr>
          <w:rFonts w:ascii="Times New Roman" w:hAnsi="Times New Roman" w:cs="Times New Roman"/>
          <w:sz w:val="24"/>
          <w:szCs w:val="24"/>
        </w:rPr>
        <w:t xml:space="preserve"> çeşitli vergi anlaşmalarının sayısı 129’a </w:t>
      </w:r>
      <w:r w:rsidR="00A625EE">
        <w:rPr>
          <w:rFonts w:ascii="Times New Roman" w:hAnsi="Times New Roman" w:cs="Times New Roman"/>
          <w:sz w:val="24"/>
          <w:szCs w:val="24"/>
        </w:rPr>
        <w:t>erişmiştir.</w:t>
      </w:r>
      <w:r w:rsidR="0034718D">
        <w:rPr>
          <w:rStyle w:val="DipnotBavurusu"/>
          <w:rFonts w:ascii="Times New Roman" w:hAnsi="Times New Roman" w:cs="Times New Roman"/>
          <w:sz w:val="24"/>
          <w:szCs w:val="24"/>
        </w:rPr>
        <w:footnoteReference w:id="10"/>
      </w:r>
      <w:r w:rsidR="00A625EE" w:rsidRPr="00A625EE">
        <w:rPr>
          <w:rFonts w:ascii="Times New Roman" w:hAnsi="Times New Roman" w:cs="Times New Roman"/>
          <w:sz w:val="24"/>
          <w:szCs w:val="24"/>
        </w:rPr>
        <w:t xml:space="preserve"> </w:t>
      </w:r>
      <w:r w:rsidR="00A625EE">
        <w:rPr>
          <w:rFonts w:ascii="Times New Roman" w:hAnsi="Times New Roman" w:cs="Times New Roman"/>
          <w:sz w:val="24"/>
          <w:szCs w:val="24"/>
        </w:rPr>
        <w:t>Bu anlaşmalar gelir, kurumlar, veraset, muamele vergileri başta olmak üzere çalışma, hizmet, deniz ve hava taşımacılığı, acente ve idari kolaylık sağlamaya yönelik hususları da kapsamına almaktadır.</w:t>
      </w:r>
      <w:r w:rsidR="00A625EE">
        <w:rPr>
          <w:rStyle w:val="DipnotBavurusu"/>
          <w:rFonts w:ascii="Times New Roman" w:hAnsi="Times New Roman" w:cs="Times New Roman"/>
          <w:sz w:val="24"/>
          <w:szCs w:val="24"/>
        </w:rPr>
        <w:footnoteReference w:id="11"/>
      </w:r>
      <w:r w:rsidR="00A625EE" w:rsidRPr="00A625EE">
        <w:rPr>
          <w:rFonts w:ascii="Times New Roman" w:hAnsi="Times New Roman" w:cs="Times New Roman"/>
          <w:sz w:val="24"/>
          <w:szCs w:val="24"/>
        </w:rPr>
        <w:t xml:space="preserve"> </w:t>
      </w:r>
    </w:p>
    <w:p w:rsidR="001723FD" w:rsidRDefault="00BC4CD3"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Birinci dünya savaşından sonra vergi anlaşmalarının sayısında ani artış görülmüş olup bu artışın nedeni olarak savaş sonrası dönemde yüksek vergi oranlarına duyulan ihtiyaç ve sınır ötesi ilişkilerdeki hareketlilik gösterilebilir.</w:t>
      </w:r>
      <w:r>
        <w:rPr>
          <w:rStyle w:val="DipnotBavurusu"/>
          <w:rFonts w:ascii="Times New Roman" w:hAnsi="Times New Roman" w:cs="Times New Roman"/>
          <w:sz w:val="24"/>
          <w:szCs w:val="24"/>
        </w:rPr>
        <w:footnoteReference w:id="12"/>
      </w:r>
      <w:r>
        <w:rPr>
          <w:rFonts w:ascii="Times New Roman" w:hAnsi="Times New Roman" w:cs="Times New Roman"/>
          <w:sz w:val="24"/>
          <w:szCs w:val="24"/>
        </w:rPr>
        <w:t xml:space="preserve"> İkinci dünya savaşı sonrasında bu artış daha da hızlanmıştır. </w:t>
      </w:r>
      <w:r w:rsidR="00FB422B">
        <w:rPr>
          <w:rFonts w:ascii="Times New Roman" w:hAnsi="Times New Roman" w:cs="Times New Roman"/>
          <w:sz w:val="24"/>
          <w:szCs w:val="24"/>
        </w:rPr>
        <w:t>1950’lerden sonra sömürgelerin bağımsız devletler haline gelmeleri, çok uluslu şirketlerin (ÇUŞ) sınır ötesi artan faaliyetleri ve iletişim-bilişim teknolojisindeki gelişmeler devletler arasında daha çok anlaşma akdedilmesini gerektirmiştir.</w:t>
      </w:r>
      <w:r w:rsidR="00FB422B">
        <w:rPr>
          <w:rStyle w:val="DipnotBavurusu"/>
          <w:rFonts w:ascii="Times New Roman" w:hAnsi="Times New Roman" w:cs="Times New Roman"/>
          <w:sz w:val="24"/>
          <w:szCs w:val="24"/>
        </w:rPr>
        <w:footnoteReference w:id="13"/>
      </w:r>
      <w:r w:rsidR="00FB422B">
        <w:rPr>
          <w:rFonts w:ascii="Times New Roman" w:hAnsi="Times New Roman" w:cs="Times New Roman"/>
          <w:sz w:val="24"/>
          <w:szCs w:val="24"/>
        </w:rPr>
        <w:t xml:space="preserve"> </w:t>
      </w:r>
      <w:r>
        <w:rPr>
          <w:rFonts w:ascii="Times New Roman" w:hAnsi="Times New Roman" w:cs="Times New Roman"/>
          <w:sz w:val="24"/>
          <w:szCs w:val="24"/>
        </w:rPr>
        <w:t>Nihayet günümüzde</w:t>
      </w:r>
      <w:r w:rsidR="001723FD">
        <w:rPr>
          <w:rFonts w:ascii="Times New Roman" w:hAnsi="Times New Roman" w:cs="Times New Roman"/>
          <w:sz w:val="24"/>
          <w:szCs w:val="24"/>
        </w:rPr>
        <w:t xml:space="preserve"> 3000’den fazla ÇVÖA yürürlü</w:t>
      </w:r>
      <w:r>
        <w:rPr>
          <w:rFonts w:ascii="Times New Roman" w:hAnsi="Times New Roman" w:cs="Times New Roman"/>
          <w:sz w:val="24"/>
          <w:szCs w:val="24"/>
        </w:rPr>
        <w:t>ktedir.</w:t>
      </w:r>
      <w:r w:rsidR="001723FD">
        <w:rPr>
          <w:rFonts w:ascii="Times New Roman" w:hAnsi="Times New Roman" w:cs="Times New Roman"/>
          <w:sz w:val="24"/>
          <w:szCs w:val="24"/>
        </w:rPr>
        <w:t xml:space="preserve"> </w:t>
      </w:r>
      <w:r w:rsidR="00F87954">
        <w:rPr>
          <w:rFonts w:ascii="Times New Roman" w:hAnsi="Times New Roman" w:cs="Times New Roman"/>
          <w:sz w:val="24"/>
          <w:szCs w:val="24"/>
        </w:rPr>
        <w:t>Dünya savaşlarının ardından kurulan Birleşik Milletler (BM) ve OECD gibi uluslararası kuruluşların</w:t>
      </w:r>
      <w:r w:rsidR="00F87954" w:rsidRPr="00F87954">
        <w:rPr>
          <w:rFonts w:ascii="Times New Roman" w:hAnsi="Times New Roman" w:cs="Times New Roman"/>
          <w:sz w:val="24"/>
          <w:szCs w:val="24"/>
        </w:rPr>
        <w:t xml:space="preserve"> çifte vergilendirmeyi önleme</w:t>
      </w:r>
      <w:r w:rsidR="00F87954">
        <w:rPr>
          <w:rFonts w:ascii="Times New Roman" w:hAnsi="Times New Roman" w:cs="Times New Roman"/>
          <w:sz w:val="24"/>
          <w:szCs w:val="24"/>
        </w:rPr>
        <w:t>k</w:t>
      </w:r>
      <w:r w:rsidR="00F87954" w:rsidRPr="00F87954">
        <w:rPr>
          <w:rFonts w:ascii="Times New Roman" w:hAnsi="Times New Roman" w:cs="Times New Roman"/>
          <w:sz w:val="24"/>
          <w:szCs w:val="24"/>
        </w:rPr>
        <w:t xml:space="preserve"> amacıyla </w:t>
      </w:r>
      <w:r w:rsidR="00F87954">
        <w:rPr>
          <w:rFonts w:ascii="Times New Roman" w:hAnsi="Times New Roman" w:cs="Times New Roman"/>
          <w:sz w:val="24"/>
          <w:szCs w:val="24"/>
        </w:rPr>
        <w:t xml:space="preserve">yaptıkları </w:t>
      </w:r>
      <w:r w:rsidR="00F87954" w:rsidRPr="00F87954">
        <w:rPr>
          <w:rFonts w:ascii="Times New Roman" w:hAnsi="Times New Roman" w:cs="Times New Roman"/>
          <w:sz w:val="24"/>
          <w:szCs w:val="24"/>
        </w:rPr>
        <w:t xml:space="preserve">çalışmalar </w:t>
      </w:r>
      <w:r w:rsidR="00F87954">
        <w:rPr>
          <w:rFonts w:ascii="Times New Roman" w:hAnsi="Times New Roman" w:cs="Times New Roman"/>
          <w:sz w:val="24"/>
          <w:szCs w:val="24"/>
        </w:rPr>
        <w:t xml:space="preserve">ve model vergi anlaşmaları ile birlikte </w:t>
      </w:r>
      <w:r w:rsidR="00FD4248">
        <w:rPr>
          <w:rFonts w:ascii="Times New Roman" w:hAnsi="Times New Roman" w:cs="Times New Roman"/>
          <w:sz w:val="24"/>
          <w:szCs w:val="24"/>
        </w:rPr>
        <w:t>ÇVÖA’ların uluslararası ekonomik ilişkilerde yaygınlık kazandığı görülebilmektedir.</w:t>
      </w:r>
    </w:p>
    <w:p w:rsidR="00F80B6B" w:rsidRPr="004964F1" w:rsidRDefault="004964F1" w:rsidP="00553C86">
      <w:pPr>
        <w:pStyle w:val="ListeParagraf"/>
        <w:numPr>
          <w:ilvl w:val="0"/>
          <w:numId w:val="11"/>
        </w:numPr>
        <w:spacing w:before="120" w:after="0" w:line="240" w:lineRule="auto"/>
        <w:ind w:left="993" w:hanging="284"/>
        <w:jc w:val="both"/>
        <w:rPr>
          <w:rFonts w:ascii="Times New Roman" w:hAnsi="Times New Roman" w:cs="Times New Roman"/>
          <w:b/>
          <w:sz w:val="24"/>
          <w:szCs w:val="24"/>
        </w:rPr>
      </w:pPr>
      <w:r w:rsidRPr="004964F1">
        <w:rPr>
          <w:rFonts w:ascii="Times New Roman" w:hAnsi="Times New Roman" w:cs="Times New Roman"/>
          <w:b/>
          <w:bCs/>
          <w:sz w:val="24"/>
          <w:szCs w:val="24"/>
        </w:rPr>
        <w:t>ÇİFTE VERGİLENDİRMEYİ ÖNLEME ANLAŞMALARI VE</w:t>
      </w:r>
      <w:r>
        <w:rPr>
          <w:rFonts w:ascii="Times New Roman" w:hAnsi="Times New Roman" w:cs="Times New Roman"/>
          <w:b/>
          <w:bCs/>
          <w:sz w:val="24"/>
          <w:szCs w:val="24"/>
        </w:rPr>
        <w:t xml:space="preserve"> </w:t>
      </w:r>
      <w:r w:rsidRPr="004964F1">
        <w:rPr>
          <w:rFonts w:ascii="Times New Roman" w:hAnsi="Times New Roman" w:cs="Times New Roman"/>
          <w:b/>
          <w:bCs/>
          <w:sz w:val="24"/>
          <w:szCs w:val="24"/>
        </w:rPr>
        <w:t xml:space="preserve">ULUSLARARASI TİCARET İLİŞKİSİ </w:t>
      </w:r>
    </w:p>
    <w:p w:rsidR="00570B79" w:rsidRDefault="006C7B22"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ÇVÖA’ların y</w:t>
      </w:r>
      <w:r w:rsidR="00570B79" w:rsidRPr="00570B79">
        <w:rPr>
          <w:rFonts w:ascii="Times New Roman" w:hAnsi="Times New Roman" w:cs="Times New Roman"/>
          <w:sz w:val="24"/>
          <w:szCs w:val="24"/>
        </w:rPr>
        <w:t>abancı yatırımları çekmek için</w:t>
      </w:r>
      <w:r>
        <w:rPr>
          <w:rFonts w:ascii="Times New Roman" w:hAnsi="Times New Roman" w:cs="Times New Roman"/>
          <w:sz w:val="24"/>
          <w:szCs w:val="24"/>
        </w:rPr>
        <w:t xml:space="preserve"> yaygın olara</w:t>
      </w:r>
      <w:r w:rsidR="003C6278">
        <w:rPr>
          <w:rFonts w:ascii="Times New Roman" w:hAnsi="Times New Roman" w:cs="Times New Roman"/>
          <w:sz w:val="24"/>
          <w:szCs w:val="24"/>
        </w:rPr>
        <w:t xml:space="preserve">k akdedildikleri bir gerçektir. </w:t>
      </w:r>
      <w:r>
        <w:rPr>
          <w:rFonts w:ascii="Times New Roman" w:hAnsi="Times New Roman" w:cs="Times New Roman"/>
          <w:sz w:val="24"/>
          <w:szCs w:val="24"/>
        </w:rPr>
        <w:t>B</w:t>
      </w:r>
      <w:r w:rsidR="00570B79" w:rsidRPr="00570B79">
        <w:rPr>
          <w:rFonts w:ascii="Times New Roman" w:hAnsi="Times New Roman" w:cs="Times New Roman"/>
          <w:sz w:val="24"/>
          <w:szCs w:val="24"/>
        </w:rPr>
        <w:t>irçok ülke, özellikle gelişmekte olan ülkeler</w:t>
      </w:r>
      <w:r w:rsidR="00EE2DE8">
        <w:rPr>
          <w:rFonts w:ascii="Times New Roman" w:hAnsi="Times New Roman" w:cs="Times New Roman"/>
          <w:sz w:val="24"/>
          <w:szCs w:val="24"/>
        </w:rPr>
        <w:t>,</w:t>
      </w:r>
      <w:r>
        <w:rPr>
          <w:rFonts w:ascii="Times New Roman" w:hAnsi="Times New Roman" w:cs="Times New Roman"/>
          <w:sz w:val="24"/>
          <w:szCs w:val="24"/>
        </w:rPr>
        <w:t xml:space="preserve"> yatırımları ülkelerine çekmek adına ikili ticaret ve yatırım anlaşmalarının yanında ÇVÖA’lara da </w:t>
      </w:r>
      <w:r w:rsidR="00EE2DE8">
        <w:rPr>
          <w:rFonts w:ascii="Times New Roman" w:hAnsi="Times New Roman" w:cs="Times New Roman"/>
          <w:sz w:val="24"/>
          <w:szCs w:val="24"/>
        </w:rPr>
        <w:t xml:space="preserve">sıkça başvurmaktadır. </w:t>
      </w:r>
      <w:r>
        <w:rPr>
          <w:rFonts w:ascii="Times New Roman" w:hAnsi="Times New Roman" w:cs="Times New Roman"/>
          <w:sz w:val="24"/>
          <w:szCs w:val="24"/>
        </w:rPr>
        <w:t>Gelişmiş ülkeler de yatırımda bulundukları ülkelerde öngörülebilir bir vergilendirme yapısıyla karşılaşmak ve indirimli oranların avantajını görmek amacıyla bu ülkelerle ÇVÖA’ların akdedilmesine önem vermektedirler. Yatırımcıların karar verme süreçlerini faaliyette bulundukları ülkelerle olan ticaret ve vergi anlaşmaları yüksek oranda etkileyebilmektedir.</w:t>
      </w:r>
      <w:r>
        <w:rPr>
          <w:rStyle w:val="DipnotBavurusu"/>
          <w:rFonts w:ascii="Times New Roman" w:hAnsi="Times New Roman" w:cs="Times New Roman"/>
          <w:sz w:val="24"/>
          <w:szCs w:val="24"/>
        </w:rPr>
        <w:footnoteReference w:id="14"/>
      </w:r>
      <w:r>
        <w:rPr>
          <w:rFonts w:ascii="Times New Roman" w:hAnsi="Times New Roman" w:cs="Times New Roman"/>
          <w:sz w:val="24"/>
          <w:szCs w:val="24"/>
        </w:rPr>
        <w:t xml:space="preserve"> </w:t>
      </w:r>
    </w:p>
    <w:p w:rsidR="003C2520" w:rsidRPr="003C2520" w:rsidRDefault="003C6278"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ÇVÖA’ların</w:t>
      </w:r>
      <w:r w:rsidRPr="003C6278">
        <w:rPr>
          <w:rFonts w:ascii="Times New Roman" w:hAnsi="Times New Roman" w:cs="Times New Roman"/>
          <w:sz w:val="24"/>
          <w:szCs w:val="24"/>
        </w:rPr>
        <w:t xml:space="preserve"> </w:t>
      </w:r>
      <w:r>
        <w:rPr>
          <w:rFonts w:ascii="Times New Roman" w:hAnsi="Times New Roman" w:cs="Times New Roman"/>
          <w:sz w:val="24"/>
          <w:szCs w:val="24"/>
        </w:rPr>
        <w:t>v</w:t>
      </w:r>
      <w:r w:rsidRPr="003C6278">
        <w:rPr>
          <w:rFonts w:ascii="Times New Roman" w:hAnsi="Times New Roman" w:cs="Times New Roman"/>
          <w:sz w:val="24"/>
          <w:szCs w:val="24"/>
        </w:rPr>
        <w:t>ergilendirme yetkisini taraf ülke</w:t>
      </w:r>
      <w:r>
        <w:rPr>
          <w:rFonts w:ascii="Times New Roman" w:hAnsi="Times New Roman" w:cs="Times New Roman"/>
          <w:sz w:val="24"/>
          <w:szCs w:val="24"/>
        </w:rPr>
        <w:t>ler</w:t>
      </w:r>
      <w:r w:rsidRPr="003C6278">
        <w:rPr>
          <w:rFonts w:ascii="Times New Roman" w:hAnsi="Times New Roman" w:cs="Times New Roman"/>
          <w:sz w:val="24"/>
          <w:szCs w:val="24"/>
        </w:rPr>
        <w:t xml:space="preserve"> arasında karşılıklı olarak paylaştır</w:t>
      </w:r>
      <w:r>
        <w:rPr>
          <w:rFonts w:ascii="Times New Roman" w:hAnsi="Times New Roman" w:cs="Times New Roman"/>
          <w:sz w:val="24"/>
          <w:szCs w:val="24"/>
        </w:rPr>
        <w:t>an y</w:t>
      </w:r>
      <w:r w:rsidRPr="003C6278">
        <w:rPr>
          <w:rFonts w:ascii="Times New Roman" w:hAnsi="Times New Roman" w:cs="Times New Roman"/>
          <w:sz w:val="24"/>
          <w:szCs w:val="24"/>
        </w:rPr>
        <w:t>a</w:t>
      </w:r>
      <w:r>
        <w:rPr>
          <w:rFonts w:ascii="Times New Roman" w:hAnsi="Times New Roman" w:cs="Times New Roman"/>
          <w:sz w:val="24"/>
          <w:szCs w:val="24"/>
        </w:rPr>
        <w:t xml:space="preserve"> da bu yetkiyi münhasıran </w:t>
      </w:r>
      <w:r w:rsidR="006B0FFC">
        <w:rPr>
          <w:rFonts w:ascii="Times New Roman" w:hAnsi="Times New Roman" w:cs="Times New Roman"/>
          <w:sz w:val="24"/>
          <w:szCs w:val="24"/>
        </w:rPr>
        <w:t xml:space="preserve">ülkelerden </w:t>
      </w:r>
      <w:r>
        <w:rPr>
          <w:rFonts w:ascii="Times New Roman" w:hAnsi="Times New Roman" w:cs="Times New Roman"/>
          <w:sz w:val="24"/>
          <w:szCs w:val="24"/>
        </w:rPr>
        <w:t>birine veren yapısı, s</w:t>
      </w:r>
      <w:r w:rsidRPr="003C6278">
        <w:rPr>
          <w:rFonts w:ascii="Times New Roman" w:hAnsi="Times New Roman" w:cs="Times New Roman"/>
          <w:sz w:val="24"/>
          <w:szCs w:val="24"/>
        </w:rPr>
        <w:t xml:space="preserve">ınır ötesi </w:t>
      </w:r>
      <w:r>
        <w:rPr>
          <w:rFonts w:ascii="Times New Roman" w:hAnsi="Times New Roman" w:cs="Times New Roman"/>
          <w:sz w:val="24"/>
          <w:szCs w:val="24"/>
        </w:rPr>
        <w:t>ticari</w:t>
      </w:r>
      <w:r w:rsidRPr="003C6278">
        <w:rPr>
          <w:rFonts w:ascii="Times New Roman" w:hAnsi="Times New Roman" w:cs="Times New Roman"/>
          <w:sz w:val="24"/>
          <w:szCs w:val="24"/>
        </w:rPr>
        <w:t xml:space="preserve"> ilişkileri kolaylaştırma</w:t>
      </w:r>
      <w:r>
        <w:rPr>
          <w:rFonts w:ascii="Times New Roman" w:hAnsi="Times New Roman" w:cs="Times New Roman"/>
          <w:sz w:val="24"/>
          <w:szCs w:val="24"/>
        </w:rPr>
        <w:t>kta ve hukuki öngörülebilirlik</w:t>
      </w:r>
      <w:r w:rsidR="003C2520">
        <w:rPr>
          <w:rFonts w:ascii="Times New Roman" w:hAnsi="Times New Roman" w:cs="Times New Roman"/>
          <w:sz w:val="24"/>
          <w:szCs w:val="24"/>
        </w:rPr>
        <w:t xml:space="preserve"> sağlamaktadır. Öte yandan, ÇVÖA’ların </w:t>
      </w:r>
      <w:r w:rsidR="003C2520" w:rsidRPr="003C2520">
        <w:rPr>
          <w:rFonts w:ascii="Times New Roman" w:hAnsi="Times New Roman" w:cs="Times New Roman"/>
          <w:sz w:val="24"/>
          <w:szCs w:val="24"/>
        </w:rPr>
        <w:t xml:space="preserve">uluslararası vergi kaçakçılığına karşı bilgi </w:t>
      </w:r>
      <w:r w:rsidR="003C2520">
        <w:rPr>
          <w:rFonts w:ascii="Times New Roman" w:hAnsi="Times New Roman" w:cs="Times New Roman"/>
          <w:sz w:val="24"/>
          <w:szCs w:val="24"/>
        </w:rPr>
        <w:t>değişimini</w:t>
      </w:r>
      <w:r w:rsidR="00A75F08">
        <w:rPr>
          <w:rFonts w:ascii="Times New Roman" w:hAnsi="Times New Roman" w:cs="Times New Roman"/>
          <w:sz w:val="24"/>
          <w:szCs w:val="24"/>
        </w:rPr>
        <w:t xml:space="preserve"> temin eden</w:t>
      </w:r>
      <w:r w:rsidR="003C2520" w:rsidRPr="003C2520">
        <w:rPr>
          <w:rFonts w:ascii="Times New Roman" w:hAnsi="Times New Roman" w:cs="Times New Roman"/>
          <w:sz w:val="24"/>
          <w:szCs w:val="24"/>
        </w:rPr>
        <w:t>, anlaşma</w:t>
      </w:r>
      <w:r w:rsidR="00A75F08">
        <w:rPr>
          <w:rFonts w:ascii="Times New Roman" w:hAnsi="Times New Roman" w:cs="Times New Roman"/>
          <w:sz w:val="24"/>
          <w:szCs w:val="24"/>
        </w:rPr>
        <w:t>nın kötüye kullanımını (anlaşma</w:t>
      </w:r>
      <w:r w:rsidR="003C2520" w:rsidRPr="003C2520">
        <w:rPr>
          <w:rFonts w:ascii="Times New Roman" w:hAnsi="Times New Roman" w:cs="Times New Roman"/>
          <w:sz w:val="24"/>
          <w:szCs w:val="24"/>
        </w:rPr>
        <w:t xml:space="preserve"> alışveriş</w:t>
      </w:r>
      <w:r w:rsidR="003C2520">
        <w:rPr>
          <w:rFonts w:ascii="Times New Roman" w:hAnsi="Times New Roman" w:cs="Times New Roman"/>
          <w:sz w:val="24"/>
          <w:szCs w:val="24"/>
        </w:rPr>
        <w:t>i gib</w:t>
      </w:r>
      <w:r w:rsidR="00EE2DE8">
        <w:rPr>
          <w:rFonts w:ascii="Times New Roman" w:hAnsi="Times New Roman" w:cs="Times New Roman"/>
          <w:sz w:val="24"/>
          <w:szCs w:val="24"/>
        </w:rPr>
        <w:t>i) önleyebilen,</w:t>
      </w:r>
      <w:r w:rsidR="00A75F08">
        <w:rPr>
          <w:rFonts w:ascii="Times New Roman" w:hAnsi="Times New Roman" w:cs="Times New Roman"/>
          <w:sz w:val="24"/>
          <w:szCs w:val="24"/>
        </w:rPr>
        <w:t xml:space="preserve"> </w:t>
      </w:r>
      <w:r w:rsidR="003C2520" w:rsidRPr="003C2520">
        <w:rPr>
          <w:rFonts w:ascii="Times New Roman" w:hAnsi="Times New Roman" w:cs="Times New Roman"/>
          <w:sz w:val="24"/>
          <w:szCs w:val="24"/>
        </w:rPr>
        <w:t>ayrımcılık yapılmaması kurallar</w:t>
      </w:r>
      <w:r w:rsidR="00A75F08">
        <w:rPr>
          <w:rFonts w:ascii="Times New Roman" w:hAnsi="Times New Roman" w:cs="Times New Roman"/>
          <w:sz w:val="24"/>
          <w:szCs w:val="24"/>
        </w:rPr>
        <w:t>ıyla yerli yapılarla eşit düzlemde rekabet fırsatı veren</w:t>
      </w:r>
      <w:r w:rsidR="003C2520" w:rsidRPr="003C2520">
        <w:rPr>
          <w:rFonts w:ascii="Times New Roman" w:hAnsi="Times New Roman" w:cs="Times New Roman"/>
          <w:sz w:val="24"/>
          <w:szCs w:val="24"/>
        </w:rPr>
        <w:t xml:space="preserve"> ve </w:t>
      </w:r>
      <w:r w:rsidR="00A75F08">
        <w:rPr>
          <w:rFonts w:ascii="Times New Roman" w:hAnsi="Times New Roman" w:cs="Times New Roman"/>
          <w:sz w:val="24"/>
          <w:szCs w:val="24"/>
        </w:rPr>
        <w:t xml:space="preserve">anlaşmazlıkların oluştuğu durumlarda </w:t>
      </w:r>
      <w:r w:rsidR="003C2520" w:rsidRPr="003C2520">
        <w:rPr>
          <w:rFonts w:ascii="Times New Roman" w:hAnsi="Times New Roman" w:cs="Times New Roman"/>
          <w:sz w:val="24"/>
          <w:szCs w:val="24"/>
        </w:rPr>
        <w:t>anlaşmazlık çözüm mekanizmaları</w:t>
      </w:r>
      <w:r w:rsidR="00A75F08">
        <w:rPr>
          <w:rFonts w:ascii="Times New Roman" w:hAnsi="Times New Roman" w:cs="Times New Roman"/>
          <w:sz w:val="24"/>
          <w:szCs w:val="24"/>
        </w:rPr>
        <w:t xml:space="preserve"> öngören hükümleri sınır ötesi ticareti teşvik eden ve cesaretlendiren düzenlemeler olarak dikkat çekicidir.</w:t>
      </w:r>
    </w:p>
    <w:p w:rsidR="00A75F08" w:rsidRPr="00A75F08" w:rsidRDefault="00A75F08"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Çoğu ülke yaygın biçimde birbiriyle uluslararası ticaret ve yatırım anlaşmaları imzalamakta ve yürürlüğe sokmaktadır. </w:t>
      </w:r>
      <w:r w:rsidR="00757190">
        <w:rPr>
          <w:rFonts w:ascii="Times New Roman" w:hAnsi="Times New Roman" w:cs="Times New Roman"/>
          <w:sz w:val="24"/>
          <w:szCs w:val="24"/>
        </w:rPr>
        <w:t>B</w:t>
      </w:r>
      <w:r>
        <w:rPr>
          <w:rFonts w:ascii="Times New Roman" w:hAnsi="Times New Roman" w:cs="Times New Roman"/>
          <w:sz w:val="24"/>
          <w:szCs w:val="24"/>
        </w:rPr>
        <w:t xml:space="preserve">u anlaşmalar </w:t>
      </w:r>
      <w:r w:rsidR="00757190">
        <w:rPr>
          <w:rFonts w:ascii="Times New Roman" w:hAnsi="Times New Roman" w:cs="Times New Roman"/>
          <w:sz w:val="24"/>
          <w:szCs w:val="24"/>
        </w:rPr>
        <w:t>detaylı vergi hükümleri barındırmamaktadır. Bununla birlikte</w:t>
      </w:r>
      <w:r w:rsidR="00237140">
        <w:rPr>
          <w:rFonts w:ascii="Times New Roman" w:hAnsi="Times New Roman" w:cs="Times New Roman"/>
          <w:sz w:val="24"/>
          <w:szCs w:val="24"/>
        </w:rPr>
        <w:t>,</w:t>
      </w:r>
      <w:r w:rsidR="00757190">
        <w:rPr>
          <w:rFonts w:ascii="Times New Roman" w:hAnsi="Times New Roman" w:cs="Times New Roman"/>
          <w:sz w:val="24"/>
          <w:szCs w:val="24"/>
        </w:rPr>
        <w:t xml:space="preserve"> bu anlaşmalar</w:t>
      </w:r>
      <w:r w:rsidR="00EE2DE8">
        <w:rPr>
          <w:rFonts w:ascii="Times New Roman" w:hAnsi="Times New Roman" w:cs="Times New Roman"/>
          <w:sz w:val="24"/>
          <w:szCs w:val="24"/>
        </w:rPr>
        <w:t>ın</w:t>
      </w:r>
      <w:r w:rsidR="00757190">
        <w:rPr>
          <w:rFonts w:ascii="Times New Roman" w:hAnsi="Times New Roman" w:cs="Times New Roman"/>
          <w:sz w:val="24"/>
          <w:szCs w:val="24"/>
        </w:rPr>
        <w:t xml:space="preserve"> ilgili ülkeler arasında yapılan ve yapılacak olan ÇVÖA hükümlerini saklı tut</w:t>
      </w:r>
      <w:r w:rsidR="00EE2DE8">
        <w:rPr>
          <w:rFonts w:ascii="Times New Roman" w:hAnsi="Times New Roman" w:cs="Times New Roman"/>
          <w:sz w:val="24"/>
          <w:szCs w:val="24"/>
        </w:rPr>
        <w:t>tuğu görülebilmektedir.</w:t>
      </w:r>
      <w:r w:rsidR="00757190">
        <w:rPr>
          <w:rFonts w:ascii="Times New Roman" w:hAnsi="Times New Roman" w:cs="Times New Roman"/>
          <w:sz w:val="24"/>
          <w:szCs w:val="24"/>
        </w:rPr>
        <w:t xml:space="preserve"> Diğer ifadeyle, vergi konularında ÇVÖA hükümleri esas tutulacak ve olası bir anlaşmazlıkta bu kapsamda çözüm aranacaktır. </w:t>
      </w:r>
      <w:r w:rsidR="00864F2B">
        <w:rPr>
          <w:rFonts w:ascii="Times New Roman" w:hAnsi="Times New Roman" w:cs="Times New Roman"/>
          <w:sz w:val="24"/>
          <w:szCs w:val="24"/>
        </w:rPr>
        <w:t>Uluslararası t</w:t>
      </w:r>
      <w:r w:rsidR="00864F2B" w:rsidRPr="00864F2B">
        <w:rPr>
          <w:rFonts w:ascii="Times New Roman" w:hAnsi="Times New Roman" w:cs="Times New Roman"/>
          <w:sz w:val="24"/>
          <w:szCs w:val="24"/>
        </w:rPr>
        <w:t xml:space="preserve">icaret </w:t>
      </w:r>
      <w:r w:rsidR="00864F2B">
        <w:rPr>
          <w:rFonts w:ascii="Times New Roman" w:hAnsi="Times New Roman" w:cs="Times New Roman"/>
          <w:sz w:val="24"/>
          <w:szCs w:val="24"/>
        </w:rPr>
        <w:t xml:space="preserve">ve yatırım anlaşmaları ile ÇVÖA’lar </w:t>
      </w:r>
      <w:r w:rsidR="00864F2B" w:rsidRPr="00864F2B">
        <w:rPr>
          <w:rFonts w:ascii="Times New Roman" w:hAnsi="Times New Roman" w:cs="Times New Roman"/>
          <w:sz w:val="24"/>
          <w:szCs w:val="24"/>
        </w:rPr>
        <w:t xml:space="preserve">sınır ötesi </w:t>
      </w:r>
      <w:r w:rsidR="00864F2B">
        <w:rPr>
          <w:rFonts w:ascii="Times New Roman" w:hAnsi="Times New Roman" w:cs="Times New Roman"/>
          <w:sz w:val="24"/>
          <w:szCs w:val="24"/>
        </w:rPr>
        <w:t xml:space="preserve">ekonomik </w:t>
      </w:r>
      <w:r w:rsidR="00864F2B">
        <w:rPr>
          <w:rFonts w:ascii="Times New Roman" w:hAnsi="Times New Roman" w:cs="Times New Roman"/>
          <w:sz w:val="24"/>
          <w:szCs w:val="24"/>
        </w:rPr>
        <w:lastRenderedPageBreak/>
        <w:t>faaliyetlerin</w:t>
      </w:r>
      <w:r w:rsidR="000473C1">
        <w:rPr>
          <w:rFonts w:ascii="Times New Roman" w:hAnsi="Times New Roman" w:cs="Times New Roman"/>
          <w:sz w:val="24"/>
          <w:szCs w:val="24"/>
        </w:rPr>
        <w:t>, daha açık ifadeyle mal, hizmet, sermaye, emek ve teknolojinin sınır ötesi hareketlerinin</w:t>
      </w:r>
      <w:r w:rsidR="00864F2B" w:rsidRPr="00864F2B">
        <w:rPr>
          <w:rFonts w:ascii="Times New Roman" w:hAnsi="Times New Roman" w:cs="Times New Roman"/>
          <w:sz w:val="24"/>
          <w:szCs w:val="24"/>
        </w:rPr>
        <w:t xml:space="preserve"> </w:t>
      </w:r>
      <w:r w:rsidR="000473C1">
        <w:rPr>
          <w:rFonts w:ascii="Times New Roman" w:hAnsi="Times New Roman" w:cs="Times New Roman"/>
          <w:sz w:val="24"/>
          <w:szCs w:val="24"/>
        </w:rPr>
        <w:t xml:space="preserve">önündeki engelleri kaldırmak </w:t>
      </w:r>
      <w:r w:rsidR="00864F2B">
        <w:rPr>
          <w:rFonts w:ascii="Times New Roman" w:hAnsi="Times New Roman" w:cs="Times New Roman"/>
          <w:sz w:val="24"/>
          <w:szCs w:val="24"/>
        </w:rPr>
        <w:t>temelinde</w:t>
      </w:r>
      <w:r w:rsidR="00C11410">
        <w:rPr>
          <w:rFonts w:ascii="Times New Roman" w:hAnsi="Times New Roman" w:cs="Times New Roman"/>
          <w:sz w:val="24"/>
          <w:szCs w:val="24"/>
        </w:rPr>
        <w:t xml:space="preserve"> aynı amaca hizmet etmektedir</w:t>
      </w:r>
      <w:r w:rsidR="00864F2B">
        <w:rPr>
          <w:rFonts w:ascii="Times New Roman" w:hAnsi="Times New Roman" w:cs="Times New Roman"/>
          <w:sz w:val="24"/>
          <w:szCs w:val="24"/>
        </w:rPr>
        <w:t>.</w:t>
      </w:r>
      <w:r w:rsidR="00864F2B">
        <w:rPr>
          <w:rStyle w:val="DipnotBavurusu"/>
          <w:rFonts w:ascii="Times New Roman" w:hAnsi="Times New Roman" w:cs="Times New Roman"/>
          <w:sz w:val="24"/>
          <w:szCs w:val="24"/>
        </w:rPr>
        <w:footnoteReference w:id="15"/>
      </w:r>
      <w:r w:rsidR="00864F2B">
        <w:rPr>
          <w:rFonts w:ascii="Times New Roman" w:hAnsi="Times New Roman" w:cs="Times New Roman"/>
          <w:sz w:val="24"/>
          <w:szCs w:val="24"/>
        </w:rPr>
        <w:t xml:space="preserve"> </w:t>
      </w:r>
    </w:p>
    <w:p w:rsidR="003C6278" w:rsidRPr="003C6278" w:rsidRDefault="003C6278" w:rsidP="00553C86">
      <w:pPr>
        <w:spacing w:before="120" w:after="0" w:line="240" w:lineRule="auto"/>
        <w:ind w:firstLine="709"/>
        <w:jc w:val="both"/>
        <w:rPr>
          <w:rFonts w:ascii="Times New Roman" w:hAnsi="Times New Roman" w:cs="Times New Roman"/>
          <w:sz w:val="24"/>
          <w:szCs w:val="24"/>
        </w:rPr>
      </w:pPr>
      <w:r w:rsidRPr="003C6278">
        <w:rPr>
          <w:rFonts w:ascii="Times New Roman" w:hAnsi="Times New Roman" w:cs="Times New Roman"/>
          <w:sz w:val="24"/>
          <w:szCs w:val="24"/>
        </w:rPr>
        <w:t>ÇVÖA’lar</w:t>
      </w:r>
      <w:r w:rsidR="00DA6F11">
        <w:rPr>
          <w:rFonts w:ascii="Times New Roman" w:hAnsi="Times New Roman" w:cs="Times New Roman"/>
          <w:sz w:val="24"/>
          <w:szCs w:val="24"/>
        </w:rPr>
        <w:t xml:space="preserve"> sayesinde </w:t>
      </w:r>
      <w:r w:rsidR="00DA6F11" w:rsidRPr="003C6278">
        <w:rPr>
          <w:rFonts w:ascii="Times New Roman" w:hAnsi="Times New Roman" w:cs="Times New Roman"/>
          <w:sz w:val="24"/>
          <w:szCs w:val="24"/>
        </w:rPr>
        <w:t xml:space="preserve">farklı ülkelerde </w:t>
      </w:r>
      <w:r w:rsidR="00DA6F11">
        <w:rPr>
          <w:rFonts w:ascii="Times New Roman" w:hAnsi="Times New Roman" w:cs="Times New Roman"/>
          <w:sz w:val="24"/>
          <w:szCs w:val="24"/>
        </w:rPr>
        <w:t>bağlı şirketler</w:t>
      </w:r>
      <w:r w:rsidR="00DA6F11" w:rsidRPr="003C6278">
        <w:rPr>
          <w:rFonts w:ascii="Times New Roman" w:hAnsi="Times New Roman" w:cs="Times New Roman"/>
          <w:sz w:val="24"/>
          <w:szCs w:val="24"/>
        </w:rPr>
        <w:t xml:space="preserve"> ve iş yerleri vasıtasıyla faaliyet gösteren </w:t>
      </w:r>
      <w:r w:rsidR="00DA6F11">
        <w:rPr>
          <w:rFonts w:ascii="Times New Roman" w:hAnsi="Times New Roman" w:cs="Times New Roman"/>
          <w:sz w:val="24"/>
          <w:szCs w:val="24"/>
        </w:rPr>
        <w:t>çok uluslu şirketlerin</w:t>
      </w:r>
      <w:r w:rsidR="00DA6F11" w:rsidRPr="003C6278">
        <w:rPr>
          <w:rFonts w:ascii="Times New Roman" w:hAnsi="Times New Roman" w:cs="Times New Roman"/>
          <w:sz w:val="24"/>
          <w:szCs w:val="24"/>
        </w:rPr>
        <w:t xml:space="preserve"> </w:t>
      </w:r>
      <w:r w:rsidRPr="003C6278">
        <w:rPr>
          <w:rFonts w:ascii="Times New Roman" w:hAnsi="Times New Roman" w:cs="Times New Roman"/>
          <w:sz w:val="24"/>
          <w:szCs w:val="24"/>
        </w:rPr>
        <w:t xml:space="preserve">sınır ötesi </w:t>
      </w:r>
      <w:r w:rsidR="00DA6F11">
        <w:rPr>
          <w:rFonts w:ascii="Times New Roman" w:hAnsi="Times New Roman" w:cs="Times New Roman"/>
          <w:sz w:val="24"/>
          <w:szCs w:val="24"/>
        </w:rPr>
        <w:t xml:space="preserve">ticari </w:t>
      </w:r>
      <w:r w:rsidRPr="003C6278">
        <w:rPr>
          <w:rFonts w:ascii="Times New Roman" w:hAnsi="Times New Roman" w:cs="Times New Roman"/>
          <w:sz w:val="24"/>
          <w:szCs w:val="24"/>
        </w:rPr>
        <w:t>kazanç</w:t>
      </w:r>
      <w:r w:rsidR="00DA6F11">
        <w:rPr>
          <w:rFonts w:ascii="Times New Roman" w:hAnsi="Times New Roman" w:cs="Times New Roman"/>
          <w:sz w:val="24"/>
          <w:szCs w:val="24"/>
        </w:rPr>
        <w:t>ları</w:t>
      </w:r>
      <w:r w:rsidRPr="003C6278">
        <w:rPr>
          <w:rFonts w:ascii="Times New Roman" w:hAnsi="Times New Roman" w:cs="Times New Roman"/>
          <w:sz w:val="24"/>
          <w:szCs w:val="24"/>
        </w:rPr>
        <w:t xml:space="preserve"> üzerindeki çifte vergilendirmenin </w:t>
      </w:r>
      <w:r w:rsidR="00DA6F11">
        <w:rPr>
          <w:rFonts w:ascii="Times New Roman" w:hAnsi="Times New Roman" w:cs="Times New Roman"/>
          <w:sz w:val="24"/>
          <w:szCs w:val="24"/>
        </w:rPr>
        <w:t>bertaraf edilmesi temin edilmektedir. Zira, a</w:t>
      </w:r>
      <w:r w:rsidR="00DA6F11" w:rsidRPr="00DA6F11">
        <w:rPr>
          <w:rFonts w:ascii="Times New Roman" w:hAnsi="Times New Roman" w:cs="Times New Roman"/>
          <w:sz w:val="24"/>
          <w:szCs w:val="24"/>
        </w:rPr>
        <w:t xml:space="preserve">ynı vergi konusunun aynı dönem içinde birden fazla vergilendirilmesi </w:t>
      </w:r>
      <w:r w:rsidR="00DA6F11">
        <w:rPr>
          <w:rFonts w:ascii="Times New Roman" w:hAnsi="Times New Roman" w:cs="Times New Roman"/>
          <w:sz w:val="24"/>
          <w:szCs w:val="24"/>
        </w:rPr>
        <w:t xml:space="preserve">anlamına gelen </w:t>
      </w:r>
      <w:r w:rsidR="00DA6F11" w:rsidRPr="00DA6F11">
        <w:rPr>
          <w:rFonts w:ascii="Times New Roman" w:hAnsi="Times New Roman" w:cs="Times New Roman"/>
          <w:sz w:val="24"/>
          <w:szCs w:val="24"/>
        </w:rPr>
        <w:t>çifte vergilendirme</w:t>
      </w:r>
      <w:r w:rsidR="00DA6F11">
        <w:rPr>
          <w:rFonts w:ascii="Times New Roman" w:hAnsi="Times New Roman" w:cs="Times New Roman"/>
          <w:sz w:val="24"/>
          <w:szCs w:val="24"/>
        </w:rPr>
        <w:t xml:space="preserve"> </w:t>
      </w:r>
      <w:r w:rsidR="00DA6F11" w:rsidRPr="00DA6F11">
        <w:rPr>
          <w:rFonts w:ascii="Times New Roman" w:hAnsi="Times New Roman" w:cs="Times New Roman"/>
          <w:sz w:val="24"/>
          <w:szCs w:val="24"/>
        </w:rPr>
        <w:t>sınır ötesi ticaret</w:t>
      </w:r>
      <w:r w:rsidR="00DA6F11">
        <w:rPr>
          <w:rFonts w:ascii="Times New Roman" w:hAnsi="Times New Roman" w:cs="Times New Roman"/>
          <w:sz w:val="24"/>
          <w:szCs w:val="24"/>
        </w:rPr>
        <w:t>in</w:t>
      </w:r>
      <w:r w:rsidR="00DA6F11" w:rsidRPr="00DA6F11">
        <w:rPr>
          <w:rFonts w:ascii="Times New Roman" w:hAnsi="Times New Roman" w:cs="Times New Roman"/>
          <w:sz w:val="24"/>
          <w:szCs w:val="24"/>
        </w:rPr>
        <w:t xml:space="preserve"> önünde ciddi bir engel</w:t>
      </w:r>
      <w:r w:rsidR="00DA6F11">
        <w:rPr>
          <w:rFonts w:ascii="Times New Roman" w:hAnsi="Times New Roman" w:cs="Times New Roman"/>
          <w:sz w:val="24"/>
          <w:szCs w:val="24"/>
        </w:rPr>
        <w:t xml:space="preserve">dir ve </w:t>
      </w:r>
      <w:r w:rsidR="00DA6F11" w:rsidRPr="00DA6F11">
        <w:rPr>
          <w:rFonts w:ascii="Times New Roman" w:hAnsi="Times New Roman" w:cs="Times New Roman"/>
          <w:sz w:val="24"/>
          <w:szCs w:val="24"/>
        </w:rPr>
        <w:t>kişileri aşırı vergi yüküne maruz bırakması nedeniyle</w:t>
      </w:r>
      <w:r w:rsidR="00DA6F11">
        <w:rPr>
          <w:rFonts w:ascii="Times New Roman" w:hAnsi="Times New Roman" w:cs="Times New Roman"/>
          <w:sz w:val="24"/>
          <w:szCs w:val="24"/>
        </w:rPr>
        <w:t xml:space="preserve"> </w:t>
      </w:r>
      <w:r w:rsidR="00DA6F11" w:rsidRPr="00DA6F11">
        <w:rPr>
          <w:rFonts w:ascii="Times New Roman" w:hAnsi="Times New Roman" w:cs="Times New Roman"/>
          <w:sz w:val="24"/>
          <w:szCs w:val="24"/>
        </w:rPr>
        <w:t>vergi adaletine ters düşmektedir.</w:t>
      </w:r>
      <w:r w:rsidR="003C2520">
        <w:rPr>
          <w:rStyle w:val="DipnotBavurusu"/>
          <w:rFonts w:ascii="Times New Roman" w:hAnsi="Times New Roman" w:cs="Times New Roman"/>
          <w:sz w:val="24"/>
          <w:szCs w:val="24"/>
        </w:rPr>
        <w:footnoteReference w:id="16"/>
      </w:r>
      <w:r w:rsidR="003C2520">
        <w:rPr>
          <w:rFonts w:ascii="Times New Roman" w:hAnsi="Times New Roman" w:cs="Times New Roman"/>
          <w:sz w:val="24"/>
          <w:szCs w:val="24"/>
        </w:rPr>
        <w:t xml:space="preserve"> </w:t>
      </w:r>
      <w:r w:rsidR="003C2520" w:rsidRPr="003C2520">
        <w:rPr>
          <w:rFonts w:ascii="Times New Roman" w:hAnsi="Times New Roman" w:cs="Times New Roman"/>
          <w:sz w:val="24"/>
          <w:szCs w:val="24"/>
        </w:rPr>
        <w:t xml:space="preserve">Çifte vergilendirmenin ekonomik faaliyetleri ve maliyetleri </w:t>
      </w:r>
      <w:r w:rsidR="003C2520">
        <w:rPr>
          <w:rFonts w:ascii="Times New Roman" w:hAnsi="Times New Roman" w:cs="Times New Roman"/>
          <w:sz w:val="24"/>
          <w:szCs w:val="24"/>
        </w:rPr>
        <w:t xml:space="preserve">olumsuz </w:t>
      </w:r>
      <w:r w:rsidR="003C2520" w:rsidRPr="003C2520">
        <w:rPr>
          <w:rFonts w:ascii="Times New Roman" w:hAnsi="Times New Roman" w:cs="Times New Roman"/>
          <w:sz w:val="24"/>
          <w:szCs w:val="24"/>
        </w:rPr>
        <w:t xml:space="preserve">etkilemesi verginin </w:t>
      </w:r>
      <w:r w:rsidR="003C2520">
        <w:rPr>
          <w:rFonts w:ascii="Times New Roman" w:hAnsi="Times New Roman" w:cs="Times New Roman"/>
          <w:sz w:val="24"/>
          <w:szCs w:val="24"/>
        </w:rPr>
        <w:t>yan</w:t>
      </w:r>
      <w:r w:rsidR="003C2520" w:rsidRPr="003C2520">
        <w:rPr>
          <w:rFonts w:ascii="Times New Roman" w:hAnsi="Times New Roman" w:cs="Times New Roman"/>
          <w:sz w:val="24"/>
          <w:szCs w:val="24"/>
        </w:rPr>
        <w:t xml:space="preserve">sızlığı ilkesine </w:t>
      </w:r>
      <w:r w:rsidR="003C2520">
        <w:rPr>
          <w:rFonts w:ascii="Times New Roman" w:hAnsi="Times New Roman" w:cs="Times New Roman"/>
          <w:sz w:val="24"/>
          <w:szCs w:val="24"/>
        </w:rPr>
        <w:t>de uygun düşmemektedir.</w:t>
      </w:r>
      <w:r w:rsidR="003C2520" w:rsidRPr="003C2520">
        <w:rPr>
          <w:rFonts w:ascii="Times New Roman" w:hAnsi="Times New Roman" w:cs="Times New Roman"/>
          <w:sz w:val="24"/>
          <w:szCs w:val="24"/>
          <w:vertAlign w:val="superscript"/>
        </w:rPr>
        <w:footnoteReference w:id="17"/>
      </w:r>
    </w:p>
    <w:p w:rsidR="008B0FE9" w:rsidRPr="004964F1" w:rsidRDefault="004964F1" w:rsidP="00553C86">
      <w:pPr>
        <w:pStyle w:val="ListeParagraf"/>
        <w:numPr>
          <w:ilvl w:val="0"/>
          <w:numId w:val="11"/>
        </w:numPr>
        <w:spacing w:before="120" w:after="0" w:line="240" w:lineRule="auto"/>
        <w:ind w:left="993" w:hanging="284"/>
        <w:jc w:val="both"/>
        <w:rPr>
          <w:rFonts w:ascii="Times New Roman" w:hAnsi="Times New Roman" w:cs="Times New Roman"/>
          <w:b/>
          <w:sz w:val="24"/>
          <w:szCs w:val="24"/>
        </w:rPr>
      </w:pPr>
      <w:r w:rsidRPr="004964F1">
        <w:rPr>
          <w:rFonts w:ascii="Times New Roman" w:hAnsi="Times New Roman" w:cs="Times New Roman"/>
          <w:b/>
          <w:iCs/>
          <w:sz w:val="24"/>
          <w:szCs w:val="24"/>
        </w:rPr>
        <w:t xml:space="preserve">COVID-19’UN ÇİFTE VERGİLENDİRMEYİ ÖNLEME ANLAŞMALARINA ETKİLERİNİN ANALİZİNE DAİR REHBER </w:t>
      </w:r>
    </w:p>
    <w:p w:rsidR="000C1A8A" w:rsidRDefault="00064E1B" w:rsidP="00553C86">
      <w:pPr>
        <w:pStyle w:val="ListeParagraf"/>
        <w:spacing w:before="120"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T</w:t>
      </w:r>
      <w:r w:rsidR="000C1A8A">
        <w:rPr>
          <w:rFonts w:ascii="Times New Roman" w:hAnsi="Times New Roman" w:cs="Times New Roman"/>
          <w:sz w:val="24"/>
          <w:szCs w:val="24"/>
        </w:rPr>
        <w:t>üm dünyayı derinden etki</w:t>
      </w:r>
      <w:r>
        <w:rPr>
          <w:rFonts w:ascii="Times New Roman" w:hAnsi="Times New Roman" w:cs="Times New Roman"/>
          <w:sz w:val="24"/>
          <w:szCs w:val="24"/>
        </w:rPr>
        <w:t xml:space="preserve">yen </w:t>
      </w:r>
      <w:r w:rsidRPr="000C1A8A">
        <w:rPr>
          <w:rFonts w:ascii="Times New Roman" w:hAnsi="Times New Roman" w:cs="Times New Roman"/>
          <w:sz w:val="24"/>
          <w:szCs w:val="24"/>
        </w:rPr>
        <w:t>COVID-19</w:t>
      </w:r>
      <w:r>
        <w:rPr>
          <w:rFonts w:ascii="Times New Roman" w:hAnsi="Times New Roman" w:cs="Times New Roman"/>
          <w:sz w:val="24"/>
          <w:szCs w:val="24"/>
        </w:rPr>
        <w:t xml:space="preserve">’un </w:t>
      </w:r>
      <w:r w:rsidR="000C1A8A" w:rsidRPr="000C1A8A">
        <w:rPr>
          <w:rFonts w:ascii="Times New Roman" w:hAnsi="Times New Roman" w:cs="Times New Roman"/>
          <w:sz w:val="24"/>
          <w:szCs w:val="24"/>
        </w:rPr>
        <w:t>hızla yayılması</w:t>
      </w:r>
      <w:r w:rsidR="000C1A8A">
        <w:rPr>
          <w:rFonts w:ascii="Times New Roman" w:hAnsi="Times New Roman" w:cs="Times New Roman"/>
          <w:sz w:val="24"/>
          <w:szCs w:val="24"/>
        </w:rPr>
        <w:t>nın sağlık alt yapılarında yol açtığı tahribat</w:t>
      </w:r>
      <w:r w:rsidR="00684589">
        <w:rPr>
          <w:rFonts w:ascii="Times New Roman" w:hAnsi="Times New Roman" w:cs="Times New Roman"/>
          <w:sz w:val="24"/>
          <w:szCs w:val="24"/>
        </w:rPr>
        <w:t>,</w:t>
      </w:r>
      <w:r w:rsidR="000C1A8A">
        <w:rPr>
          <w:rFonts w:ascii="Times New Roman" w:hAnsi="Times New Roman" w:cs="Times New Roman"/>
          <w:sz w:val="24"/>
          <w:szCs w:val="24"/>
        </w:rPr>
        <w:t xml:space="preserve"> </w:t>
      </w:r>
      <w:r w:rsidR="000C1A8A" w:rsidRPr="000C1A8A">
        <w:rPr>
          <w:rFonts w:ascii="Times New Roman" w:hAnsi="Times New Roman" w:cs="Times New Roman"/>
          <w:sz w:val="24"/>
          <w:szCs w:val="24"/>
        </w:rPr>
        <w:t>seyahat ve so</w:t>
      </w:r>
      <w:r w:rsidR="00237140">
        <w:rPr>
          <w:rFonts w:ascii="Times New Roman" w:hAnsi="Times New Roman" w:cs="Times New Roman"/>
          <w:sz w:val="24"/>
          <w:szCs w:val="24"/>
        </w:rPr>
        <w:t>kağa çıkma kısıtlamalarıyla</w:t>
      </w:r>
      <w:r>
        <w:rPr>
          <w:rFonts w:ascii="Times New Roman" w:hAnsi="Times New Roman" w:cs="Times New Roman"/>
          <w:sz w:val="24"/>
          <w:szCs w:val="24"/>
        </w:rPr>
        <w:t xml:space="preserve"> sıkı karantina kurallarını </w:t>
      </w:r>
      <w:r w:rsidR="000C1A8A">
        <w:rPr>
          <w:rFonts w:ascii="Times New Roman" w:hAnsi="Times New Roman" w:cs="Times New Roman"/>
          <w:sz w:val="24"/>
          <w:szCs w:val="24"/>
        </w:rPr>
        <w:t>zorunlu kıl</w:t>
      </w:r>
      <w:r>
        <w:rPr>
          <w:rFonts w:ascii="Times New Roman" w:hAnsi="Times New Roman" w:cs="Times New Roman"/>
          <w:sz w:val="24"/>
          <w:szCs w:val="24"/>
        </w:rPr>
        <w:t>mıştır.</w:t>
      </w:r>
      <w:r w:rsidR="000C1A8A">
        <w:rPr>
          <w:rFonts w:ascii="Times New Roman" w:hAnsi="Times New Roman" w:cs="Times New Roman"/>
          <w:sz w:val="24"/>
          <w:szCs w:val="24"/>
        </w:rPr>
        <w:t xml:space="preserve"> </w:t>
      </w:r>
      <w:r w:rsidR="000C1A8A" w:rsidRPr="000C1A8A">
        <w:rPr>
          <w:rFonts w:ascii="Times New Roman" w:hAnsi="Times New Roman" w:cs="Times New Roman"/>
          <w:sz w:val="24"/>
          <w:szCs w:val="24"/>
        </w:rPr>
        <w:t>Pandemi döneminde, birçok işletme faaliyetlerin</w:t>
      </w:r>
      <w:r w:rsidR="000C1A8A">
        <w:rPr>
          <w:rFonts w:ascii="Times New Roman" w:hAnsi="Times New Roman" w:cs="Times New Roman"/>
          <w:sz w:val="24"/>
          <w:szCs w:val="24"/>
        </w:rPr>
        <w:t>i azaltmak, hatta durdurmak zorunda kal</w:t>
      </w:r>
      <w:r>
        <w:rPr>
          <w:rFonts w:ascii="Times New Roman" w:hAnsi="Times New Roman" w:cs="Times New Roman"/>
          <w:sz w:val="24"/>
          <w:szCs w:val="24"/>
        </w:rPr>
        <w:t>mış, b</w:t>
      </w:r>
      <w:r w:rsidR="000C1A8A">
        <w:rPr>
          <w:rFonts w:ascii="Times New Roman" w:hAnsi="Times New Roman" w:cs="Times New Roman"/>
          <w:sz w:val="24"/>
          <w:szCs w:val="24"/>
        </w:rPr>
        <w:t>azı</w:t>
      </w:r>
      <w:r>
        <w:rPr>
          <w:rFonts w:ascii="Times New Roman" w:hAnsi="Times New Roman" w:cs="Times New Roman"/>
          <w:sz w:val="24"/>
          <w:szCs w:val="24"/>
        </w:rPr>
        <w:t>ları da</w:t>
      </w:r>
      <w:r w:rsidR="000C1A8A" w:rsidRPr="000C1A8A">
        <w:rPr>
          <w:rFonts w:ascii="Times New Roman" w:hAnsi="Times New Roman" w:cs="Times New Roman"/>
          <w:sz w:val="24"/>
          <w:szCs w:val="24"/>
        </w:rPr>
        <w:t xml:space="preserve"> </w:t>
      </w:r>
      <w:r w:rsidR="000C1A8A">
        <w:rPr>
          <w:rFonts w:ascii="Times New Roman" w:hAnsi="Times New Roman" w:cs="Times New Roman"/>
          <w:sz w:val="24"/>
          <w:szCs w:val="24"/>
        </w:rPr>
        <w:t>işlerini</w:t>
      </w:r>
      <w:r w:rsidR="000C1A8A" w:rsidRPr="000C1A8A">
        <w:rPr>
          <w:rFonts w:ascii="Times New Roman" w:hAnsi="Times New Roman" w:cs="Times New Roman"/>
          <w:sz w:val="24"/>
          <w:szCs w:val="24"/>
        </w:rPr>
        <w:t xml:space="preserve"> yürütme şeklini değiştir</w:t>
      </w:r>
      <w:r>
        <w:rPr>
          <w:rFonts w:ascii="Times New Roman" w:hAnsi="Times New Roman" w:cs="Times New Roman"/>
          <w:sz w:val="24"/>
          <w:szCs w:val="24"/>
        </w:rPr>
        <w:t>miştir. E</w:t>
      </w:r>
      <w:r w:rsidR="000C1A8A">
        <w:rPr>
          <w:rFonts w:ascii="Times New Roman" w:hAnsi="Times New Roman" w:cs="Times New Roman"/>
          <w:sz w:val="24"/>
          <w:szCs w:val="24"/>
        </w:rPr>
        <w:t xml:space="preserve">lektronik uygulamalara ağırlık vererek uzaktan </w:t>
      </w:r>
      <w:r>
        <w:rPr>
          <w:rFonts w:ascii="Times New Roman" w:hAnsi="Times New Roman" w:cs="Times New Roman"/>
          <w:sz w:val="24"/>
          <w:szCs w:val="24"/>
        </w:rPr>
        <w:t>çalışma alışkanlık haline gelmiştir. Yabancı ülke çalışanları</w:t>
      </w:r>
      <w:r w:rsidR="00C11410">
        <w:rPr>
          <w:rFonts w:ascii="Times New Roman" w:hAnsi="Times New Roman" w:cs="Times New Roman"/>
          <w:sz w:val="24"/>
          <w:szCs w:val="24"/>
        </w:rPr>
        <w:t>nın</w:t>
      </w:r>
      <w:r>
        <w:rPr>
          <w:rFonts w:ascii="Times New Roman" w:hAnsi="Times New Roman" w:cs="Times New Roman"/>
          <w:sz w:val="24"/>
          <w:szCs w:val="24"/>
        </w:rPr>
        <w:t xml:space="preserve"> seyahat </w:t>
      </w:r>
      <w:r w:rsidR="00237140">
        <w:rPr>
          <w:rFonts w:ascii="Times New Roman" w:hAnsi="Times New Roman" w:cs="Times New Roman"/>
          <w:sz w:val="24"/>
          <w:szCs w:val="24"/>
        </w:rPr>
        <w:t xml:space="preserve">ve sokağa çıkma </w:t>
      </w:r>
      <w:r>
        <w:rPr>
          <w:rFonts w:ascii="Times New Roman" w:hAnsi="Times New Roman" w:cs="Times New Roman"/>
          <w:sz w:val="24"/>
          <w:szCs w:val="24"/>
        </w:rPr>
        <w:t xml:space="preserve">kısıtlamaları nedeniyle </w:t>
      </w:r>
      <w:r w:rsidRPr="00064E1B">
        <w:rPr>
          <w:rFonts w:ascii="Times New Roman" w:hAnsi="Times New Roman" w:cs="Times New Roman"/>
          <w:sz w:val="24"/>
          <w:szCs w:val="24"/>
        </w:rPr>
        <w:t xml:space="preserve">geçici </w:t>
      </w:r>
      <w:r>
        <w:rPr>
          <w:rFonts w:ascii="Times New Roman" w:hAnsi="Times New Roman" w:cs="Times New Roman"/>
          <w:sz w:val="24"/>
          <w:szCs w:val="24"/>
        </w:rPr>
        <w:t>de olsa diğer ülke</w:t>
      </w:r>
      <w:r w:rsidR="00C11410">
        <w:rPr>
          <w:rFonts w:ascii="Times New Roman" w:hAnsi="Times New Roman" w:cs="Times New Roman"/>
          <w:sz w:val="24"/>
          <w:szCs w:val="24"/>
        </w:rPr>
        <w:t>lerde</w:t>
      </w:r>
      <w:r>
        <w:rPr>
          <w:rFonts w:ascii="Times New Roman" w:hAnsi="Times New Roman" w:cs="Times New Roman"/>
          <w:sz w:val="24"/>
          <w:szCs w:val="24"/>
        </w:rPr>
        <w:t xml:space="preserve"> </w:t>
      </w:r>
      <w:r w:rsidRPr="00064E1B">
        <w:rPr>
          <w:rFonts w:ascii="Times New Roman" w:hAnsi="Times New Roman" w:cs="Times New Roman"/>
          <w:sz w:val="24"/>
          <w:szCs w:val="24"/>
        </w:rPr>
        <w:t>mahsur kal</w:t>
      </w:r>
      <w:r w:rsidR="00C11410">
        <w:rPr>
          <w:rFonts w:ascii="Times New Roman" w:hAnsi="Times New Roman" w:cs="Times New Roman"/>
          <w:sz w:val="24"/>
          <w:szCs w:val="24"/>
        </w:rPr>
        <w:t>maları,</w:t>
      </w:r>
      <w:r>
        <w:rPr>
          <w:rFonts w:ascii="Times New Roman" w:hAnsi="Times New Roman" w:cs="Times New Roman"/>
          <w:sz w:val="24"/>
          <w:szCs w:val="24"/>
        </w:rPr>
        <w:t xml:space="preserve"> </w:t>
      </w:r>
      <w:r w:rsidR="00237140">
        <w:rPr>
          <w:rFonts w:ascii="Times New Roman" w:hAnsi="Times New Roman" w:cs="Times New Roman"/>
          <w:sz w:val="24"/>
          <w:szCs w:val="24"/>
        </w:rPr>
        <w:t xml:space="preserve">iş yeri ve mukimlik durumları </w:t>
      </w:r>
      <w:r w:rsidR="00C11410">
        <w:rPr>
          <w:rFonts w:ascii="Times New Roman" w:hAnsi="Times New Roman" w:cs="Times New Roman"/>
          <w:sz w:val="24"/>
          <w:szCs w:val="24"/>
        </w:rPr>
        <w:t>çalışanlar</w:t>
      </w:r>
      <w:r>
        <w:rPr>
          <w:rFonts w:ascii="Times New Roman" w:hAnsi="Times New Roman" w:cs="Times New Roman"/>
          <w:sz w:val="24"/>
          <w:szCs w:val="24"/>
        </w:rPr>
        <w:t xml:space="preserve"> ve işletmeleri için vergisel endişelere yol açmıştır.</w:t>
      </w:r>
      <w:r w:rsidR="009F7856">
        <w:rPr>
          <w:rFonts w:ascii="Times New Roman" w:hAnsi="Times New Roman" w:cs="Times New Roman"/>
          <w:sz w:val="24"/>
          <w:szCs w:val="24"/>
        </w:rPr>
        <w:t xml:space="preserve"> OECD, bu endişeleri gidermek adına</w:t>
      </w:r>
      <w:r>
        <w:rPr>
          <w:rFonts w:ascii="Times New Roman" w:hAnsi="Times New Roman" w:cs="Times New Roman"/>
          <w:sz w:val="24"/>
          <w:szCs w:val="24"/>
        </w:rPr>
        <w:t xml:space="preserve"> </w:t>
      </w:r>
      <w:r w:rsidR="009F7856" w:rsidRPr="009F7856">
        <w:rPr>
          <w:rFonts w:ascii="Times New Roman" w:hAnsi="Times New Roman" w:cs="Times New Roman"/>
          <w:sz w:val="24"/>
          <w:szCs w:val="24"/>
        </w:rPr>
        <w:t>“</w:t>
      </w:r>
      <w:r w:rsidR="009F7856" w:rsidRPr="009F7856">
        <w:rPr>
          <w:rFonts w:ascii="Times New Roman" w:hAnsi="Times New Roman" w:cs="Times New Roman"/>
          <w:iCs/>
          <w:sz w:val="24"/>
          <w:szCs w:val="24"/>
        </w:rPr>
        <w:t>Vergi Anlaşmaları ve COVID-19 Pandemisinin Etkisine Dair Güncel Rehber”</w:t>
      </w:r>
      <w:r w:rsidR="009F7856">
        <w:rPr>
          <w:rFonts w:ascii="Times New Roman" w:hAnsi="Times New Roman" w:cs="Times New Roman"/>
          <w:iCs/>
          <w:sz w:val="24"/>
          <w:szCs w:val="24"/>
        </w:rPr>
        <w:t>i yayınlayarak ÇVÖA hükümlerinin pandeminin etkileri karşısında nasıl yorumlanacağı konusunda kendi görüşlerini ortaya koymuştur. OECD ayrıca</w:t>
      </w:r>
      <w:r w:rsidRPr="009F7856">
        <w:rPr>
          <w:rFonts w:ascii="Times New Roman" w:hAnsi="Times New Roman" w:cs="Times New Roman"/>
          <w:sz w:val="24"/>
          <w:szCs w:val="24"/>
        </w:rPr>
        <w:t xml:space="preserve"> </w:t>
      </w:r>
      <w:r w:rsidR="009F7856">
        <w:rPr>
          <w:rFonts w:ascii="Times New Roman" w:hAnsi="Times New Roman" w:cs="Times New Roman"/>
          <w:sz w:val="24"/>
          <w:szCs w:val="24"/>
        </w:rPr>
        <w:t>verg</w:t>
      </w:r>
      <w:r w:rsidR="009F7856" w:rsidRPr="009F7856">
        <w:rPr>
          <w:rFonts w:ascii="Times New Roman" w:hAnsi="Times New Roman" w:cs="Times New Roman"/>
          <w:sz w:val="24"/>
          <w:szCs w:val="24"/>
        </w:rPr>
        <w:t>i idareleri</w:t>
      </w:r>
      <w:r w:rsidR="009F7856">
        <w:rPr>
          <w:rFonts w:ascii="Times New Roman" w:hAnsi="Times New Roman" w:cs="Times New Roman"/>
          <w:sz w:val="24"/>
          <w:szCs w:val="24"/>
        </w:rPr>
        <w:t>nin</w:t>
      </w:r>
      <w:r w:rsidR="009F7856" w:rsidRPr="009F7856">
        <w:rPr>
          <w:rFonts w:ascii="Times New Roman" w:hAnsi="Times New Roman" w:cs="Times New Roman"/>
          <w:sz w:val="24"/>
          <w:szCs w:val="24"/>
        </w:rPr>
        <w:t xml:space="preserve"> fiili tespitlerin</w:t>
      </w:r>
      <w:r w:rsidR="009F7856">
        <w:rPr>
          <w:rFonts w:ascii="Times New Roman" w:hAnsi="Times New Roman" w:cs="Times New Roman"/>
          <w:sz w:val="24"/>
          <w:szCs w:val="24"/>
        </w:rPr>
        <w:t xml:space="preserve">in ve </w:t>
      </w:r>
      <w:r w:rsidR="009F7856" w:rsidRPr="009F7856">
        <w:rPr>
          <w:rFonts w:ascii="Times New Roman" w:hAnsi="Times New Roman" w:cs="Times New Roman"/>
          <w:sz w:val="24"/>
          <w:szCs w:val="24"/>
        </w:rPr>
        <w:t>karar</w:t>
      </w:r>
      <w:r w:rsidR="009F7856">
        <w:rPr>
          <w:rFonts w:ascii="Times New Roman" w:hAnsi="Times New Roman" w:cs="Times New Roman"/>
          <w:sz w:val="24"/>
          <w:szCs w:val="24"/>
        </w:rPr>
        <w:t>lar</w:t>
      </w:r>
      <w:r w:rsidR="009F7856" w:rsidRPr="009F7856">
        <w:rPr>
          <w:rFonts w:ascii="Times New Roman" w:hAnsi="Times New Roman" w:cs="Times New Roman"/>
          <w:sz w:val="24"/>
          <w:szCs w:val="24"/>
        </w:rPr>
        <w:t xml:space="preserve">ının </w:t>
      </w:r>
      <w:r w:rsidR="009F7856">
        <w:rPr>
          <w:rFonts w:ascii="Times New Roman" w:hAnsi="Times New Roman" w:cs="Times New Roman"/>
          <w:sz w:val="24"/>
          <w:szCs w:val="24"/>
        </w:rPr>
        <w:t>önemli olduğu vurgusunu</w:t>
      </w:r>
      <w:r w:rsidR="00684589">
        <w:rPr>
          <w:rFonts w:ascii="Times New Roman" w:hAnsi="Times New Roman" w:cs="Times New Roman"/>
          <w:sz w:val="24"/>
          <w:szCs w:val="24"/>
        </w:rPr>
        <w:t xml:space="preserve"> da</w:t>
      </w:r>
      <w:r w:rsidR="009F7856">
        <w:rPr>
          <w:rFonts w:ascii="Times New Roman" w:hAnsi="Times New Roman" w:cs="Times New Roman"/>
          <w:sz w:val="24"/>
          <w:szCs w:val="24"/>
        </w:rPr>
        <w:t xml:space="preserve"> ihmal etmemiştir. </w:t>
      </w:r>
      <w:r w:rsidR="009931FA">
        <w:rPr>
          <w:rFonts w:ascii="Times New Roman" w:hAnsi="Times New Roman" w:cs="Times New Roman"/>
          <w:sz w:val="24"/>
          <w:szCs w:val="24"/>
        </w:rPr>
        <w:t>OECD</w:t>
      </w:r>
      <w:r w:rsidR="00C11410">
        <w:rPr>
          <w:rFonts w:ascii="Times New Roman" w:hAnsi="Times New Roman" w:cs="Times New Roman"/>
          <w:sz w:val="24"/>
          <w:szCs w:val="24"/>
        </w:rPr>
        <w:t>,</w:t>
      </w:r>
      <w:r w:rsidR="009931FA">
        <w:rPr>
          <w:rFonts w:ascii="Times New Roman" w:hAnsi="Times New Roman" w:cs="Times New Roman"/>
          <w:sz w:val="24"/>
          <w:szCs w:val="24"/>
        </w:rPr>
        <w:t xml:space="preserve"> pandemiden kaynaklı temel endişeler olarak aşağıdaki unsurları özet halinde ortaya koymuştur:</w:t>
      </w:r>
      <w:r w:rsidR="002646CF">
        <w:rPr>
          <w:rStyle w:val="DipnotBavurusu"/>
          <w:rFonts w:ascii="Times New Roman" w:hAnsi="Times New Roman" w:cs="Times New Roman"/>
          <w:sz w:val="24"/>
          <w:szCs w:val="24"/>
        </w:rPr>
        <w:footnoteReference w:id="18"/>
      </w:r>
    </w:p>
    <w:p w:rsidR="002646CF" w:rsidRDefault="002646CF" w:rsidP="00553C86">
      <w:pPr>
        <w:pStyle w:val="ListeParagraf"/>
        <w:numPr>
          <w:ilvl w:val="0"/>
          <w:numId w:val="5"/>
        </w:numPr>
        <w:spacing w:before="120" w:after="0" w:line="240"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İş yerinin oluşumu (ev ofis</w:t>
      </w:r>
      <w:r w:rsidRPr="002646CF">
        <w:rPr>
          <w:rFonts w:ascii="Times New Roman" w:hAnsi="Times New Roman" w:cs="Times New Roman"/>
          <w:sz w:val="24"/>
          <w:szCs w:val="24"/>
        </w:rPr>
        <w:t xml:space="preserve">, </w:t>
      </w:r>
      <w:r w:rsidR="00237140">
        <w:rPr>
          <w:rFonts w:ascii="Times New Roman" w:hAnsi="Times New Roman" w:cs="Times New Roman"/>
          <w:sz w:val="24"/>
          <w:szCs w:val="24"/>
        </w:rPr>
        <w:t>daimi temsilci</w:t>
      </w:r>
      <w:r w:rsidRPr="002646CF">
        <w:rPr>
          <w:rFonts w:ascii="Times New Roman" w:hAnsi="Times New Roman" w:cs="Times New Roman"/>
          <w:sz w:val="24"/>
          <w:szCs w:val="24"/>
        </w:rPr>
        <w:t xml:space="preserve">) ve </w:t>
      </w:r>
      <w:r>
        <w:rPr>
          <w:rFonts w:ascii="Times New Roman" w:hAnsi="Times New Roman" w:cs="Times New Roman"/>
          <w:sz w:val="24"/>
          <w:szCs w:val="24"/>
        </w:rPr>
        <w:t xml:space="preserve">inşaat alanların kesintiye </w:t>
      </w:r>
      <w:r w:rsidRPr="002646CF">
        <w:rPr>
          <w:rFonts w:ascii="Times New Roman" w:hAnsi="Times New Roman" w:cs="Times New Roman"/>
          <w:sz w:val="24"/>
          <w:szCs w:val="24"/>
        </w:rPr>
        <w:t>uğraması;</w:t>
      </w:r>
    </w:p>
    <w:p w:rsidR="002646CF" w:rsidRDefault="002646CF" w:rsidP="00553C86">
      <w:pPr>
        <w:pStyle w:val="ListeParagraf"/>
        <w:numPr>
          <w:ilvl w:val="0"/>
          <w:numId w:val="5"/>
        </w:numPr>
        <w:spacing w:after="0" w:line="240" w:lineRule="auto"/>
        <w:ind w:left="1134" w:hanging="425"/>
        <w:jc w:val="both"/>
        <w:rPr>
          <w:rFonts w:ascii="Times New Roman" w:hAnsi="Times New Roman" w:cs="Times New Roman"/>
          <w:sz w:val="24"/>
          <w:szCs w:val="24"/>
        </w:rPr>
      </w:pPr>
      <w:r w:rsidRPr="002646CF">
        <w:rPr>
          <w:rFonts w:ascii="Times New Roman" w:hAnsi="Times New Roman" w:cs="Times New Roman"/>
          <w:sz w:val="24"/>
          <w:szCs w:val="24"/>
        </w:rPr>
        <w:t xml:space="preserve">Tüzel ve gerçek kişilerin mukimliklerinde değişmeler ve çifte mukimlere yönelik </w:t>
      </w:r>
      <w:r w:rsidR="001A4F99">
        <w:rPr>
          <w:rFonts w:ascii="Times New Roman" w:hAnsi="Times New Roman" w:cs="Times New Roman"/>
          <w:sz w:val="24"/>
          <w:szCs w:val="24"/>
        </w:rPr>
        <w:t xml:space="preserve">eşitlik bozucu </w:t>
      </w:r>
      <w:r w:rsidRPr="002646CF">
        <w:rPr>
          <w:rFonts w:ascii="Times New Roman" w:hAnsi="Times New Roman" w:cs="Times New Roman"/>
          <w:sz w:val="24"/>
          <w:szCs w:val="24"/>
        </w:rPr>
        <w:t>(tie-breaker) kuralların uygulanması</w:t>
      </w:r>
      <w:r>
        <w:rPr>
          <w:rFonts w:ascii="Times New Roman" w:hAnsi="Times New Roman" w:cs="Times New Roman"/>
          <w:sz w:val="24"/>
          <w:szCs w:val="24"/>
        </w:rPr>
        <w:t>;</w:t>
      </w:r>
      <w:r w:rsidRPr="002646CF">
        <w:rPr>
          <w:rFonts w:ascii="Times New Roman" w:hAnsi="Times New Roman" w:cs="Times New Roman"/>
          <w:sz w:val="24"/>
          <w:szCs w:val="24"/>
        </w:rPr>
        <w:t xml:space="preserve">  </w:t>
      </w:r>
    </w:p>
    <w:p w:rsidR="002646CF" w:rsidRDefault="002646CF" w:rsidP="00553C86">
      <w:pPr>
        <w:pStyle w:val="ListeParagraf"/>
        <w:numPr>
          <w:ilvl w:val="0"/>
          <w:numId w:val="5"/>
        </w:numPr>
        <w:spacing w:after="0" w:line="240" w:lineRule="auto"/>
        <w:ind w:left="1134" w:hanging="425"/>
        <w:contextualSpacing w:val="0"/>
        <w:jc w:val="both"/>
        <w:rPr>
          <w:rFonts w:ascii="Times New Roman" w:hAnsi="Times New Roman" w:cs="Times New Roman"/>
          <w:sz w:val="24"/>
          <w:szCs w:val="24"/>
        </w:rPr>
      </w:pPr>
      <w:r w:rsidRPr="002646CF">
        <w:rPr>
          <w:rFonts w:ascii="Times New Roman" w:hAnsi="Times New Roman" w:cs="Times New Roman"/>
          <w:sz w:val="24"/>
          <w:szCs w:val="24"/>
        </w:rPr>
        <w:t>İ</w:t>
      </w:r>
      <w:r>
        <w:rPr>
          <w:rFonts w:ascii="Times New Roman" w:hAnsi="Times New Roman" w:cs="Times New Roman"/>
          <w:sz w:val="24"/>
          <w:szCs w:val="24"/>
        </w:rPr>
        <w:t>stihdamdan elde edilen gelir (</w:t>
      </w:r>
      <w:r w:rsidRPr="002646CF">
        <w:rPr>
          <w:rFonts w:ascii="Times New Roman" w:hAnsi="Times New Roman" w:cs="Times New Roman"/>
          <w:sz w:val="24"/>
          <w:szCs w:val="24"/>
        </w:rPr>
        <w:t>teşvik paketleri kapsamındaki ödemeler</w:t>
      </w:r>
      <w:r>
        <w:rPr>
          <w:rFonts w:ascii="Times New Roman" w:hAnsi="Times New Roman" w:cs="Times New Roman"/>
          <w:sz w:val="24"/>
          <w:szCs w:val="24"/>
        </w:rPr>
        <w:t xml:space="preserve"> gibi)</w:t>
      </w:r>
      <w:r w:rsidRPr="002646CF">
        <w:rPr>
          <w:rFonts w:ascii="Times New Roman" w:hAnsi="Times New Roman" w:cs="Times New Roman"/>
          <w:sz w:val="24"/>
          <w:szCs w:val="24"/>
        </w:rPr>
        <w:t xml:space="preserve">, </w:t>
      </w:r>
      <w:r>
        <w:rPr>
          <w:rFonts w:ascii="Times New Roman" w:hAnsi="Times New Roman" w:cs="Times New Roman"/>
          <w:sz w:val="24"/>
          <w:szCs w:val="24"/>
        </w:rPr>
        <w:t xml:space="preserve">ülkelerde </w:t>
      </w:r>
      <w:r w:rsidRPr="002646CF">
        <w:rPr>
          <w:rFonts w:ascii="Times New Roman" w:hAnsi="Times New Roman" w:cs="Times New Roman"/>
          <w:sz w:val="24"/>
          <w:szCs w:val="24"/>
        </w:rPr>
        <w:t>mahsur kalan işçiler, sınır ötesi işçiler ve yurt</w:t>
      </w:r>
      <w:r w:rsidR="001A31DC">
        <w:rPr>
          <w:rFonts w:ascii="Times New Roman" w:hAnsi="Times New Roman" w:cs="Times New Roman"/>
          <w:sz w:val="24"/>
          <w:szCs w:val="24"/>
        </w:rPr>
        <w:t xml:space="preserve"> </w:t>
      </w:r>
      <w:r w:rsidRPr="002646CF">
        <w:rPr>
          <w:rFonts w:ascii="Times New Roman" w:hAnsi="Times New Roman" w:cs="Times New Roman"/>
          <w:sz w:val="24"/>
          <w:szCs w:val="24"/>
        </w:rPr>
        <w:t>dışından uzaktan çalışma.</w:t>
      </w:r>
    </w:p>
    <w:p w:rsidR="00326A8E" w:rsidRPr="00326A8E" w:rsidRDefault="00326A8E"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Yukarıda yer alan endişelere ve bunların giderilmesine ilişkin adı geçen rehber doğrultusunda müteakip başlıklar altında açıklamalar yapılmıştır. </w:t>
      </w:r>
    </w:p>
    <w:p w:rsidR="009931FA" w:rsidRDefault="00C11410" w:rsidP="00553C86">
      <w:pPr>
        <w:pStyle w:val="ListeParagraf"/>
        <w:spacing w:before="120" w:after="0" w:line="240" w:lineRule="auto"/>
        <w:ind w:left="709"/>
        <w:contextualSpacing w:val="0"/>
        <w:jc w:val="both"/>
        <w:rPr>
          <w:rFonts w:ascii="Times New Roman" w:hAnsi="Times New Roman" w:cs="Times New Roman"/>
          <w:b/>
          <w:iCs/>
          <w:sz w:val="24"/>
          <w:szCs w:val="24"/>
        </w:rPr>
      </w:pPr>
      <w:r>
        <w:rPr>
          <w:rFonts w:ascii="Times New Roman" w:hAnsi="Times New Roman" w:cs="Times New Roman"/>
          <w:b/>
          <w:iCs/>
          <w:sz w:val="24"/>
          <w:szCs w:val="24"/>
        </w:rPr>
        <w:t>4</w:t>
      </w:r>
      <w:r w:rsidR="002C6F1F">
        <w:rPr>
          <w:rFonts w:ascii="Times New Roman" w:hAnsi="Times New Roman" w:cs="Times New Roman"/>
          <w:b/>
          <w:iCs/>
          <w:sz w:val="24"/>
          <w:szCs w:val="24"/>
        </w:rPr>
        <w:t>.1</w:t>
      </w:r>
      <w:r w:rsidR="00B72167">
        <w:rPr>
          <w:rFonts w:ascii="Times New Roman" w:hAnsi="Times New Roman" w:cs="Times New Roman"/>
          <w:b/>
          <w:iCs/>
          <w:sz w:val="24"/>
          <w:szCs w:val="24"/>
        </w:rPr>
        <w:t>.</w:t>
      </w:r>
      <w:r w:rsidR="002C6F1F">
        <w:rPr>
          <w:rFonts w:ascii="Times New Roman" w:hAnsi="Times New Roman" w:cs="Times New Roman"/>
          <w:b/>
          <w:iCs/>
          <w:sz w:val="24"/>
          <w:szCs w:val="24"/>
        </w:rPr>
        <w:t xml:space="preserve"> İş Y</w:t>
      </w:r>
      <w:r w:rsidR="003D5B71">
        <w:rPr>
          <w:rFonts w:ascii="Times New Roman" w:hAnsi="Times New Roman" w:cs="Times New Roman"/>
          <w:b/>
          <w:iCs/>
          <w:sz w:val="24"/>
          <w:szCs w:val="24"/>
        </w:rPr>
        <w:t xml:space="preserve">erinin Oluşumuna Dair </w:t>
      </w:r>
      <w:r w:rsidR="002C6F1F">
        <w:rPr>
          <w:rFonts w:ascii="Times New Roman" w:hAnsi="Times New Roman" w:cs="Times New Roman"/>
          <w:b/>
          <w:iCs/>
          <w:sz w:val="24"/>
          <w:szCs w:val="24"/>
        </w:rPr>
        <w:t>Endişeler</w:t>
      </w:r>
    </w:p>
    <w:p w:rsidR="000C1A8A" w:rsidRDefault="00C11410" w:rsidP="00553C86">
      <w:pPr>
        <w:pStyle w:val="ListeParagraf"/>
        <w:spacing w:before="120" w:after="0" w:line="240" w:lineRule="auto"/>
        <w:ind w:left="0" w:firstLine="709"/>
        <w:contextualSpacing w:val="0"/>
        <w:jc w:val="both"/>
        <w:rPr>
          <w:rFonts w:ascii="Times New Roman" w:hAnsi="Times New Roman" w:cs="Times New Roman"/>
          <w:sz w:val="24"/>
          <w:szCs w:val="24"/>
        </w:rPr>
      </w:pPr>
      <w:r w:rsidRPr="00C11410">
        <w:rPr>
          <w:rFonts w:ascii="Times New Roman" w:hAnsi="Times New Roman" w:cs="Times New Roman"/>
          <w:sz w:val="24"/>
          <w:szCs w:val="24"/>
        </w:rPr>
        <w:t>Bazı işletmeler</w:t>
      </w:r>
      <w:r>
        <w:rPr>
          <w:rFonts w:ascii="Times New Roman" w:hAnsi="Times New Roman" w:cs="Times New Roman"/>
          <w:sz w:val="24"/>
          <w:szCs w:val="24"/>
        </w:rPr>
        <w:t>in</w:t>
      </w:r>
      <w:r w:rsidRPr="00C11410">
        <w:rPr>
          <w:rFonts w:ascii="Times New Roman" w:hAnsi="Times New Roman" w:cs="Times New Roman"/>
          <w:sz w:val="24"/>
          <w:szCs w:val="24"/>
        </w:rPr>
        <w:t>, COVID-19 salgını nedeniyle çalıştıkları ülkeden başka ülkelere giden ve evlerinden çalışan</w:t>
      </w:r>
      <w:r w:rsidR="00C55E1C">
        <w:rPr>
          <w:rFonts w:ascii="Times New Roman" w:hAnsi="Times New Roman" w:cs="Times New Roman"/>
          <w:sz w:val="24"/>
          <w:szCs w:val="24"/>
        </w:rPr>
        <w:t>ların</w:t>
      </w:r>
      <w:r>
        <w:rPr>
          <w:rFonts w:ascii="Times New Roman" w:hAnsi="Times New Roman" w:cs="Times New Roman"/>
          <w:sz w:val="24"/>
          <w:szCs w:val="24"/>
        </w:rPr>
        <w:t xml:space="preserve"> bu ülkelerde “</w:t>
      </w:r>
      <w:r w:rsidRPr="00C11410">
        <w:rPr>
          <w:rFonts w:ascii="Times New Roman" w:hAnsi="Times New Roman" w:cs="Times New Roman"/>
          <w:sz w:val="24"/>
          <w:szCs w:val="24"/>
        </w:rPr>
        <w:t>iş</w:t>
      </w:r>
      <w:r w:rsidR="00326A8E">
        <w:rPr>
          <w:rFonts w:ascii="Times New Roman" w:hAnsi="Times New Roman" w:cs="Times New Roman"/>
          <w:sz w:val="24"/>
          <w:szCs w:val="24"/>
        </w:rPr>
        <w:t xml:space="preserve"> </w:t>
      </w:r>
      <w:r w:rsidRPr="00C11410">
        <w:rPr>
          <w:rFonts w:ascii="Times New Roman" w:hAnsi="Times New Roman" w:cs="Times New Roman"/>
          <w:sz w:val="24"/>
          <w:szCs w:val="24"/>
        </w:rPr>
        <w:t>yer</w:t>
      </w:r>
      <w:r>
        <w:rPr>
          <w:rFonts w:ascii="Times New Roman" w:hAnsi="Times New Roman" w:cs="Times New Roman"/>
          <w:sz w:val="24"/>
          <w:szCs w:val="24"/>
        </w:rPr>
        <w:t>i”</w:t>
      </w:r>
      <w:r w:rsidRPr="00C11410">
        <w:rPr>
          <w:rFonts w:ascii="Times New Roman" w:hAnsi="Times New Roman" w:cs="Times New Roman"/>
          <w:sz w:val="24"/>
          <w:szCs w:val="24"/>
        </w:rPr>
        <w:t xml:space="preserve"> oluşturma </w:t>
      </w:r>
      <w:r>
        <w:rPr>
          <w:rFonts w:ascii="Times New Roman" w:hAnsi="Times New Roman" w:cs="Times New Roman"/>
          <w:sz w:val="24"/>
          <w:szCs w:val="24"/>
        </w:rPr>
        <w:t>olasılığından</w:t>
      </w:r>
      <w:r w:rsidR="00B72167">
        <w:rPr>
          <w:rFonts w:ascii="Times New Roman" w:hAnsi="Times New Roman" w:cs="Times New Roman"/>
          <w:sz w:val="24"/>
          <w:szCs w:val="24"/>
        </w:rPr>
        <w:t xml:space="preserve"> ve buna bağlı olarak yeni yükümlülükler oluşabileceğinden</w:t>
      </w:r>
      <w:r>
        <w:rPr>
          <w:rFonts w:ascii="Times New Roman" w:hAnsi="Times New Roman" w:cs="Times New Roman"/>
          <w:sz w:val="24"/>
          <w:szCs w:val="24"/>
        </w:rPr>
        <w:t xml:space="preserve"> </w:t>
      </w:r>
      <w:r w:rsidR="00B72167">
        <w:rPr>
          <w:rFonts w:ascii="Times New Roman" w:hAnsi="Times New Roman" w:cs="Times New Roman"/>
          <w:sz w:val="24"/>
          <w:szCs w:val="24"/>
        </w:rPr>
        <w:t xml:space="preserve">duydukları </w:t>
      </w:r>
      <w:r w:rsidRPr="00C11410">
        <w:rPr>
          <w:rFonts w:ascii="Times New Roman" w:hAnsi="Times New Roman" w:cs="Times New Roman"/>
          <w:sz w:val="24"/>
          <w:szCs w:val="24"/>
        </w:rPr>
        <w:t>endişe</w:t>
      </w:r>
      <w:r w:rsidR="00B72167">
        <w:rPr>
          <w:rFonts w:ascii="Times New Roman" w:hAnsi="Times New Roman" w:cs="Times New Roman"/>
          <w:sz w:val="24"/>
          <w:szCs w:val="24"/>
        </w:rPr>
        <w:t>ler sıklıkla dile getirilmeye başlanmıştır. Takip eden alt başlıklarda</w:t>
      </w:r>
      <w:r w:rsidR="00B72167" w:rsidRPr="00B72167">
        <w:rPr>
          <w:rFonts w:ascii="Times New Roman" w:hAnsi="Times New Roman" w:cs="Times New Roman"/>
          <w:sz w:val="24"/>
          <w:szCs w:val="24"/>
        </w:rPr>
        <w:t xml:space="preserve"> açıklandığı üzere, çalışanlar COVID-19 nedeniyle geçici olarak yer değiştirdiğinde ve işlerini bu</w:t>
      </w:r>
      <w:r w:rsidR="00B72167">
        <w:rPr>
          <w:rFonts w:ascii="Times New Roman" w:hAnsi="Times New Roman" w:cs="Times New Roman"/>
          <w:sz w:val="24"/>
          <w:szCs w:val="24"/>
        </w:rPr>
        <w:t xml:space="preserve"> yerlerden </w:t>
      </w:r>
      <w:r w:rsidR="00B72167" w:rsidRPr="00B72167">
        <w:rPr>
          <w:rFonts w:ascii="Times New Roman" w:hAnsi="Times New Roman" w:cs="Times New Roman"/>
          <w:sz w:val="24"/>
          <w:szCs w:val="24"/>
        </w:rPr>
        <w:t xml:space="preserve">yürüttüklerinde, </w:t>
      </w:r>
      <w:r w:rsidR="00B72167">
        <w:rPr>
          <w:rFonts w:ascii="Times New Roman" w:hAnsi="Times New Roman" w:cs="Times New Roman"/>
          <w:sz w:val="24"/>
          <w:szCs w:val="24"/>
        </w:rPr>
        <w:t xml:space="preserve">örneğin </w:t>
      </w:r>
      <w:r w:rsidR="00B72167" w:rsidRPr="00B72167">
        <w:rPr>
          <w:rFonts w:ascii="Times New Roman" w:hAnsi="Times New Roman" w:cs="Times New Roman"/>
          <w:sz w:val="24"/>
          <w:szCs w:val="24"/>
        </w:rPr>
        <w:t>bir evden çalışma durumu</w:t>
      </w:r>
      <w:r w:rsidR="00B72167">
        <w:rPr>
          <w:rFonts w:ascii="Times New Roman" w:hAnsi="Times New Roman" w:cs="Times New Roman"/>
          <w:sz w:val="24"/>
          <w:szCs w:val="24"/>
        </w:rPr>
        <w:t xml:space="preserve"> söz konusu olduğunda i</w:t>
      </w:r>
      <w:r w:rsidR="00B72167" w:rsidRPr="00B72167">
        <w:rPr>
          <w:rFonts w:ascii="Times New Roman" w:hAnsi="Times New Roman" w:cs="Times New Roman"/>
          <w:sz w:val="24"/>
          <w:szCs w:val="24"/>
        </w:rPr>
        <w:t>şveren için</w:t>
      </w:r>
      <w:r w:rsidR="00B72167">
        <w:rPr>
          <w:rFonts w:ascii="Times New Roman" w:hAnsi="Times New Roman" w:cs="Times New Roman"/>
          <w:sz w:val="24"/>
          <w:szCs w:val="24"/>
        </w:rPr>
        <w:t xml:space="preserve"> bu durum</w:t>
      </w:r>
      <w:r w:rsidR="00B72167" w:rsidRPr="00B72167">
        <w:rPr>
          <w:rFonts w:ascii="Times New Roman" w:hAnsi="Times New Roman" w:cs="Times New Roman"/>
          <w:sz w:val="24"/>
          <w:szCs w:val="24"/>
        </w:rPr>
        <w:t xml:space="preserve"> bir iş</w:t>
      </w:r>
      <w:r w:rsidR="00237140">
        <w:rPr>
          <w:rFonts w:ascii="Times New Roman" w:hAnsi="Times New Roman" w:cs="Times New Roman"/>
          <w:sz w:val="24"/>
          <w:szCs w:val="24"/>
        </w:rPr>
        <w:t xml:space="preserve"> </w:t>
      </w:r>
      <w:r w:rsidR="00B72167" w:rsidRPr="00B72167">
        <w:rPr>
          <w:rFonts w:ascii="Times New Roman" w:hAnsi="Times New Roman" w:cs="Times New Roman"/>
          <w:sz w:val="24"/>
          <w:szCs w:val="24"/>
        </w:rPr>
        <w:t xml:space="preserve">yeri oluşturmamalıdır. Benzer şekilde, COVID-19 nedeniyle çalışanların veya </w:t>
      </w:r>
      <w:r w:rsidR="00B72167">
        <w:rPr>
          <w:rFonts w:ascii="Times New Roman" w:hAnsi="Times New Roman" w:cs="Times New Roman"/>
          <w:sz w:val="24"/>
          <w:szCs w:val="24"/>
        </w:rPr>
        <w:t xml:space="preserve">acentelerin </w:t>
      </w:r>
      <w:r w:rsidR="00B72167" w:rsidRPr="00B72167">
        <w:rPr>
          <w:rFonts w:ascii="Times New Roman" w:hAnsi="Times New Roman" w:cs="Times New Roman"/>
          <w:sz w:val="24"/>
          <w:szCs w:val="24"/>
        </w:rPr>
        <w:t>evlerinde geçici olarak sözleşme imzala</w:t>
      </w:r>
      <w:r w:rsidR="00BE774A">
        <w:rPr>
          <w:rFonts w:ascii="Times New Roman" w:hAnsi="Times New Roman" w:cs="Times New Roman"/>
          <w:sz w:val="24"/>
          <w:szCs w:val="24"/>
        </w:rPr>
        <w:t>maları da</w:t>
      </w:r>
      <w:r w:rsidR="00B72167" w:rsidRPr="00B72167">
        <w:rPr>
          <w:rFonts w:ascii="Times New Roman" w:hAnsi="Times New Roman" w:cs="Times New Roman"/>
          <w:sz w:val="24"/>
          <w:szCs w:val="24"/>
        </w:rPr>
        <w:t xml:space="preserve"> bir iş</w:t>
      </w:r>
      <w:r w:rsidR="00237140">
        <w:rPr>
          <w:rFonts w:ascii="Times New Roman" w:hAnsi="Times New Roman" w:cs="Times New Roman"/>
          <w:sz w:val="24"/>
          <w:szCs w:val="24"/>
        </w:rPr>
        <w:t xml:space="preserve"> </w:t>
      </w:r>
      <w:r w:rsidR="00B72167" w:rsidRPr="00B72167">
        <w:rPr>
          <w:rFonts w:ascii="Times New Roman" w:hAnsi="Times New Roman" w:cs="Times New Roman"/>
          <w:sz w:val="24"/>
          <w:szCs w:val="24"/>
        </w:rPr>
        <w:t xml:space="preserve">yeri oluşturmamalıdır. </w:t>
      </w:r>
      <w:r w:rsidR="00BE774A">
        <w:rPr>
          <w:rFonts w:ascii="Times New Roman" w:hAnsi="Times New Roman" w:cs="Times New Roman"/>
          <w:sz w:val="24"/>
          <w:szCs w:val="24"/>
        </w:rPr>
        <w:t>Ayrıca,</w:t>
      </w:r>
      <w:r w:rsidR="00B72167" w:rsidRPr="00B72167">
        <w:rPr>
          <w:rFonts w:ascii="Times New Roman" w:hAnsi="Times New Roman" w:cs="Times New Roman"/>
          <w:sz w:val="24"/>
          <w:szCs w:val="24"/>
        </w:rPr>
        <w:t xml:space="preserve"> inşaat alanlarının iş</w:t>
      </w:r>
      <w:r w:rsidR="00BE774A">
        <w:rPr>
          <w:rFonts w:ascii="Times New Roman" w:hAnsi="Times New Roman" w:cs="Times New Roman"/>
          <w:sz w:val="24"/>
          <w:szCs w:val="24"/>
        </w:rPr>
        <w:t xml:space="preserve"> </w:t>
      </w:r>
      <w:r w:rsidR="00B72167" w:rsidRPr="00B72167">
        <w:rPr>
          <w:rFonts w:ascii="Times New Roman" w:hAnsi="Times New Roman" w:cs="Times New Roman"/>
          <w:sz w:val="24"/>
          <w:szCs w:val="24"/>
        </w:rPr>
        <w:t xml:space="preserve">yeri olarak </w:t>
      </w:r>
      <w:r w:rsidR="00B72167" w:rsidRPr="00B72167">
        <w:rPr>
          <w:rFonts w:ascii="Times New Roman" w:hAnsi="Times New Roman" w:cs="Times New Roman"/>
          <w:sz w:val="24"/>
          <w:szCs w:val="24"/>
        </w:rPr>
        <w:lastRenderedPageBreak/>
        <w:t>varlığı</w:t>
      </w:r>
      <w:r w:rsidR="00BE774A">
        <w:rPr>
          <w:rFonts w:ascii="Times New Roman" w:hAnsi="Times New Roman" w:cs="Times New Roman"/>
          <w:sz w:val="24"/>
          <w:szCs w:val="24"/>
        </w:rPr>
        <w:t>,</w:t>
      </w:r>
      <w:r w:rsidR="00B72167" w:rsidRPr="00B72167">
        <w:rPr>
          <w:rFonts w:ascii="Times New Roman" w:hAnsi="Times New Roman" w:cs="Times New Roman"/>
          <w:sz w:val="24"/>
          <w:szCs w:val="24"/>
        </w:rPr>
        <w:t xml:space="preserve"> çalışmalar geçici süreyle durdurulduğunda </w:t>
      </w:r>
      <w:r w:rsidR="00BE774A">
        <w:rPr>
          <w:rFonts w:ascii="Times New Roman" w:hAnsi="Times New Roman" w:cs="Times New Roman"/>
          <w:sz w:val="24"/>
          <w:szCs w:val="24"/>
        </w:rPr>
        <w:t xml:space="preserve">da devam ediyor olarak kabul edilecektir. </w:t>
      </w:r>
      <w:r w:rsidR="00B72167" w:rsidRPr="00B72167">
        <w:rPr>
          <w:rFonts w:ascii="Times New Roman" w:hAnsi="Times New Roman" w:cs="Times New Roman"/>
          <w:sz w:val="24"/>
          <w:szCs w:val="24"/>
        </w:rPr>
        <w:t xml:space="preserve">Ancak, COVID-19 virüsünün yayılmasını engellemek amacıyla </w:t>
      </w:r>
      <w:r w:rsidR="00BE774A">
        <w:rPr>
          <w:rFonts w:ascii="Times New Roman" w:hAnsi="Times New Roman" w:cs="Times New Roman"/>
          <w:sz w:val="24"/>
          <w:szCs w:val="24"/>
        </w:rPr>
        <w:t>faaliyetlerin</w:t>
      </w:r>
      <w:r w:rsidR="00B72167" w:rsidRPr="00B72167">
        <w:rPr>
          <w:rFonts w:ascii="Times New Roman" w:hAnsi="Times New Roman" w:cs="Times New Roman"/>
          <w:sz w:val="24"/>
          <w:szCs w:val="24"/>
        </w:rPr>
        <w:t xml:space="preserve"> askıya alındığı zamanlarda ülkeler, iş</w:t>
      </w:r>
      <w:r w:rsidR="00BE774A">
        <w:rPr>
          <w:rFonts w:ascii="Times New Roman" w:hAnsi="Times New Roman" w:cs="Times New Roman"/>
          <w:sz w:val="24"/>
          <w:szCs w:val="24"/>
        </w:rPr>
        <w:t xml:space="preserve"> </w:t>
      </w:r>
      <w:r w:rsidR="00B72167" w:rsidRPr="00B72167">
        <w:rPr>
          <w:rFonts w:ascii="Times New Roman" w:hAnsi="Times New Roman" w:cs="Times New Roman"/>
          <w:sz w:val="24"/>
          <w:szCs w:val="24"/>
        </w:rPr>
        <w:t xml:space="preserve">yeri oluşumu için gerekli eşiğin sağlanıp </w:t>
      </w:r>
      <w:r w:rsidR="00BE774A">
        <w:rPr>
          <w:rFonts w:ascii="Times New Roman" w:hAnsi="Times New Roman" w:cs="Times New Roman"/>
          <w:sz w:val="24"/>
          <w:szCs w:val="24"/>
        </w:rPr>
        <w:t xml:space="preserve">sağlanmadığını belirlemek üzere duran süreleri dikkate alabilirler. </w:t>
      </w:r>
    </w:p>
    <w:p w:rsidR="00BE774A" w:rsidRDefault="00BE774A" w:rsidP="00553C86">
      <w:pPr>
        <w:spacing w:before="120" w:after="0" w:line="240" w:lineRule="auto"/>
        <w:ind w:left="709"/>
        <w:jc w:val="both"/>
        <w:rPr>
          <w:rFonts w:ascii="Times New Roman" w:hAnsi="Times New Roman" w:cs="Times New Roman"/>
          <w:b/>
          <w:sz w:val="24"/>
          <w:szCs w:val="24"/>
        </w:rPr>
      </w:pPr>
      <w:r w:rsidRPr="00BE774A">
        <w:rPr>
          <w:rFonts w:ascii="Times New Roman" w:hAnsi="Times New Roman" w:cs="Times New Roman"/>
          <w:b/>
          <w:sz w:val="24"/>
          <w:szCs w:val="24"/>
        </w:rPr>
        <w:t>4.1.1.</w:t>
      </w:r>
      <w:r>
        <w:rPr>
          <w:rFonts w:ascii="Times New Roman" w:hAnsi="Times New Roman" w:cs="Times New Roman"/>
          <w:b/>
          <w:sz w:val="24"/>
          <w:szCs w:val="24"/>
        </w:rPr>
        <w:t xml:space="preserve"> Ev Ofis Faaliyetleri</w:t>
      </w:r>
    </w:p>
    <w:p w:rsidR="00BE774A" w:rsidRDefault="00BE774A" w:rsidP="00553C86">
      <w:pPr>
        <w:spacing w:before="120" w:after="0" w:line="240" w:lineRule="auto"/>
        <w:ind w:firstLine="709"/>
        <w:jc w:val="both"/>
        <w:rPr>
          <w:rFonts w:ascii="Times New Roman" w:hAnsi="Times New Roman" w:cs="Times New Roman"/>
          <w:sz w:val="24"/>
          <w:szCs w:val="24"/>
        </w:rPr>
      </w:pPr>
      <w:r w:rsidRPr="00BE774A">
        <w:rPr>
          <w:rFonts w:ascii="Times New Roman" w:hAnsi="Times New Roman" w:cs="Times New Roman"/>
          <w:sz w:val="24"/>
          <w:szCs w:val="24"/>
        </w:rPr>
        <w:t>İş</w:t>
      </w:r>
      <w:r>
        <w:rPr>
          <w:rFonts w:ascii="Times New Roman" w:hAnsi="Times New Roman" w:cs="Times New Roman"/>
          <w:sz w:val="24"/>
          <w:szCs w:val="24"/>
        </w:rPr>
        <w:t xml:space="preserve"> </w:t>
      </w:r>
      <w:r w:rsidRPr="00BE774A">
        <w:rPr>
          <w:rFonts w:ascii="Times New Roman" w:hAnsi="Times New Roman" w:cs="Times New Roman"/>
          <w:sz w:val="24"/>
          <w:szCs w:val="24"/>
        </w:rPr>
        <w:t xml:space="preserve">yerinin </w:t>
      </w:r>
      <w:r w:rsidR="000F428A">
        <w:rPr>
          <w:rFonts w:ascii="Times New Roman" w:hAnsi="Times New Roman" w:cs="Times New Roman"/>
          <w:sz w:val="24"/>
          <w:szCs w:val="24"/>
        </w:rPr>
        <w:t>oluşumunda temel ölçüt,</w:t>
      </w:r>
      <w:r w:rsidRPr="00BE774A">
        <w:rPr>
          <w:rFonts w:ascii="Times New Roman" w:hAnsi="Times New Roman" w:cs="Times New Roman"/>
          <w:sz w:val="24"/>
          <w:szCs w:val="24"/>
        </w:rPr>
        <w:t xml:space="preserve"> genellikle bir yerin, işletmenin işinin tamamen veya kısmen yürütüldüğü sabit bir iş </w:t>
      </w:r>
      <w:r>
        <w:rPr>
          <w:rFonts w:ascii="Times New Roman" w:hAnsi="Times New Roman" w:cs="Times New Roman"/>
          <w:sz w:val="24"/>
          <w:szCs w:val="24"/>
        </w:rPr>
        <w:t xml:space="preserve">yeri olarak kabul edilmesi için ilgili yerin bir kalıcılığa sahip olması ve </w:t>
      </w:r>
      <w:r w:rsidRPr="00BE774A">
        <w:rPr>
          <w:rFonts w:ascii="Times New Roman" w:hAnsi="Times New Roman" w:cs="Times New Roman"/>
          <w:sz w:val="24"/>
          <w:szCs w:val="24"/>
        </w:rPr>
        <w:t xml:space="preserve">işletmenin emrinde </w:t>
      </w:r>
      <w:r>
        <w:rPr>
          <w:rFonts w:ascii="Times New Roman" w:hAnsi="Times New Roman" w:cs="Times New Roman"/>
          <w:sz w:val="24"/>
          <w:szCs w:val="24"/>
        </w:rPr>
        <w:t>bulunmasıdır</w:t>
      </w:r>
      <w:r w:rsidRPr="00BE774A">
        <w:rPr>
          <w:rFonts w:ascii="Times New Roman" w:hAnsi="Times New Roman" w:cs="Times New Roman"/>
          <w:sz w:val="24"/>
          <w:szCs w:val="24"/>
        </w:rPr>
        <w:t>.</w:t>
      </w:r>
      <w:r>
        <w:rPr>
          <w:rFonts w:ascii="Times New Roman" w:hAnsi="Times New Roman" w:cs="Times New Roman"/>
          <w:sz w:val="24"/>
          <w:szCs w:val="24"/>
        </w:rPr>
        <w:t xml:space="preserve"> </w:t>
      </w:r>
      <w:r w:rsidR="00EF0F96">
        <w:rPr>
          <w:rFonts w:ascii="Times New Roman" w:hAnsi="Times New Roman" w:cs="Times New Roman"/>
          <w:sz w:val="24"/>
          <w:szCs w:val="24"/>
        </w:rPr>
        <w:t>K</w:t>
      </w:r>
      <w:r w:rsidR="00EF0F96" w:rsidRPr="00EF0F96">
        <w:rPr>
          <w:rFonts w:ascii="Times New Roman" w:hAnsi="Times New Roman" w:cs="Times New Roman"/>
          <w:sz w:val="24"/>
          <w:szCs w:val="24"/>
        </w:rPr>
        <w:t>aynak ülkenin</w:t>
      </w:r>
      <w:r w:rsidR="000F428A">
        <w:rPr>
          <w:rFonts w:ascii="Times New Roman" w:hAnsi="Times New Roman" w:cs="Times New Roman"/>
          <w:sz w:val="24"/>
          <w:szCs w:val="24"/>
        </w:rPr>
        <w:t>,</w:t>
      </w:r>
      <w:r w:rsidR="00EF0F96">
        <w:rPr>
          <w:rFonts w:ascii="Times New Roman" w:hAnsi="Times New Roman" w:cs="Times New Roman"/>
          <w:sz w:val="24"/>
          <w:szCs w:val="24"/>
        </w:rPr>
        <w:t xml:space="preserve"> dar mükellef tarafından kendi ülkesinde </w:t>
      </w:r>
      <w:r w:rsidR="00EF0F96" w:rsidRPr="00EF0F96">
        <w:rPr>
          <w:rFonts w:ascii="Times New Roman" w:hAnsi="Times New Roman" w:cs="Times New Roman"/>
          <w:sz w:val="24"/>
          <w:szCs w:val="24"/>
        </w:rPr>
        <w:t>ticari kazanç</w:t>
      </w:r>
      <w:r w:rsidR="00EF0F96">
        <w:rPr>
          <w:rFonts w:ascii="Times New Roman" w:hAnsi="Times New Roman" w:cs="Times New Roman"/>
          <w:sz w:val="24"/>
          <w:szCs w:val="24"/>
        </w:rPr>
        <w:t xml:space="preserve"> elde edilmesi durumunda bu kazancı vergilendirme hakkı,</w:t>
      </w:r>
      <w:r w:rsidR="00EF0F96" w:rsidRPr="00EF0F96">
        <w:rPr>
          <w:rFonts w:ascii="Times New Roman" w:hAnsi="Times New Roman" w:cs="Times New Roman"/>
          <w:sz w:val="24"/>
          <w:szCs w:val="24"/>
        </w:rPr>
        <w:t xml:space="preserve"> dar mükellefin </w:t>
      </w:r>
      <w:r w:rsidR="00EF0F96">
        <w:rPr>
          <w:rFonts w:ascii="Times New Roman" w:hAnsi="Times New Roman" w:cs="Times New Roman"/>
          <w:sz w:val="24"/>
          <w:szCs w:val="24"/>
        </w:rPr>
        <w:t>ticari kazancı</w:t>
      </w:r>
      <w:r w:rsidR="00EF0F96" w:rsidRPr="00EF0F96">
        <w:rPr>
          <w:rFonts w:ascii="Times New Roman" w:hAnsi="Times New Roman" w:cs="Times New Roman"/>
          <w:sz w:val="24"/>
          <w:szCs w:val="24"/>
        </w:rPr>
        <w:t xml:space="preserve"> kaynak ülkede</w:t>
      </w:r>
      <w:r w:rsidR="00EF0F96">
        <w:rPr>
          <w:rFonts w:ascii="Times New Roman" w:hAnsi="Times New Roman" w:cs="Times New Roman"/>
          <w:sz w:val="24"/>
          <w:szCs w:val="24"/>
        </w:rPr>
        <w:t>ki</w:t>
      </w:r>
      <w:r w:rsidR="00EF0F96" w:rsidRPr="00EF0F96">
        <w:rPr>
          <w:rFonts w:ascii="Times New Roman" w:hAnsi="Times New Roman" w:cs="Times New Roman"/>
          <w:sz w:val="24"/>
          <w:szCs w:val="24"/>
        </w:rPr>
        <w:t xml:space="preserve"> bir iş</w:t>
      </w:r>
      <w:r w:rsidR="00EF0F96">
        <w:rPr>
          <w:rFonts w:ascii="Times New Roman" w:hAnsi="Times New Roman" w:cs="Times New Roman"/>
          <w:sz w:val="24"/>
          <w:szCs w:val="24"/>
        </w:rPr>
        <w:t xml:space="preserve"> </w:t>
      </w:r>
      <w:r w:rsidR="00EF0F96" w:rsidRPr="00EF0F96">
        <w:rPr>
          <w:rFonts w:ascii="Times New Roman" w:hAnsi="Times New Roman" w:cs="Times New Roman"/>
          <w:sz w:val="24"/>
          <w:szCs w:val="24"/>
        </w:rPr>
        <w:t xml:space="preserve">yeri </w:t>
      </w:r>
      <w:r w:rsidR="00EF0F96">
        <w:rPr>
          <w:rFonts w:ascii="Times New Roman" w:hAnsi="Times New Roman" w:cs="Times New Roman"/>
          <w:sz w:val="24"/>
          <w:szCs w:val="24"/>
        </w:rPr>
        <w:t xml:space="preserve">vasıtasıyla </w:t>
      </w:r>
      <w:r w:rsidR="000F428A">
        <w:rPr>
          <w:rFonts w:ascii="Times New Roman" w:hAnsi="Times New Roman" w:cs="Times New Roman"/>
          <w:sz w:val="24"/>
          <w:szCs w:val="24"/>
        </w:rPr>
        <w:t>elde etmesine</w:t>
      </w:r>
      <w:r w:rsidR="00EF0F96">
        <w:rPr>
          <w:rFonts w:ascii="Times New Roman" w:hAnsi="Times New Roman" w:cs="Times New Roman"/>
          <w:sz w:val="24"/>
          <w:szCs w:val="24"/>
        </w:rPr>
        <w:t xml:space="preserve"> bağlıdır.</w:t>
      </w:r>
      <w:r w:rsidR="00EF0F96">
        <w:rPr>
          <w:rStyle w:val="DipnotBavurusu"/>
          <w:rFonts w:ascii="Times New Roman" w:hAnsi="Times New Roman" w:cs="Times New Roman"/>
          <w:sz w:val="24"/>
          <w:szCs w:val="24"/>
        </w:rPr>
        <w:footnoteReference w:id="19"/>
      </w:r>
      <w:r w:rsidR="00EF0F96" w:rsidRPr="00EF0F96">
        <w:rPr>
          <w:rFonts w:ascii="Times New Roman" w:hAnsi="Times New Roman" w:cs="Times New Roman"/>
          <w:sz w:val="24"/>
          <w:szCs w:val="24"/>
        </w:rPr>
        <w:t xml:space="preserve"> </w:t>
      </w:r>
      <w:r w:rsidRPr="00BE774A">
        <w:rPr>
          <w:rFonts w:ascii="Times New Roman" w:hAnsi="Times New Roman" w:cs="Times New Roman"/>
          <w:sz w:val="24"/>
          <w:szCs w:val="24"/>
        </w:rPr>
        <w:t>OECD Model</w:t>
      </w:r>
      <w:r>
        <w:rPr>
          <w:rFonts w:ascii="Times New Roman" w:hAnsi="Times New Roman" w:cs="Times New Roman"/>
          <w:sz w:val="24"/>
          <w:szCs w:val="24"/>
        </w:rPr>
        <w:t xml:space="preserve"> Vergi Anlaşmasının (MVA) 5. m</w:t>
      </w:r>
      <w:r w:rsidRPr="00BE774A">
        <w:rPr>
          <w:rFonts w:ascii="Times New Roman" w:hAnsi="Times New Roman" w:cs="Times New Roman"/>
          <w:sz w:val="24"/>
          <w:szCs w:val="24"/>
        </w:rPr>
        <w:t xml:space="preserve">addesine </w:t>
      </w:r>
      <w:r>
        <w:rPr>
          <w:rFonts w:ascii="Times New Roman" w:hAnsi="Times New Roman" w:cs="Times New Roman"/>
          <w:sz w:val="24"/>
          <w:szCs w:val="24"/>
        </w:rPr>
        <w:t>ilişkin y</w:t>
      </w:r>
      <w:r w:rsidRPr="00BE774A">
        <w:rPr>
          <w:rFonts w:ascii="Times New Roman" w:hAnsi="Times New Roman" w:cs="Times New Roman"/>
          <w:sz w:val="24"/>
          <w:szCs w:val="24"/>
        </w:rPr>
        <w:t>orum</w:t>
      </w:r>
      <w:r w:rsidR="00D42DDB">
        <w:rPr>
          <w:rFonts w:ascii="Times New Roman" w:hAnsi="Times New Roman" w:cs="Times New Roman"/>
          <w:sz w:val="24"/>
          <w:szCs w:val="24"/>
        </w:rPr>
        <w:t xml:space="preserve"> notlarının 18. p</w:t>
      </w:r>
      <w:r w:rsidRPr="00BE774A">
        <w:rPr>
          <w:rFonts w:ascii="Times New Roman" w:hAnsi="Times New Roman" w:cs="Times New Roman"/>
          <w:sz w:val="24"/>
          <w:szCs w:val="24"/>
        </w:rPr>
        <w:t xml:space="preserve">aragrafına göre, bir teşebbüsün işinin bir kısmı, bir ev ofisi gibi yerde yürütülse de, bu yerin teşebbüs için çalışan bir kişi tarafından kullanıldığı gerçeği, o yerin o teşebbüsün emrinde olduğu anlamına gelmemelidir. Bir çalışanın, işlerini </w:t>
      </w:r>
      <w:r w:rsidR="00D42DDB">
        <w:rPr>
          <w:rFonts w:ascii="Times New Roman" w:hAnsi="Times New Roman" w:cs="Times New Roman"/>
          <w:sz w:val="24"/>
          <w:szCs w:val="24"/>
        </w:rPr>
        <w:t>geçici</w:t>
      </w:r>
      <w:r w:rsidRPr="00BE774A">
        <w:rPr>
          <w:rFonts w:ascii="Times New Roman" w:hAnsi="Times New Roman" w:cs="Times New Roman"/>
          <w:sz w:val="24"/>
          <w:szCs w:val="24"/>
        </w:rPr>
        <w:t xml:space="preserve"> olarak evden yürütmesi, o evi teşebbüsün emrinde bir yer yapma</w:t>
      </w:r>
      <w:r w:rsidR="00D42DDB">
        <w:rPr>
          <w:rFonts w:ascii="Times New Roman" w:hAnsi="Times New Roman" w:cs="Times New Roman"/>
          <w:sz w:val="24"/>
          <w:szCs w:val="24"/>
        </w:rPr>
        <w:t>yacaktır.</w:t>
      </w:r>
      <w:r w:rsidRPr="00BE774A">
        <w:rPr>
          <w:rFonts w:ascii="Times New Roman" w:hAnsi="Times New Roman" w:cs="Times New Roman"/>
          <w:sz w:val="24"/>
          <w:szCs w:val="24"/>
        </w:rPr>
        <w:t xml:space="preserve"> Bir ev ofis, teşebbüsün işlerinin yürütülmesi içi</w:t>
      </w:r>
      <w:r w:rsidR="00D42DDB">
        <w:rPr>
          <w:rFonts w:ascii="Times New Roman" w:hAnsi="Times New Roman" w:cs="Times New Roman"/>
          <w:sz w:val="24"/>
          <w:szCs w:val="24"/>
        </w:rPr>
        <w:t>n sürekli olarak kullanıldığı durumda</w:t>
      </w:r>
      <w:r w:rsidRPr="00BE774A">
        <w:rPr>
          <w:rFonts w:ascii="Times New Roman" w:hAnsi="Times New Roman" w:cs="Times New Roman"/>
          <w:sz w:val="24"/>
          <w:szCs w:val="24"/>
        </w:rPr>
        <w:t xml:space="preserve"> o teşebbüs için iş</w:t>
      </w:r>
      <w:r w:rsidR="00EF0F96">
        <w:rPr>
          <w:rFonts w:ascii="Times New Roman" w:hAnsi="Times New Roman" w:cs="Times New Roman"/>
          <w:sz w:val="24"/>
          <w:szCs w:val="24"/>
        </w:rPr>
        <w:t xml:space="preserve"> </w:t>
      </w:r>
      <w:r w:rsidRPr="00BE774A">
        <w:rPr>
          <w:rFonts w:ascii="Times New Roman" w:hAnsi="Times New Roman" w:cs="Times New Roman"/>
          <w:sz w:val="24"/>
          <w:szCs w:val="24"/>
        </w:rPr>
        <w:t>yeri oluşturabil</w:t>
      </w:r>
      <w:r w:rsidR="00D42DDB">
        <w:rPr>
          <w:rFonts w:ascii="Times New Roman" w:hAnsi="Times New Roman" w:cs="Times New Roman"/>
          <w:sz w:val="24"/>
          <w:szCs w:val="24"/>
        </w:rPr>
        <w:t>ecektir.</w:t>
      </w:r>
      <w:r w:rsidRPr="00BE774A">
        <w:rPr>
          <w:rFonts w:ascii="Times New Roman" w:hAnsi="Times New Roman" w:cs="Times New Roman"/>
          <w:sz w:val="24"/>
          <w:szCs w:val="24"/>
        </w:rPr>
        <w:t xml:space="preserve"> </w:t>
      </w:r>
    </w:p>
    <w:p w:rsidR="00A469E9" w:rsidRDefault="001A31DC"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COVID-</w:t>
      </w:r>
      <w:r w:rsidR="00D42DDB" w:rsidRPr="00D42DDB">
        <w:rPr>
          <w:rFonts w:ascii="Times New Roman" w:hAnsi="Times New Roman" w:cs="Times New Roman"/>
          <w:sz w:val="24"/>
          <w:szCs w:val="24"/>
        </w:rPr>
        <w:t xml:space="preserve">19 salgını sürecinde evlerinde uzaktan çalışan kişilerin </w:t>
      </w:r>
      <w:r w:rsidR="00A469E9">
        <w:rPr>
          <w:rFonts w:ascii="Times New Roman" w:hAnsi="Times New Roman" w:cs="Times New Roman"/>
          <w:sz w:val="24"/>
          <w:szCs w:val="24"/>
        </w:rPr>
        <w:t xml:space="preserve">gerekçelerinin </w:t>
      </w:r>
      <w:r w:rsidR="00D42DDB" w:rsidRPr="00D42DDB">
        <w:rPr>
          <w:rFonts w:ascii="Times New Roman" w:hAnsi="Times New Roman" w:cs="Times New Roman"/>
          <w:sz w:val="24"/>
          <w:szCs w:val="24"/>
        </w:rPr>
        <w:t>genellikle halk sağlığı tedbirlerine uyma</w:t>
      </w:r>
      <w:r w:rsidR="00A469E9">
        <w:rPr>
          <w:rFonts w:ascii="Times New Roman" w:hAnsi="Times New Roman" w:cs="Times New Roman"/>
          <w:sz w:val="24"/>
          <w:szCs w:val="24"/>
        </w:rPr>
        <w:t>k olduğu açıktır. Halk</w:t>
      </w:r>
      <w:r w:rsidR="00D42DDB" w:rsidRPr="00D42DDB">
        <w:rPr>
          <w:rFonts w:ascii="Times New Roman" w:hAnsi="Times New Roman" w:cs="Times New Roman"/>
          <w:sz w:val="24"/>
          <w:szCs w:val="24"/>
        </w:rPr>
        <w:t xml:space="preserve"> sağlığını korumak amacıyla devletler tarafından tavsiye edilen veya bir zorunluluk </w:t>
      </w:r>
      <w:r w:rsidR="00A469E9">
        <w:rPr>
          <w:rFonts w:ascii="Times New Roman" w:hAnsi="Times New Roman" w:cs="Times New Roman"/>
          <w:sz w:val="24"/>
          <w:szCs w:val="24"/>
        </w:rPr>
        <w:t xml:space="preserve">haline getirilen </w:t>
      </w:r>
      <w:r w:rsidR="00D42DDB" w:rsidRPr="00D42DDB">
        <w:rPr>
          <w:rFonts w:ascii="Times New Roman" w:hAnsi="Times New Roman" w:cs="Times New Roman"/>
          <w:sz w:val="24"/>
          <w:szCs w:val="24"/>
        </w:rPr>
        <w:t>evden çalışma yöntemi işletme</w:t>
      </w:r>
      <w:r w:rsidR="00A469E9">
        <w:rPr>
          <w:rFonts w:ascii="Times New Roman" w:hAnsi="Times New Roman" w:cs="Times New Roman"/>
          <w:sz w:val="24"/>
          <w:szCs w:val="24"/>
        </w:rPr>
        <w:t xml:space="preserve"> ya da işveren</w:t>
      </w:r>
      <w:r w:rsidR="00D42DDB" w:rsidRPr="00D42DDB">
        <w:rPr>
          <w:rFonts w:ascii="Times New Roman" w:hAnsi="Times New Roman" w:cs="Times New Roman"/>
          <w:sz w:val="24"/>
          <w:szCs w:val="24"/>
        </w:rPr>
        <w:t xml:space="preserve"> için bir iş</w:t>
      </w:r>
      <w:r w:rsidR="00300949">
        <w:rPr>
          <w:rFonts w:ascii="Times New Roman" w:hAnsi="Times New Roman" w:cs="Times New Roman"/>
          <w:sz w:val="24"/>
          <w:szCs w:val="24"/>
        </w:rPr>
        <w:t xml:space="preserve"> </w:t>
      </w:r>
      <w:r w:rsidR="00D42DDB" w:rsidRPr="00D42DDB">
        <w:rPr>
          <w:rFonts w:ascii="Times New Roman" w:hAnsi="Times New Roman" w:cs="Times New Roman"/>
          <w:sz w:val="24"/>
          <w:szCs w:val="24"/>
        </w:rPr>
        <w:t>yeri oluşturmayacaktır. Çünkü bu tür</w:t>
      </w:r>
      <w:r w:rsidR="00020807">
        <w:rPr>
          <w:rFonts w:ascii="Times New Roman" w:hAnsi="Times New Roman" w:cs="Times New Roman"/>
          <w:sz w:val="24"/>
          <w:szCs w:val="24"/>
        </w:rPr>
        <w:t>den</w:t>
      </w:r>
      <w:r w:rsidR="00D42DDB" w:rsidRPr="00D42DDB">
        <w:rPr>
          <w:rFonts w:ascii="Times New Roman" w:hAnsi="Times New Roman" w:cs="Times New Roman"/>
          <w:sz w:val="24"/>
          <w:szCs w:val="24"/>
        </w:rPr>
        <w:t xml:space="preserve"> bir faaliyetin yeterli derecede kalıcılığı </w:t>
      </w:r>
      <w:r w:rsidR="00A469E9">
        <w:rPr>
          <w:rFonts w:ascii="Times New Roman" w:hAnsi="Times New Roman" w:cs="Times New Roman"/>
          <w:sz w:val="24"/>
          <w:szCs w:val="24"/>
        </w:rPr>
        <w:t xml:space="preserve">yoktur </w:t>
      </w:r>
      <w:r w:rsidR="00300949">
        <w:rPr>
          <w:rFonts w:ascii="Times New Roman" w:hAnsi="Times New Roman" w:cs="Times New Roman"/>
          <w:sz w:val="24"/>
          <w:szCs w:val="24"/>
        </w:rPr>
        <w:t>ya da</w:t>
      </w:r>
      <w:r w:rsidR="00A469E9">
        <w:rPr>
          <w:rFonts w:ascii="Times New Roman" w:hAnsi="Times New Roman" w:cs="Times New Roman"/>
          <w:sz w:val="24"/>
          <w:szCs w:val="24"/>
        </w:rPr>
        <w:t xml:space="preserve"> ev ofis</w:t>
      </w:r>
      <w:r w:rsidR="00D42DDB" w:rsidRPr="00D42DDB">
        <w:rPr>
          <w:rFonts w:ascii="Times New Roman" w:hAnsi="Times New Roman" w:cs="Times New Roman"/>
          <w:sz w:val="24"/>
          <w:szCs w:val="24"/>
        </w:rPr>
        <w:t xml:space="preserve"> teşebbüsün emrinde değildir. </w:t>
      </w:r>
      <w:r w:rsidR="00A469E9">
        <w:rPr>
          <w:rFonts w:ascii="Times New Roman" w:hAnsi="Times New Roman" w:cs="Times New Roman"/>
          <w:sz w:val="24"/>
          <w:szCs w:val="24"/>
        </w:rPr>
        <w:t xml:space="preserve">Eğer bir kişi </w:t>
      </w:r>
      <w:r w:rsidR="00A469E9" w:rsidRPr="00A469E9">
        <w:rPr>
          <w:rFonts w:ascii="Times New Roman" w:hAnsi="Times New Roman" w:cs="Times New Roman"/>
          <w:sz w:val="24"/>
          <w:szCs w:val="24"/>
        </w:rPr>
        <w:t xml:space="preserve">halk sağlığı tedbirlerinin sona ermesinden sonra </w:t>
      </w:r>
      <w:r w:rsidR="00A469E9">
        <w:rPr>
          <w:rFonts w:ascii="Times New Roman" w:hAnsi="Times New Roman" w:cs="Times New Roman"/>
          <w:sz w:val="24"/>
          <w:szCs w:val="24"/>
        </w:rPr>
        <w:t>da evden çalışmaya devam ederse durum farklılaşır ve</w:t>
      </w:r>
      <w:r w:rsidR="00A469E9" w:rsidRPr="00A469E9">
        <w:rPr>
          <w:rFonts w:ascii="Times New Roman" w:hAnsi="Times New Roman" w:cs="Times New Roman"/>
          <w:sz w:val="24"/>
          <w:szCs w:val="24"/>
        </w:rPr>
        <w:t xml:space="preserve"> ev ofisin </w:t>
      </w:r>
      <w:r w:rsidR="00A469E9">
        <w:rPr>
          <w:rFonts w:ascii="Times New Roman" w:hAnsi="Times New Roman" w:cs="Times New Roman"/>
          <w:sz w:val="24"/>
          <w:szCs w:val="24"/>
        </w:rPr>
        <w:t xml:space="preserve">kalıcılık kazandığı iddia edilebilir. Bunun için ayrıca </w:t>
      </w:r>
      <w:r w:rsidR="00A469E9" w:rsidRPr="00A469E9">
        <w:rPr>
          <w:rFonts w:ascii="Times New Roman" w:hAnsi="Times New Roman" w:cs="Times New Roman"/>
          <w:sz w:val="24"/>
          <w:szCs w:val="24"/>
        </w:rPr>
        <w:t>ev ofisin işletmenin emrinde olup olmadığına karar ver</w:t>
      </w:r>
      <w:r w:rsidR="00A469E9">
        <w:rPr>
          <w:rFonts w:ascii="Times New Roman" w:hAnsi="Times New Roman" w:cs="Times New Roman"/>
          <w:sz w:val="24"/>
          <w:szCs w:val="24"/>
        </w:rPr>
        <w:t xml:space="preserve">ilmesinin de gerekli olduğu unutulmamalıdır. </w:t>
      </w:r>
      <w:r w:rsidR="00A469E9" w:rsidRPr="00A469E9">
        <w:rPr>
          <w:rFonts w:ascii="Times New Roman" w:hAnsi="Times New Roman" w:cs="Times New Roman"/>
          <w:sz w:val="24"/>
          <w:szCs w:val="24"/>
        </w:rPr>
        <w:t>OECD M</w:t>
      </w:r>
      <w:r w:rsidR="00463807">
        <w:rPr>
          <w:rFonts w:ascii="Times New Roman" w:hAnsi="Times New Roman" w:cs="Times New Roman"/>
          <w:sz w:val="24"/>
          <w:szCs w:val="24"/>
        </w:rPr>
        <w:t xml:space="preserve">VA’nın </w:t>
      </w:r>
      <w:r w:rsidR="00A469E9" w:rsidRPr="00A469E9">
        <w:rPr>
          <w:rFonts w:ascii="Times New Roman" w:hAnsi="Times New Roman" w:cs="Times New Roman"/>
          <w:sz w:val="24"/>
          <w:szCs w:val="24"/>
        </w:rPr>
        <w:t xml:space="preserve">5. </w:t>
      </w:r>
      <w:r w:rsidR="00463807">
        <w:rPr>
          <w:rFonts w:ascii="Times New Roman" w:hAnsi="Times New Roman" w:cs="Times New Roman"/>
          <w:sz w:val="24"/>
          <w:szCs w:val="24"/>
        </w:rPr>
        <w:t>m</w:t>
      </w:r>
      <w:r w:rsidR="00A469E9" w:rsidRPr="00A469E9">
        <w:rPr>
          <w:rFonts w:ascii="Times New Roman" w:hAnsi="Times New Roman" w:cs="Times New Roman"/>
          <w:sz w:val="24"/>
          <w:szCs w:val="24"/>
        </w:rPr>
        <w:t xml:space="preserve">addenin 18. ve 19. fıkralarına göre, bir kişinin evden çalışmasının teşebbüs tarafından zorunlu </w:t>
      </w:r>
      <w:r w:rsidR="00463807">
        <w:rPr>
          <w:rFonts w:ascii="Times New Roman" w:hAnsi="Times New Roman" w:cs="Times New Roman"/>
          <w:sz w:val="24"/>
          <w:szCs w:val="24"/>
        </w:rPr>
        <w:t>tutulup tutulmaması</w:t>
      </w:r>
      <w:r w:rsidR="00A469E9" w:rsidRPr="00A469E9">
        <w:rPr>
          <w:rFonts w:ascii="Times New Roman" w:hAnsi="Times New Roman" w:cs="Times New Roman"/>
          <w:sz w:val="24"/>
          <w:szCs w:val="24"/>
        </w:rPr>
        <w:t xml:space="preserve">, bu durumun belirlenmesi için önemli bir </w:t>
      </w:r>
      <w:r w:rsidR="00463807">
        <w:rPr>
          <w:rFonts w:ascii="Times New Roman" w:hAnsi="Times New Roman" w:cs="Times New Roman"/>
          <w:sz w:val="24"/>
          <w:szCs w:val="24"/>
        </w:rPr>
        <w:t>etkendir</w:t>
      </w:r>
      <w:r w:rsidR="00A469E9" w:rsidRPr="00A469E9">
        <w:rPr>
          <w:rFonts w:ascii="Times New Roman" w:hAnsi="Times New Roman" w:cs="Times New Roman"/>
          <w:sz w:val="24"/>
          <w:szCs w:val="24"/>
        </w:rPr>
        <w:t xml:space="preserve">. 18. fıkraya göre, ev ofisin bir teşebbüsün işlerinin sürekli olarak yürütüldüğü bir yer olarak kullanıldığı ve çalışanın işlerini bu yerden yürütmesinin teşebbüs tarafından zorunlu </w:t>
      </w:r>
      <w:r w:rsidR="00463807">
        <w:rPr>
          <w:rFonts w:ascii="Times New Roman" w:hAnsi="Times New Roman" w:cs="Times New Roman"/>
          <w:sz w:val="24"/>
          <w:szCs w:val="24"/>
        </w:rPr>
        <w:t>tutulduğu</w:t>
      </w:r>
      <w:r w:rsidR="00A469E9" w:rsidRPr="00A469E9">
        <w:rPr>
          <w:rFonts w:ascii="Times New Roman" w:hAnsi="Times New Roman" w:cs="Times New Roman"/>
          <w:sz w:val="24"/>
          <w:szCs w:val="24"/>
        </w:rPr>
        <w:t xml:space="preserve"> ev ofisin teşebbüsün emrinde olduğu düşünülebilir.  Örne</w:t>
      </w:r>
      <w:r w:rsidR="00300949">
        <w:rPr>
          <w:rFonts w:ascii="Times New Roman" w:hAnsi="Times New Roman" w:cs="Times New Roman"/>
          <w:sz w:val="24"/>
          <w:szCs w:val="24"/>
        </w:rPr>
        <w:t>ğin</w:t>
      </w:r>
      <w:r w:rsidR="00463807">
        <w:rPr>
          <w:rFonts w:ascii="Times New Roman" w:hAnsi="Times New Roman" w:cs="Times New Roman"/>
          <w:sz w:val="24"/>
          <w:szCs w:val="24"/>
        </w:rPr>
        <w:t xml:space="preserve"> 19. fıkraya göre,</w:t>
      </w:r>
      <w:r w:rsidR="00A469E9" w:rsidRPr="00A469E9">
        <w:rPr>
          <w:rFonts w:ascii="Times New Roman" w:hAnsi="Times New Roman" w:cs="Times New Roman"/>
          <w:sz w:val="24"/>
          <w:szCs w:val="24"/>
        </w:rPr>
        <w:t xml:space="preserve"> sınır ötesi çalışan bir kişinin, işlerinin büyük kısmını diğer ülkedeki ofisten değil de kendi evinden çalışarak hallettiği durum</w:t>
      </w:r>
      <w:r w:rsidR="00463807">
        <w:rPr>
          <w:rFonts w:ascii="Times New Roman" w:hAnsi="Times New Roman" w:cs="Times New Roman"/>
          <w:sz w:val="24"/>
          <w:szCs w:val="24"/>
        </w:rPr>
        <w:t>da bu ev</w:t>
      </w:r>
      <w:r w:rsidR="00A469E9" w:rsidRPr="00A469E9">
        <w:rPr>
          <w:rFonts w:ascii="Times New Roman" w:hAnsi="Times New Roman" w:cs="Times New Roman"/>
          <w:sz w:val="24"/>
          <w:szCs w:val="24"/>
        </w:rPr>
        <w:t xml:space="preserve"> teşebbüsün emrinde olarak düşünülmemelidir</w:t>
      </w:r>
      <w:r w:rsidR="00463807">
        <w:rPr>
          <w:rFonts w:ascii="Times New Roman" w:hAnsi="Times New Roman" w:cs="Times New Roman"/>
          <w:sz w:val="24"/>
          <w:szCs w:val="24"/>
        </w:rPr>
        <w:t>,</w:t>
      </w:r>
      <w:r w:rsidR="00A469E9" w:rsidRPr="00A469E9">
        <w:rPr>
          <w:rFonts w:ascii="Times New Roman" w:hAnsi="Times New Roman" w:cs="Times New Roman"/>
          <w:sz w:val="24"/>
          <w:szCs w:val="24"/>
        </w:rPr>
        <w:t xml:space="preserve"> </w:t>
      </w:r>
      <w:r w:rsidR="00463807">
        <w:rPr>
          <w:rFonts w:ascii="Times New Roman" w:hAnsi="Times New Roman" w:cs="Times New Roman"/>
          <w:sz w:val="24"/>
          <w:szCs w:val="24"/>
        </w:rPr>
        <w:t>zira</w:t>
      </w:r>
      <w:r w:rsidR="00A469E9" w:rsidRPr="00A469E9">
        <w:rPr>
          <w:rFonts w:ascii="Times New Roman" w:hAnsi="Times New Roman" w:cs="Times New Roman"/>
          <w:sz w:val="24"/>
          <w:szCs w:val="24"/>
        </w:rPr>
        <w:t xml:space="preserve"> bu evin iş amaçlı kullanılmasını teşebbüs zorunlu </w:t>
      </w:r>
      <w:r w:rsidR="00463807">
        <w:rPr>
          <w:rFonts w:ascii="Times New Roman" w:hAnsi="Times New Roman" w:cs="Times New Roman"/>
          <w:sz w:val="24"/>
          <w:szCs w:val="24"/>
        </w:rPr>
        <w:t>tutmamıştır.</w:t>
      </w:r>
    </w:p>
    <w:p w:rsidR="00A469E9" w:rsidRPr="00BE774A" w:rsidRDefault="00A469E9" w:rsidP="00553C86">
      <w:pPr>
        <w:spacing w:before="120" w:after="0" w:line="240" w:lineRule="auto"/>
        <w:ind w:firstLine="709"/>
        <w:jc w:val="both"/>
        <w:rPr>
          <w:rFonts w:ascii="Times New Roman" w:hAnsi="Times New Roman" w:cs="Times New Roman"/>
          <w:sz w:val="24"/>
          <w:szCs w:val="24"/>
        </w:rPr>
      </w:pPr>
      <w:r w:rsidRPr="00A469E9">
        <w:rPr>
          <w:rFonts w:ascii="Times New Roman" w:hAnsi="Times New Roman" w:cs="Times New Roman"/>
          <w:sz w:val="24"/>
          <w:szCs w:val="24"/>
        </w:rPr>
        <w:t xml:space="preserve">Sonuç olarak, COVID-19 sağlık </w:t>
      </w:r>
      <w:r w:rsidR="00463807">
        <w:rPr>
          <w:rFonts w:ascii="Times New Roman" w:hAnsi="Times New Roman" w:cs="Times New Roman"/>
          <w:sz w:val="24"/>
          <w:szCs w:val="24"/>
        </w:rPr>
        <w:t>tedbirleri</w:t>
      </w:r>
      <w:r w:rsidRPr="00A469E9">
        <w:rPr>
          <w:rFonts w:ascii="Times New Roman" w:hAnsi="Times New Roman" w:cs="Times New Roman"/>
          <w:sz w:val="24"/>
          <w:szCs w:val="24"/>
        </w:rPr>
        <w:t xml:space="preserve"> kapsamında evden çalışan kişiler</w:t>
      </w:r>
      <w:r w:rsidR="00463807">
        <w:rPr>
          <w:rFonts w:ascii="Times New Roman" w:hAnsi="Times New Roman" w:cs="Times New Roman"/>
          <w:sz w:val="24"/>
          <w:szCs w:val="24"/>
        </w:rPr>
        <w:t>in</w:t>
      </w:r>
      <w:r w:rsidRPr="00A469E9">
        <w:rPr>
          <w:rFonts w:ascii="Times New Roman" w:hAnsi="Times New Roman" w:cs="Times New Roman"/>
          <w:sz w:val="24"/>
          <w:szCs w:val="24"/>
        </w:rPr>
        <w:t>, işletme/işveren için iş</w:t>
      </w:r>
      <w:r w:rsidR="00020807">
        <w:rPr>
          <w:rFonts w:ascii="Times New Roman" w:hAnsi="Times New Roman" w:cs="Times New Roman"/>
          <w:sz w:val="24"/>
          <w:szCs w:val="24"/>
        </w:rPr>
        <w:t xml:space="preserve"> </w:t>
      </w:r>
      <w:r w:rsidRPr="00A469E9">
        <w:rPr>
          <w:rFonts w:ascii="Times New Roman" w:hAnsi="Times New Roman" w:cs="Times New Roman"/>
          <w:sz w:val="24"/>
          <w:szCs w:val="24"/>
        </w:rPr>
        <w:t>yeri oluşturmayaca</w:t>
      </w:r>
      <w:r w:rsidR="00463807">
        <w:rPr>
          <w:rFonts w:ascii="Times New Roman" w:hAnsi="Times New Roman" w:cs="Times New Roman"/>
          <w:sz w:val="24"/>
          <w:szCs w:val="24"/>
        </w:rPr>
        <w:t xml:space="preserve">ğı söylenebilecektir. </w:t>
      </w:r>
      <w:r w:rsidR="00020807">
        <w:rPr>
          <w:rFonts w:ascii="Times New Roman" w:hAnsi="Times New Roman" w:cs="Times New Roman"/>
          <w:sz w:val="24"/>
          <w:szCs w:val="24"/>
        </w:rPr>
        <w:t xml:space="preserve">Başka deyişle, ev ofis çalışma biçiminin COVID-19 salgını </w:t>
      </w:r>
      <w:r w:rsidR="00F16331">
        <w:rPr>
          <w:rFonts w:ascii="Times New Roman" w:hAnsi="Times New Roman" w:cs="Times New Roman"/>
          <w:sz w:val="24"/>
          <w:szCs w:val="24"/>
        </w:rPr>
        <w:t>neticesinde</w:t>
      </w:r>
      <w:r w:rsidR="00020807">
        <w:rPr>
          <w:rFonts w:ascii="Times New Roman" w:hAnsi="Times New Roman" w:cs="Times New Roman"/>
          <w:sz w:val="24"/>
          <w:szCs w:val="24"/>
        </w:rPr>
        <w:t xml:space="preserve"> ortaya çıkan ve öngörüle</w:t>
      </w:r>
      <w:r w:rsidR="00F16331">
        <w:rPr>
          <w:rFonts w:ascii="Times New Roman" w:hAnsi="Times New Roman" w:cs="Times New Roman"/>
          <w:sz w:val="24"/>
          <w:szCs w:val="24"/>
        </w:rPr>
        <w:t>meyen bir durum olması dolayısıyla iş yeri oluşturmamasının kabulü icap etmektedir. Bununla birlikte, ev ofis çalışma biçimine salgın şartları ve tedbirleri ortadan kalktığında devam edilmemesi önem arz etmektedir.</w:t>
      </w:r>
    </w:p>
    <w:p w:rsidR="00326A8E" w:rsidRDefault="00326A8E" w:rsidP="00553C86">
      <w:pPr>
        <w:spacing w:before="120"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4.1.2</w:t>
      </w:r>
      <w:r w:rsidRPr="00326A8E">
        <w:rPr>
          <w:rFonts w:ascii="Times New Roman" w:hAnsi="Times New Roman" w:cs="Times New Roman"/>
          <w:b/>
          <w:sz w:val="24"/>
          <w:szCs w:val="24"/>
        </w:rPr>
        <w:t xml:space="preserve">. </w:t>
      </w:r>
      <w:r w:rsidR="003D1E21">
        <w:rPr>
          <w:rFonts w:ascii="Times New Roman" w:hAnsi="Times New Roman" w:cs="Times New Roman"/>
          <w:b/>
          <w:sz w:val="24"/>
          <w:szCs w:val="24"/>
        </w:rPr>
        <w:t>Daimi Temsilci</w:t>
      </w:r>
      <w:r>
        <w:rPr>
          <w:rFonts w:ascii="Times New Roman" w:hAnsi="Times New Roman" w:cs="Times New Roman"/>
          <w:b/>
          <w:sz w:val="24"/>
          <w:szCs w:val="24"/>
        </w:rPr>
        <w:t xml:space="preserve"> </w:t>
      </w:r>
      <w:r w:rsidRPr="00326A8E">
        <w:rPr>
          <w:rFonts w:ascii="Times New Roman" w:hAnsi="Times New Roman" w:cs="Times New Roman"/>
          <w:b/>
          <w:sz w:val="24"/>
          <w:szCs w:val="24"/>
        </w:rPr>
        <w:t>Faaliyetleri</w:t>
      </w:r>
    </w:p>
    <w:p w:rsidR="003D1E21" w:rsidRDefault="003D1E21" w:rsidP="00553C86">
      <w:pPr>
        <w:spacing w:before="120" w:after="0" w:line="240" w:lineRule="auto"/>
        <w:ind w:firstLine="709"/>
        <w:jc w:val="both"/>
        <w:rPr>
          <w:rFonts w:ascii="Times New Roman" w:hAnsi="Times New Roman" w:cs="Times New Roman"/>
          <w:sz w:val="24"/>
          <w:szCs w:val="24"/>
        </w:rPr>
      </w:pPr>
      <w:r w:rsidRPr="003D1E21">
        <w:rPr>
          <w:rFonts w:ascii="Times New Roman" w:hAnsi="Times New Roman" w:cs="Times New Roman"/>
          <w:sz w:val="24"/>
          <w:szCs w:val="24"/>
        </w:rPr>
        <w:t xml:space="preserve">Mukim olmayan bir işveren için geçici bir süreyle evden çalışan bir kişinin faaliyetlerinin </w:t>
      </w:r>
      <w:r>
        <w:rPr>
          <w:rFonts w:ascii="Times New Roman" w:hAnsi="Times New Roman" w:cs="Times New Roman"/>
          <w:sz w:val="24"/>
          <w:szCs w:val="24"/>
        </w:rPr>
        <w:t>daimi</w:t>
      </w:r>
      <w:r w:rsidRPr="003D1E21">
        <w:rPr>
          <w:rFonts w:ascii="Times New Roman" w:hAnsi="Times New Roman" w:cs="Times New Roman"/>
          <w:sz w:val="24"/>
          <w:szCs w:val="24"/>
        </w:rPr>
        <w:t xml:space="preserve"> temsilciliğe </w:t>
      </w:r>
      <w:r>
        <w:rPr>
          <w:rFonts w:ascii="Times New Roman" w:hAnsi="Times New Roman" w:cs="Times New Roman"/>
          <w:sz w:val="24"/>
          <w:szCs w:val="24"/>
        </w:rPr>
        <w:t>neden ol</w:t>
      </w:r>
      <w:r w:rsidR="00F16331">
        <w:rPr>
          <w:rFonts w:ascii="Times New Roman" w:hAnsi="Times New Roman" w:cs="Times New Roman"/>
          <w:sz w:val="24"/>
          <w:szCs w:val="24"/>
        </w:rPr>
        <w:t xml:space="preserve">ma olasılığı bir diğer endişe kaynağıdır. </w:t>
      </w:r>
      <w:r w:rsidRPr="003D1E21">
        <w:rPr>
          <w:rFonts w:ascii="Times New Roman" w:hAnsi="Times New Roman" w:cs="Times New Roman"/>
          <w:sz w:val="24"/>
          <w:szCs w:val="24"/>
        </w:rPr>
        <w:t>OECD</w:t>
      </w:r>
      <w:r>
        <w:rPr>
          <w:rFonts w:ascii="Times New Roman" w:hAnsi="Times New Roman" w:cs="Times New Roman"/>
          <w:sz w:val="24"/>
          <w:szCs w:val="24"/>
        </w:rPr>
        <w:t xml:space="preserve"> MVA’nın</w:t>
      </w:r>
      <w:r w:rsidRPr="003D1E21">
        <w:rPr>
          <w:rFonts w:ascii="Times New Roman" w:hAnsi="Times New Roman" w:cs="Times New Roman"/>
          <w:sz w:val="24"/>
          <w:szCs w:val="24"/>
        </w:rPr>
        <w:t xml:space="preserve"> </w:t>
      </w:r>
      <w:r>
        <w:rPr>
          <w:rFonts w:ascii="Times New Roman" w:hAnsi="Times New Roman" w:cs="Times New Roman"/>
          <w:sz w:val="24"/>
          <w:szCs w:val="24"/>
        </w:rPr>
        <w:t>5. m</w:t>
      </w:r>
      <w:r w:rsidRPr="003D1E21">
        <w:rPr>
          <w:rFonts w:ascii="Times New Roman" w:hAnsi="Times New Roman" w:cs="Times New Roman"/>
          <w:sz w:val="24"/>
          <w:szCs w:val="24"/>
        </w:rPr>
        <w:t xml:space="preserve">addesinin 5. fıkrası kapsamında, </w:t>
      </w:r>
      <w:r>
        <w:rPr>
          <w:rFonts w:ascii="Times New Roman" w:hAnsi="Times New Roman" w:cs="Times New Roman"/>
          <w:sz w:val="24"/>
          <w:szCs w:val="24"/>
        </w:rPr>
        <w:t>daimi temsilcinin</w:t>
      </w:r>
      <w:r w:rsidRPr="003D1E21">
        <w:rPr>
          <w:rFonts w:ascii="Times New Roman" w:hAnsi="Times New Roman" w:cs="Times New Roman"/>
          <w:sz w:val="24"/>
          <w:szCs w:val="24"/>
        </w:rPr>
        <w:t xml:space="preserve"> faaliyetleri, </w:t>
      </w:r>
      <w:r>
        <w:rPr>
          <w:rFonts w:ascii="Times New Roman" w:hAnsi="Times New Roman" w:cs="Times New Roman"/>
          <w:sz w:val="24"/>
          <w:szCs w:val="24"/>
        </w:rPr>
        <w:t xml:space="preserve">bu </w:t>
      </w:r>
      <w:r w:rsidRPr="003D1E21">
        <w:rPr>
          <w:rFonts w:ascii="Times New Roman" w:hAnsi="Times New Roman" w:cs="Times New Roman"/>
          <w:sz w:val="24"/>
          <w:szCs w:val="24"/>
        </w:rPr>
        <w:t>kişinin teşebbüs adına mutaden sözleşme akdettiği durumlarda, teşebbüs için bir iş</w:t>
      </w:r>
      <w:r>
        <w:rPr>
          <w:rFonts w:ascii="Times New Roman" w:hAnsi="Times New Roman" w:cs="Times New Roman"/>
          <w:sz w:val="24"/>
          <w:szCs w:val="24"/>
        </w:rPr>
        <w:t xml:space="preserve"> </w:t>
      </w:r>
      <w:r w:rsidRPr="003D1E21">
        <w:rPr>
          <w:rFonts w:ascii="Times New Roman" w:hAnsi="Times New Roman" w:cs="Times New Roman"/>
          <w:sz w:val="24"/>
          <w:szCs w:val="24"/>
        </w:rPr>
        <w:t>yeri oluşturacaktır. Dolayısıyla, çalışanın</w:t>
      </w:r>
      <w:r>
        <w:rPr>
          <w:rFonts w:ascii="Times New Roman" w:hAnsi="Times New Roman" w:cs="Times New Roman"/>
          <w:sz w:val="24"/>
          <w:szCs w:val="24"/>
        </w:rPr>
        <w:t xml:space="preserve"> bu faaliyetleri</w:t>
      </w:r>
      <w:r w:rsidR="00300949">
        <w:rPr>
          <w:rFonts w:ascii="Times New Roman" w:hAnsi="Times New Roman" w:cs="Times New Roman"/>
          <w:sz w:val="24"/>
          <w:szCs w:val="24"/>
        </w:rPr>
        <w:t>nin</w:t>
      </w:r>
      <w:r>
        <w:rPr>
          <w:rFonts w:ascii="Times New Roman" w:hAnsi="Times New Roman" w:cs="Times New Roman"/>
          <w:sz w:val="24"/>
          <w:szCs w:val="24"/>
        </w:rPr>
        <w:t xml:space="preserve"> “mutat/olağan”</w:t>
      </w:r>
      <w:r w:rsidRPr="003D1E21">
        <w:rPr>
          <w:rFonts w:ascii="Times New Roman" w:hAnsi="Times New Roman" w:cs="Times New Roman"/>
          <w:sz w:val="24"/>
          <w:szCs w:val="24"/>
        </w:rPr>
        <w:t xml:space="preserve"> şekilde yürütü</w:t>
      </w:r>
      <w:r>
        <w:rPr>
          <w:rFonts w:ascii="Times New Roman" w:hAnsi="Times New Roman" w:cs="Times New Roman"/>
          <w:sz w:val="24"/>
          <w:szCs w:val="24"/>
        </w:rPr>
        <w:t>lü</w:t>
      </w:r>
      <w:r w:rsidRPr="003D1E21">
        <w:rPr>
          <w:rFonts w:ascii="Times New Roman" w:hAnsi="Times New Roman" w:cs="Times New Roman"/>
          <w:sz w:val="24"/>
          <w:szCs w:val="24"/>
        </w:rPr>
        <w:t>p yürüt</w:t>
      </w:r>
      <w:r>
        <w:rPr>
          <w:rFonts w:ascii="Times New Roman" w:hAnsi="Times New Roman" w:cs="Times New Roman"/>
          <w:sz w:val="24"/>
          <w:szCs w:val="24"/>
        </w:rPr>
        <w:t>ül</w:t>
      </w:r>
      <w:r w:rsidRPr="003D1E21">
        <w:rPr>
          <w:rFonts w:ascii="Times New Roman" w:hAnsi="Times New Roman" w:cs="Times New Roman"/>
          <w:sz w:val="24"/>
          <w:szCs w:val="24"/>
        </w:rPr>
        <w:t xml:space="preserve">mediğinin </w:t>
      </w:r>
      <w:r w:rsidRPr="003D1E21">
        <w:rPr>
          <w:rFonts w:ascii="Times New Roman" w:hAnsi="Times New Roman" w:cs="Times New Roman"/>
          <w:sz w:val="24"/>
          <w:szCs w:val="24"/>
        </w:rPr>
        <w:lastRenderedPageBreak/>
        <w:t xml:space="preserve">değerlendirilmesi </w:t>
      </w:r>
      <w:r w:rsidR="00F16331">
        <w:rPr>
          <w:rFonts w:ascii="Times New Roman" w:hAnsi="Times New Roman" w:cs="Times New Roman"/>
          <w:sz w:val="24"/>
          <w:szCs w:val="24"/>
        </w:rPr>
        <w:t>gerek</w:t>
      </w:r>
      <w:r>
        <w:rPr>
          <w:rFonts w:ascii="Times New Roman" w:hAnsi="Times New Roman" w:cs="Times New Roman"/>
          <w:sz w:val="24"/>
          <w:szCs w:val="24"/>
        </w:rPr>
        <w:t xml:space="preserve">mektedir. </w:t>
      </w:r>
      <w:r w:rsidRPr="003D1E21">
        <w:rPr>
          <w:rFonts w:ascii="Times New Roman" w:hAnsi="Times New Roman" w:cs="Times New Roman"/>
          <w:sz w:val="24"/>
          <w:szCs w:val="24"/>
        </w:rPr>
        <w:t>Eğer b</w:t>
      </w:r>
      <w:r>
        <w:rPr>
          <w:rFonts w:ascii="Times New Roman" w:hAnsi="Times New Roman" w:cs="Times New Roman"/>
          <w:sz w:val="24"/>
          <w:szCs w:val="24"/>
        </w:rPr>
        <w:t xml:space="preserve">u kişi </w:t>
      </w:r>
      <w:r w:rsidRPr="003D1E21">
        <w:rPr>
          <w:rFonts w:ascii="Times New Roman" w:hAnsi="Times New Roman" w:cs="Times New Roman"/>
          <w:sz w:val="24"/>
          <w:szCs w:val="24"/>
        </w:rPr>
        <w:t xml:space="preserve">sağlık önlemleri </w:t>
      </w:r>
      <w:r>
        <w:rPr>
          <w:rFonts w:ascii="Times New Roman" w:hAnsi="Times New Roman" w:cs="Times New Roman"/>
          <w:sz w:val="24"/>
          <w:szCs w:val="24"/>
        </w:rPr>
        <w:t>nedeniyle</w:t>
      </w:r>
      <w:r w:rsidRPr="003D1E21">
        <w:rPr>
          <w:rFonts w:ascii="Times New Roman" w:hAnsi="Times New Roman" w:cs="Times New Roman"/>
          <w:sz w:val="24"/>
          <w:szCs w:val="24"/>
        </w:rPr>
        <w:t xml:space="preserve"> yalnızca bir ülkedeki </w:t>
      </w:r>
      <w:r>
        <w:rPr>
          <w:rFonts w:ascii="Times New Roman" w:hAnsi="Times New Roman" w:cs="Times New Roman"/>
          <w:sz w:val="24"/>
          <w:szCs w:val="24"/>
        </w:rPr>
        <w:t>evden çalışıyorsa, bu kişin</w:t>
      </w:r>
      <w:r w:rsidRPr="003D1E21">
        <w:rPr>
          <w:rFonts w:ascii="Times New Roman" w:hAnsi="Times New Roman" w:cs="Times New Roman"/>
          <w:sz w:val="24"/>
          <w:szCs w:val="24"/>
        </w:rPr>
        <w:t xml:space="preserve">in o ülkedeki faaliyetleri mutat olarak değerlendirilemez. </w:t>
      </w:r>
      <w:r w:rsidR="001A5703">
        <w:rPr>
          <w:rFonts w:ascii="Times New Roman" w:hAnsi="Times New Roman" w:cs="Times New Roman"/>
          <w:sz w:val="24"/>
          <w:szCs w:val="24"/>
        </w:rPr>
        <w:t>Yalnızca f</w:t>
      </w:r>
      <w:r w:rsidRPr="003D1E21">
        <w:rPr>
          <w:rFonts w:ascii="Times New Roman" w:hAnsi="Times New Roman" w:cs="Times New Roman"/>
          <w:sz w:val="24"/>
          <w:szCs w:val="24"/>
        </w:rPr>
        <w:t xml:space="preserve">aaliyetlerin belli düzeyde kalıcılığı </w:t>
      </w:r>
      <w:r w:rsidR="001A5703">
        <w:rPr>
          <w:rFonts w:ascii="Times New Roman" w:hAnsi="Times New Roman" w:cs="Times New Roman"/>
          <w:sz w:val="24"/>
          <w:szCs w:val="24"/>
        </w:rPr>
        <w:t xml:space="preserve">ve devamlılığı olduğu </w:t>
      </w:r>
      <w:r w:rsidRPr="003D1E21">
        <w:rPr>
          <w:rFonts w:ascii="Times New Roman" w:hAnsi="Times New Roman" w:cs="Times New Roman"/>
          <w:sz w:val="24"/>
          <w:szCs w:val="24"/>
        </w:rPr>
        <w:t>durumlarda bir iş</w:t>
      </w:r>
      <w:r>
        <w:rPr>
          <w:rFonts w:ascii="Times New Roman" w:hAnsi="Times New Roman" w:cs="Times New Roman"/>
          <w:sz w:val="24"/>
          <w:szCs w:val="24"/>
        </w:rPr>
        <w:t xml:space="preserve"> </w:t>
      </w:r>
      <w:r w:rsidRPr="003D1E21">
        <w:rPr>
          <w:rFonts w:ascii="Times New Roman" w:hAnsi="Times New Roman" w:cs="Times New Roman"/>
          <w:sz w:val="24"/>
          <w:szCs w:val="24"/>
        </w:rPr>
        <w:t>yerinin varlığından bahsedilebil</w:t>
      </w:r>
      <w:r>
        <w:rPr>
          <w:rFonts w:ascii="Times New Roman" w:hAnsi="Times New Roman" w:cs="Times New Roman"/>
          <w:sz w:val="24"/>
          <w:szCs w:val="24"/>
        </w:rPr>
        <w:t>ecektir.</w:t>
      </w:r>
      <w:r w:rsidR="001A5703">
        <w:rPr>
          <w:rFonts w:ascii="Times New Roman" w:hAnsi="Times New Roman" w:cs="Times New Roman"/>
          <w:sz w:val="24"/>
          <w:szCs w:val="24"/>
        </w:rPr>
        <w:t xml:space="preserve"> Örneğin, e</w:t>
      </w:r>
      <w:r w:rsidR="001A5703" w:rsidRPr="001A5703">
        <w:rPr>
          <w:rFonts w:ascii="Times New Roman" w:hAnsi="Times New Roman" w:cs="Times New Roman"/>
          <w:sz w:val="24"/>
          <w:szCs w:val="24"/>
        </w:rPr>
        <w:t>ğer çalışan COVID-19 salgınından önce</w:t>
      </w:r>
      <w:r w:rsidR="001A5703">
        <w:rPr>
          <w:rFonts w:ascii="Times New Roman" w:hAnsi="Times New Roman" w:cs="Times New Roman"/>
          <w:sz w:val="24"/>
          <w:szCs w:val="24"/>
        </w:rPr>
        <w:t xml:space="preserve"> </w:t>
      </w:r>
      <w:r w:rsidR="001A5703" w:rsidRPr="001A5703">
        <w:rPr>
          <w:rFonts w:ascii="Times New Roman" w:hAnsi="Times New Roman" w:cs="Times New Roman"/>
          <w:sz w:val="24"/>
          <w:szCs w:val="24"/>
        </w:rPr>
        <w:t xml:space="preserve">kendi ülkesinde bir teşebbüs adına mutaden sözleşme akdediyorsa </w:t>
      </w:r>
      <w:r w:rsidR="001A5703">
        <w:rPr>
          <w:rFonts w:ascii="Times New Roman" w:hAnsi="Times New Roman" w:cs="Times New Roman"/>
          <w:sz w:val="24"/>
          <w:szCs w:val="24"/>
        </w:rPr>
        <w:t xml:space="preserve">daimi temsilci şartlarının, dolayısıyla iş yerinin oluştuğu kabul edilebilecektir. </w:t>
      </w:r>
      <w:r w:rsidR="001A5703" w:rsidRPr="001A5703">
        <w:rPr>
          <w:rFonts w:ascii="Times New Roman" w:hAnsi="Times New Roman" w:cs="Times New Roman"/>
          <w:sz w:val="24"/>
          <w:szCs w:val="24"/>
        </w:rPr>
        <w:t xml:space="preserve">Benzer </w:t>
      </w:r>
      <w:r w:rsidR="001A5703">
        <w:rPr>
          <w:rFonts w:ascii="Times New Roman" w:hAnsi="Times New Roman" w:cs="Times New Roman"/>
          <w:sz w:val="24"/>
          <w:szCs w:val="24"/>
        </w:rPr>
        <w:t>biçimde</w:t>
      </w:r>
      <w:r w:rsidR="001A5703" w:rsidRPr="001A5703">
        <w:rPr>
          <w:rFonts w:ascii="Times New Roman" w:hAnsi="Times New Roman" w:cs="Times New Roman"/>
          <w:sz w:val="24"/>
          <w:szCs w:val="24"/>
        </w:rPr>
        <w:t xml:space="preserve">, eğer çalışan, COVID-19 salgınından sonra mukim olmayan bir işveren için mutaden evden çalışmaya ve teşebbüs adına sözleşme akdetmeye devam ediyorsa, bu durumda çalışanın teşebbüs adına mutaden sözleşme akdettiği düşünülebilir. </w:t>
      </w:r>
    </w:p>
    <w:p w:rsidR="003D1E21" w:rsidRDefault="001B3762" w:rsidP="00553C86">
      <w:pPr>
        <w:spacing w:before="120" w:after="0" w:line="240" w:lineRule="auto"/>
        <w:ind w:firstLine="709"/>
        <w:jc w:val="both"/>
        <w:rPr>
          <w:rFonts w:ascii="Times New Roman" w:hAnsi="Times New Roman" w:cs="Times New Roman"/>
          <w:sz w:val="24"/>
          <w:szCs w:val="24"/>
        </w:rPr>
      </w:pPr>
      <w:r w:rsidRPr="001B3762">
        <w:rPr>
          <w:rFonts w:ascii="Times New Roman" w:hAnsi="Times New Roman" w:cs="Times New Roman"/>
          <w:sz w:val="24"/>
          <w:szCs w:val="24"/>
        </w:rPr>
        <w:t xml:space="preserve">Sonuç olarak, bir </w:t>
      </w:r>
      <w:r>
        <w:rPr>
          <w:rFonts w:ascii="Times New Roman" w:hAnsi="Times New Roman" w:cs="Times New Roman"/>
          <w:sz w:val="24"/>
          <w:szCs w:val="24"/>
        </w:rPr>
        <w:t>daimi temsilcinin</w:t>
      </w:r>
      <w:r w:rsidRPr="001B3762">
        <w:rPr>
          <w:rFonts w:ascii="Times New Roman" w:hAnsi="Times New Roman" w:cs="Times New Roman"/>
          <w:sz w:val="24"/>
          <w:szCs w:val="24"/>
        </w:rPr>
        <w:t xml:space="preserve"> bir ülkedeki faaliyetleri, eğer bu ülkede </w:t>
      </w:r>
      <w:r w:rsidR="00F16331">
        <w:rPr>
          <w:rFonts w:ascii="Times New Roman" w:hAnsi="Times New Roman" w:cs="Times New Roman"/>
          <w:sz w:val="24"/>
          <w:szCs w:val="24"/>
        </w:rPr>
        <w:t xml:space="preserve">COVID-19 kapsamında </w:t>
      </w:r>
      <w:r w:rsidRPr="001B3762">
        <w:rPr>
          <w:rFonts w:ascii="Times New Roman" w:hAnsi="Times New Roman" w:cs="Times New Roman"/>
          <w:sz w:val="24"/>
          <w:szCs w:val="24"/>
        </w:rPr>
        <w:t>istisnai olarak evden çalış</w:t>
      </w:r>
      <w:r>
        <w:rPr>
          <w:rFonts w:ascii="Times New Roman" w:hAnsi="Times New Roman" w:cs="Times New Roman"/>
          <w:sz w:val="24"/>
          <w:szCs w:val="24"/>
        </w:rPr>
        <w:t>ılmaya başlanmışsa, “mutat”</w:t>
      </w:r>
      <w:r w:rsidRPr="001B3762">
        <w:rPr>
          <w:rFonts w:ascii="Times New Roman" w:hAnsi="Times New Roman" w:cs="Times New Roman"/>
          <w:sz w:val="24"/>
          <w:szCs w:val="24"/>
        </w:rPr>
        <w:t xml:space="preserve"> olarak değerlendirilmemelidir. Dolayısıyla kişi, halk sağlığı önlemlerinin kaldırılmasından sonra bu faaliyetlerine devam e</w:t>
      </w:r>
      <w:r>
        <w:rPr>
          <w:rFonts w:ascii="Times New Roman" w:hAnsi="Times New Roman" w:cs="Times New Roman"/>
          <w:sz w:val="24"/>
          <w:szCs w:val="24"/>
        </w:rPr>
        <w:t>tmezse</w:t>
      </w:r>
      <w:r w:rsidRPr="001B3762">
        <w:rPr>
          <w:rFonts w:ascii="Times New Roman" w:hAnsi="Times New Roman" w:cs="Times New Roman"/>
          <w:sz w:val="24"/>
          <w:szCs w:val="24"/>
        </w:rPr>
        <w:t xml:space="preserve"> daimi temsilci </w:t>
      </w:r>
      <w:r>
        <w:rPr>
          <w:rFonts w:ascii="Times New Roman" w:hAnsi="Times New Roman" w:cs="Times New Roman"/>
          <w:sz w:val="24"/>
          <w:szCs w:val="24"/>
        </w:rPr>
        <w:t xml:space="preserve">sayılmayacaktır. </w:t>
      </w:r>
    </w:p>
    <w:p w:rsidR="003D1E21" w:rsidRDefault="00514DF9" w:rsidP="00553C86">
      <w:pPr>
        <w:spacing w:before="120"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4.1.3</w:t>
      </w:r>
      <w:r w:rsidR="00326A8E" w:rsidRPr="001B3762">
        <w:rPr>
          <w:rFonts w:ascii="Times New Roman" w:hAnsi="Times New Roman" w:cs="Times New Roman"/>
          <w:b/>
          <w:sz w:val="24"/>
          <w:szCs w:val="24"/>
        </w:rPr>
        <w:t xml:space="preserve">. </w:t>
      </w:r>
      <w:r w:rsidR="001B3762">
        <w:rPr>
          <w:rFonts w:ascii="Times New Roman" w:hAnsi="Times New Roman" w:cs="Times New Roman"/>
          <w:b/>
          <w:sz w:val="24"/>
          <w:szCs w:val="24"/>
        </w:rPr>
        <w:t xml:space="preserve">İnşaat İş Yeri Faaliyetleri </w:t>
      </w:r>
    </w:p>
    <w:p w:rsidR="008A5060" w:rsidRDefault="001B3762"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İnşaat ş</w:t>
      </w:r>
      <w:r w:rsidRPr="001B3762">
        <w:rPr>
          <w:rFonts w:ascii="Times New Roman" w:hAnsi="Times New Roman" w:cs="Times New Roman"/>
          <w:sz w:val="24"/>
          <w:szCs w:val="24"/>
        </w:rPr>
        <w:t>antiyeler</w:t>
      </w:r>
      <w:r>
        <w:rPr>
          <w:rFonts w:ascii="Times New Roman" w:hAnsi="Times New Roman" w:cs="Times New Roman"/>
          <w:sz w:val="24"/>
          <w:szCs w:val="24"/>
        </w:rPr>
        <w:t>in</w:t>
      </w:r>
      <w:r w:rsidRPr="001B3762">
        <w:rPr>
          <w:rFonts w:ascii="Times New Roman" w:hAnsi="Times New Roman" w:cs="Times New Roman"/>
          <w:sz w:val="24"/>
          <w:szCs w:val="24"/>
        </w:rPr>
        <w:t xml:space="preserve">deki birçok faaliyet COVID-19 salgını nedeniyle geçici olarak kesintiye uğramaktadır. </w:t>
      </w:r>
      <w:r>
        <w:rPr>
          <w:rFonts w:ascii="Times New Roman" w:hAnsi="Times New Roman" w:cs="Times New Roman"/>
          <w:sz w:val="24"/>
          <w:szCs w:val="24"/>
        </w:rPr>
        <w:t>B</w:t>
      </w:r>
      <w:r w:rsidRPr="001B3762">
        <w:rPr>
          <w:rFonts w:ascii="Times New Roman" w:hAnsi="Times New Roman" w:cs="Times New Roman"/>
          <w:sz w:val="24"/>
          <w:szCs w:val="24"/>
        </w:rPr>
        <w:t>u tür</w:t>
      </w:r>
      <w:r>
        <w:rPr>
          <w:rFonts w:ascii="Times New Roman" w:hAnsi="Times New Roman" w:cs="Times New Roman"/>
          <w:sz w:val="24"/>
          <w:szCs w:val="24"/>
        </w:rPr>
        <w:t>den bir faaliyet kesintisi</w:t>
      </w:r>
      <w:r w:rsidRPr="001B3762">
        <w:rPr>
          <w:rFonts w:ascii="Times New Roman" w:hAnsi="Times New Roman" w:cs="Times New Roman"/>
          <w:sz w:val="24"/>
          <w:szCs w:val="24"/>
        </w:rPr>
        <w:t xml:space="preserve"> süresi</w:t>
      </w:r>
      <w:r>
        <w:rPr>
          <w:rFonts w:ascii="Times New Roman" w:hAnsi="Times New Roman" w:cs="Times New Roman"/>
          <w:sz w:val="24"/>
          <w:szCs w:val="24"/>
        </w:rPr>
        <w:t>nin</w:t>
      </w:r>
      <w:r w:rsidRPr="001B3762">
        <w:rPr>
          <w:rFonts w:ascii="Times New Roman" w:hAnsi="Times New Roman" w:cs="Times New Roman"/>
          <w:sz w:val="24"/>
          <w:szCs w:val="24"/>
        </w:rPr>
        <w:t>, şantiye ömrünün hesaplanmasına dâhil edilme</w:t>
      </w:r>
      <w:r>
        <w:rPr>
          <w:rFonts w:ascii="Times New Roman" w:hAnsi="Times New Roman" w:cs="Times New Roman"/>
          <w:sz w:val="24"/>
          <w:szCs w:val="24"/>
        </w:rPr>
        <w:t>si</w:t>
      </w:r>
      <w:r w:rsidR="008A5060">
        <w:rPr>
          <w:rFonts w:ascii="Times New Roman" w:hAnsi="Times New Roman" w:cs="Times New Roman"/>
          <w:sz w:val="24"/>
          <w:szCs w:val="24"/>
        </w:rPr>
        <w:t>, doğal olarak</w:t>
      </w:r>
      <w:r>
        <w:rPr>
          <w:rFonts w:ascii="Times New Roman" w:hAnsi="Times New Roman" w:cs="Times New Roman"/>
          <w:sz w:val="24"/>
          <w:szCs w:val="24"/>
        </w:rPr>
        <w:t xml:space="preserve"> </w:t>
      </w:r>
      <w:r w:rsidRPr="001B3762">
        <w:rPr>
          <w:rFonts w:ascii="Times New Roman" w:hAnsi="Times New Roman" w:cs="Times New Roman"/>
          <w:sz w:val="24"/>
          <w:szCs w:val="24"/>
        </w:rPr>
        <w:t>b</w:t>
      </w:r>
      <w:r w:rsidR="008A5060">
        <w:rPr>
          <w:rFonts w:ascii="Times New Roman" w:hAnsi="Times New Roman" w:cs="Times New Roman"/>
          <w:sz w:val="24"/>
          <w:szCs w:val="24"/>
        </w:rPr>
        <w:t xml:space="preserve">u şantiyenin </w:t>
      </w:r>
      <w:r w:rsidRPr="001B3762">
        <w:rPr>
          <w:rFonts w:ascii="Times New Roman" w:hAnsi="Times New Roman" w:cs="Times New Roman"/>
          <w:sz w:val="24"/>
          <w:szCs w:val="24"/>
        </w:rPr>
        <w:t>iş</w:t>
      </w:r>
      <w:r w:rsidR="008A5060">
        <w:rPr>
          <w:rFonts w:ascii="Times New Roman" w:hAnsi="Times New Roman" w:cs="Times New Roman"/>
          <w:sz w:val="24"/>
          <w:szCs w:val="24"/>
        </w:rPr>
        <w:t xml:space="preserve"> </w:t>
      </w:r>
      <w:r w:rsidRPr="001B3762">
        <w:rPr>
          <w:rFonts w:ascii="Times New Roman" w:hAnsi="Times New Roman" w:cs="Times New Roman"/>
          <w:sz w:val="24"/>
          <w:szCs w:val="24"/>
        </w:rPr>
        <w:t xml:space="preserve">yeri oluşturup oluşturmadığının belirlenmesini etkileyecektir. </w:t>
      </w:r>
      <w:r w:rsidR="005E03CB">
        <w:rPr>
          <w:rFonts w:ascii="Times New Roman" w:hAnsi="Times New Roman" w:cs="Times New Roman"/>
          <w:sz w:val="24"/>
          <w:szCs w:val="24"/>
        </w:rPr>
        <w:t>ÇVÖA’larda inşaat şantiyelerinin iş yeri oluşturması, temel alınan model anlaşmalara bağlı olarak genellikle 6 ay ve 12 ay olarak sü</w:t>
      </w:r>
      <w:r w:rsidR="003E2230">
        <w:rPr>
          <w:rFonts w:ascii="Times New Roman" w:hAnsi="Times New Roman" w:cs="Times New Roman"/>
          <w:sz w:val="24"/>
          <w:szCs w:val="24"/>
        </w:rPr>
        <w:t>relere bağlanmıştır. Bu sürelere ulaşan i</w:t>
      </w:r>
      <w:r w:rsidR="005E03CB">
        <w:rPr>
          <w:rFonts w:ascii="Times New Roman" w:hAnsi="Times New Roman" w:cs="Times New Roman"/>
          <w:sz w:val="24"/>
          <w:szCs w:val="24"/>
        </w:rPr>
        <w:t>nşaat faaliyetlerinin iş yeri sayılacağı</w:t>
      </w:r>
      <w:r w:rsidR="00851A5F">
        <w:rPr>
          <w:rFonts w:ascii="Times New Roman" w:hAnsi="Times New Roman" w:cs="Times New Roman"/>
          <w:sz w:val="24"/>
          <w:szCs w:val="24"/>
        </w:rPr>
        <w:t xml:space="preserve"> kabul edilmektedir. Şantiyelerdeki geçici durmalar normal şartlarda bu süreleri kesintiye uğratmayacaktır. </w:t>
      </w:r>
      <w:r w:rsidRPr="001B3762">
        <w:rPr>
          <w:rFonts w:ascii="Times New Roman" w:hAnsi="Times New Roman" w:cs="Times New Roman"/>
          <w:sz w:val="24"/>
          <w:szCs w:val="24"/>
        </w:rPr>
        <w:t>OECD M</w:t>
      </w:r>
      <w:r w:rsidR="008A5060">
        <w:rPr>
          <w:rFonts w:ascii="Times New Roman" w:hAnsi="Times New Roman" w:cs="Times New Roman"/>
          <w:sz w:val="24"/>
          <w:szCs w:val="24"/>
        </w:rPr>
        <w:t>VA’nın 5</w:t>
      </w:r>
      <w:r w:rsidRPr="001B3762">
        <w:rPr>
          <w:rFonts w:ascii="Times New Roman" w:hAnsi="Times New Roman" w:cs="Times New Roman"/>
          <w:sz w:val="24"/>
          <w:szCs w:val="24"/>
        </w:rPr>
        <w:t>(3).</w:t>
      </w:r>
      <w:r w:rsidR="003B0EEC">
        <w:rPr>
          <w:rFonts w:ascii="Times New Roman" w:hAnsi="Times New Roman" w:cs="Times New Roman"/>
          <w:sz w:val="24"/>
          <w:szCs w:val="24"/>
        </w:rPr>
        <w:t xml:space="preserve"> m</w:t>
      </w:r>
      <w:r w:rsidRPr="001B3762">
        <w:rPr>
          <w:rFonts w:ascii="Times New Roman" w:hAnsi="Times New Roman" w:cs="Times New Roman"/>
          <w:sz w:val="24"/>
          <w:szCs w:val="24"/>
        </w:rPr>
        <w:t>addesine</w:t>
      </w:r>
      <w:r w:rsidR="003B0EEC">
        <w:rPr>
          <w:rFonts w:ascii="Times New Roman" w:hAnsi="Times New Roman" w:cs="Times New Roman"/>
          <w:sz w:val="24"/>
          <w:szCs w:val="24"/>
        </w:rPr>
        <w:t xml:space="preserve"> </w:t>
      </w:r>
      <w:r w:rsidR="008A5060">
        <w:rPr>
          <w:rFonts w:ascii="Times New Roman" w:hAnsi="Times New Roman" w:cs="Times New Roman"/>
          <w:sz w:val="24"/>
          <w:szCs w:val="24"/>
        </w:rPr>
        <w:t>i</w:t>
      </w:r>
      <w:r w:rsidRPr="001B3762">
        <w:rPr>
          <w:rFonts w:ascii="Times New Roman" w:hAnsi="Times New Roman" w:cs="Times New Roman"/>
          <w:sz w:val="24"/>
          <w:szCs w:val="24"/>
        </w:rPr>
        <w:t xml:space="preserve">lişkin </w:t>
      </w:r>
      <w:r w:rsidR="008A5060">
        <w:rPr>
          <w:rFonts w:ascii="Times New Roman" w:hAnsi="Times New Roman" w:cs="Times New Roman"/>
          <w:sz w:val="24"/>
          <w:szCs w:val="24"/>
        </w:rPr>
        <w:t>y</w:t>
      </w:r>
      <w:r w:rsidRPr="001B3762">
        <w:rPr>
          <w:rFonts w:ascii="Times New Roman" w:hAnsi="Times New Roman" w:cs="Times New Roman"/>
          <w:sz w:val="24"/>
          <w:szCs w:val="24"/>
        </w:rPr>
        <w:t>orum</w:t>
      </w:r>
      <w:r w:rsidR="008A5060">
        <w:rPr>
          <w:rFonts w:ascii="Times New Roman" w:hAnsi="Times New Roman" w:cs="Times New Roman"/>
          <w:sz w:val="24"/>
          <w:szCs w:val="24"/>
        </w:rPr>
        <w:t xml:space="preserve"> notlarının </w:t>
      </w:r>
      <w:r w:rsidRPr="001B3762">
        <w:rPr>
          <w:rFonts w:ascii="Times New Roman" w:hAnsi="Times New Roman" w:cs="Times New Roman"/>
          <w:sz w:val="24"/>
          <w:szCs w:val="24"/>
        </w:rPr>
        <w:t xml:space="preserve">55. </w:t>
      </w:r>
      <w:r w:rsidR="008A5060">
        <w:rPr>
          <w:rFonts w:ascii="Times New Roman" w:hAnsi="Times New Roman" w:cs="Times New Roman"/>
          <w:sz w:val="24"/>
          <w:szCs w:val="24"/>
        </w:rPr>
        <w:t>paragrafına</w:t>
      </w:r>
      <w:r w:rsidRPr="001B3762">
        <w:rPr>
          <w:rFonts w:ascii="Times New Roman" w:hAnsi="Times New Roman" w:cs="Times New Roman"/>
          <w:sz w:val="24"/>
          <w:szCs w:val="24"/>
        </w:rPr>
        <w:t xml:space="preserve"> göre, bir şantiyenin süresinin belirlenmesine geçici kesintiler de dâhil edilmelidir. Yorumda yer verilen geçici kesintilere örnek olarak kötü hava koşulları, malzeme sıkıntısı veya iş gücü zorluklarının neden olduğu kesintiler </w:t>
      </w:r>
      <w:r w:rsidR="008A5060">
        <w:rPr>
          <w:rFonts w:ascii="Times New Roman" w:hAnsi="Times New Roman" w:cs="Times New Roman"/>
          <w:sz w:val="24"/>
          <w:szCs w:val="24"/>
        </w:rPr>
        <w:t>sayılmaktadır. Yorumda, “geçici”</w:t>
      </w:r>
      <w:r w:rsidR="008A5060" w:rsidRPr="008A5060">
        <w:rPr>
          <w:rFonts w:ascii="Times New Roman" w:hAnsi="Times New Roman" w:cs="Times New Roman"/>
          <w:sz w:val="24"/>
          <w:szCs w:val="24"/>
        </w:rPr>
        <w:t xml:space="preserve"> kesintinin anlamına ilişkin keskin bir çizgi </w:t>
      </w:r>
      <w:r w:rsidR="008A5060">
        <w:rPr>
          <w:rFonts w:ascii="Times New Roman" w:hAnsi="Times New Roman" w:cs="Times New Roman"/>
          <w:sz w:val="24"/>
          <w:szCs w:val="24"/>
        </w:rPr>
        <w:t xml:space="preserve">bulunmamaktadır. </w:t>
      </w:r>
      <w:r w:rsidR="00851A5F">
        <w:rPr>
          <w:rFonts w:ascii="Times New Roman" w:hAnsi="Times New Roman" w:cs="Times New Roman"/>
          <w:sz w:val="24"/>
          <w:szCs w:val="24"/>
        </w:rPr>
        <w:t>B</w:t>
      </w:r>
      <w:r w:rsidR="008A5060" w:rsidRPr="008A5060">
        <w:rPr>
          <w:rFonts w:ascii="Times New Roman" w:hAnsi="Times New Roman" w:cs="Times New Roman"/>
          <w:sz w:val="24"/>
          <w:szCs w:val="24"/>
        </w:rPr>
        <w:t>azı ülkeler</w:t>
      </w:r>
      <w:r w:rsidR="005E03CB">
        <w:rPr>
          <w:rFonts w:ascii="Times New Roman" w:hAnsi="Times New Roman" w:cs="Times New Roman"/>
          <w:sz w:val="24"/>
          <w:szCs w:val="24"/>
        </w:rPr>
        <w:t>in</w:t>
      </w:r>
      <w:r w:rsidR="008A5060" w:rsidRPr="008A5060">
        <w:rPr>
          <w:rFonts w:ascii="Times New Roman" w:hAnsi="Times New Roman" w:cs="Times New Roman"/>
          <w:sz w:val="24"/>
          <w:szCs w:val="24"/>
        </w:rPr>
        <w:t>, kendi ülkelerindeki COVID-19 kısıtlamalarının gerektirdiği belirli kesinti dönemlerinin, iş</w:t>
      </w:r>
      <w:r w:rsidR="00CD7BB8">
        <w:rPr>
          <w:rFonts w:ascii="Times New Roman" w:hAnsi="Times New Roman" w:cs="Times New Roman"/>
          <w:sz w:val="24"/>
          <w:szCs w:val="24"/>
        </w:rPr>
        <w:t xml:space="preserve"> </w:t>
      </w:r>
      <w:r w:rsidR="008A5060" w:rsidRPr="008A5060">
        <w:rPr>
          <w:rFonts w:ascii="Times New Roman" w:hAnsi="Times New Roman" w:cs="Times New Roman"/>
          <w:sz w:val="24"/>
          <w:szCs w:val="24"/>
        </w:rPr>
        <w:t>yeri oluşturan inşaat şantiyelerinin süre eşiklerinin hesaplanmasına dâhil edilmemesi gerektiğini düşün</w:t>
      </w:r>
      <w:r w:rsidR="005E03CB">
        <w:rPr>
          <w:rFonts w:ascii="Times New Roman" w:hAnsi="Times New Roman" w:cs="Times New Roman"/>
          <w:sz w:val="24"/>
          <w:szCs w:val="24"/>
        </w:rPr>
        <w:t>meleri mümkündür.</w:t>
      </w:r>
      <w:r w:rsidR="008A5060" w:rsidRPr="008A5060">
        <w:rPr>
          <w:rFonts w:ascii="Times New Roman" w:hAnsi="Times New Roman" w:cs="Times New Roman"/>
          <w:sz w:val="24"/>
          <w:szCs w:val="24"/>
        </w:rPr>
        <w:t xml:space="preserve"> B</w:t>
      </w:r>
      <w:r w:rsidR="00CD7BB8">
        <w:rPr>
          <w:rFonts w:ascii="Times New Roman" w:hAnsi="Times New Roman" w:cs="Times New Roman"/>
          <w:sz w:val="24"/>
          <w:szCs w:val="24"/>
        </w:rPr>
        <w:t xml:space="preserve">u yaklaşımda olan ülkeler, </w:t>
      </w:r>
      <w:r w:rsidR="008A5060" w:rsidRPr="008A5060">
        <w:rPr>
          <w:rFonts w:ascii="Times New Roman" w:hAnsi="Times New Roman" w:cs="Times New Roman"/>
          <w:sz w:val="24"/>
          <w:szCs w:val="24"/>
        </w:rPr>
        <w:t xml:space="preserve">COVID-19 kısıtlamaları nedeniyle şantiyedeki </w:t>
      </w:r>
      <w:r w:rsidR="005E03CB">
        <w:rPr>
          <w:rFonts w:ascii="Times New Roman" w:hAnsi="Times New Roman" w:cs="Times New Roman"/>
          <w:sz w:val="24"/>
          <w:szCs w:val="24"/>
        </w:rPr>
        <w:t>faaliyetlerin</w:t>
      </w:r>
      <w:r w:rsidR="008A5060" w:rsidRPr="008A5060">
        <w:rPr>
          <w:rFonts w:ascii="Times New Roman" w:hAnsi="Times New Roman" w:cs="Times New Roman"/>
          <w:sz w:val="24"/>
          <w:szCs w:val="24"/>
        </w:rPr>
        <w:t xml:space="preserve"> durdurulduğu günleri dâhil ederek gerekli süreye ulaşıldığı durumda, iş</w:t>
      </w:r>
      <w:r w:rsidR="00CD7BB8">
        <w:rPr>
          <w:rFonts w:ascii="Times New Roman" w:hAnsi="Times New Roman" w:cs="Times New Roman"/>
          <w:sz w:val="24"/>
          <w:szCs w:val="24"/>
        </w:rPr>
        <w:t xml:space="preserve"> </w:t>
      </w:r>
      <w:r w:rsidR="008A5060" w:rsidRPr="008A5060">
        <w:rPr>
          <w:rFonts w:ascii="Times New Roman" w:hAnsi="Times New Roman" w:cs="Times New Roman"/>
          <w:sz w:val="24"/>
          <w:szCs w:val="24"/>
        </w:rPr>
        <w:t xml:space="preserve">yeri </w:t>
      </w:r>
      <w:r w:rsidR="00CD7BB8">
        <w:rPr>
          <w:rFonts w:ascii="Times New Roman" w:hAnsi="Times New Roman" w:cs="Times New Roman"/>
          <w:sz w:val="24"/>
          <w:szCs w:val="24"/>
        </w:rPr>
        <w:t xml:space="preserve">oluşumunu kabul etmeyebileceklerdir. </w:t>
      </w:r>
    </w:p>
    <w:p w:rsidR="00CD7BB8" w:rsidRPr="001B3762" w:rsidRDefault="00CD7BB8" w:rsidP="00553C86">
      <w:pPr>
        <w:spacing w:before="120" w:after="0" w:line="240" w:lineRule="auto"/>
        <w:ind w:firstLine="709"/>
        <w:jc w:val="both"/>
        <w:rPr>
          <w:rFonts w:ascii="Times New Roman" w:hAnsi="Times New Roman" w:cs="Times New Roman"/>
          <w:sz w:val="24"/>
          <w:szCs w:val="24"/>
        </w:rPr>
      </w:pPr>
      <w:r w:rsidRPr="00CD7BB8">
        <w:rPr>
          <w:rFonts w:ascii="Times New Roman" w:hAnsi="Times New Roman" w:cs="Times New Roman"/>
          <w:sz w:val="24"/>
          <w:szCs w:val="24"/>
        </w:rPr>
        <w:t xml:space="preserve">Sonuç </w:t>
      </w:r>
      <w:r>
        <w:rPr>
          <w:rFonts w:ascii="Times New Roman" w:hAnsi="Times New Roman" w:cs="Times New Roman"/>
          <w:sz w:val="24"/>
          <w:szCs w:val="24"/>
        </w:rPr>
        <w:t>olarak, şantiyedeki çalışmalar “geçici olarak”</w:t>
      </w:r>
      <w:r w:rsidRPr="00CD7BB8">
        <w:rPr>
          <w:rFonts w:ascii="Times New Roman" w:hAnsi="Times New Roman" w:cs="Times New Roman"/>
          <w:sz w:val="24"/>
          <w:szCs w:val="24"/>
        </w:rPr>
        <w:t xml:space="preserve"> kesintiye uğradığında iş</w:t>
      </w:r>
      <w:r w:rsidR="00514DF9">
        <w:rPr>
          <w:rFonts w:ascii="Times New Roman" w:hAnsi="Times New Roman" w:cs="Times New Roman"/>
          <w:sz w:val="24"/>
          <w:szCs w:val="24"/>
        </w:rPr>
        <w:t xml:space="preserve"> </w:t>
      </w:r>
      <w:r w:rsidRPr="00CD7BB8">
        <w:rPr>
          <w:rFonts w:ascii="Times New Roman" w:hAnsi="Times New Roman" w:cs="Times New Roman"/>
          <w:sz w:val="24"/>
          <w:szCs w:val="24"/>
        </w:rPr>
        <w:t>yeri</w:t>
      </w:r>
      <w:r w:rsidR="00851A5F">
        <w:rPr>
          <w:rFonts w:ascii="Times New Roman" w:hAnsi="Times New Roman" w:cs="Times New Roman"/>
          <w:sz w:val="24"/>
          <w:szCs w:val="24"/>
        </w:rPr>
        <w:t>nin</w:t>
      </w:r>
      <w:r w:rsidRPr="00CD7BB8">
        <w:rPr>
          <w:rFonts w:ascii="Times New Roman" w:hAnsi="Times New Roman" w:cs="Times New Roman"/>
          <w:sz w:val="24"/>
          <w:szCs w:val="24"/>
        </w:rPr>
        <w:t xml:space="preserve"> varlığı sona</w:t>
      </w:r>
      <w:r w:rsidR="00514DF9">
        <w:rPr>
          <w:rFonts w:ascii="Times New Roman" w:hAnsi="Times New Roman" w:cs="Times New Roman"/>
          <w:sz w:val="24"/>
          <w:szCs w:val="24"/>
        </w:rPr>
        <w:t xml:space="preserve"> ermiş </w:t>
      </w:r>
      <w:r w:rsidR="00851A5F">
        <w:rPr>
          <w:rFonts w:ascii="Times New Roman" w:hAnsi="Times New Roman" w:cs="Times New Roman"/>
          <w:sz w:val="24"/>
          <w:szCs w:val="24"/>
        </w:rPr>
        <w:t>olarak</w:t>
      </w:r>
      <w:r w:rsidR="00514DF9">
        <w:rPr>
          <w:rFonts w:ascii="Times New Roman" w:hAnsi="Times New Roman" w:cs="Times New Roman"/>
          <w:sz w:val="24"/>
          <w:szCs w:val="24"/>
        </w:rPr>
        <w:t xml:space="preserve"> kabul edilmeyecektir. A</w:t>
      </w:r>
      <w:r w:rsidRPr="00CD7BB8">
        <w:rPr>
          <w:rFonts w:ascii="Times New Roman" w:hAnsi="Times New Roman" w:cs="Times New Roman"/>
          <w:sz w:val="24"/>
          <w:szCs w:val="24"/>
        </w:rPr>
        <w:t>ncak ülkeler, şantiyenin bulunduğu yerde</w:t>
      </w:r>
      <w:r w:rsidR="00514DF9">
        <w:rPr>
          <w:rFonts w:ascii="Times New Roman" w:hAnsi="Times New Roman" w:cs="Times New Roman"/>
          <w:sz w:val="24"/>
          <w:szCs w:val="24"/>
        </w:rPr>
        <w:t xml:space="preserve"> </w:t>
      </w:r>
      <w:r w:rsidRPr="00CD7BB8">
        <w:rPr>
          <w:rFonts w:ascii="Times New Roman" w:hAnsi="Times New Roman" w:cs="Times New Roman"/>
          <w:sz w:val="24"/>
          <w:szCs w:val="24"/>
        </w:rPr>
        <w:t>uygula</w:t>
      </w:r>
      <w:r w:rsidR="00514DF9">
        <w:rPr>
          <w:rFonts w:ascii="Times New Roman" w:hAnsi="Times New Roman" w:cs="Times New Roman"/>
          <w:sz w:val="24"/>
          <w:szCs w:val="24"/>
        </w:rPr>
        <w:t>nan COVID</w:t>
      </w:r>
      <w:r w:rsidR="00851A5F">
        <w:rPr>
          <w:rFonts w:ascii="Times New Roman" w:hAnsi="Times New Roman" w:cs="Times New Roman"/>
          <w:sz w:val="24"/>
          <w:szCs w:val="24"/>
        </w:rPr>
        <w:t>-19</w:t>
      </w:r>
      <w:r w:rsidR="00514DF9">
        <w:rPr>
          <w:rFonts w:ascii="Times New Roman" w:hAnsi="Times New Roman" w:cs="Times New Roman"/>
          <w:sz w:val="24"/>
          <w:szCs w:val="24"/>
        </w:rPr>
        <w:t xml:space="preserve"> tedbirleri kapsamında</w:t>
      </w:r>
      <w:r w:rsidRPr="00CD7BB8">
        <w:rPr>
          <w:rFonts w:ascii="Times New Roman" w:hAnsi="Times New Roman" w:cs="Times New Roman"/>
          <w:sz w:val="24"/>
          <w:szCs w:val="24"/>
        </w:rPr>
        <w:t xml:space="preserve"> faaliyetlerin durdurulduğu </w:t>
      </w:r>
      <w:r w:rsidR="00514DF9">
        <w:rPr>
          <w:rFonts w:ascii="Times New Roman" w:hAnsi="Times New Roman" w:cs="Times New Roman"/>
          <w:sz w:val="24"/>
          <w:szCs w:val="24"/>
        </w:rPr>
        <w:t xml:space="preserve">süreleri, </w:t>
      </w:r>
      <w:r w:rsidRPr="00CD7BB8">
        <w:rPr>
          <w:rFonts w:ascii="Times New Roman" w:hAnsi="Times New Roman" w:cs="Times New Roman"/>
          <w:sz w:val="24"/>
          <w:szCs w:val="24"/>
        </w:rPr>
        <w:t>iş</w:t>
      </w:r>
      <w:r w:rsidR="00514DF9">
        <w:rPr>
          <w:rFonts w:ascii="Times New Roman" w:hAnsi="Times New Roman" w:cs="Times New Roman"/>
          <w:sz w:val="24"/>
          <w:szCs w:val="24"/>
        </w:rPr>
        <w:t xml:space="preserve"> </w:t>
      </w:r>
      <w:r w:rsidRPr="00CD7BB8">
        <w:rPr>
          <w:rFonts w:ascii="Times New Roman" w:hAnsi="Times New Roman" w:cs="Times New Roman"/>
          <w:sz w:val="24"/>
          <w:szCs w:val="24"/>
        </w:rPr>
        <w:t xml:space="preserve">yeri </w:t>
      </w:r>
      <w:r w:rsidR="00514DF9">
        <w:rPr>
          <w:rFonts w:ascii="Times New Roman" w:hAnsi="Times New Roman" w:cs="Times New Roman"/>
          <w:sz w:val="24"/>
          <w:szCs w:val="24"/>
        </w:rPr>
        <w:t>süre eşikleri hesapla</w:t>
      </w:r>
      <w:r w:rsidRPr="00CD7BB8">
        <w:rPr>
          <w:rFonts w:ascii="Times New Roman" w:hAnsi="Times New Roman" w:cs="Times New Roman"/>
          <w:sz w:val="24"/>
          <w:szCs w:val="24"/>
        </w:rPr>
        <w:t>masında düş</w:t>
      </w:r>
      <w:r w:rsidR="00514DF9">
        <w:rPr>
          <w:rFonts w:ascii="Times New Roman" w:hAnsi="Times New Roman" w:cs="Times New Roman"/>
          <w:sz w:val="24"/>
          <w:szCs w:val="24"/>
        </w:rPr>
        <w:t xml:space="preserve">ebileceklerdir. </w:t>
      </w:r>
    </w:p>
    <w:p w:rsidR="00514DF9" w:rsidRPr="00514DF9" w:rsidRDefault="00514DF9" w:rsidP="00553C86">
      <w:pPr>
        <w:spacing w:before="120" w:after="0" w:line="240" w:lineRule="auto"/>
        <w:ind w:left="709"/>
        <w:jc w:val="both"/>
        <w:rPr>
          <w:rFonts w:ascii="Times New Roman" w:hAnsi="Times New Roman" w:cs="Times New Roman"/>
          <w:b/>
          <w:bCs/>
          <w:sz w:val="24"/>
          <w:szCs w:val="24"/>
        </w:rPr>
      </w:pPr>
      <w:r w:rsidRPr="00514DF9">
        <w:rPr>
          <w:rFonts w:ascii="Times New Roman" w:hAnsi="Times New Roman" w:cs="Times New Roman"/>
          <w:b/>
          <w:sz w:val="24"/>
          <w:szCs w:val="24"/>
        </w:rPr>
        <w:t>4.</w:t>
      </w:r>
      <w:r w:rsidR="003B0EEC">
        <w:rPr>
          <w:rFonts w:ascii="Times New Roman" w:hAnsi="Times New Roman" w:cs="Times New Roman"/>
          <w:b/>
          <w:sz w:val="24"/>
          <w:szCs w:val="24"/>
        </w:rPr>
        <w:t>2</w:t>
      </w:r>
      <w:r w:rsidRPr="00514DF9">
        <w:rPr>
          <w:rFonts w:ascii="Times New Roman" w:hAnsi="Times New Roman" w:cs="Times New Roman"/>
          <w:b/>
          <w:sz w:val="24"/>
          <w:szCs w:val="24"/>
        </w:rPr>
        <w:t xml:space="preserve">. </w:t>
      </w:r>
      <w:r w:rsidR="00F2485B">
        <w:rPr>
          <w:rFonts w:ascii="Times New Roman" w:hAnsi="Times New Roman" w:cs="Times New Roman"/>
          <w:b/>
          <w:sz w:val="24"/>
          <w:szCs w:val="24"/>
        </w:rPr>
        <w:t xml:space="preserve">Kuruluşların </w:t>
      </w:r>
      <w:r>
        <w:rPr>
          <w:rFonts w:ascii="Times New Roman" w:hAnsi="Times New Roman" w:cs="Times New Roman"/>
          <w:b/>
          <w:bCs/>
          <w:sz w:val="24"/>
          <w:szCs w:val="24"/>
        </w:rPr>
        <w:t>Mukimlik Değişikliğiyle İlgili E</w:t>
      </w:r>
      <w:r w:rsidRPr="00514DF9">
        <w:rPr>
          <w:rFonts w:ascii="Times New Roman" w:hAnsi="Times New Roman" w:cs="Times New Roman"/>
          <w:b/>
          <w:bCs/>
          <w:sz w:val="24"/>
          <w:szCs w:val="24"/>
        </w:rPr>
        <w:t>ndişeler</w:t>
      </w:r>
    </w:p>
    <w:p w:rsidR="001B3762" w:rsidRPr="00514DF9" w:rsidRDefault="00514DF9" w:rsidP="00553C86">
      <w:pPr>
        <w:spacing w:before="120" w:after="0" w:line="240" w:lineRule="auto"/>
        <w:ind w:firstLine="709"/>
        <w:jc w:val="both"/>
        <w:rPr>
          <w:rFonts w:ascii="Times New Roman" w:hAnsi="Times New Roman" w:cs="Times New Roman"/>
          <w:sz w:val="24"/>
          <w:szCs w:val="24"/>
        </w:rPr>
      </w:pPr>
      <w:r w:rsidRPr="00514DF9">
        <w:rPr>
          <w:rFonts w:ascii="Times New Roman" w:hAnsi="Times New Roman" w:cs="Times New Roman"/>
          <w:sz w:val="24"/>
          <w:szCs w:val="24"/>
        </w:rPr>
        <w:t xml:space="preserve">COVID-19 salgını, yönetim kurulu üyelerinin veya diğer üst düzey yöneticilerin yer değiştirmeleri </w:t>
      </w:r>
      <w:r w:rsidR="009C32AC">
        <w:rPr>
          <w:rFonts w:ascii="Times New Roman" w:hAnsi="Times New Roman" w:cs="Times New Roman"/>
          <w:sz w:val="24"/>
          <w:szCs w:val="24"/>
        </w:rPr>
        <w:t>ya da</w:t>
      </w:r>
      <w:r w:rsidRPr="00514DF9">
        <w:rPr>
          <w:rFonts w:ascii="Times New Roman" w:hAnsi="Times New Roman" w:cs="Times New Roman"/>
          <w:sz w:val="24"/>
          <w:szCs w:val="24"/>
        </w:rPr>
        <w:t xml:space="preserve"> seyahat edem</w:t>
      </w:r>
      <w:r>
        <w:rPr>
          <w:rFonts w:ascii="Times New Roman" w:hAnsi="Times New Roman" w:cs="Times New Roman"/>
          <w:sz w:val="24"/>
          <w:szCs w:val="24"/>
        </w:rPr>
        <w:t>emeleri sonucunda bir şirketin “etkin yönetim merkezinde (</w:t>
      </w:r>
      <w:r w:rsidRPr="00514DF9">
        <w:rPr>
          <w:rFonts w:ascii="Times New Roman" w:hAnsi="Times New Roman" w:cs="Times New Roman"/>
          <w:sz w:val="24"/>
          <w:szCs w:val="24"/>
        </w:rPr>
        <w:t>place of effective management</w:t>
      </w:r>
      <w:r>
        <w:rPr>
          <w:rFonts w:ascii="Times New Roman" w:hAnsi="Times New Roman" w:cs="Times New Roman"/>
          <w:sz w:val="24"/>
          <w:szCs w:val="24"/>
        </w:rPr>
        <w:t>)”</w:t>
      </w:r>
      <w:r w:rsidRPr="00514DF9">
        <w:rPr>
          <w:rFonts w:ascii="Times New Roman" w:hAnsi="Times New Roman" w:cs="Times New Roman"/>
          <w:sz w:val="24"/>
          <w:szCs w:val="24"/>
        </w:rPr>
        <w:t xml:space="preserve"> meydana gelebilecek olası bir değişiklik</w:t>
      </w:r>
      <w:r>
        <w:rPr>
          <w:rFonts w:ascii="Times New Roman" w:hAnsi="Times New Roman" w:cs="Times New Roman"/>
          <w:sz w:val="24"/>
          <w:szCs w:val="24"/>
        </w:rPr>
        <w:t xml:space="preserve">ten kaynaklanan </w:t>
      </w:r>
      <w:r w:rsidRPr="00514DF9">
        <w:rPr>
          <w:rFonts w:ascii="Times New Roman" w:hAnsi="Times New Roman" w:cs="Times New Roman"/>
          <w:sz w:val="24"/>
          <w:szCs w:val="24"/>
        </w:rPr>
        <w:t>endişeler</w:t>
      </w:r>
      <w:r>
        <w:rPr>
          <w:rFonts w:ascii="Times New Roman" w:hAnsi="Times New Roman" w:cs="Times New Roman"/>
          <w:sz w:val="24"/>
          <w:szCs w:val="24"/>
        </w:rPr>
        <w:t>e neden olabilir. B</w:t>
      </w:r>
      <w:r w:rsidRPr="00514DF9">
        <w:rPr>
          <w:rFonts w:ascii="Times New Roman" w:hAnsi="Times New Roman" w:cs="Times New Roman"/>
          <w:sz w:val="24"/>
          <w:szCs w:val="24"/>
        </w:rPr>
        <w:t xml:space="preserve">u </w:t>
      </w:r>
      <w:r w:rsidR="00230753">
        <w:rPr>
          <w:rFonts w:ascii="Times New Roman" w:hAnsi="Times New Roman" w:cs="Times New Roman"/>
          <w:sz w:val="24"/>
          <w:szCs w:val="24"/>
        </w:rPr>
        <w:t>endişeler</w:t>
      </w:r>
      <w:r w:rsidR="00970699">
        <w:rPr>
          <w:rFonts w:ascii="Times New Roman" w:hAnsi="Times New Roman" w:cs="Times New Roman"/>
          <w:sz w:val="24"/>
          <w:szCs w:val="24"/>
        </w:rPr>
        <w:t>,</w:t>
      </w:r>
      <w:r w:rsidR="00230753">
        <w:rPr>
          <w:rFonts w:ascii="Times New Roman" w:hAnsi="Times New Roman" w:cs="Times New Roman"/>
          <w:sz w:val="24"/>
          <w:szCs w:val="24"/>
        </w:rPr>
        <w:t xml:space="preserve"> daha çok </w:t>
      </w:r>
      <w:r w:rsidRPr="00514DF9">
        <w:rPr>
          <w:rFonts w:ascii="Times New Roman" w:hAnsi="Times New Roman" w:cs="Times New Roman"/>
          <w:sz w:val="24"/>
          <w:szCs w:val="24"/>
        </w:rPr>
        <w:t>bir şirketin mukimliğinde bir değişikliğ</w:t>
      </w:r>
      <w:r w:rsidR="00230753">
        <w:rPr>
          <w:rFonts w:ascii="Times New Roman" w:hAnsi="Times New Roman" w:cs="Times New Roman"/>
          <w:sz w:val="24"/>
          <w:szCs w:val="24"/>
        </w:rPr>
        <w:t>in söz konusu olabilmesi ve bu</w:t>
      </w:r>
      <w:r w:rsidRPr="00514DF9">
        <w:rPr>
          <w:rFonts w:ascii="Times New Roman" w:hAnsi="Times New Roman" w:cs="Times New Roman"/>
          <w:sz w:val="24"/>
          <w:szCs w:val="24"/>
        </w:rPr>
        <w:t xml:space="preserve"> şirketin </w:t>
      </w:r>
      <w:r w:rsidR="00230753">
        <w:rPr>
          <w:rFonts w:ascii="Times New Roman" w:hAnsi="Times New Roman" w:cs="Times New Roman"/>
          <w:sz w:val="24"/>
          <w:szCs w:val="24"/>
        </w:rPr>
        <w:t xml:space="preserve">ÇVÖA </w:t>
      </w:r>
      <w:r w:rsidRPr="00514DF9">
        <w:rPr>
          <w:rFonts w:ascii="Times New Roman" w:hAnsi="Times New Roman" w:cs="Times New Roman"/>
          <w:sz w:val="24"/>
          <w:szCs w:val="24"/>
        </w:rPr>
        <w:t>kapsamında mukim olarak kabul edildiği ülke</w:t>
      </w:r>
      <w:r w:rsidR="00230753">
        <w:rPr>
          <w:rFonts w:ascii="Times New Roman" w:hAnsi="Times New Roman" w:cs="Times New Roman"/>
          <w:sz w:val="24"/>
          <w:szCs w:val="24"/>
        </w:rPr>
        <w:t xml:space="preserve">nin bundan etkilenebilmesi olarak dikkat çekmektedir. </w:t>
      </w:r>
      <w:r w:rsidR="00230753" w:rsidRPr="00230753">
        <w:rPr>
          <w:rFonts w:ascii="Times New Roman" w:hAnsi="Times New Roman" w:cs="Times New Roman"/>
          <w:sz w:val="24"/>
          <w:szCs w:val="24"/>
        </w:rPr>
        <w:t xml:space="preserve">COVID-19 </w:t>
      </w:r>
      <w:r w:rsidR="00230753">
        <w:rPr>
          <w:rFonts w:ascii="Times New Roman" w:hAnsi="Times New Roman" w:cs="Times New Roman"/>
          <w:sz w:val="24"/>
          <w:szCs w:val="24"/>
        </w:rPr>
        <w:t>salgınının esasında</w:t>
      </w:r>
      <w:r w:rsidR="00230753" w:rsidRPr="00230753">
        <w:rPr>
          <w:rFonts w:ascii="Times New Roman" w:hAnsi="Times New Roman" w:cs="Times New Roman"/>
          <w:sz w:val="24"/>
          <w:szCs w:val="24"/>
        </w:rPr>
        <w:t xml:space="preserve"> bir kuruluşun </w:t>
      </w:r>
      <w:r w:rsidR="00230753">
        <w:rPr>
          <w:rFonts w:ascii="Times New Roman" w:hAnsi="Times New Roman" w:cs="Times New Roman"/>
          <w:sz w:val="24"/>
          <w:szCs w:val="24"/>
        </w:rPr>
        <w:t>ÇVÖA</w:t>
      </w:r>
      <w:r w:rsidR="00230753" w:rsidRPr="00230753">
        <w:rPr>
          <w:rFonts w:ascii="Times New Roman" w:hAnsi="Times New Roman" w:cs="Times New Roman"/>
          <w:sz w:val="24"/>
          <w:szCs w:val="24"/>
        </w:rPr>
        <w:t xml:space="preserve"> kapsamında mukimlik d</w:t>
      </w:r>
      <w:r w:rsidR="00230753">
        <w:rPr>
          <w:rFonts w:ascii="Times New Roman" w:hAnsi="Times New Roman" w:cs="Times New Roman"/>
          <w:sz w:val="24"/>
          <w:szCs w:val="24"/>
        </w:rPr>
        <w:t>urumunda herhangi bir değişikliğe neden olması</w:t>
      </w:r>
      <w:r w:rsidR="00230753" w:rsidRPr="00230753">
        <w:rPr>
          <w:rFonts w:ascii="Times New Roman" w:hAnsi="Times New Roman" w:cs="Times New Roman"/>
          <w:sz w:val="24"/>
          <w:szCs w:val="24"/>
        </w:rPr>
        <w:t xml:space="preserve"> olası bir durum değildir. </w:t>
      </w:r>
      <w:r w:rsidR="00AF113B">
        <w:rPr>
          <w:rFonts w:ascii="Times New Roman" w:hAnsi="Times New Roman" w:cs="Times New Roman"/>
          <w:sz w:val="24"/>
          <w:szCs w:val="24"/>
        </w:rPr>
        <w:t xml:space="preserve">Etkin yönetim merkezi veya </w:t>
      </w:r>
      <w:r w:rsidR="00727792">
        <w:rPr>
          <w:rFonts w:ascii="Times New Roman" w:hAnsi="Times New Roman" w:cs="Times New Roman"/>
          <w:sz w:val="24"/>
          <w:szCs w:val="24"/>
        </w:rPr>
        <w:t>iş merkezinin şirketlerin mukimliğinin belirlenmesinde ölçüt olarak kullanıldığı durumda COVI</w:t>
      </w:r>
      <w:r w:rsidR="00727792" w:rsidRPr="00727792">
        <w:rPr>
          <w:rFonts w:ascii="Times New Roman" w:hAnsi="Times New Roman" w:cs="Times New Roman"/>
          <w:sz w:val="24"/>
          <w:szCs w:val="24"/>
        </w:rPr>
        <w:t xml:space="preserve">D-19 salgını kapsamında alınan seyahat yasağı nedeniyle </w:t>
      </w:r>
      <w:r w:rsidR="00727792">
        <w:rPr>
          <w:rFonts w:ascii="Times New Roman" w:hAnsi="Times New Roman" w:cs="Times New Roman"/>
          <w:sz w:val="24"/>
          <w:szCs w:val="24"/>
        </w:rPr>
        <w:t>şirketlerin</w:t>
      </w:r>
      <w:r w:rsidR="00727792" w:rsidRPr="00727792">
        <w:rPr>
          <w:rFonts w:ascii="Times New Roman" w:hAnsi="Times New Roman" w:cs="Times New Roman"/>
          <w:sz w:val="24"/>
          <w:szCs w:val="24"/>
        </w:rPr>
        <w:t xml:space="preserve"> </w:t>
      </w:r>
      <w:r w:rsidR="00727792">
        <w:rPr>
          <w:rFonts w:ascii="Times New Roman" w:hAnsi="Times New Roman" w:cs="Times New Roman"/>
          <w:sz w:val="24"/>
          <w:szCs w:val="24"/>
        </w:rPr>
        <w:t xml:space="preserve">yönetim kurulu üyelerinin </w:t>
      </w:r>
      <w:r w:rsidR="00727792" w:rsidRPr="00727792">
        <w:rPr>
          <w:rFonts w:ascii="Times New Roman" w:hAnsi="Times New Roman" w:cs="Times New Roman"/>
          <w:sz w:val="24"/>
          <w:szCs w:val="24"/>
        </w:rPr>
        <w:t xml:space="preserve">ya da </w:t>
      </w:r>
      <w:r w:rsidR="00727792">
        <w:rPr>
          <w:rFonts w:ascii="Times New Roman" w:hAnsi="Times New Roman" w:cs="Times New Roman"/>
          <w:sz w:val="24"/>
          <w:szCs w:val="24"/>
        </w:rPr>
        <w:t xml:space="preserve">diğer </w:t>
      </w:r>
      <w:r w:rsidR="00727792" w:rsidRPr="00727792">
        <w:rPr>
          <w:rFonts w:ascii="Times New Roman" w:hAnsi="Times New Roman" w:cs="Times New Roman"/>
          <w:sz w:val="24"/>
          <w:szCs w:val="24"/>
        </w:rPr>
        <w:t>üst düzey yöneticilerinin bulundukları yerin değişmesi şirket yönetim yer</w:t>
      </w:r>
      <w:r w:rsidR="00727792">
        <w:rPr>
          <w:rFonts w:ascii="Times New Roman" w:hAnsi="Times New Roman" w:cs="Times New Roman"/>
          <w:sz w:val="24"/>
          <w:szCs w:val="24"/>
        </w:rPr>
        <w:t xml:space="preserve">lerinin, dolayısıyla mukimliklerinin </w:t>
      </w:r>
      <w:r w:rsidR="00727792" w:rsidRPr="00727792">
        <w:rPr>
          <w:rFonts w:ascii="Times New Roman" w:hAnsi="Times New Roman" w:cs="Times New Roman"/>
          <w:sz w:val="24"/>
          <w:szCs w:val="24"/>
        </w:rPr>
        <w:t xml:space="preserve">değiştiği </w:t>
      </w:r>
      <w:r w:rsidR="00727792">
        <w:rPr>
          <w:rFonts w:ascii="Times New Roman" w:hAnsi="Times New Roman" w:cs="Times New Roman"/>
          <w:sz w:val="24"/>
          <w:szCs w:val="24"/>
        </w:rPr>
        <w:t xml:space="preserve">anlamına gelmemektedir. </w:t>
      </w:r>
      <w:r w:rsidR="00230753" w:rsidRPr="00230753">
        <w:rPr>
          <w:rFonts w:ascii="Times New Roman" w:hAnsi="Times New Roman" w:cs="Times New Roman"/>
          <w:sz w:val="24"/>
          <w:szCs w:val="24"/>
        </w:rPr>
        <w:t xml:space="preserve">Yönetim kurulu üyelerinin veya diğer üst düzey yöneticilerin bulundukları yerdeki geçici bir değişiklik, COVID-19 salgınının </w:t>
      </w:r>
      <w:r w:rsidR="00230753">
        <w:rPr>
          <w:rFonts w:ascii="Times New Roman" w:hAnsi="Times New Roman" w:cs="Times New Roman"/>
          <w:sz w:val="24"/>
          <w:szCs w:val="24"/>
        </w:rPr>
        <w:t xml:space="preserve">meydana </w:t>
      </w:r>
      <w:r w:rsidR="00230753">
        <w:rPr>
          <w:rFonts w:ascii="Times New Roman" w:hAnsi="Times New Roman" w:cs="Times New Roman"/>
          <w:sz w:val="24"/>
          <w:szCs w:val="24"/>
        </w:rPr>
        <w:lastRenderedPageBreak/>
        <w:t>getirdiği</w:t>
      </w:r>
      <w:r w:rsidR="00230753" w:rsidRPr="00230753">
        <w:rPr>
          <w:rFonts w:ascii="Times New Roman" w:hAnsi="Times New Roman" w:cs="Times New Roman"/>
          <w:sz w:val="24"/>
          <w:szCs w:val="24"/>
        </w:rPr>
        <w:t xml:space="preserve"> olağanüstü ve geçici bir durumdur v</w:t>
      </w:r>
      <w:r w:rsidR="00230753">
        <w:rPr>
          <w:rFonts w:ascii="Times New Roman" w:hAnsi="Times New Roman" w:cs="Times New Roman"/>
          <w:sz w:val="24"/>
          <w:szCs w:val="24"/>
        </w:rPr>
        <w:t>e bu türden bir yer değişikliği</w:t>
      </w:r>
      <w:r w:rsidR="00230753" w:rsidRPr="00230753">
        <w:rPr>
          <w:rFonts w:ascii="Times New Roman" w:hAnsi="Times New Roman" w:cs="Times New Roman"/>
          <w:sz w:val="24"/>
          <w:szCs w:val="24"/>
        </w:rPr>
        <w:t xml:space="preserve"> anlaşma kapsamında mukimlik durumunda bir değişikliğe sebebiyet vermemelidir.</w:t>
      </w:r>
      <w:r w:rsidR="00230753">
        <w:rPr>
          <w:rFonts w:ascii="Times New Roman" w:hAnsi="Times New Roman" w:cs="Times New Roman"/>
          <w:sz w:val="24"/>
          <w:szCs w:val="24"/>
        </w:rPr>
        <w:t xml:space="preserve"> Ancak </w:t>
      </w:r>
      <w:r w:rsidR="00230753" w:rsidRPr="00230753">
        <w:rPr>
          <w:rFonts w:ascii="Times New Roman" w:hAnsi="Times New Roman" w:cs="Times New Roman"/>
          <w:sz w:val="24"/>
          <w:szCs w:val="24"/>
        </w:rPr>
        <w:t>etkin yö</w:t>
      </w:r>
      <w:r w:rsidR="00230753">
        <w:rPr>
          <w:rFonts w:ascii="Times New Roman" w:hAnsi="Times New Roman" w:cs="Times New Roman"/>
          <w:sz w:val="24"/>
          <w:szCs w:val="24"/>
        </w:rPr>
        <w:t>netim merkezindeki değişikliğin</w:t>
      </w:r>
      <w:r w:rsidR="00230753" w:rsidRPr="00230753">
        <w:rPr>
          <w:rFonts w:ascii="Times New Roman" w:hAnsi="Times New Roman" w:cs="Times New Roman"/>
          <w:sz w:val="24"/>
          <w:szCs w:val="24"/>
        </w:rPr>
        <w:t xml:space="preserve"> iç mevzuata göre bir şirketin aynı anda iki ülkede de mukim olarak kabul edilmesine yol açtığı durumlarda</w:t>
      </w:r>
      <w:r w:rsidR="00230753">
        <w:rPr>
          <w:rFonts w:ascii="Times New Roman" w:hAnsi="Times New Roman" w:cs="Times New Roman"/>
          <w:sz w:val="24"/>
          <w:szCs w:val="24"/>
        </w:rPr>
        <w:t xml:space="preserve"> </w:t>
      </w:r>
      <w:r w:rsidR="00230753" w:rsidRPr="00230753">
        <w:rPr>
          <w:rFonts w:ascii="Times New Roman" w:hAnsi="Times New Roman" w:cs="Times New Roman"/>
          <w:sz w:val="24"/>
          <w:szCs w:val="24"/>
        </w:rPr>
        <w:t>çifte mukimlik sorunu</w:t>
      </w:r>
      <w:r w:rsidR="00230753">
        <w:rPr>
          <w:rFonts w:ascii="Times New Roman" w:hAnsi="Times New Roman" w:cs="Times New Roman"/>
          <w:sz w:val="24"/>
          <w:szCs w:val="24"/>
        </w:rPr>
        <w:t xml:space="preserve"> ortaya çıkabilir. </w:t>
      </w:r>
      <w:r w:rsidR="001A4F99">
        <w:rPr>
          <w:rFonts w:ascii="Times New Roman" w:hAnsi="Times New Roman" w:cs="Times New Roman"/>
          <w:sz w:val="24"/>
          <w:szCs w:val="24"/>
        </w:rPr>
        <w:t>Ş</w:t>
      </w:r>
      <w:r w:rsidR="00230753" w:rsidRPr="00230753">
        <w:rPr>
          <w:rFonts w:ascii="Times New Roman" w:hAnsi="Times New Roman" w:cs="Times New Roman"/>
          <w:sz w:val="24"/>
          <w:szCs w:val="24"/>
        </w:rPr>
        <w:t>irketlerin çifte mukimlik durum</w:t>
      </w:r>
      <w:r w:rsidR="001A4F99">
        <w:rPr>
          <w:rFonts w:ascii="Times New Roman" w:hAnsi="Times New Roman" w:cs="Times New Roman"/>
          <w:sz w:val="24"/>
          <w:szCs w:val="24"/>
        </w:rPr>
        <w:t xml:space="preserve">larına </w:t>
      </w:r>
      <w:r w:rsidR="00230753" w:rsidRPr="00230753">
        <w:rPr>
          <w:rFonts w:ascii="Times New Roman" w:hAnsi="Times New Roman" w:cs="Times New Roman"/>
          <w:sz w:val="24"/>
          <w:szCs w:val="24"/>
        </w:rPr>
        <w:t>pek rastlan</w:t>
      </w:r>
      <w:r w:rsidR="001A4F99">
        <w:rPr>
          <w:rFonts w:ascii="Times New Roman" w:hAnsi="Times New Roman" w:cs="Times New Roman"/>
          <w:sz w:val="24"/>
          <w:szCs w:val="24"/>
        </w:rPr>
        <w:t xml:space="preserve">mamakla birlikte </w:t>
      </w:r>
      <w:r w:rsidR="001A4F99" w:rsidRPr="001A4F99">
        <w:rPr>
          <w:rFonts w:ascii="Times New Roman" w:hAnsi="Times New Roman" w:cs="Times New Roman"/>
          <w:sz w:val="24"/>
          <w:szCs w:val="24"/>
        </w:rPr>
        <w:t>bir kuruluşun çifte mukimliğ</w:t>
      </w:r>
      <w:r w:rsidR="001A4F99">
        <w:rPr>
          <w:rFonts w:ascii="Times New Roman" w:hAnsi="Times New Roman" w:cs="Times New Roman"/>
          <w:sz w:val="24"/>
          <w:szCs w:val="24"/>
        </w:rPr>
        <w:t xml:space="preserve">e sahip olacağı durumlarda bile </w:t>
      </w:r>
      <w:r w:rsidR="001A4F99" w:rsidRPr="001A4F99">
        <w:rPr>
          <w:rFonts w:ascii="Times New Roman" w:hAnsi="Times New Roman" w:cs="Times New Roman"/>
          <w:sz w:val="24"/>
          <w:szCs w:val="24"/>
        </w:rPr>
        <w:t>kuruluşun ülkelerden yalnızca birinde mukim olmasını sağlayan eşitlik bozucu</w:t>
      </w:r>
      <w:r w:rsidR="001A4F99">
        <w:rPr>
          <w:rFonts w:ascii="Times New Roman" w:hAnsi="Times New Roman" w:cs="Times New Roman"/>
          <w:sz w:val="24"/>
          <w:szCs w:val="24"/>
        </w:rPr>
        <w:t xml:space="preserve"> kurallar</w:t>
      </w:r>
      <w:r w:rsidR="001A4F99" w:rsidRPr="001A4F99">
        <w:rPr>
          <w:rFonts w:ascii="Times New Roman" w:hAnsi="Times New Roman" w:cs="Times New Roman"/>
          <w:sz w:val="24"/>
          <w:szCs w:val="24"/>
        </w:rPr>
        <w:t xml:space="preserve"> </w:t>
      </w:r>
      <w:r w:rsidR="001A4F99">
        <w:rPr>
          <w:rFonts w:ascii="Times New Roman" w:hAnsi="Times New Roman" w:cs="Times New Roman"/>
          <w:sz w:val="24"/>
          <w:szCs w:val="24"/>
        </w:rPr>
        <w:t>ÇVÖA’larda</w:t>
      </w:r>
      <w:r w:rsidR="001A4F99" w:rsidRPr="001A4F99">
        <w:rPr>
          <w:rFonts w:ascii="Times New Roman" w:hAnsi="Times New Roman" w:cs="Times New Roman"/>
          <w:sz w:val="24"/>
          <w:szCs w:val="24"/>
        </w:rPr>
        <w:t xml:space="preserve"> </w:t>
      </w:r>
      <w:r w:rsidR="001A4F99">
        <w:rPr>
          <w:rFonts w:ascii="Times New Roman" w:hAnsi="Times New Roman" w:cs="Times New Roman"/>
          <w:sz w:val="24"/>
          <w:szCs w:val="24"/>
        </w:rPr>
        <w:t>bulunmaktadır</w:t>
      </w:r>
      <w:r w:rsidR="001A4F99" w:rsidRPr="001A4F99">
        <w:rPr>
          <w:rFonts w:ascii="Times New Roman" w:hAnsi="Times New Roman" w:cs="Times New Roman"/>
          <w:sz w:val="24"/>
          <w:szCs w:val="24"/>
        </w:rPr>
        <w:t xml:space="preserve">. </w:t>
      </w:r>
      <w:r w:rsidR="001A4F99">
        <w:rPr>
          <w:rFonts w:ascii="Times New Roman" w:hAnsi="Times New Roman" w:cs="Times New Roman"/>
          <w:sz w:val="24"/>
          <w:szCs w:val="24"/>
        </w:rPr>
        <w:t xml:space="preserve">OECD MVA’ya göre </w:t>
      </w:r>
      <w:r w:rsidR="001A4F99" w:rsidRPr="001A4F99">
        <w:rPr>
          <w:rFonts w:ascii="Times New Roman" w:hAnsi="Times New Roman" w:cs="Times New Roman"/>
          <w:sz w:val="24"/>
          <w:szCs w:val="24"/>
        </w:rPr>
        <w:t>yetkili makamlar çifte mukimlik sorununu olayına göre</w:t>
      </w:r>
      <w:r w:rsidR="001A4F99">
        <w:rPr>
          <w:rFonts w:ascii="Times New Roman" w:hAnsi="Times New Roman" w:cs="Times New Roman"/>
          <w:sz w:val="24"/>
          <w:szCs w:val="24"/>
        </w:rPr>
        <w:t xml:space="preserve"> diğer</w:t>
      </w:r>
      <w:r w:rsidR="001A4F99" w:rsidRPr="001A4F99">
        <w:rPr>
          <w:rFonts w:ascii="Times New Roman" w:hAnsi="Times New Roman" w:cs="Times New Roman"/>
          <w:sz w:val="24"/>
          <w:szCs w:val="24"/>
        </w:rPr>
        <w:t xml:space="preserve"> durum ve koşullar</w:t>
      </w:r>
      <w:r w:rsidR="001A4F99">
        <w:rPr>
          <w:rFonts w:ascii="Times New Roman" w:hAnsi="Times New Roman" w:cs="Times New Roman"/>
          <w:sz w:val="24"/>
          <w:szCs w:val="24"/>
        </w:rPr>
        <w:t>ı</w:t>
      </w:r>
      <w:r w:rsidR="001A4F99" w:rsidRPr="001A4F99">
        <w:rPr>
          <w:rFonts w:ascii="Times New Roman" w:hAnsi="Times New Roman" w:cs="Times New Roman"/>
          <w:sz w:val="24"/>
          <w:szCs w:val="24"/>
        </w:rPr>
        <w:t xml:space="preserve"> dikkate al</w:t>
      </w:r>
      <w:r w:rsidR="001A4F99">
        <w:rPr>
          <w:rFonts w:ascii="Times New Roman" w:hAnsi="Times New Roman" w:cs="Times New Roman"/>
          <w:sz w:val="24"/>
          <w:szCs w:val="24"/>
        </w:rPr>
        <w:t xml:space="preserve">mak kaydıyla </w:t>
      </w:r>
      <w:r w:rsidR="001A4F99" w:rsidRPr="001A4F99">
        <w:rPr>
          <w:rFonts w:ascii="Times New Roman" w:hAnsi="Times New Roman" w:cs="Times New Roman"/>
          <w:sz w:val="24"/>
          <w:szCs w:val="24"/>
        </w:rPr>
        <w:t xml:space="preserve">karşılıklı anlaşma yoluyla </w:t>
      </w:r>
      <w:r w:rsidR="001A4F99">
        <w:rPr>
          <w:rFonts w:ascii="Times New Roman" w:hAnsi="Times New Roman" w:cs="Times New Roman"/>
          <w:sz w:val="24"/>
          <w:szCs w:val="24"/>
        </w:rPr>
        <w:t>çöze</w:t>
      </w:r>
      <w:r w:rsidR="00851A5F">
        <w:rPr>
          <w:rFonts w:ascii="Times New Roman" w:hAnsi="Times New Roman" w:cs="Times New Roman"/>
          <w:sz w:val="24"/>
          <w:szCs w:val="24"/>
        </w:rPr>
        <w:t>bili</w:t>
      </w:r>
      <w:r w:rsidR="001A4F99">
        <w:rPr>
          <w:rFonts w:ascii="Times New Roman" w:hAnsi="Times New Roman" w:cs="Times New Roman"/>
          <w:sz w:val="24"/>
          <w:szCs w:val="24"/>
        </w:rPr>
        <w:t xml:space="preserve">rler. </w:t>
      </w:r>
    </w:p>
    <w:p w:rsidR="00514DF9" w:rsidRPr="001A4F99" w:rsidRDefault="001A4F99" w:rsidP="00553C86">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Sonuç olarak, bir kuruluşun</w:t>
      </w:r>
      <w:r w:rsidRPr="001A4F99">
        <w:rPr>
          <w:rFonts w:ascii="Times New Roman" w:hAnsi="Times New Roman" w:cs="Times New Roman"/>
          <w:sz w:val="24"/>
          <w:szCs w:val="24"/>
        </w:rPr>
        <w:t xml:space="preserve"> </w:t>
      </w:r>
      <w:r>
        <w:rPr>
          <w:rFonts w:ascii="Times New Roman" w:hAnsi="Times New Roman" w:cs="Times New Roman"/>
          <w:sz w:val="24"/>
          <w:szCs w:val="24"/>
        </w:rPr>
        <w:t xml:space="preserve">ÇVÖA’da </w:t>
      </w:r>
      <w:r w:rsidRPr="001A4F99">
        <w:rPr>
          <w:rFonts w:ascii="Times New Roman" w:hAnsi="Times New Roman" w:cs="Times New Roman"/>
          <w:sz w:val="24"/>
          <w:szCs w:val="24"/>
        </w:rPr>
        <w:t xml:space="preserve">yer alan </w:t>
      </w:r>
      <w:r>
        <w:rPr>
          <w:rFonts w:ascii="Times New Roman" w:hAnsi="Times New Roman" w:cs="Times New Roman"/>
          <w:sz w:val="24"/>
          <w:szCs w:val="24"/>
        </w:rPr>
        <w:t xml:space="preserve">eşitlik bozucu </w:t>
      </w:r>
      <w:r w:rsidRPr="001A4F99">
        <w:rPr>
          <w:rFonts w:ascii="Times New Roman" w:hAnsi="Times New Roman" w:cs="Times New Roman"/>
          <w:sz w:val="24"/>
          <w:szCs w:val="24"/>
        </w:rPr>
        <w:t>hük</w:t>
      </w:r>
      <w:r>
        <w:rPr>
          <w:rFonts w:ascii="Times New Roman" w:hAnsi="Times New Roman" w:cs="Times New Roman"/>
          <w:sz w:val="24"/>
          <w:szCs w:val="24"/>
        </w:rPr>
        <w:t>üm</w:t>
      </w:r>
      <w:r w:rsidRPr="001A4F99">
        <w:rPr>
          <w:rFonts w:ascii="Times New Roman" w:hAnsi="Times New Roman" w:cs="Times New Roman"/>
          <w:sz w:val="24"/>
          <w:szCs w:val="24"/>
        </w:rPr>
        <w:t xml:space="preserve"> kapsamında mukim olduğu yer, bir işletmenin yönetimine ve karar alma</w:t>
      </w:r>
      <w:r>
        <w:rPr>
          <w:rFonts w:ascii="Times New Roman" w:hAnsi="Times New Roman" w:cs="Times New Roman"/>
          <w:sz w:val="24"/>
          <w:szCs w:val="24"/>
        </w:rPr>
        <w:t xml:space="preserve"> sürecine katılan </w:t>
      </w:r>
      <w:r w:rsidR="00F2485B">
        <w:rPr>
          <w:rFonts w:ascii="Times New Roman" w:hAnsi="Times New Roman" w:cs="Times New Roman"/>
          <w:sz w:val="24"/>
          <w:szCs w:val="24"/>
        </w:rPr>
        <w:t>üst düzey yöneticiler</w:t>
      </w:r>
      <w:r>
        <w:rPr>
          <w:rFonts w:ascii="Times New Roman" w:hAnsi="Times New Roman" w:cs="Times New Roman"/>
          <w:sz w:val="24"/>
          <w:szCs w:val="24"/>
        </w:rPr>
        <w:t xml:space="preserve"> için</w:t>
      </w:r>
      <w:r w:rsidRPr="001A4F99">
        <w:rPr>
          <w:rFonts w:ascii="Times New Roman" w:hAnsi="Times New Roman" w:cs="Times New Roman"/>
          <w:sz w:val="24"/>
          <w:szCs w:val="24"/>
        </w:rPr>
        <w:t xml:space="preserve"> ilgili ülke</w:t>
      </w:r>
      <w:r>
        <w:rPr>
          <w:rFonts w:ascii="Times New Roman" w:hAnsi="Times New Roman" w:cs="Times New Roman"/>
          <w:sz w:val="24"/>
          <w:szCs w:val="24"/>
        </w:rPr>
        <w:t xml:space="preserve">lerde </w:t>
      </w:r>
      <w:r w:rsidRPr="001A4F99">
        <w:rPr>
          <w:rFonts w:ascii="Times New Roman" w:hAnsi="Times New Roman" w:cs="Times New Roman"/>
          <w:sz w:val="24"/>
          <w:szCs w:val="24"/>
        </w:rPr>
        <w:t>uygulanan seyahat kısıtlamalarından etkilenme</w:t>
      </w:r>
      <w:r>
        <w:rPr>
          <w:rFonts w:ascii="Times New Roman" w:hAnsi="Times New Roman" w:cs="Times New Roman"/>
          <w:sz w:val="24"/>
          <w:szCs w:val="24"/>
        </w:rPr>
        <w:t>yecektir.</w:t>
      </w:r>
    </w:p>
    <w:p w:rsidR="00902F93" w:rsidRPr="00902F93" w:rsidRDefault="003B0EEC" w:rsidP="009175F9">
      <w:pPr>
        <w:spacing w:before="120" w:after="0" w:line="240" w:lineRule="auto"/>
        <w:ind w:left="709"/>
        <w:jc w:val="both"/>
        <w:rPr>
          <w:rFonts w:ascii="Times New Roman" w:hAnsi="Times New Roman" w:cs="Times New Roman"/>
          <w:b/>
          <w:bCs/>
          <w:iCs/>
          <w:sz w:val="24"/>
          <w:szCs w:val="24"/>
        </w:rPr>
      </w:pPr>
      <w:r>
        <w:rPr>
          <w:rFonts w:ascii="Times New Roman" w:hAnsi="Times New Roman" w:cs="Times New Roman"/>
          <w:b/>
          <w:sz w:val="24"/>
          <w:szCs w:val="24"/>
        </w:rPr>
        <w:t>4.3</w:t>
      </w:r>
      <w:r w:rsidR="00902F93">
        <w:rPr>
          <w:rFonts w:ascii="Times New Roman" w:hAnsi="Times New Roman" w:cs="Times New Roman"/>
          <w:b/>
          <w:sz w:val="24"/>
          <w:szCs w:val="24"/>
        </w:rPr>
        <w:t xml:space="preserve">. </w:t>
      </w:r>
      <w:r w:rsidR="00902F93">
        <w:rPr>
          <w:rFonts w:ascii="Times New Roman" w:hAnsi="Times New Roman" w:cs="Times New Roman"/>
          <w:b/>
          <w:bCs/>
          <w:iCs/>
          <w:sz w:val="24"/>
          <w:szCs w:val="24"/>
        </w:rPr>
        <w:t>Bireylerin Mukimlik D</w:t>
      </w:r>
      <w:r w:rsidR="00902F93" w:rsidRPr="00902F93">
        <w:rPr>
          <w:rFonts w:ascii="Times New Roman" w:hAnsi="Times New Roman" w:cs="Times New Roman"/>
          <w:b/>
          <w:bCs/>
          <w:iCs/>
          <w:sz w:val="24"/>
          <w:szCs w:val="24"/>
        </w:rPr>
        <w:t xml:space="preserve">urumundaki </w:t>
      </w:r>
      <w:r w:rsidR="00902F93">
        <w:rPr>
          <w:rFonts w:ascii="Times New Roman" w:hAnsi="Times New Roman" w:cs="Times New Roman"/>
          <w:b/>
          <w:bCs/>
          <w:iCs/>
          <w:sz w:val="24"/>
          <w:szCs w:val="24"/>
        </w:rPr>
        <w:t>D</w:t>
      </w:r>
      <w:r w:rsidR="00902F93" w:rsidRPr="00902F93">
        <w:rPr>
          <w:rFonts w:ascii="Times New Roman" w:hAnsi="Times New Roman" w:cs="Times New Roman"/>
          <w:b/>
          <w:bCs/>
          <w:iCs/>
          <w:sz w:val="24"/>
          <w:szCs w:val="24"/>
        </w:rPr>
        <w:t>eğişiklikler</w:t>
      </w:r>
      <w:r w:rsidR="00902F93">
        <w:rPr>
          <w:rFonts w:ascii="Times New Roman" w:hAnsi="Times New Roman" w:cs="Times New Roman"/>
          <w:b/>
          <w:bCs/>
          <w:iCs/>
          <w:sz w:val="24"/>
          <w:szCs w:val="24"/>
        </w:rPr>
        <w:t>e Dair E</w:t>
      </w:r>
      <w:r w:rsidR="00902F93" w:rsidRPr="00902F93">
        <w:rPr>
          <w:rFonts w:ascii="Times New Roman" w:hAnsi="Times New Roman" w:cs="Times New Roman"/>
          <w:b/>
          <w:bCs/>
          <w:iCs/>
          <w:sz w:val="24"/>
          <w:szCs w:val="24"/>
        </w:rPr>
        <w:t>ndişeler</w:t>
      </w:r>
    </w:p>
    <w:p w:rsidR="007F1C2A" w:rsidRDefault="00902F93" w:rsidP="009175F9">
      <w:pPr>
        <w:spacing w:before="120" w:after="0" w:line="240" w:lineRule="auto"/>
        <w:ind w:firstLine="709"/>
        <w:jc w:val="both"/>
        <w:rPr>
          <w:rFonts w:ascii="Times New Roman" w:hAnsi="Times New Roman" w:cs="Times New Roman"/>
          <w:sz w:val="24"/>
          <w:szCs w:val="24"/>
        </w:rPr>
      </w:pPr>
      <w:r w:rsidRPr="00902F93">
        <w:rPr>
          <w:rFonts w:ascii="Times New Roman" w:hAnsi="Times New Roman" w:cs="Times New Roman"/>
          <w:sz w:val="24"/>
          <w:szCs w:val="24"/>
        </w:rPr>
        <w:t>COVID-19 nedeniyle uygulanan seyahat kısıtlamaları</w:t>
      </w:r>
      <w:r w:rsidR="00F2485B">
        <w:rPr>
          <w:rFonts w:ascii="Times New Roman" w:hAnsi="Times New Roman" w:cs="Times New Roman"/>
          <w:sz w:val="24"/>
          <w:szCs w:val="24"/>
        </w:rPr>
        <w:t>nın</w:t>
      </w:r>
      <w:r w:rsidRPr="00902F93">
        <w:rPr>
          <w:rFonts w:ascii="Times New Roman" w:hAnsi="Times New Roman" w:cs="Times New Roman"/>
          <w:sz w:val="24"/>
          <w:szCs w:val="24"/>
        </w:rPr>
        <w:t xml:space="preserve"> mukimlik durumunu etkileme</w:t>
      </w:r>
      <w:r>
        <w:rPr>
          <w:rFonts w:ascii="Times New Roman" w:hAnsi="Times New Roman" w:cs="Times New Roman"/>
          <w:sz w:val="24"/>
          <w:szCs w:val="24"/>
        </w:rPr>
        <w:t>yeceği öncelikle belirtilmelidir. Burada iki durum söz konusudur: Birinci durum, b</w:t>
      </w:r>
      <w:r w:rsidRPr="00902F93">
        <w:rPr>
          <w:rFonts w:ascii="Times New Roman" w:hAnsi="Times New Roman" w:cs="Times New Roman"/>
          <w:sz w:val="24"/>
          <w:szCs w:val="24"/>
        </w:rPr>
        <w:t>ir kişinin</w:t>
      </w:r>
      <w:r>
        <w:rPr>
          <w:rFonts w:ascii="Times New Roman" w:hAnsi="Times New Roman" w:cs="Times New Roman"/>
          <w:sz w:val="24"/>
          <w:szCs w:val="24"/>
        </w:rPr>
        <w:t>,</w:t>
      </w:r>
      <w:r w:rsidRPr="00902F93">
        <w:rPr>
          <w:rFonts w:ascii="Times New Roman" w:hAnsi="Times New Roman" w:cs="Times New Roman"/>
          <w:sz w:val="24"/>
          <w:szCs w:val="24"/>
        </w:rPr>
        <w:t xml:space="preserve"> </w:t>
      </w:r>
      <w:r>
        <w:rPr>
          <w:rFonts w:ascii="Times New Roman" w:hAnsi="Times New Roman" w:cs="Times New Roman"/>
          <w:sz w:val="24"/>
          <w:szCs w:val="24"/>
        </w:rPr>
        <w:t xml:space="preserve">örneğin </w:t>
      </w:r>
      <w:r w:rsidRPr="00902F93">
        <w:rPr>
          <w:rFonts w:ascii="Times New Roman" w:hAnsi="Times New Roman" w:cs="Times New Roman"/>
          <w:sz w:val="24"/>
          <w:szCs w:val="24"/>
        </w:rPr>
        <w:t>tatilde veya birkaç haftalığına çalışmaya gittiği yer</w:t>
      </w:r>
      <w:r>
        <w:rPr>
          <w:rFonts w:ascii="Times New Roman" w:hAnsi="Times New Roman" w:cs="Times New Roman"/>
          <w:sz w:val="24"/>
          <w:szCs w:val="24"/>
        </w:rPr>
        <w:t xml:space="preserve"> gibi, </w:t>
      </w:r>
      <w:r w:rsidRPr="00902F93">
        <w:rPr>
          <w:rFonts w:ascii="Times New Roman" w:hAnsi="Times New Roman" w:cs="Times New Roman"/>
          <w:sz w:val="24"/>
          <w:szCs w:val="24"/>
        </w:rPr>
        <w:t>geçici olarak evinden uzakta olduğu</w:t>
      </w:r>
      <w:r>
        <w:rPr>
          <w:rFonts w:ascii="Times New Roman" w:hAnsi="Times New Roman" w:cs="Times New Roman"/>
          <w:sz w:val="24"/>
          <w:szCs w:val="24"/>
        </w:rPr>
        <w:t xml:space="preserve"> durum; ikinci durum ise kişinin </w:t>
      </w:r>
      <w:r w:rsidRPr="00902F93">
        <w:rPr>
          <w:rFonts w:ascii="Times New Roman" w:hAnsi="Times New Roman" w:cs="Times New Roman"/>
          <w:sz w:val="24"/>
          <w:szCs w:val="24"/>
        </w:rPr>
        <w:t>COVID-19 salgını nedeniyle diğer ülkede mahsur kalıp orada iç mevzuata göre mukim sayıldığı durum.</w:t>
      </w:r>
      <w:r>
        <w:rPr>
          <w:rFonts w:ascii="Times New Roman" w:hAnsi="Times New Roman" w:cs="Times New Roman"/>
          <w:sz w:val="24"/>
          <w:szCs w:val="24"/>
        </w:rPr>
        <w:t xml:space="preserve"> </w:t>
      </w:r>
    </w:p>
    <w:p w:rsidR="007F1C2A" w:rsidRDefault="00902F93" w:rsidP="009175F9">
      <w:pPr>
        <w:spacing w:before="120" w:after="0" w:line="240" w:lineRule="auto"/>
        <w:ind w:firstLine="709"/>
        <w:jc w:val="both"/>
        <w:rPr>
          <w:rFonts w:ascii="Times New Roman" w:hAnsi="Times New Roman" w:cs="Times New Roman"/>
          <w:sz w:val="24"/>
          <w:szCs w:val="24"/>
        </w:rPr>
      </w:pPr>
      <w:r w:rsidRPr="00902F93">
        <w:rPr>
          <w:rFonts w:ascii="Times New Roman" w:hAnsi="Times New Roman" w:cs="Times New Roman"/>
          <w:sz w:val="24"/>
          <w:szCs w:val="24"/>
        </w:rPr>
        <w:t xml:space="preserve">İlk durumda, kişinin salgından dolayı geçici olarak bulunduğu ülkede mukim statüsü edinmesi olası değildir. Bununla birlikte, </w:t>
      </w:r>
      <w:r w:rsidR="00AF113B">
        <w:rPr>
          <w:rFonts w:ascii="Times New Roman" w:hAnsi="Times New Roman" w:cs="Times New Roman"/>
          <w:sz w:val="24"/>
          <w:szCs w:val="24"/>
        </w:rPr>
        <w:t>ülke</w:t>
      </w:r>
      <w:r w:rsidR="001A31DC">
        <w:rPr>
          <w:rFonts w:ascii="Times New Roman" w:hAnsi="Times New Roman" w:cs="Times New Roman"/>
          <w:sz w:val="24"/>
          <w:szCs w:val="24"/>
        </w:rPr>
        <w:t>lerin</w:t>
      </w:r>
      <w:r w:rsidR="00AF113B">
        <w:rPr>
          <w:rFonts w:ascii="Times New Roman" w:hAnsi="Times New Roman" w:cs="Times New Roman"/>
          <w:sz w:val="24"/>
          <w:szCs w:val="24"/>
        </w:rPr>
        <w:t xml:space="preserve"> iç mevzuatlarında,</w:t>
      </w:r>
      <w:r w:rsidRPr="00902F93">
        <w:rPr>
          <w:rFonts w:ascii="Times New Roman" w:hAnsi="Times New Roman" w:cs="Times New Roman"/>
          <w:sz w:val="24"/>
          <w:szCs w:val="24"/>
        </w:rPr>
        <w:t xml:space="preserve"> bir kişinin bir ülkede belirli sayıda gün bulunması halinde mukim haline gelmesine neden olan kurallar </w:t>
      </w:r>
      <w:r w:rsidR="00AF113B">
        <w:rPr>
          <w:rFonts w:ascii="Times New Roman" w:hAnsi="Times New Roman" w:cs="Times New Roman"/>
          <w:sz w:val="24"/>
          <w:szCs w:val="24"/>
        </w:rPr>
        <w:t>mevcuttur.</w:t>
      </w:r>
      <w:r w:rsidRPr="00902F93">
        <w:rPr>
          <w:rFonts w:ascii="Times New Roman" w:hAnsi="Times New Roman" w:cs="Times New Roman"/>
          <w:sz w:val="24"/>
          <w:szCs w:val="24"/>
        </w:rPr>
        <w:t xml:space="preserve"> Ancak kişi bu tür kurallar altında mukim haline gelse bile, eğer yürürlükte olan bir </w:t>
      </w:r>
      <w:r w:rsidR="000B2E7B">
        <w:rPr>
          <w:rFonts w:ascii="Times New Roman" w:hAnsi="Times New Roman" w:cs="Times New Roman"/>
          <w:sz w:val="24"/>
          <w:szCs w:val="24"/>
        </w:rPr>
        <w:t>ÇVÖA</w:t>
      </w:r>
      <w:r w:rsidRPr="00902F93">
        <w:rPr>
          <w:rFonts w:ascii="Times New Roman" w:hAnsi="Times New Roman" w:cs="Times New Roman"/>
          <w:sz w:val="24"/>
          <w:szCs w:val="24"/>
        </w:rPr>
        <w:t xml:space="preserve"> varsa, kişinin </w:t>
      </w:r>
      <w:r w:rsidR="000B2E7B">
        <w:rPr>
          <w:rFonts w:ascii="Times New Roman" w:hAnsi="Times New Roman" w:cs="Times New Roman"/>
          <w:sz w:val="24"/>
          <w:szCs w:val="24"/>
        </w:rPr>
        <w:t xml:space="preserve">eşitlik bozucu </w:t>
      </w:r>
      <w:r w:rsidRPr="00902F93">
        <w:rPr>
          <w:rFonts w:ascii="Times New Roman" w:hAnsi="Times New Roman" w:cs="Times New Roman"/>
          <w:sz w:val="24"/>
          <w:szCs w:val="24"/>
        </w:rPr>
        <w:t>kural</w:t>
      </w:r>
      <w:r w:rsidR="00946D71">
        <w:rPr>
          <w:rStyle w:val="DipnotBavurusu"/>
          <w:rFonts w:ascii="Times New Roman" w:hAnsi="Times New Roman" w:cs="Times New Roman"/>
          <w:sz w:val="24"/>
          <w:szCs w:val="24"/>
        </w:rPr>
        <w:footnoteReference w:id="20"/>
      </w:r>
      <w:r w:rsidRPr="00902F93">
        <w:rPr>
          <w:rFonts w:ascii="Times New Roman" w:hAnsi="Times New Roman" w:cs="Times New Roman"/>
          <w:sz w:val="24"/>
          <w:szCs w:val="24"/>
        </w:rPr>
        <w:t xml:space="preserve"> kapsamında söz konusu ülkenin bir mukimi olması olası değildir.</w:t>
      </w:r>
      <w:r w:rsidR="00B350E3">
        <w:rPr>
          <w:rFonts w:ascii="Times New Roman" w:hAnsi="Times New Roman" w:cs="Times New Roman"/>
          <w:sz w:val="24"/>
          <w:szCs w:val="24"/>
        </w:rPr>
        <w:t xml:space="preserve"> </w:t>
      </w:r>
      <w:r w:rsidRPr="00902F93">
        <w:rPr>
          <w:rFonts w:ascii="Times New Roman" w:hAnsi="Times New Roman" w:cs="Times New Roman"/>
          <w:sz w:val="24"/>
          <w:szCs w:val="24"/>
        </w:rPr>
        <w:t xml:space="preserve">Bu nedenle, </w:t>
      </w:r>
      <w:r w:rsidR="00946D71">
        <w:rPr>
          <w:rFonts w:ascii="Times New Roman" w:hAnsi="Times New Roman" w:cs="Times New Roman"/>
          <w:sz w:val="24"/>
          <w:szCs w:val="24"/>
        </w:rPr>
        <w:t>COVI</w:t>
      </w:r>
      <w:r w:rsidR="00946D71" w:rsidRPr="00946D71">
        <w:rPr>
          <w:rFonts w:ascii="Times New Roman" w:hAnsi="Times New Roman" w:cs="Times New Roman"/>
          <w:sz w:val="24"/>
          <w:szCs w:val="24"/>
        </w:rPr>
        <w:t xml:space="preserve">D-19 salgını nedeniyle </w:t>
      </w:r>
      <w:r w:rsidRPr="00902F93">
        <w:rPr>
          <w:rFonts w:ascii="Times New Roman" w:hAnsi="Times New Roman" w:cs="Times New Roman"/>
          <w:sz w:val="24"/>
          <w:szCs w:val="24"/>
        </w:rPr>
        <w:t>bu tür</w:t>
      </w:r>
      <w:r w:rsidR="00946D71">
        <w:rPr>
          <w:rFonts w:ascii="Times New Roman" w:hAnsi="Times New Roman" w:cs="Times New Roman"/>
          <w:sz w:val="24"/>
          <w:szCs w:val="24"/>
        </w:rPr>
        <w:t>den</w:t>
      </w:r>
      <w:r w:rsidRPr="00902F93">
        <w:rPr>
          <w:rFonts w:ascii="Times New Roman" w:hAnsi="Times New Roman" w:cs="Times New Roman"/>
          <w:sz w:val="24"/>
          <w:szCs w:val="24"/>
        </w:rPr>
        <w:t xml:space="preserve"> bir geçici yer değiştirme</w:t>
      </w:r>
      <w:r w:rsidR="000B2E7B">
        <w:rPr>
          <w:rFonts w:ascii="Times New Roman" w:hAnsi="Times New Roman" w:cs="Times New Roman"/>
          <w:sz w:val="24"/>
          <w:szCs w:val="24"/>
        </w:rPr>
        <w:t>nin</w:t>
      </w:r>
      <w:r w:rsidRPr="00902F93">
        <w:rPr>
          <w:rFonts w:ascii="Times New Roman" w:hAnsi="Times New Roman" w:cs="Times New Roman"/>
          <w:sz w:val="24"/>
          <w:szCs w:val="24"/>
        </w:rPr>
        <w:t>, çoğunlukla herhangi bir vergi etkisine sahip olma</w:t>
      </w:r>
      <w:r w:rsidR="000B2E7B">
        <w:rPr>
          <w:rFonts w:ascii="Times New Roman" w:hAnsi="Times New Roman" w:cs="Times New Roman"/>
          <w:sz w:val="24"/>
          <w:szCs w:val="24"/>
        </w:rPr>
        <w:t xml:space="preserve">dığı söylenebilir. </w:t>
      </w:r>
      <w:r w:rsidR="004A1D1A">
        <w:rPr>
          <w:rFonts w:ascii="Times New Roman" w:hAnsi="Times New Roman" w:cs="Times New Roman"/>
          <w:sz w:val="24"/>
          <w:szCs w:val="24"/>
        </w:rPr>
        <w:t>Başka deyişle, kişinin diğer ülkede kalış süresinin salgın nedeniyle zorunlu olarak uzaması durumunda kişinin bu diğer ülkenin mukimi sayılmayacağı düşünülebilecektir.</w:t>
      </w:r>
    </w:p>
    <w:p w:rsidR="00514DF9" w:rsidRPr="00902F93" w:rsidRDefault="007F1C2A" w:rsidP="009175F9">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İkinci durumda,</w:t>
      </w:r>
      <w:r w:rsidRPr="007F1C2A">
        <w:rPr>
          <w:rFonts w:ascii="Times New Roman" w:hAnsi="Times New Roman" w:cs="Times New Roman"/>
          <w:sz w:val="24"/>
          <w:szCs w:val="24"/>
        </w:rPr>
        <w:t xml:space="preserve"> kişinin geçici ve istisnai olarak </w:t>
      </w:r>
      <w:r>
        <w:rPr>
          <w:rFonts w:ascii="Times New Roman" w:hAnsi="Times New Roman" w:cs="Times New Roman"/>
          <w:sz w:val="24"/>
          <w:szCs w:val="24"/>
        </w:rPr>
        <w:t xml:space="preserve">diğer ülkede COVID-19 kaynaklı mahsur kalmasından ötürü o ülkenin </w:t>
      </w:r>
      <w:r w:rsidRPr="007F1C2A">
        <w:rPr>
          <w:rFonts w:ascii="Times New Roman" w:hAnsi="Times New Roman" w:cs="Times New Roman"/>
          <w:sz w:val="24"/>
          <w:szCs w:val="24"/>
        </w:rPr>
        <w:t>mukim</w:t>
      </w:r>
      <w:r>
        <w:rPr>
          <w:rFonts w:ascii="Times New Roman" w:hAnsi="Times New Roman" w:cs="Times New Roman"/>
          <w:sz w:val="24"/>
          <w:szCs w:val="24"/>
        </w:rPr>
        <w:t>i olması</w:t>
      </w:r>
      <w:r w:rsidRPr="007F1C2A">
        <w:rPr>
          <w:rFonts w:ascii="Times New Roman" w:hAnsi="Times New Roman" w:cs="Times New Roman"/>
          <w:sz w:val="24"/>
          <w:szCs w:val="24"/>
        </w:rPr>
        <w:t xml:space="preserve"> </w:t>
      </w:r>
      <w:r>
        <w:rPr>
          <w:rFonts w:ascii="Times New Roman" w:hAnsi="Times New Roman" w:cs="Times New Roman"/>
          <w:sz w:val="24"/>
          <w:szCs w:val="24"/>
        </w:rPr>
        <w:t>da</w:t>
      </w:r>
      <w:r w:rsidRPr="007F1C2A">
        <w:rPr>
          <w:rFonts w:ascii="Times New Roman" w:hAnsi="Times New Roman" w:cs="Times New Roman"/>
          <w:sz w:val="24"/>
          <w:szCs w:val="24"/>
        </w:rPr>
        <w:t xml:space="preserve"> olası değildir. </w:t>
      </w:r>
      <w:r>
        <w:rPr>
          <w:rFonts w:ascii="Times New Roman" w:hAnsi="Times New Roman" w:cs="Times New Roman"/>
          <w:sz w:val="24"/>
          <w:szCs w:val="24"/>
        </w:rPr>
        <w:t xml:space="preserve">Bir başka deyişle, </w:t>
      </w:r>
      <w:r w:rsidRPr="007F1C2A">
        <w:rPr>
          <w:rFonts w:ascii="Times New Roman" w:hAnsi="Times New Roman" w:cs="Times New Roman"/>
          <w:sz w:val="24"/>
          <w:szCs w:val="24"/>
        </w:rPr>
        <w:t xml:space="preserve">kişinin </w:t>
      </w:r>
      <w:r>
        <w:rPr>
          <w:rFonts w:ascii="Times New Roman" w:hAnsi="Times New Roman" w:cs="Times New Roman"/>
          <w:sz w:val="24"/>
          <w:szCs w:val="24"/>
        </w:rPr>
        <w:t>normal şartlarda y</w:t>
      </w:r>
      <w:r w:rsidRPr="007F1C2A">
        <w:rPr>
          <w:rFonts w:ascii="Times New Roman" w:hAnsi="Times New Roman" w:cs="Times New Roman"/>
          <w:sz w:val="24"/>
          <w:szCs w:val="24"/>
        </w:rPr>
        <w:t>aşadığı ülke</w:t>
      </w:r>
      <w:r>
        <w:rPr>
          <w:rFonts w:ascii="Times New Roman" w:hAnsi="Times New Roman" w:cs="Times New Roman"/>
          <w:sz w:val="24"/>
          <w:szCs w:val="24"/>
        </w:rPr>
        <w:t>yle</w:t>
      </w:r>
      <w:r w:rsidRPr="007F1C2A">
        <w:rPr>
          <w:rFonts w:ascii="Times New Roman" w:hAnsi="Times New Roman" w:cs="Times New Roman"/>
          <w:sz w:val="24"/>
          <w:szCs w:val="24"/>
        </w:rPr>
        <w:t xml:space="preserve"> bağlantılarının </w:t>
      </w:r>
      <w:r>
        <w:rPr>
          <w:rFonts w:ascii="Times New Roman" w:hAnsi="Times New Roman" w:cs="Times New Roman"/>
          <w:sz w:val="24"/>
          <w:szCs w:val="24"/>
        </w:rPr>
        <w:t xml:space="preserve">mahsur kaldığı </w:t>
      </w:r>
      <w:r w:rsidRPr="007F1C2A">
        <w:rPr>
          <w:rFonts w:ascii="Times New Roman" w:hAnsi="Times New Roman" w:cs="Times New Roman"/>
          <w:sz w:val="24"/>
          <w:szCs w:val="24"/>
        </w:rPr>
        <w:t xml:space="preserve">ülkeye göre daha güçlü olduğu durumda, </w:t>
      </w:r>
      <w:r w:rsidR="00600E65">
        <w:rPr>
          <w:rFonts w:ascii="Times New Roman" w:hAnsi="Times New Roman" w:cs="Times New Roman"/>
          <w:sz w:val="24"/>
          <w:szCs w:val="24"/>
        </w:rPr>
        <w:t xml:space="preserve">bu kişi </w:t>
      </w:r>
      <w:r w:rsidRPr="007F1C2A">
        <w:rPr>
          <w:rFonts w:ascii="Times New Roman" w:hAnsi="Times New Roman" w:cs="Times New Roman"/>
          <w:sz w:val="24"/>
          <w:szCs w:val="24"/>
        </w:rPr>
        <w:t>bu tür</w:t>
      </w:r>
      <w:r w:rsidR="00600E65">
        <w:rPr>
          <w:rFonts w:ascii="Times New Roman" w:hAnsi="Times New Roman" w:cs="Times New Roman"/>
          <w:sz w:val="24"/>
          <w:szCs w:val="24"/>
        </w:rPr>
        <w:t>den</w:t>
      </w:r>
      <w:r w:rsidRPr="007F1C2A">
        <w:rPr>
          <w:rFonts w:ascii="Times New Roman" w:hAnsi="Times New Roman" w:cs="Times New Roman"/>
          <w:sz w:val="24"/>
          <w:szCs w:val="24"/>
        </w:rPr>
        <w:t xml:space="preserve"> g</w:t>
      </w:r>
      <w:r>
        <w:rPr>
          <w:rFonts w:ascii="Times New Roman" w:hAnsi="Times New Roman" w:cs="Times New Roman"/>
          <w:sz w:val="24"/>
          <w:szCs w:val="24"/>
        </w:rPr>
        <w:t>eçici yer değiştirmeden</w:t>
      </w:r>
      <w:r w:rsidR="00600E65">
        <w:rPr>
          <w:rFonts w:ascii="Times New Roman" w:hAnsi="Times New Roman" w:cs="Times New Roman"/>
          <w:sz w:val="24"/>
          <w:szCs w:val="24"/>
        </w:rPr>
        <w:t xml:space="preserve"> ötürü</w:t>
      </w:r>
      <w:r>
        <w:rPr>
          <w:rFonts w:ascii="Times New Roman" w:hAnsi="Times New Roman" w:cs="Times New Roman"/>
          <w:sz w:val="24"/>
          <w:szCs w:val="24"/>
        </w:rPr>
        <w:t xml:space="preserve"> ÇVÖA </w:t>
      </w:r>
      <w:r w:rsidRPr="007F1C2A">
        <w:rPr>
          <w:rFonts w:ascii="Times New Roman" w:hAnsi="Times New Roman" w:cs="Times New Roman"/>
          <w:sz w:val="24"/>
          <w:szCs w:val="24"/>
        </w:rPr>
        <w:t xml:space="preserve">kapsamında </w:t>
      </w:r>
      <w:r w:rsidR="00886F4E">
        <w:rPr>
          <w:rFonts w:ascii="Times New Roman" w:hAnsi="Times New Roman" w:cs="Times New Roman"/>
          <w:sz w:val="24"/>
          <w:szCs w:val="24"/>
        </w:rPr>
        <w:t>mahsur kaldığı</w:t>
      </w:r>
      <w:r w:rsidRPr="007F1C2A">
        <w:rPr>
          <w:rFonts w:ascii="Times New Roman" w:hAnsi="Times New Roman" w:cs="Times New Roman"/>
          <w:sz w:val="24"/>
          <w:szCs w:val="24"/>
        </w:rPr>
        <w:t xml:space="preserve"> ülkenin mukimi </w:t>
      </w:r>
      <w:r w:rsidR="00600E65">
        <w:rPr>
          <w:rFonts w:ascii="Times New Roman" w:hAnsi="Times New Roman" w:cs="Times New Roman"/>
          <w:sz w:val="24"/>
          <w:szCs w:val="24"/>
        </w:rPr>
        <w:t xml:space="preserve">sayılmayacaktır. </w:t>
      </w:r>
    </w:p>
    <w:p w:rsidR="0081241A" w:rsidRPr="0081241A" w:rsidRDefault="0081241A" w:rsidP="009175F9">
      <w:pPr>
        <w:spacing w:before="120" w:after="0" w:line="240" w:lineRule="auto"/>
        <w:ind w:firstLine="709"/>
        <w:jc w:val="both"/>
        <w:rPr>
          <w:rFonts w:ascii="Times New Roman" w:hAnsi="Times New Roman" w:cs="Times New Roman"/>
          <w:sz w:val="24"/>
          <w:szCs w:val="24"/>
        </w:rPr>
      </w:pPr>
      <w:r w:rsidRPr="0081241A">
        <w:rPr>
          <w:rFonts w:ascii="Times New Roman" w:hAnsi="Times New Roman" w:cs="Times New Roman"/>
          <w:sz w:val="24"/>
          <w:szCs w:val="24"/>
        </w:rPr>
        <w:t>Sonuç olarak, COVID-19 salgını istisnai büyük değişiklikler süreci olduğu</w:t>
      </w:r>
      <w:r>
        <w:rPr>
          <w:rFonts w:ascii="Times New Roman" w:hAnsi="Times New Roman" w:cs="Times New Roman"/>
          <w:sz w:val="24"/>
          <w:szCs w:val="24"/>
        </w:rPr>
        <w:t>ndan</w:t>
      </w:r>
      <w:r w:rsidRPr="0081241A">
        <w:rPr>
          <w:rFonts w:ascii="Times New Roman" w:hAnsi="Times New Roman" w:cs="Times New Roman"/>
          <w:sz w:val="24"/>
          <w:szCs w:val="24"/>
        </w:rPr>
        <w:t xml:space="preserve"> verg</w:t>
      </w:r>
      <w:r>
        <w:rPr>
          <w:rFonts w:ascii="Times New Roman" w:hAnsi="Times New Roman" w:cs="Times New Roman"/>
          <w:sz w:val="24"/>
          <w:szCs w:val="24"/>
        </w:rPr>
        <w:t>i idareleri ve yetkili makamlar</w:t>
      </w:r>
      <w:r w:rsidRPr="0081241A">
        <w:rPr>
          <w:rFonts w:ascii="Times New Roman" w:hAnsi="Times New Roman" w:cs="Times New Roman"/>
          <w:sz w:val="24"/>
          <w:szCs w:val="24"/>
        </w:rPr>
        <w:t xml:space="preserve"> bir kişinin mukimliğini değerlendirirken halk sağlığı tedbirlerinin uygulanmadığı dönemi göz önünde bulunduracaklardır. İlgili ülkelerin halk sağlığı önlem</w:t>
      </w:r>
      <w:r>
        <w:rPr>
          <w:rFonts w:ascii="Times New Roman" w:hAnsi="Times New Roman" w:cs="Times New Roman"/>
          <w:sz w:val="24"/>
          <w:szCs w:val="24"/>
        </w:rPr>
        <w:t>ler</w:t>
      </w:r>
      <w:r w:rsidRPr="0081241A">
        <w:rPr>
          <w:rFonts w:ascii="Times New Roman" w:hAnsi="Times New Roman" w:cs="Times New Roman"/>
          <w:sz w:val="24"/>
          <w:szCs w:val="24"/>
        </w:rPr>
        <w:t xml:space="preserve">i nedeniyle bir kişinin kendi ülkesine geri dönememesinden kaynaklanan bir yer değiştirme, </w:t>
      </w:r>
      <w:r>
        <w:rPr>
          <w:rFonts w:ascii="Times New Roman" w:hAnsi="Times New Roman" w:cs="Times New Roman"/>
          <w:sz w:val="24"/>
          <w:szCs w:val="24"/>
        </w:rPr>
        <w:t xml:space="preserve">ÇVÖA’nın </w:t>
      </w:r>
      <w:r w:rsidRPr="0081241A">
        <w:rPr>
          <w:rFonts w:ascii="Times New Roman" w:hAnsi="Times New Roman" w:cs="Times New Roman"/>
          <w:sz w:val="24"/>
          <w:szCs w:val="24"/>
        </w:rPr>
        <w:t>amaçları bakımından kişinin mukimliğini tek başına etkileme</w:t>
      </w:r>
      <w:r>
        <w:rPr>
          <w:rFonts w:ascii="Times New Roman" w:hAnsi="Times New Roman" w:cs="Times New Roman"/>
          <w:sz w:val="24"/>
          <w:szCs w:val="24"/>
        </w:rPr>
        <w:t>yecektir</w:t>
      </w:r>
      <w:r w:rsidRPr="0081241A">
        <w:rPr>
          <w:rFonts w:ascii="Times New Roman" w:hAnsi="Times New Roman" w:cs="Times New Roman"/>
          <w:sz w:val="24"/>
          <w:szCs w:val="24"/>
        </w:rPr>
        <w:t xml:space="preserve">. Bununla birlikte, COVID-19 kısıtlamaları kaldırıldığında koşullardaki değişiklik devam ederse </w:t>
      </w:r>
      <w:r>
        <w:rPr>
          <w:rFonts w:ascii="Times New Roman" w:hAnsi="Times New Roman" w:cs="Times New Roman"/>
          <w:sz w:val="24"/>
          <w:szCs w:val="24"/>
        </w:rPr>
        <w:t>sonuç farklı değerlendirilebilir.</w:t>
      </w:r>
    </w:p>
    <w:p w:rsidR="00F63C76" w:rsidRPr="00F63C76" w:rsidRDefault="003B0EEC" w:rsidP="009175F9">
      <w:pPr>
        <w:spacing w:before="120" w:after="0" w:line="240" w:lineRule="auto"/>
        <w:ind w:left="709"/>
        <w:jc w:val="both"/>
        <w:rPr>
          <w:rFonts w:ascii="Times New Roman" w:hAnsi="Times New Roman" w:cs="Times New Roman"/>
          <w:b/>
          <w:bCs/>
          <w:iCs/>
          <w:sz w:val="24"/>
          <w:szCs w:val="24"/>
        </w:rPr>
      </w:pPr>
      <w:r>
        <w:rPr>
          <w:rFonts w:ascii="Times New Roman" w:hAnsi="Times New Roman" w:cs="Times New Roman"/>
          <w:b/>
          <w:sz w:val="24"/>
          <w:szCs w:val="24"/>
        </w:rPr>
        <w:t>4.4</w:t>
      </w:r>
      <w:r w:rsidR="0081241A" w:rsidRPr="0081241A">
        <w:rPr>
          <w:rFonts w:ascii="Times New Roman" w:hAnsi="Times New Roman" w:cs="Times New Roman"/>
          <w:b/>
          <w:sz w:val="24"/>
          <w:szCs w:val="24"/>
        </w:rPr>
        <w:t xml:space="preserve">. </w:t>
      </w:r>
      <w:r w:rsidR="00F63C76" w:rsidRPr="00F63C76">
        <w:rPr>
          <w:rFonts w:ascii="Times New Roman" w:hAnsi="Times New Roman" w:cs="Times New Roman"/>
          <w:b/>
          <w:bCs/>
          <w:iCs/>
          <w:sz w:val="24"/>
          <w:szCs w:val="24"/>
        </w:rPr>
        <w:t xml:space="preserve">Ücret </w:t>
      </w:r>
      <w:r w:rsidR="00F63C76">
        <w:rPr>
          <w:rFonts w:ascii="Times New Roman" w:hAnsi="Times New Roman" w:cs="Times New Roman"/>
          <w:b/>
          <w:bCs/>
          <w:iCs/>
          <w:sz w:val="24"/>
          <w:szCs w:val="24"/>
        </w:rPr>
        <w:t>G</w:t>
      </w:r>
      <w:r w:rsidR="00F63C76" w:rsidRPr="00F63C76">
        <w:rPr>
          <w:rFonts w:ascii="Times New Roman" w:hAnsi="Times New Roman" w:cs="Times New Roman"/>
          <w:b/>
          <w:bCs/>
          <w:iCs/>
          <w:sz w:val="24"/>
          <w:szCs w:val="24"/>
        </w:rPr>
        <w:t xml:space="preserve">elirleriyle </w:t>
      </w:r>
      <w:r w:rsidR="00F63C76">
        <w:rPr>
          <w:rFonts w:ascii="Times New Roman" w:hAnsi="Times New Roman" w:cs="Times New Roman"/>
          <w:b/>
          <w:bCs/>
          <w:iCs/>
          <w:sz w:val="24"/>
          <w:szCs w:val="24"/>
        </w:rPr>
        <w:t>İ</w:t>
      </w:r>
      <w:r w:rsidR="00F63C76" w:rsidRPr="00F63C76">
        <w:rPr>
          <w:rFonts w:ascii="Times New Roman" w:hAnsi="Times New Roman" w:cs="Times New Roman"/>
          <w:b/>
          <w:bCs/>
          <w:iCs/>
          <w:sz w:val="24"/>
          <w:szCs w:val="24"/>
        </w:rPr>
        <w:t xml:space="preserve">lgili </w:t>
      </w:r>
      <w:r w:rsidR="00F63C76">
        <w:rPr>
          <w:rFonts w:ascii="Times New Roman" w:hAnsi="Times New Roman" w:cs="Times New Roman"/>
          <w:b/>
          <w:bCs/>
          <w:iCs/>
          <w:sz w:val="24"/>
          <w:szCs w:val="24"/>
        </w:rPr>
        <w:t>E</w:t>
      </w:r>
      <w:r w:rsidR="00F63C76" w:rsidRPr="00F63C76">
        <w:rPr>
          <w:rFonts w:ascii="Times New Roman" w:hAnsi="Times New Roman" w:cs="Times New Roman"/>
          <w:b/>
          <w:bCs/>
          <w:iCs/>
          <w:sz w:val="24"/>
          <w:szCs w:val="24"/>
        </w:rPr>
        <w:t>ndişeler</w:t>
      </w:r>
    </w:p>
    <w:p w:rsidR="00D63A0C" w:rsidRDefault="0081241A" w:rsidP="009175F9">
      <w:pPr>
        <w:spacing w:before="120" w:after="0" w:line="240" w:lineRule="auto"/>
        <w:ind w:firstLine="709"/>
        <w:jc w:val="both"/>
        <w:rPr>
          <w:rFonts w:ascii="Times New Roman" w:hAnsi="Times New Roman" w:cs="Times New Roman"/>
          <w:sz w:val="24"/>
          <w:szCs w:val="24"/>
        </w:rPr>
      </w:pPr>
      <w:r w:rsidRPr="0081241A">
        <w:rPr>
          <w:rFonts w:ascii="Times New Roman" w:hAnsi="Times New Roman" w:cs="Times New Roman"/>
          <w:sz w:val="24"/>
          <w:szCs w:val="24"/>
        </w:rPr>
        <w:t>OECD M</w:t>
      </w:r>
      <w:r>
        <w:rPr>
          <w:rFonts w:ascii="Times New Roman" w:hAnsi="Times New Roman" w:cs="Times New Roman"/>
          <w:sz w:val="24"/>
          <w:szCs w:val="24"/>
        </w:rPr>
        <w:t xml:space="preserve">VA’nın </w:t>
      </w:r>
      <w:r w:rsidRPr="0081241A">
        <w:rPr>
          <w:rFonts w:ascii="Times New Roman" w:hAnsi="Times New Roman" w:cs="Times New Roman"/>
          <w:sz w:val="24"/>
          <w:szCs w:val="24"/>
        </w:rPr>
        <w:t xml:space="preserve">15. </w:t>
      </w:r>
      <w:r>
        <w:rPr>
          <w:rFonts w:ascii="Times New Roman" w:hAnsi="Times New Roman" w:cs="Times New Roman"/>
          <w:sz w:val="24"/>
          <w:szCs w:val="24"/>
        </w:rPr>
        <w:t>m</w:t>
      </w:r>
      <w:r w:rsidRPr="0081241A">
        <w:rPr>
          <w:rFonts w:ascii="Times New Roman" w:hAnsi="Times New Roman" w:cs="Times New Roman"/>
          <w:sz w:val="24"/>
          <w:szCs w:val="24"/>
        </w:rPr>
        <w:t xml:space="preserve">addesindeki </w:t>
      </w:r>
      <w:r>
        <w:rPr>
          <w:rFonts w:ascii="Times New Roman" w:hAnsi="Times New Roman" w:cs="Times New Roman"/>
          <w:sz w:val="24"/>
          <w:szCs w:val="24"/>
        </w:rPr>
        <w:t xml:space="preserve">ana </w:t>
      </w:r>
      <w:r w:rsidRPr="0081241A">
        <w:rPr>
          <w:rFonts w:ascii="Times New Roman" w:hAnsi="Times New Roman" w:cs="Times New Roman"/>
          <w:sz w:val="24"/>
          <w:szCs w:val="24"/>
        </w:rPr>
        <w:t>kural</w:t>
      </w:r>
      <w:r w:rsidR="00A8741E">
        <w:rPr>
          <w:rFonts w:ascii="Times New Roman" w:hAnsi="Times New Roman" w:cs="Times New Roman"/>
          <w:sz w:val="24"/>
          <w:szCs w:val="24"/>
        </w:rPr>
        <w:t xml:space="preserve">a göre </w:t>
      </w:r>
      <w:r w:rsidRPr="0081241A">
        <w:rPr>
          <w:rFonts w:ascii="Times New Roman" w:hAnsi="Times New Roman" w:cs="Times New Roman"/>
          <w:sz w:val="24"/>
          <w:szCs w:val="24"/>
        </w:rPr>
        <w:t>maaşlar, ücretler ve diğer benzeri ödemeler</w:t>
      </w:r>
      <w:r>
        <w:rPr>
          <w:rFonts w:ascii="Times New Roman" w:hAnsi="Times New Roman" w:cs="Times New Roman"/>
          <w:sz w:val="24"/>
          <w:szCs w:val="24"/>
        </w:rPr>
        <w:t xml:space="preserve"> iş diğer ülkede </w:t>
      </w:r>
      <w:r w:rsidR="00D63A0C">
        <w:rPr>
          <w:rFonts w:ascii="Times New Roman" w:hAnsi="Times New Roman" w:cs="Times New Roman"/>
          <w:sz w:val="24"/>
          <w:szCs w:val="24"/>
        </w:rPr>
        <w:t>ifa edilmediği</w:t>
      </w:r>
      <w:r w:rsidRPr="0081241A">
        <w:rPr>
          <w:rFonts w:ascii="Times New Roman" w:hAnsi="Times New Roman" w:cs="Times New Roman"/>
          <w:sz w:val="24"/>
          <w:szCs w:val="24"/>
        </w:rPr>
        <w:t xml:space="preserve"> sürece yalnızca kişinin mukim olduğu ü</w:t>
      </w:r>
      <w:r w:rsidR="00D63A0C">
        <w:rPr>
          <w:rFonts w:ascii="Times New Roman" w:hAnsi="Times New Roman" w:cs="Times New Roman"/>
          <w:sz w:val="24"/>
          <w:szCs w:val="24"/>
        </w:rPr>
        <w:t>lkede vergilendirilebilir. Öte yandan, b</w:t>
      </w:r>
      <w:r w:rsidR="00D63A0C" w:rsidRPr="00D63A0C">
        <w:rPr>
          <w:rFonts w:ascii="Times New Roman" w:hAnsi="Times New Roman" w:cs="Times New Roman"/>
          <w:sz w:val="24"/>
          <w:szCs w:val="24"/>
        </w:rPr>
        <w:t xml:space="preserve">ir akit devlet mukiminin diğer akit devlette ifa ettiği bir hizmet </w:t>
      </w:r>
      <w:r w:rsidR="00D63A0C" w:rsidRPr="00D63A0C">
        <w:rPr>
          <w:rFonts w:ascii="Times New Roman" w:hAnsi="Times New Roman" w:cs="Times New Roman"/>
          <w:sz w:val="24"/>
          <w:szCs w:val="24"/>
        </w:rPr>
        <w:lastRenderedPageBreak/>
        <w:t>dolayısıyla elde ettiği gelir</w:t>
      </w:r>
      <w:r w:rsidR="00D63A0C">
        <w:rPr>
          <w:rFonts w:ascii="Times New Roman" w:hAnsi="Times New Roman" w:cs="Times New Roman"/>
          <w:sz w:val="24"/>
          <w:szCs w:val="24"/>
        </w:rPr>
        <w:t xml:space="preserve"> üzerinde</w:t>
      </w:r>
      <w:r w:rsidR="00D63A0C" w:rsidRPr="00D63A0C">
        <w:rPr>
          <w:rFonts w:ascii="Times New Roman" w:hAnsi="Times New Roman" w:cs="Times New Roman"/>
          <w:sz w:val="24"/>
          <w:szCs w:val="24"/>
        </w:rPr>
        <w:t xml:space="preserve"> </w:t>
      </w:r>
      <w:r w:rsidR="00D63A0C" w:rsidRPr="0081241A">
        <w:rPr>
          <w:rFonts w:ascii="Times New Roman" w:hAnsi="Times New Roman" w:cs="Times New Roman"/>
          <w:sz w:val="24"/>
          <w:szCs w:val="24"/>
        </w:rPr>
        <w:t>diğer ülke</w:t>
      </w:r>
      <w:r w:rsidR="00D63A0C">
        <w:rPr>
          <w:rFonts w:ascii="Times New Roman" w:hAnsi="Times New Roman" w:cs="Times New Roman"/>
          <w:sz w:val="24"/>
          <w:szCs w:val="24"/>
        </w:rPr>
        <w:t>nin (kaynak ülke</w:t>
      </w:r>
      <w:r w:rsidR="00D63A0C" w:rsidRPr="0081241A">
        <w:rPr>
          <w:rFonts w:ascii="Times New Roman" w:hAnsi="Times New Roman" w:cs="Times New Roman"/>
          <w:sz w:val="24"/>
          <w:szCs w:val="24"/>
        </w:rPr>
        <w:t>)</w:t>
      </w:r>
      <w:r w:rsidR="00D63A0C">
        <w:rPr>
          <w:rFonts w:ascii="Times New Roman" w:hAnsi="Times New Roman" w:cs="Times New Roman"/>
          <w:sz w:val="24"/>
          <w:szCs w:val="24"/>
        </w:rPr>
        <w:t>, eğer çalışan</w:t>
      </w:r>
      <w:r w:rsidRPr="0081241A">
        <w:rPr>
          <w:rFonts w:ascii="Times New Roman" w:hAnsi="Times New Roman" w:cs="Times New Roman"/>
          <w:sz w:val="24"/>
          <w:szCs w:val="24"/>
        </w:rPr>
        <w:t xml:space="preserve"> 183 günden fazla süre kay</w:t>
      </w:r>
      <w:r w:rsidR="00D63A0C">
        <w:rPr>
          <w:rFonts w:ascii="Times New Roman" w:hAnsi="Times New Roman" w:cs="Times New Roman"/>
          <w:sz w:val="24"/>
          <w:szCs w:val="24"/>
        </w:rPr>
        <w:t>nak ülkede kalırsa veya işveren</w:t>
      </w:r>
      <w:r w:rsidR="00886F4E">
        <w:rPr>
          <w:rFonts w:ascii="Times New Roman" w:hAnsi="Times New Roman" w:cs="Times New Roman"/>
          <w:sz w:val="24"/>
          <w:szCs w:val="24"/>
        </w:rPr>
        <w:t xml:space="preserve"> kaynak ülkenin bir mukimi ise ya d</w:t>
      </w:r>
      <w:r w:rsidRPr="0081241A">
        <w:rPr>
          <w:rFonts w:ascii="Times New Roman" w:hAnsi="Times New Roman" w:cs="Times New Roman"/>
          <w:sz w:val="24"/>
          <w:szCs w:val="24"/>
        </w:rPr>
        <w:t>a işverenin kaynak ülkede ödemeyi üstlenen bir iş</w:t>
      </w:r>
      <w:r w:rsidR="00D63A0C">
        <w:rPr>
          <w:rFonts w:ascii="Times New Roman" w:hAnsi="Times New Roman" w:cs="Times New Roman"/>
          <w:sz w:val="24"/>
          <w:szCs w:val="24"/>
        </w:rPr>
        <w:t xml:space="preserve"> yeri varsa</w:t>
      </w:r>
      <w:r w:rsidRPr="0081241A">
        <w:rPr>
          <w:rFonts w:ascii="Times New Roman" w:hAnsi="Times New Roman" w:cs="Times New Roman"/>
          <w:sz w:val="24"/>
          <w:szCs w:val="24"/>
        </w:rPr>
        <w:t xml:space="preserve"> vergilendirme hakkı vardır.</w:t>
      </w:r>
      <w:r w:rsidR="00C71742">
        <w:rPr>
          <w:rFonts w:ascii="Times New Roman" w:hAnsi="Times New Roman" w:cs="Times New Roman"/>
          <w:sz w:val="24"/>
          <w:szCs w:val="24"/>
        </w:rPr>
        <w:t xml:space="preserve"> 15. m</w:t>
      </w:r>
      <w:r w:rsidR="00C71742" w:rsidRPr="00C71742">
        <w:rPr>
          <w:rFonts w:ascii="Times New Roman" w:hAnsi="Times New Roman" w:cs="Times New Roman"/>
          <w:sz w:val="24"/>
          <w:szCs w:val="24"/>
        </w:rPr>
        <w:t>addenin</w:t>
      </w:r>
      <w:r w:rsidR="00C71742">
        <w:rPr>
          <w:rFonts w:ascii="Times New Roman" w:hAnsi="Times New Roman" w:cs="Times New Roman"/>
          <w:sz w:val="24"/>
          <w:szCs w:val="24"/>
        </w:rPr>
        <w:t>; k</w:t>
      </w:r>
      <w:r w:rsidR="00D63A0C" w:rsidRPr="00D63A0C">
        <w:rPr>
          <w:rFonts w:ascii="Times New Roman" w:hAnsi="Times New Roman" w:cs="Times New Roman"/>
          <w:sz w:val="24"/>
          <w:szCs w:val="24"/>
        </w:rPr>
        <w:t>ısıtlamalar nedeniyle işlerini yapamayan sınır ötesi işçilerin aldıkları ücret sübvansiyonu ve benzeri gelirler</w:t>
      </w:r>
      <w:r w:rsidR="00C71742">
        <w:rPr>
          <w:rFonts w:ascii="Times New Roman" w:hAnsi="Times New Roman" w:cs="Times New Roman"/>
          <w:sz w:val="24"/>
          <w:szCs w:val="24"/>
        </w:rPr>
        <w:t>e, m</w:t>
      </w:r>
      <w:r w:rsidR="00D63A0C" w:rsidRPr="00D63A0C">
        <w:rPr>
          <w:rFonts w:ascii="Times New Roman" w:hAnsi="Times New Roman" w:cs="Times New Roman"/>
          <w:sz w:val="24"/>
          <w:szCs w:val="24"/>
        </w:rPr>
        <w:t>ukim olmadıkları ancak daha önce iş ifa ettikleri bir ülkede mahsur kalan bir</w:t>
      </w:r>
      <w:r w:rsidR="00C71742">
        <w:rPr>
          <w:rFonts w:ascii="Times New Roman" w:hAnsi="Times New Roman" w:cs="Times New Roman"/>
          <w:sz w:val="24"/>
          <w:szCs w:val="24"/>
        </w:rPr>
        <w:t xml:space="preserve"> </w:t>
      </w:r>
      <w:r w:rsidR="00D63A0C" w:rsidRPr="00D63A0C">
        <w:rPr>
          <w:rFonts w:ascii="Times New Roman" w:hAnsi="Times New Roman" w:cs="Times New Roman"/>
          <w:sz w:val="24"/>
          <w:szCs w:val="24"/>
        </w:rPr>
        <w:t>işçi</w:t>
      </w:r>
      <w:r w:rsidR="00C71742">
        <w:rPr>
          <w:rFonts w:ascii="Times New Roman" w:hAnsi="Times New Roman" w:cs="Times New Roman"/>
          <w:sz w:val="24"/>
          <w:szCs w:val="24"/>
        </w:rPr>
        <w:t>ye ve b</w:t>
      </w:r>
      <w:r w:rsidR="00D63A0C" w:rsidRPr="00D63A0C">
        <w:rPr>
          <w:rFonts w:ascii="Times New Roman" w:hAnsi="Times New Roman" w:cs="Times New Roman"/>
          <w:sz w:val="24"/>
          <w:szCs w:val="24"/>
        </w:rPr>
        <w:t>aşka bir ülkede mukim olan bir işveren için bir ülkeden uzaktan çalışan bir işçi</w:t>
      </w:r>
      <w:r w:rsidR="00C71742">
        <w:rPr>
          <w:rFonts w:ascii="Times New Roman" w:hAnsi="Times New Roman" w:cs="Times New Roman"/>
          <w:sz w:val="24"/>
          <w:szCs w:val="24"/>
        </w:rPr>
        <w:t xml:space="preserve">ye nasıl uygulanacağı endişe konusudur. </w:t>
      </w:r>
    </w:p>
    <w:p w:rsidR="00C91A6C" w:rsidRDefault="00C91A6C" w:rsidP="009175F9">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Ülkeler, COVI</w:t>
      </w:r>
      <w:r w:rsidRPr="00C91A6C">
        <w:rPr>
          <w:rFonts w:ascii="Times New Roman" w:hAnsi="Times New Roman" w:cs="Times New Roman"/>
          <w:sz w:val="24"/>
          <w:szCs w:val="24"/>
        </w:rPr>
        <w:t xml:space="preserve">D-19 salgını tedbirleri </w:t>
      </w:r>
      <w:r>
        <w:rPr>
          <w:rFonts w:ascii="Times New Roman" w:hAnsi="Times New Roman" w:cs="Times New Roman"/>
          <w:sz w:val="24"/>
          <w:szCs w:val="24"/>
        </w:rPr>
        <w:t xml:space="preserve">bağlamında </w:t>
      </w:r>
      <w:r w:rsidRPr="00C91A6C">
        <w:rPr>
          <w:rFonts w:ascii="Times New Roman" w:hAnsi="Times New Roman" w:cs="Times New Roman"/>
          <w:sz w:val="24"/>
          <w:szCs w:val="24"/>
        </w:rPr>
        <w:t xml:space="preserve">işverenlere çalışanları </w:t>
      </w:r>
      <w:r>
        <w:rPr>
          <w:rFonts w:ascii="Times New Roman" w:hAnsi="Times New Roman" w:cs="Times New Roman"/>
          <w:sz w:val="24"/>
          <w:szCs w:val="24"/>
        </w:rPr>
        <w:t xml:space="preserve">için </w:t>
      </w:r>
      <w:r w:rsidRPr="00C91A6C">
        <w:rPr>
          <w:rFonts w:ascii="Times New Roman" w:hAnsi="Times New Roman" w:cs="Times New Roman"/>
          <w:sz w:val="24"/>
          <w:szCs w:val="24"/>
        </w:rPr>
        <w:t xml:space="preserve">çeşitli destekler </w:t>
      </w:r>
      <w:r>
        <w:rPr>
          <w:rFonts w:ascii="Times New Roman" w:hAnsi="Times New Roman" w:cs="Times New Roman"/>
          <w:sz w:val="24"/>
          <w:szCs w:val="24"/>
        </w:rPr>
        <w:t xml:space="preserve">vermekte ya da </w:t>
      </w:r>
      <w:r w:rsidRPr="00C91A6C">
        <w:rPr>
          <w:rFonts w:ascii="Times New Roman" w:hAnsi="Times New Roman" w:cs="Times New Roman"/>
          <w:sz w:val="24"/>
          <w:szCs w:val="24"/>
        </w:rPr>
        <w:t>çalışanlara doğrudan ücret destekleri</w:t>
      </w:r>
      <w:r>
        <w:rPr>
          <w:rFonts w:ascii="Times New Roman" w:hAnsi="Times New Roman" w:cs="Times New Roman"/>
          <w:sz w:val="24"/>
          <w:szCs w:val="24"/>
        </w:rPr>
        <w:t>nde bulunabilmektedirler.</w:t>
      </w:r>
      <w:r w:rsidRPr="00C91A6C">
        <w:rPr>
          <w:rFonts w:ascii="Times New Roman" w:hAnsi="Times New Roman" w:cs="Times New Roman"/>
          <w:sz w:val="24"/>
          <w:szCs w:val="24"/>
        </w:rPr>
        <w:t xml:space="preserve"> </w:t>
      </w:r>
      <w:r>
        <w:rPr>
          <w:rFonts w:ascii="Times New Roman" w:hAnsi="Times New Roman" w:cs="Times New Roman"/>
          <w:sz w:val="24"/>
          <w:szCs w:val="24"/>
        </w:rPr>
        <w:t>Diğer</w:t>
      </w:r>
      <w:r w:rsidR="00C71742" w:rsidRPr="00C71742">
        <w:rPr>
          <w:rFonts w:ascii="Times New Roman" w:hAnsi="Times New Roman" w:cs="Times New Roman"/>
          <w:sz w:val="24"/>
          <w:szCs w:val="24"/>
        </w:rPr>
        <w:t xml:space="preserve"> ülke</w:t>
      </w:r>
      <w:r w:rsidR="00C71742">
        <w:rPr>
          <w:rFonts w:ascii="Times New Roman" w:hAnsi="Times New Roman" w:cs="Times New Roman"/>
          <w:sz w:val="24"/>
          <w:szCs w:val="24"/>
        </w:rPr>
        <w:t xml:space="preserve"> </w:t>
      </w:r>
      <w:r w:rsidR="00C71742" w:rsidRPr="00C71742">
        <w:rPr>
          <w:rFonts w:ascii="Times New Roman" w:hAnsi="Times New Roman" w:cs="Times New Roman"/>
          <w:sz w:val="24"/>
          <w:szCs w:val="24"/>
        </w:rPr>
        <w:t>mukim</w:t>
      </w:r>
      <w:r w:rsidR="00C71742">
        <w:rPr>
          <w:rFonts w:ascii="Times New Roman" w:hAnsi="Times New Roman" w:cs="Times New Roman"/>
          <w:sz w:val="24"/>
          <w:szCs w:val="24"/>
        </w:rPr>
        <w:t>i</w:t>
      </w:r>
      <w:r w:rsidR="00C71742" w:rsidRPr="00C71742">
        <w:rPr>
          <w:rFonts w:ascii="Times New Roman" w:hAnsi="Times New Roman" w:cs="Times New Roman"/>
          <w:sz w:val="24"/>
          <w:szCs w:val="24"/>
        </w:rPr>
        <w:t xml:space="preserve"> olan </w:t>
      </w:r>
      <w:r w:rsidR="00C71742">
        <w:rPr>
          <w:rFonts w:ascii="Times New Roman" w:hAnsi="Times New Roman" w:cs="Times New Roman"/>
          <w:sz w:val="24"/>
          <w:szCs w:val="24"/>
        </w:rPr>
        <w:t>bir çalışanın i</w:t>
      </w:r>
      <w:r w:rsidR="00C71742" w:rsidRPr="00C71742">
        <w:rPr>
          <w:rFonts w:ascii="Times New Roman" w:hAnsi="Times New Roman" w:cs="Times New Roman"/>
          <w:sz w:val="24"/>
          <w:szCs w:val="24"/>
        </w:rPr>
        <w:t>şve</w:t>
      </w:r>
      <w:r w:rsidR="00C71742">
        <w:rPr>
          <w:rFonts w:ascii="Times New Roman" w:hAnsi="Times New Roman" w:cs="Times New Roman"/>
          <w:sz w:val="24"/>
          <w:szCs w:val="24"/>
        </w:rPr>
        <w:t xml:space="preserve">renle ilişkisini sürdürmek için </w:t>
      </w:r>
      <w:r w:rsidR="00C71742" w:rsidRPr="00C71742">
        <w:rPr>
          <w:rFonts w:ascii="Times New Roman" w:hAnsi="Times New Roman" w:cs="Times New Roman"/>
          <w:sz w:val="24"/>
          <w:szCs w:val="24"/>
        </w:rPr>
        <w:t>çalış</w:t>
      </w:r>
      <w:r>
        <w:rPr>
          <w:rFonts w:ascii="Times New Roman" w:hAnsi="Times New Roman" w:cs="Times New Roman"/>
          <w:sz w:val="24"/>
          <w:szCs w:val="24"/>
        </w:rPr>
        <w:t>tığı</w:t>
      </w:r>
      <w:r w:rsidR="00C71742" w:rsidRPr="00C71742">
        <w:rPr>
          <w:rFonts w:ascii="Times New Roman" w:hAnsi="Times New Roman" w:cs="Times New Roman"/>
          <w:sz w:val="24"/>
          <w:szCs w:val="24"/>
        </w:rPr>
        <w:t xml:space="preserve"> ülkeden COVID-19 </w:t>
      </w:r>
      <w:r>
        <w:rPr>
          <w:rFonts w:ascii="Times New Roman" w:hAnsi="Times New Roman" w:cs="Times New Roman"/>
          <w:sz w:val="24"/>
          <w:szCs w:val="24"/>
        </w:rPr>
        <w:t>nedeniyle</w:t>
      </w:r>
      <w:r w:rsidR="00C71742" w:rsidRPr="00C71742">
        <w:rPr>
          <w:rFonts w:ascii="Times New Roman" w:hAnsi="Times New Roman" w:cs="Times New Roman"/>
          <w:sz w:val="24"/>
          <w:szCs w:val="24"/>
        </w:rPr>
        <w:t xml:space="preserve"> bir devlet sübvansiyonu aldığı durumda, </w:t>
      </w:r>
      <w:r w:rsidR="00AE5B70">
        <w:rPr>
          <w:rFonts w:ascii="Times New Roman" w:hAnsi="Times New Roman" w:cs="Times New Roman"/>
          <w:sz w:val="24"/>
          <w:szCs w:val="24"/>
        </w:rPr>
        <w:t>yapılan ödeme</w:t>
      </w:r>
      <w:r w:rsidR="00C71742" w:rsidRPr="00C71742">
        <w:rPr>
          <w:rFonts w:ascii="Times New Roman" w:hAnsi="Times New Roman" w:cs="Times New Roman"/>
          <w:sz w:val="24"/>
          <w:szCs w:val="24"/>
        </w:rPr>
        <w:t xml:space="preserve"> OECD M</w:t>
      </w:r>
      <w:r w:rsidR="00AE5B70">
        <w:rPr>
          <w:rFonts w:ascii="Times New Roman" w:hAnsi="Times New Roman" w:cs="Times New Roman"/>
          <w:sz w:val="24"/>
          <w:szCs w:val="24"/>
        </w:rPr>
        <w:t>VA’nın 15. m</w:t>
      </w:r>
      <w:r w:rsidR="00C71742" w:rsidRPr="00C71742">
        <w:rPr>
          <w:rFonts w:ascii="Times New Roman" w:hAnsi="Times New Roman" w:cs="Times New Roman"/>
          <w:sz w:val="24"/>
          <w:szCs w:val="24"/>
        </w:rPr>
        <w:t>addesi uyarınca çalışılan ülkeye atfedilebilir.</w:t>
      </w:r>
      <w:r>
        <w:rPr>
          <w:rFonts w:ascii="Times New Roman" w:hAnsi="Times New Roman" w:cs="Times New Roman"/>
          <w:sz w:val="24"/>
          <w:szCs w:val="24"/>
        </w:rPr>
        <w:t xml:space="preserve"> Normal şartlarda da </w:t>
      </w:r>
      <w:r w:rsidRPr="00C91A6C">
        <w:rPr>
          <w:rFonts w:ascii="Times New Roman" w:hAnsi="Times New Roman" w:cs="Times New Roman"/>
          <w:sz w:val="24"/>
          <w:szCs w:val="24"/>
        </w:rPr>
        <w:t xml:space="preserve">sınır ötesi çalışanların, hizmetlerini </w:t>
      </w:r>
      <w:r>
        <w:rPr>
          <w:rFonts w:ascii="Times New Roman" w:hAnsi="Times New Roman" w:cs="Times New Roman"/>
          <w:sz w:val="24"/>
          <w:szCs w:val="24"/>
        </w:rPr>
        <w:t xml:space="preserve">ifa ettiği ülkede elde ettiği ücret gelirinin bu ülkeye atfedilmesi esastır. </w:t>
      </w:r>
    </w:p>
    <w:p w:rsidR="004F0FD4" w:rsidRDefault="00AE5B70" w:rsidP="009175F9">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Diğer taraftan, </w:t>
      </w:r>
      <w:r w:rsidR="00C91A6C">
        <w:rPr>
          <w:rFonts w:ascii="Times New Roman" w:hAnsi="Times New Roman" w:cs="Times New Roman"/>
          <w:sz w:val="24"/>
          <w:szCs w:val="24"/>
        </w:rPr>
        <w:t>COVID-19 salgını</w:t>
      </w:r>
      <w:r w:rsidRPr="00AE5B70">
        <w:rPr>
          <w:rFonts w:ascii="Times New Roman" w:hAnsi="Times New Roman" w:cs="Times New Roman"/>
          <w:sz w:val="24"/>
          <w:szCs w:val="24"/>
        </w:rPr>
        <w:t xml:space="preserve"> bir ülkede mukim olan ve </w:t>
      </w:r>
      <w:r w:rsidR="00C56CEE">
        <w:rPr>
          <w:rFonts w:ascii="Times New Roman" w:hAnsi="Times New Roman" w:cs="Times New Roman"/>
          <w:sz w:val="24"/>
          <w:szCs w:val="24"/>
        </w:rPr>
        <w:t>diğe</w:t>
      </w:r>
      <w:r w:rsidR="001A31DC">
        <w:rPr>
          <w:rFonts w:ascii="Times New Roman" w:hAnsi="Times New Roman" w:cs="Times New Roman"/>
          <w:sz w:val="24"/>
          <w:szCs w:val="24"/>
        </w:rPr>
        <w:t>r</w:t>
      </w:r>
      <w:r w:rsidRPr="00AE5B70">
        <w:rPr>
          <w:rFonts w:ascii="Times New Roman" w:hAnsi="Times New Roman" w:cs="Times New Roman"/>
          <w:sz w:val="24"/>
          <w:szCs w:val="24"/>
        </w:rPr>
        <w:t xml:space="preserve"> ülkede çalışan kişilerin bu diğer ülkede mahsur kalmalarına sebep ol</w:t>
      </w:r>
      <w:r w:rsidR="00C91A6C">
        <w:rPr>
          <w:rFonts w:ascii="Times New Roman" w:hAnsi="Times New Roman" w:cs="Times New Roman"/>
          <w:sz w:val="24"/>
          <w:szCs w:val="24"/>
        </w:rPr>
        <w:t>duğundan b</w:t>
      </w:r>
      <w:r>
        <w:rPr>
          <w:rFonts w:ascii="Times New Roman" w:hAnsi="Times New Roman" w:cs="Times New Roman"/>
          <w:sz w:val="24"/>
          <w:szCs w:val="24"/>
        </w:rPr>
        <w:t xml:space="preserve">u kişilerin </w:t>
      </w:r>
      <w:r w:rsidRPr="00AE5B70">
        <w:rPr>
          <w:rFonts w:ascii="Times New Roman" w:hAnsi="Times New Roman" w:cs="Times New Roman"/>
          <w:sz w:val="24"/>
          <w:szCs w:val="24"/>
        </w:rPr>
        <w:t xml:space="preserve">COVID-19 kısıtlamaları nedeniyle diğer ülkeden çıkmasının yasaklandığı </w:t>
      </w:r>
      <w:r>
        <w:rPr>
          <w:rFonts w:ascii="Times New Roman" w:hAnsi="Times New Roman" w:cs="Times New Roman"/>
          <w:sz w:val="24"/>
          <w:szCs w:val="24"/>
        </w:rPr>
        <w:t>durumda ülkeler</w:t>
      </w:r>
      <w:r w:rsidRPr="00AE5B70">
        <w:rPr>
          <w:rFonts w:ascii="Times New Roman" w:hAnsi="Times New Roman" w:cs="Times New Roman"/>
          <w:sz w:val="24"/>
          <w:szCs w:val="24"/>
        </w:rPr>
        <w:t xml:space="preserve"> 183 gün kuralı kapsamında vergilendirme hakkı öne sürerken istisnai koşullar</w:t>
      </w:r>
      <w:r>
        <w:rPr>
          <w:rFonts w:ascii="Times New Roman" w:hAnsi="Times New Roman" w:cs="Times New Roman"/>
          <w:sz w:val="24"/>
          <w:szCs w:val="24"/>
        </w:rPr>
        <w:t>ı</w:t>
      </w:r>
      <w:r w:rsidRPr="00AE5B70">
        <w:rPr>
          <w:rFonts w:ascii="Times New Roman" w:hAnsi="Times New Roman" w:cs="Times New Roman"/>
          <w:sz w:val="24"/>
          <w:szCs w:val="24"/>
        </w:rPr>
        <w:t xml:space="preserve"> göz önüne al</w:t>
      </w:r>
      <w:r>
        <w:rPr>
          <w:rFonts w:ascii="Times New Roman" w:hAnsi="Times New Roman" w:cs="Times New Roman"/>
          <w:sz w:val="24"/>
          <w:szCs w:val="24"/>
        </w:rPr>
        <w:t xml:space="preserve">abilecek ve </w:t>
      </w:r>
      <w:r w:rsidRPr="00AE5B70">
        <w:rPr>
          <w:rFonts w:ascii="Times New Roman" w:hAnsi="Times New Roman" w:cs="Times New Roman"/>
          <w:sz w:val="24"/>
          <w:szCs w:val="24"/>
        </w:rPr>
        <w:t>bu koşulların geçerli olduğu günleri saymama</w:t>
      </w:r>
      <w:r>
        <w:rPr>
          <w:rFonts w:ascii="Times New Roman" w:hAnsi="Times New Roman" w:cs="Times New Roman"/>
          <w:sz w:val="24"/>
          <w:szCs w:val="24"/>
        </w:rPr>
        <w:t>yı tercih edebileceklerdir. 15. maddeye ilişkin yorum notlarının 5. p</w:t>
      </w:r>
      <w:r w:rsidRPr="00AE5B70">
        <w:rPr>
          <w:rFonts w:ascii="Times New Roman" w:hAnsi="Times New Roman" w:cs="Times New Roman"/>
          <w:sz w:val="24"/>
          <w:szCs w:val="24"/>
        </w:rPr>
        <w:t>aragrafı, ülkede bulunulan tüm günlerin iş günü olsun ya da olması</w:t>
      </w:r>
      <w:r>
        <w:rPr>
          <w:rFonts w:ascii="Times New Roman" w:hAnsi="Times New Roman" w:cs="Times New Roman"/>
          <w:sz w:val="24"/>
          <w:szCs w:val="24"/>
        </w:rPr>
        <w:t>n s</w:t>
      </w:r>
      <w:r w:rsidRPr="00AE5B70">
        <w:rPr>
          <w:rFonts w:ascii="Times New Roman" w:hAnsi="Times New Roman" w:cs="Times New Roman"/>
          <w:sz w:val="24"/>
          <w:szCs w:val="24"/>
        </w:rPr>
        <w:t xml:space="preserve">ayılacağını </w:t>
      </w:r>
      <w:r>
        <w:rPr>
          <w:rFonts w:ascii="Times New Roman" w:hAnsi="Times New Roman" w:cs="Times New Roman"/>
          <w:sz w:val="24"/>
          <w:szCs w:val="24"/>
        </w:rPr>
        <w:t>ifade etmektedir. Ö</w:t>
      </w:r>
      <w:r w:rsidRPr="00AE5B70">
        <w:rPr>
          <w:rFonts w:ascii="Times New Roman" w:hAnsi="Times New Roman" w:cs="Times New Roman"/>
          <w:sz w:val="24"/>
          <w:szCs w:val="24"/>
        </w:rPr>
        <w:t xml:space="preserve">rneğin “hastalık günleri” </w:t>
      </w:r>
      <w:r>
        <w:rPr>
          <w:rFonts w:ascii="Times New Roman" w:hAnsi="Times New Roman" w:cs="Times New Roman"/>
          <w:sz w:val="24"/>
          <w:szCs w:val="24"/>
        </w:rPr>
        <w:t>normalde süreye dahil edilir, a</w:t>
      </w:r>
      <w:r w:rsidRPr="00AE5B70">
        <w:rPr>
          <w:rFonts w:ascii="Times New Roman" w:hAnsi="Times New Roman" w:cs="Times New Roman"/>
          <w:sz w:val="24"/>
          <w:szCs w:val="24"/>
        </w:rPr>
        <w:t xml:space="preserve">ncak eğer bu hastalık günleri “kişinin ülkeyi terk etmesine engelse ve aksi durumda </w:t>
      </w:r>
      <w:r w:rsidR="00A8741E">
        <w:rPr>
          <w:rFonts w:ascii="Times New Roman" w:hAnsi="Times New Roman" w:cs="Times New Roman"/>
          <w:sz w:val="24"/>
          <w:szCs w:val="24"/>
        </w:rPr>
        <w:t>kişi</w:t>
      </w:r>
      <w:r w:rsidRPr="00AE5B70">
        <w:rPr>
          <w:rFonts w:ascii="Times New Roman" w:hAnsi="Times New Roman" w:cs="Times New Roman"/>
          <w:sz w:val="24"/>
          <w:szCs w:val="24"/>
        </w:rPr>
        <w:t xml:space="preserve"> muafiyet kazanacaktı ise”, </w:t>
      </w:r>
      <w:r w:rsidR="00A8741E">
        <w:rPr>
          <w:rFonts w:ascii="Times New Roman" w:hAnsi="Times New Roman" w:cs="Times New Roman"/>
          <w:sz w:val="24"/>
          <w:szCs w:val="24"/>
        </w:rPr>
        <w:t>bu günler</w:t>
      </w:r>
      <w:r w:rsidRPr="00AE5B70">
        <w:rPr>
          <w:rFonts w:ascii="Times New Roman" w:hAnsi="Times New Roman" w:cs="Times New Roman"/>
          <w:sz w:val="24"/>
          <w:szCs w:val="24"/>
        </w:rPr>
        <w:t xml:space="preserve"> hesapla</w:t>
      </w:r>
      <w:r w:rsidR="00A8741E">
        <w:rPr>
          <w:rFonts w:ascii="Times New Roman" w:hAnsi="Times New Roman" w:cs="Times New Roman"/>
          <w:sz w:val="24"/>
          <w:szCs w:val="24"/>
        </w:rPr>
        <w:t xml:space="preserve">maya dâhil edilmez ve dolayısıyla </w:t>
      </w:r>
      <w:r w:rsidRPr="00AE5B70">
        <w:rPr>
          <w:rFonts w:ascii="Times New Roman" w:hAnsi="Times New Roman" w:cs="Times New Roman"/>
          <w:sz w:val="24"/>
          <w:szCs w:val="24"/>
        </w:rPr>
        <w:t>ülkede bulunduğu günlere</w:t>
      </w:r>
      <w:r w:rsidR="00A8741E">
        <w:rPr>
          <w:rFonts w:ascii="Times New Roman" w:hAnsi="Times New Roman" w:cs="Times New Roman"/>
          <w:sz w:val="24"/>
          <w:szCs w:val="24"/>
        </w:rPr>
        <w:t xml:space="preserve"> ilave edilmez</w:t>
      </w:r>
      <w:r w:rsidRPr="00AE5B70">
        <w:rPr>
          <w:rFonts w:ascii="Times New Roman" w:hAnsi="Times New Roman" w:cs="Times New Roman"/>
          <w:sz w:val="24"/>
          <w:szCs w:val="24"/>
        </w:rPr>
        <w:t>.</w:t>
      </w:r>
      <w:r w:rsidR="00A8741E">
        <w:rPr>
          <w:rFonts w:ascii="Times New Roman" w:hAnsi="Times New Roman" w:cs="Times New Roman"/>
          <w:sz w:val="24"/>
          <w:szCs w:val="24"/>
        </w:rPr>
        <w:t xml:space="preserve"> Benzer biçimde, </w:t>
      </w:r>
      <w:r w:rsidR="00A8741E" w:rsidRPr="00A8741E">
        <w:rPr>
          <w:rFonts w:ascii="Times New Roman" w:hAnsi="Times New Roman" w:cs="Times New Roman"/>
          <w:sz w:val="24"/>
          <w:szCs w:val="24"/>
        </w:rPr>
        <w:t xml:space="preserve">COVID-19 </w:t>
      </w:r>
      <w:r w:rsidR="00A8741E">
        <w:rPr>
          <w:rFonts w:ascii="Times New Roman" w:hAnsi="Times New Roman" w:cs="Times New Roman"/>
          <w:sz w:val="24"/>
          <w:szCs w:val="24"/>
        </w:rPr>
        <w:t>salgınından</w:t>
      </w:r>
      <w:r w:rsidR="00A8741E" w:rsidRPr="00A8741E">
        <w:rPr>
          <w:rFonts w:ascii="Times New Roman" w:hAnsi="Times New Roman" w:cs="Times New Roman"/>
          <w:sz w:val="24"/>
          <w:szCs w:val="24"/>
        </w:rPr>
        <w:t xml:space="preserve"> dolayı karantina altında olduğu için seyahat e</w:t>
      </w:r>
      <w:r w:rsidR="00014367">
        <w:rPr>
          <w:rFonts w:ascii="Times New Roman" w:hAnsi="Times New Roman" w:cs="Times New Roman"/>
          <w:sz w:val="24"/>
          <w:szCs w:val="24"/>
        </w:rPr>
        <w:t>demeyen kişilerin durumu ve</w:t>
      </w:r>
      <w:r w:rsidR="00A8741E">
        <w:rPr>
          <w:rFonts w:ascii="Times New Roman" w:hAnsi="Times New Roman" w:cs="Times New Roman"/>
          <w:sz w:val="24"/>
          <w:szCs w:val="24"/>
        </w:rPr>
        <w:t xml:space="preserve"> </w:t>
      </w:r>
      <w:r w:rsidR="00A8741E" w:rsidRPr="00A8741E">
        <w:rPr>
          <w:rFonts w:ascii="Times New Roman" w:hAnsi="Times New Roman" w:cs="Times New Roman"/>
          <w:sz w:val="24"/>
          <w:szCs w:val="24"/>
        </w:rPr>
        <w:t>ülkeler</w:t>
      </w:r>
      <w:r w:rsidR="00A8741E">
        <w:rPr>
          <w:rFonts w:ascii="Times New Roman" w:hAnsi="Times New Roman" w:cs="Times New Roman"/>
          <w:sz w:val="24"/>
          <w:szCs w:val="24"/>
        </w:rPr>
        <w:t>in</w:t>
      </w:r>
      <w:r w:rsidR="00A8741E" w:rsidRPr="00A8741E">
        <w:rPr>
          <w:rFonts w:ascii="Times New Roman" w:hAnsi="Times New Roman" w:cs="Times New Roman"/>
          <w:sz w:val="24"/>
          <w:szCs w:val="24"/>
        </w:rPr>
        <w:t xml:space="preserve"> sey</w:t>
      </w:r>
      <w:r w:rsidR="00A8741E">
        <w:rPr>
          <w:rFonts w:ascii="Times New Roman" w:hAnsi="Times New Roman" w:cs="Times New Roman"/>
          <w:sz w:val="24"/>
          <w:szCs w:val="24"/>
        </w:rPr>
        <w:t xml:space="preserve">ahat yasağı uyguladığı </w:t>
      </w:r>
      <w:r w:rsidR="00014367">
        <w:rPr>
          <w:rFonts w:ascii="Times New Roman" w:hAnsi="Times New Roman" w:cs="Times New Roman"/>
          <w:sz w:val="24"/>
          <w:szCs w:val="24"/>
        </w:rPr>
        <w:t>koşullar</w:t>
      </w:r>
      <w:r w:rsidR="00A8741E" w:rsidRPr="00A8741E">
        <w:rPr>
          <w:rFonts w:ascii="Times New Roman" w:hAnsi="Times New Roman" w:cs="Times New Roman"/>
          <w:sz w:val="24"/>
          <w:szCs w:val="24"/>
        </w:rPr>
        <w:t xml:space="preserve"> </w:t>
      </w:r>
      <w:r w:rsidR="00A8741E">
        <w:rPr>
          <w:rFonts w:ascii="Times New Roman" w:hAnsi="Times New Roman" w:cs="Times New Roman"/>
          <w:sz w:val="24"/>
          <w:szCs w:val="24"/>
        </w:rPr>
        <w:t xml:space="preserve">bu kapsamda düşünülebilir. </w:t>
      </w:r>
    </w:p>
    <w:p w:rsidR="00A8741E" w:rsidRDefault="004F0FD4" w:rsidP="009175F9">
      <w:pPr>
        <w:spacing w:before="120" w:after="0" w:line="240" w:lineRule="auto"/>
        <w:ind w:firstLine="709"/>
        <w:jc w:val="both"/>
        <w:rPr>
          <w:rFonts w:ascii="Times New Roman" w:hAnsi="Times New Roman" w:cs="Times New Roman"/>
          <w:sz w:val="24"/>
          <w:szCs w:val="24"/>
        </w:rPr>
      </w:pPr>
      <w:r w:rsidRPr="004F0FD4">
        <w:rPr>
          <w:rFonts w:ascii="Times New Roman" w:hAnsi="Times New Roman" w:cs="Times New Roman"/>
          <w:sz w:val="24"/>
          <w:szCs w:val="24"/>
        </w:rPr>
        <w:t>Sonuç olarak, COVID-19 halk sağlığı önlemleri nedeniyle bir çalışanın seyahat etmesi yasaklandığında ve bir ülkede kal</w:t>
      </w:r>
      <w:r>
        <w:rPr>
          <w:rFonts w:ascii="Times New Roman" w:hAnsi="Times New Roman" w:cs="Times New Roman"/>
          <w:sz w:val="24"/>
          <w:szCs w:val="24"/>
        </w:rPr>
        <w:t>mak zorunda olduğunda</w:t>
      </w:r>
      <w:r w:rsidRPr="004F0FD4">
        <w:rPr>
          <w:rFonts w:ascii="Times New Roman" w:hAnsi="Times New Roman" w:cs="Times New Roman"/>
          <w:sz w:val="24"/>
          <w:szCs w:val="24"/>
        </w:rPr>
        <w:t xml:space="preserve">, </w:t>
      </w:r>
      <w:r>
        <w:rPr>
          <w:rFonts w:ascii="Times New Roman" w:hAnsi="Times New Roman" w:cs="Times New Roman"/>
          <w:sz w:val="24"/>
          <w:szCs w:val="24"/>
        </w:rPr>
        <w:t>m</w:t>
      </w:r>
      <w:r w:rsidRPr="004F0FD4">
        <w:rPr>
          <w:rFonts w:ascii="Times New Roman" w:hAnsi="Times New Roman" w:cs="Times New Roman"/>
          <w:sz w:val="24"/>
          <w:szCs w:val="24"/>
        </w:rPr>
        <w:t>adde 1</w:t>
      </w:r>
      <w:r>
        <w:rPr>
          <w:rFonts w:ascii="Times New Roman" w:hAnsi="Times New Roman" w:cs="Times New Roman"/>
          <w:sz w:val="24"/>
          <w:szCs w:val="24"/>
        </w:rPr>
        <w:t>5</w:t>
      </w:r>
      <w:r w:rsidRPr="004F0FD4">
        <w:rPr>
          <w:rFonts w:ascii="Times New Roman" w:hAnsi="Times New Roman" w:cs="Times New Roman"/>
          <w:sz w:val="24"/>
          <w:szCs w:val="24"/>
        </w:rPr>
        <w:t>(2)(a)</w:t>
      </w:r>
      <w:r>
        <w:rPr>
          <w:rFonts w:ascii="Times New Roman" w:hAnsi="Times New Roman" w:cs="Times New Roman"/>
          <w:sz w:val="24"/>
          <w:szCs w:val="24"/>
        </w:rPr>
        <w:t>’</w:t>
      </w:r>
      <w:r w:rsidRPr="004F0FD4">
        <w:rPr>
          <w:rFonts w:ascii="Times New Roman" w:hAnsi="Times New Roman" w:cs="Times New Roman"/>
          <w:sz w:val="24"/>
          <w:szCs w:val="24"/>
        </w:rPr>
        <w:t xml:space="preserve">daki 183 gün testinin amaçları bakımından, bir ülkenin bu tür koşullar altında o ülkede geçirilen </w:t>
      </w:r>
      <w:r>
        <w:rPr>
          <w:rFonts w:ascii="Times New Roman" w:hAnsi="Times New Roman" w:cs="Times New Roman"/>
          <w:sz w:val="24"/>
          <w:szCs w:val="24"/>
        </w:rPr>
        <w:t>ilave</w:t>
      </w:r>
      <w:r w:rsidRPr="004F0FD4">
        <w:rPr>
          <w:rFonts w:ascii="Times New Roman" w:hAnsi="Times New Roman" w:cs="Times New Roman"/>
          <w:sz w:val="24"/>
          <w:szCs w:val="24"/>
        </w:rPr>
        <w:t xml:space="preserve"> günleri göz ardı etmesi </w:t>
      </w:r>
      <w:r>
        <w:rPr>
          <w:rFonts w:ascii="Times New Roman" w:hAnsi="Times New Roman" w:cs="Times New Roman"/>
          <w:sz w:val="24"/>
          <w:szCs w:val="24"/>
        </w:rPr>
        <w:t xml:space="preserve">doğru </w:t>
      </w:r>
      <w:r w:rsidRPr="004F0FD4">
        <w:rPr>
          <w:rFonts w:ascii="Times New Roman" w:hAnsi="Times New Roman" w:cs="Times New Roman"/>
          <w:sz w:val="24"/>
          <w:szCs w:val="24"/>
        </w:rPr>
        <w:t>olacaktır. Bununla birlikte, bazı ülkeler</w:t>
      </w:r>
      <w:r>
        <w:rPr>
          <w:rFonts w:ascii="Times New Roman" w:hAnsi="Times New Roman" w:cs="Times New Roman"/>
          <w:sz w:val="24"/>
          <w:szCs w:val="24"/>
        </w:rPr>
        <w:t>in</w:t>
      </w:r>
      <w:r w:rsidRPr="004F0FD4">
        <w:rPr>
          <w:rFonts w:ascii="Times New Roman" w:hAnsi="Times New Roman" w:cs="Times New Roman"/>
          <w:sz w:val="24"/>
          <w:szCs w:val="24"/>
        </w:rPr>
        <w:t xml:space="preserve"> farklı bir yaklaşım benimse</w:t>
      </w:r>
      <w:r>
        <w:rPr>
          <w:rFonts w:ascii="Times New Roman" w:hAnsi="Times New Roman" w:cs="Times New Roman"/>
          <w:sz w:val="24"/>
          <w:szCs w:val="24"/>
        </w:rPr>
        <w:t>me</w:t>
      </w:r>
      <w:r w:rsidR="00004FB8">
        <w:rPr>
          <w:rFonts w:ascii="Times New Roman" w:hAnsi="Times New Roman" w:cs="Times New Roman"/>
          <w:sz w:val="24"/>
          <w:szCs w:val="24"/>
        </w:rPr>
        <w:t>leri</w:t>
      </w:r>
      <w:r>
        <w:rPr>
          <w:rFonts w:ascii="Times New Roman" w:hAnsi="Times New Roman" w:cs="Times New Roman"/>
          <w:sz w:val="24"/>
          <w:szCs w:val="24"/>
        </w:rPr>
        <w:t xml:space="preserve"> </w:t>
      </w:r>
      <w:r w:rsidRPr="004F0FD4">
        <w:rPr>
          <w:rFonts w:ascii="Times New Roman" w:hAnsi="Times New Roman" w:cs="Times New Roman"/>
          <w:sz w:val="24"/>
          <w:szCs w:val="24"/>
        </w:rPr>
        <w:t xml:space="preserve">veya bu tür durumlara </w:t>
      </w:r>
      <w:r>
        <w:rPr>
          <w:rFonts w:ascii="Times New Roman" w:hAnsi="Times New Roman" w:cs="Times New Roman"/>
          <w:sz w:val="24"/>
          <w:szCs w:val="24"/>
        </w:rPr>
        <w:t>karşı</w:t>
      </w:r>
      <w:r w:rsidRPr="004F0FD4">
        <w:rPr>
          <w:rFonts w:ascii="Times New Roman" w:hAnsi="Times New Roman" w:cs="Times New Roman"/>
          <w:sz w:val="24"/>
          <w:szCs w:val="24"/>
        </w:rPr>
        <w:t xml:space="preserve"> özel bir kılavuz yayınlamış ol</w:t>
      </w:r>
      <w:r>
        <w:rPr>
          <w:rFonts w:ascii="Times New Roman" w:hAnsi="Times New Roman" w:cs="Times New Roman"/>
          <w:sz w:val="24"/>
          <w:szCs w:val="24"/>
        </w:rPr>
        <w:t xml:space="preserve">maları durumunda </w:t>
      </w:r>
      <w:r w:rsidRPr="004F0FD4">
        <w:rPr>
          <w:rFonts w:ascii="Times New Roman" w:hAnsi="Times New Roman" w:cs="Times New Roman"/>
          <w:sz w:val="24"/>
          <w:szCs w:val="24"/>
        </w:rPr>
        <w:t xml:space="preserve">vergi mükelleflerinin vergi </w:t>
      </w:r>
      <w:r>
        <w:rPr>
          <w:rFonts w:ascii="Times New Roman" w:hAnsi="Times New Roman" w:cs="Times New Roman"/>
          <w:sz w:val="24"/>
          <w:szCs w:val="24"/>
        </w:rPr>
        <w:t xml:space="preserve">idareleriyle </w:t>
      </w:r>
      <w:r w:rsidRPr="004F0FD4">
        <w:rPr>
          <w:rFonts w:ascii="Times New Roman" w:hAnsi="Times New Roman" w:cs="Times New Roman"/>
          <w:sz w:val="24"/>
          <w:szCs w:val="24"/>
        </w:rPr>
        <w:t>iletişime geçmeleri</w:t>
      </w:r>
      <w:r>
        <w:rPr>
          <w:rFonts w:ascii="Times New Roman" w:hAnsi="Times New Roman" w:cs="Times New Roman"/>
          <w:sz w:val="24"/>
          <w:szCs w:val="24"/>
        </w:rPr>
        <w:t xml:space="preserve"> uygun olacaktır.</w:t>
      </w:r>
    </w:p>
    <w:p w:rsidR="00E212EB" w:rsidRDefault="00E212EB" w:rsidP="009175F9">
      <w:pPr>
        <w:spacing w:before="120" w:after="0" w:line="240" w:lineRule="auto"/>
        <w:ind w:firstLine="709"/>
        <w:jc w:val="both"/>
        <w:rPr>
          <w:rFonts w:ascii="Times New Roman" w:hAnsi="Times New Roman" w:cs="Times New Roman"/>
          <w:sz w:val="24"/>
          <w:szCs w:val="24"/>
        </w:rPr>
      </w:pPr>
      <w:r>
        <w:rPr>
          <w:rFonts w:ascii="Times New Roman" w:hAnsi="Times New Roman" w:cs="Times New Roman"/>
          <w:bCs/>
          <w:iCs/>
          <w:sz w:val="24"/>
          <w:szCs w:val="24"/>
        </w:rPr>
        <w:t>Öte yandan, y</w:t>
      </w:r>
      <w:r w:rsidR="00F63C76" w:rsidRPr="00F63C76">
        <w:rPr>
          <w:rFonts w:ascii="Times New Roman" w:hAnsi="Times New Roman" w:cs="Times New Roman"/>
          <w:bCs/>
          <w:iCs/>
          <w:sz w:val="24"/>
          <w:szCs w:val="24"/>
        </w:rPr>
        <w:t xml:space="preserve">urt dışından uzaktan çalışma, </w:t>
      </w:r>
      <w:r w:rsidR="00F63C76">
        <w:rPr>
          <w:rFonts w:ascii="Times New Roman" w:hAnsi="Times New Roman" w:cs="Times New Roman"/>
          <w:bCs/>
          <w:iCs/>
          <w:sz w:val="24"/>
          <w:szCs w:val="24"/>
        </w:rPr>
        <w:t>başka deyişle</w:t>
      </w:r>
      <w:r w:rsidR="00F63C76" w:rsidRPr="00F63C76">
        <w:rPr>
          <w:rFonts w:ascii="Times New Roman" w:hAnsi="Times New Roman" w:cs="Times New Roman"/>
          <w:bCs/>
          <w:iCs/>
          <w:sz w:val="24"/>
          <w:szCs w:val="24"/>
        </w:rPr>
        <w:t xml:space="preserve"> diğer ülkedeki bir işveren i</w:t>
      </w:r>
      <w:r>
        <w:rPr>
          <w:rFonts w:ascii="Times New Roman" w:hAnsi="Times New Roman" w:cs="Times New Roman"/>
          <w:bCs/>
          <w:iCs/>
          <w:sz w:val="24"/>
          <w:szCs w:val="24"/>
        </w:rPr>
        <w:t>çin bir ülkeden uzaktan çalışma yoluyla elde edilen ü</w:t>
      </w:r>
      <w:r w:rsidR="00F63C76" w:rsidRPr="00F63C76">
        <w:rPr>
          <w:rFonts w:ascii="Times New Roman" w:hAnsi="Times New Roman" w:cs="Times New Roman"/>
          <w:sz w:val="24"/>
          <w:szCs w:val="24"/>
        </w:rPr>
        <w:t>cret gelirleri</w:t>
      </w:r>
      <w:r>
        <w:rPr>
          <w:rFonts w:ascii="Times New Roman" w:hAnsi="Times New Roman" w:cs="Times New Roman"/>
          <w:sz w:val="24"/>
          <w:szCs w:val="24"/>
        </w:rPr>
        <w:t xml:space="preserve">ne yönelik </w:t>
      </w:r>
      <w:r w:rsidR="00F63C76" w:rsidRPr="00F63C76">
        <w:rPr>
          <w:rFonts w:ascii="Times New Roman" w:hAnsi="Times New Roman" w:cs="Times New Roman"/>
          <w:sz w:val="24"/>
          <w:szCs w:val="24"/>
        </w:rPr>
        <w:t>vergile</w:t>
      </w:r>
      <w:r>
        <w:rPr>
          <w:rFonts w:ascii="Times New Roman" w:hAnsi="Times New Roman" w:cs="Times New Roman"/>
          <w:sz w:val="24"/>
          <w:szCs w:val="24"/>
        </w:rPr>
        <w:t>ndir</w:t>
      </w:r>
      <w:r w:rsidR="00F63C76" w:rsidRPr="00F63C76">
        <w:rPr>
          <w:rFonts w:ascii="Times New Roman" w:hAnsi="Times New Roman" w:cs="Times New Roman"/>
          <w:sz w:val="24"/>
          <w:szCs w:val="24"/>
        </w:rPr>
        <w:t>me hak</w:t>
      </w:r>
      <w:r>
        <w:rPr>
          <w:rFonts w:ascii="Times New Roman" w:hAnsi="Times New Roman" w:cs="Times New Roman"/>
          <w:sz w:val="24"/>
          <w:szCs w:val="24"/>
        </w:rPr>
        <w:t xml:space="preserve">kının </w:t>
      </w:r>
      <w:r w:rsidR="00F63C76" w:rsidRPr="00F63C76">
        <w:rPr>
          <w:rFonts w:ascii="Times New Roman" w:hAnsi="Times New Roman" w:cs="Times New Roman"/>
          <w:sz w:val="24"/>
          <w:szCs w:val="24"/>
        </w:rPr>
        <w:t>dağı</w:t>
      </w:r>
      <w:r>
        <w:rPr>
          <w:rFonts w:ascii="Times New Roman" w:hAnsi="Times New Roman" w:cs="Times New Roman"/>
          <w:sz w:val="24"/>
          <w:szCs w:val="24"/>
        </w:rPr>
        <w:t xml:space="preserve">tılmasındaki </w:t>
      </w:r>
      <w:r w:rsidR="00F63C76" w:rsidRPr="00F63C76">
        <w:rPr>
          <w:rFonts w:ascii="Times New Roman" w:hAnsi="Times New Roman" w:cs="Times New Roman"/>
          <w:sz w:val="24"/>
          <w:szCs w:val="24"/>
        </w:rPr>
        <w:t>değişiklikleri gösteren bazı örnekler</w:t>
      </w:r>
      <w:r>
        <w:rPr>
          <w:rFonts w:ascii="Times New Roman" w:hAnsi="Times New Roman" w:cs="Times New Roman"/>
          <w:sz w:val="24"/>
          <w:szCs w:val="24"/>
        </w:rPr>
        <w:t xml:space="preserve"> konunun anlaşılmasında yararlı olacaktır: </w:t>
      </w:r>
      <w:r w:rsidR="00F63C76" w:rsidRPr="00F63C76">
        <w:rPr>
          <w:rFonts w:ascii="Times New Roman" w:hAnsi="Times New Roman" w:cs="Times New Roman"/>
          <w:sz w:val="24"/>
          <w:szCs w:val="24"/>
        </w:rPr>
        <w:t>COVID-19 salgınından önce, A ülkesinde mukim olan bir çalışan normalde B ülkesinde iş yapıyordu. Çalışan, COVID-19 salgını nedeniyle işlerini A ülkesinden yürütmeye başl</w:t>
      </w:r>
      <w:r>
        <w:rPr>
          <w:rFonts w:ascii="Times New Roman" w:hAnsi="Times New Roman" w:cs="Times New Roman"/>
          <w:sz w:val="24"/>
          <w:szCs w:val="24"/>
        </w:rPr>
        <w:t>ıyor. 15. maddeye göre;</w:t>
      </w:r>
    </w:p>
    <w:p w:rsidR="00F63C76" w:rsidRPr="00E212EB" w:rsidRDefault="00E212EB" w:rsidP="009175F9">
      <w:pPr>
        <w:pStyle w:val="ListeParagraf"/>
        <w:numPr>
          <w:ilvl w:val="0"/>
          <w:numId w:val="7"/>
        </w:numPr>
        <w:spacing w:before="120" w:after="0" w:line="240" w:lineRule="auto"/>
        <w:ind w:left="993" w:hanging="284"/>
        <w:contextualSpacing w:val="0"/>
        <w:jc w:val="both"/>
        <w:rPr>
          <w:rFonts w:ascii="Times New Roman" w:hAnsi="Times New Roman" w:cs="Times New Roman"/>
          <w:sz w:val="24"/>
          <w:szCs w:val="24"/>
        </w:rPr>
      </w:pPr>
      <w:r w:rsidRPr="00E212EB">
        <w:rPr>
          <w:rFonts w:ascii="Times New Roman" w:hAnsi="Times New Roman" w:cs="Times New Roman"/>
          <w:sz w:val="24"/>
          <w:szCs w:val="24"/>
        </w:rPr>
        <w:t>i</w:t>
      </w:r>
      <w:r w:rsidR="00F63C76" w:rsidRPr="00E212EB">
        <w:rPr>
          <w:rFonts w:ascii="Times New Roman" w:hAnsi="Times New Roman" w:cs="Times New Roman"/>
          <w:sz w:val="24"/>
          <w:szCs w:val="24"/>
        </w:rPr>
        <w:t>şveren B ülkesinde mukimse, B ülkesi, çalışanın bu ülkede fi</w:t>
      </w:r>
      <w:r w:rsidRPr="00E212EB">
        <w:rPr>
          <w:rFonts w:ascii="Times New Roman" w:hAnsi="Times New Roman" w:cs="Times New Roman"/>
          <w:sz w:val="24"/>
          <w:szCs w:val="24"/>
        </w:rPr>
        <w:t>ziksel olarak bulunduğu dönemde</w:t>
      </w:r>
      <w:r w:rsidR="00F63C76" w:rsidRPr="00E212EB">
        <w:rPr>
          <w:rFonts w:ascii="Times New Roman" w:hAnsi="Times New Roman" w:cs="Times New Roman"/>
          <w:sz w:val="24"/>
          <w:szCs w:val="24"/>
        </w:rPr>
        <w:t xml:space="preserve"> elde edilen geliri vergilendirme hakkına sahiptir</w:t>
      </w:r>
      <w:r>
        <w:rPr>
          <w:rFonts w:ascii="Times New Roman" w:hAnsi="Times New Roman" w:cs="Times New Roman"/>
          <w:sz w:val="24"/>
          <w:szCs w:val="24"/>
        </w:rPr>
        <w:t>.</w:t>
      </w:r>
    </w:p>
    <w:p w:rsidR="00F63C76" w:rsidRPr="00F63C76" w:rsidRDefault="00004FB8" w:rsidP="009175F9">
      <w:pPr>
        <w:numPr>
          <w:ilvl w:val="0"/>
          <w:numId w:val="7"/>
        </w:numPr>
        <w:spacing w:after="0" w:line="24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i</w:t>
      </w:r>
      <w:r w:rsidR="00F63C76" w:rsidRPr="00F63C76">
        <w:rPr>
          <w:rFonts w:ascii="Times New Roman" w:hAnsi="Times New Roman" w:cs="Times New Roman"/>
          <w:sz w:val="24"/>
          <w:szCs w:val="24"/>
        </w:rPr>
        <w:t>şveren B ülkesinde mukim değilse veya o ülkedeki bir iş</w:t>
      </w:r>
      <w:r w:rsidR="006A47C8">
        <w:rPr>
          <w:rFonts w:ascii="Times New Roman" w:hAnsi="Times New Roman" w:cs="Times New Roman"/>
          <w:sz w:val="24"/>
          <w:szCs w:val="24"/>
        </w:rPr>
        <w:t xml:space="preserve"> </w:t>
      </w:r>
      <w:r w:rsidR="00F63C76" w:rsidRPr="00F63C76">
        <w:rPr>
          <w:rFonts w:ascii="Times New Roman" w:hAnsi="Times New Roman" w:cs="Times New Roman"/>
          <w:sz w:val="24"/>
          <w:szCs w:val="24"/>
        </w:rPr>
        <w:t>yeri aracılığıyla çalışanın ücret mali</w:t>
      </w:r>
      <w:r w:rsidR="00E212EB">
        <w:rPr>
          <w:rFonts w:ascii="Times New Roman" w:hAnsi="Times New Roman" w:cs="Times New Roman"/>
          <w:sz w:val="24"/>
          <w:szCs w:val="24"/>
        </w:rPr>
        <w:t>yetini karşılamadıysa, B ülkesi</w:t>
      </w:r>
      <w:r w:rsidR="00F63C76" w:rsidRPr="00F63C76">
        <w:rPr>
          <w:rFonts w:ascii="Times New Roman" w:hAnsi="Times New Roman" w:cs="Times New Roman"/>
          <w:sz w:val="24"/>
          <w:szCs w:val="24"/>
        </w:rPr>
        <w:t xml:space="preserve"> çalışanın orada 183 günden daha az kalması durumunda büyük olasılıkla vergilendirme hakkını kaybedecektir.</w:t>
      </w:r>
    </w:p>
    <w:p w:rsidR="00F63C76" w:rsidRPr="00A8741E" w:rsidRDefault="006A47C8" w:rsidP="009175F9">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Bir diğer örnek olarak; </w:t>
      </w:r>
      <w:r w:rsidR="00A20CF6">
        <w:rPr>
          <w:rFonts w:ascii="Times New Roman" w:hAnsi="Times New Roman" w:cs="Times New Roman"/>
          <w:sz w:val="24"/>
          <w:szCs w:val="24"/>
        </w:rPr>
        <w:t>COVID-19 salgınından önce</w:t>
      </w:r>
      <w:r w:rsidRPr="006A47C8">
        <w:rPr>
          <w:rFonts w:ascii="Times New Roman" w:hAnsi="Times New Roman" w:cs="Times New Roman"/>
          <w:sz w:val="24"/>
          <w:szCs w:val="24"/>
        </w:rPr>
        <w:t xml:space="preserve"> bir çal</w:t>
      </w:r>
      <w:r w:rsidR="00A20CF6">
        <w:rPr>
          <w:rFonts w:ascii="Times New Roman" w:hAnsi="Times New Roman" w:cs="Times New Roman"/>
          <w:sz w:val="24"/>
          <w:szCs w:val="24"/>
        </w:rPr>
        <w:t>ışan A ülkesinde ikamet ediyorken</w:t>
      </w:r>
      <w:r w:rsidRPr="006A47C8">
        <w:rPr>
          <w:rFonts w:ascii="Times New Roman" w:hAnsi="Times New Roman" w:cs="Times New Roman"/>
          <w:sz w:val="24"/>
          <w:szCs w:val="24"/>
        </w:rPr>
        <w:t xml:space="preserve"> </w:t>
      </w:r>
      <w:r w:rsidR="00B46E31">
        <w:rPr>
          <w:rFonts w:ascii="Times New Roman" w:hAnsi="Times New Roman" w:cs="Times New Roman"/>
          <w:sz w:val="24"/>
          <w:szCs w:val="24"/>
        </w:rPr>
        <w:t xml:space="preserve">salgından dolayı </w:t>
      </w:r>
      <w:r w:rsidRPr="006A47C8">
        <w:rPr>
          <w:rFonts w:ascii="Times New Roman" w:hAnsi="Times New Roman" w:cs="Times New Roman"/>
          <w:sz w:val="24"/>
          <w:szCs w:val="24"/>
        </w:rPr>
        <w:t>B ülkesinde mahsur kal</w:t>
      </w:r>
      <w:r>
        <w:rPr>
          <w:rFonts w:ascii="Times New Roman" w:hAnsi="Times New Roman" w:cs="Times New Roman"/>
          <w:sz w:val="24"/>
          <w:szCs w:val="24"/>
        </w:rPr>
        <w:t>ıyor</w:t>
      </w:r>
      <w:r w:rsidRPr="006A47C8">
        <w:rPr>
          <w:rFonts w:ascii="Times New Roman" w:hAnsi="Times New Roman" w:cs="Times New Roman"/>
          <w:sz w:val="24"/>
          <w:szCs w:val="24"/>
        </w:rPr>
        <w:t xml:space="preserve"> ve işini orada yapmaya başl</w:t>
      </w:r>
      <w:r>
        <w:rPr>
          <w:rFonts w:ascii="Times New Roman" w:hAnsi="Times New Roman" w:cs="Times New Roman"/>
          <w:sz w:val="24"/>
          <w:szCs w:val="24"/>
        </w:rPr>
        <w:t>ıyor.</w:t>
      </w:r>
      <w:r w:rsidRPr="006A47C8">
        <w:rPr>
          <w:rFonts w:ascii="Times New Roman" w:hAnsi="Times New Roman" w:cs="Times New Roman"/>
          <w:sz w:val="24"/>
          <w:szCs w:val="24"/>
        </w:rPr>
        <w:t xml:space="preserve"> Eğer işveren de o ülkede mukimse veya o ülkedeki bir iş</w:t>
      </w:r>
      <w:r>
        <w:rPr>
          <w:rFonts w:ascii="Times New Roman" w:hAnsi="Times New Roman" w:cs="Times New Roman"/>
          <w:sz w:val="24"/>
          <w:szCs w:val="24"/>
        </w:rPr>
        <w:t xml:space="preserve"> </w:t>
      </w:r>
      <w:r w:rsidRPr="006A47C8">
        <w:rPr>
          <w:rFonts w:ascii="Times New Roman" w:hAnsi="Times New Roman" w:cs="Times New Roman"/>
          <w:sz w:val="24"/>
          <w:szCs w:val="24"/>
        </w:rPr>
        <w:t>yeri aracılığıyla çalışanın üc</w:t>
      </w:r>
      <w:r>
        <w:rPr>
          <w:rFonts w:ascii="Times New Roman" w:hAnsi="Times New Roman" w:cs="Times New Roman"/>
          <w:sz w:val="24"/>
          <w:szCs w:val="24"/>
        </w:rPr>
        <w:t>ret maliyetini üstlenirse, 15. m</w:t>
      </w:r>
      <w:r w:rsidRPr="006A47C8">
        <w:rPr>
          <w:rFonts w:ascii="Times New Roman" w:hAnsi="Times New Roman" w:cs="Times New Roman"/>
          <w:sz w:val="24"/>
          <w:szCs w:val="24"/>
        </w:rPr>
        <w:t>adde uyarınca, B ülkesi ücret gelirini vergilendirebilir. İşverenin başka bir yerde mukim olduğu durumlarda, B ülkesi, yalnızca çalışanın 183 günlük eşiği aşması durumunda ücret gelirini vergilendirme hakkına sahip olacaktır.</w:t>
      </w:r>
    </w:p>
    <w:p w:rsidR="00AE5B70" w:rsidRPr="00AE5B70" w:rsidRDefault="006A47C8" w:rsidP="009175F9">
      <w:pPr>
        <w:spacing w:before="120" w:after="0" w:line="240" w:lineRule="auto"/>
        <w:ind w:firstLine="709"/>
        <w:jc w:val="both"/>
        <w:rPr>
          <w:rFonts w:ascii="Times New Roman" w:hAnsi="Times New Roman" w:cs="Times New Roman"/>
          <w:sz w:val="24"/>
          <w:szCs w:val="24"/>
        </w:rPr>
      </w:pPr>
      <w:r w:rsidRPr="006A47C8">
        <w:rPr>
          <w:rFonts w:ascii="Times New Roman" w:hAnsi="Times New Roman" w:cs="Times New Roman"/>
          <w:sz w:val="24"/>
          <w:szCs w:val="24"/>
        </w:rPr>
        <w:lastRenderedPageBreak/>
        <w:t>Sonuç olarak, bir çalışanın iş yaptığı ülkeyi değiştirmesi, ücret gelirinin vergi</w:t>
      </w:r>
      <w:r>
        <w:rPr>
          <w:rFonts w:ascii="Times New Roman" w:hAnsi="Times New Roman" w:cs="Times New Roman"/>
          <w:sz w:val="24"/>
          <w:szCs w:val="24"/>
        </w:rPr>
        <w:t>lendirildiği yeri etkileyebilir. Ç</w:t>
      </w:r>
      <w:r w:rsidRPr="006A47C8">
        <w:rPr>
          <w:rFonts w:ascii="Times New Roman" w:hAnsi="Times New Roman" w:cs="Times New Roman"/>
          <w:sz w:val="24"/>
          <w:szCs w:val="24"/>
        </w:rPr>
        <w:t xml:space="preserve">alışanın geliri üzerinden diğer ülkeler için yeni vergilendirme hakları ortaya çıkabilir ve bu haklar mevcut vergilendirme haklarının yerini alabilir. </w:t>
      </w:r>
    </w:p>
    <w:p w:rsidR="00FF304C" w:rsidRPr="00ED120F" w:rsidRDefault="009175F9" w:rsidP="009175F9">
      <w:pPr>
        <w:pStyle w:val="ListeParagraf"/>
        <w:numPr>
          <w:ilvl w:val="0"/>
          <w:numId w:val="11"/>
        </w:numPr>
        <w:spacing w:before="120" w:after="0" w:line="240" w:lineRule="auto"/>
        <w:ind w:left="993" w:hanging="284"/>
        <w:contextualSpacing w:val="0"/>
        <w:jc w:val="both"/>
        <w:rPr>
          <w:rFonts w:ascii="Times New Roman" w:hAnsi="Times New Roman" w:cs="Times New Roman"/>
          <w:b/>
          <w:sz w:val="24"/>
          <w:szCs w:val="24"/>
        </w:rPr>
      </w:pPr>
      <w:r w:rsidRPr="00ED120F">
        <w:rPr>
          <w:rFonts w:ascii="Times New Roman" w:hAnsi="Times New Roman" w:cs="Times New Roman"/>
          <w:b/>
          <w:sz w:val="24"/>
          <w:szCs w:val="24"/>
        </w:rPr>
        <w:t>SONUÇ</w:t>
      </w:r>
    </w:p>
    <w:p w:rsidR="00C60156" w:rsidRDefault="00ED120F" w:rsidP="009175F9">
      <w:pPr>
        <w:spacing w:before="120" w:after="0" w:line="240" w:lineRule="auto"/>
        <w:ind w:firstLine="709"/>
        <w:jc w:val="both"/>
        <w:rPr>
          <w:rFonts w:ascii="Times New Roman" w:hAnsi="Times New Roman" w:cs="Times New Roman"/>
          <w:iCs/>
          <w:sz w:val="24"/>
          <w:szCs w:val="24"/>
        </w:rPr>
      </w:pPr>
      <w:r>
        <w:rPr>
          <w:rFonts w:ascii="Times New Roman" w:hAnsi="Times New Roman" w:cs="Times New Roman"/>
          <w:sz w:val="24"/>
          <w:szCs w:val="24"/>
        </w:rPr>
        <w:t>COVID-19 salgını nedeniyle</w:t>
      </w:r>
      <w:r w:rsidRPr="00ED120F">
        <w:rPr>
          <w:rFonts w:ascii="Times New Roman" w:hAnsi="Times New Roman" w:cs="Times New Roman"/>
          <w:sz w:val="24"/>
          <w:szCs w:val="24"/>
        </w:rPr>
        <w:t xml:space="preserve"> dünya</w:t>
      </w:r>
      <w:r w:rsidR="00014235">
        <w:rPr>
          <w:rFonts w:ascii="Times New Roman" w:hAnsi="Times New Roman" w:cs="Times New Roman"/>
          <w:sz w:val="24"/>
          <w:szCs w:val="24"/>
        </w:rPr>
        <w:t>da</w:t>
      </w:r>
      <w:r w:rsidRPr="00ED120F">
        <w:rPr>
          <w:rFonts w:ascii="Times New Roman" w:hAnsi="Times New Roman" w:cs="Times New Roman"/>
          <w:sz w:val="24"/>
          <w:szCs w:val="24"/>
        </w:rPr>
        <w:t xml:space="preserve"> </w:t>
      </w:r>
      <w:r w:rsidR="00627075">
        <w:rPr>
          <w:rFonts w:ascii="Times New Roman" w:hAnsi="Times New Roman" w:cs="Times New Roman"/>
          <w:sz w:val="24"/>
          <w:szCs w:val="24"/>
        </w:rPr>
        <w:t>iş yapma</w:t>
      </w:r>
      <w:r w:rsidR="00014235">
        <w:rPr>
          <w:rFonts w:ascii="Times New Roman" w:hAnsi="Times New Roman" w:cs="Times New Roman"/>
          <w:sz w:val="24"/>
          <w:szCs w:val="24"/>
        </w:rPr>
        <w:t xml:space="preserve"> biçimlerinde</w:t>
      </w:r>
      <w:r>
        <w:rPr>
          <w:rFonts w:ascii="Times New Roman" w:hAnsi="Times New Roman" w:cs="Times New Roman"/>
          <w:sz w:val="24"/>
          <w:szCs w:val="24"/>
        </w:rPr>
        <w:t xml:space="preserve"> </w:t>
      </w:r>
      <w:r w:rsidR="00014235">
        <w:rPr>
          <w:rFonts w:ascii="Times New Roman" w:hAnsi="Times New Roman" w:cs="Times New Roman"/>
          <w:sz w:val="24"/>
          <w:szCs w:val="24"/>
        </w:rPr>
        <w:t xml:space="preserve">öngörülemeyen değişikliklerin yaşandığı </w:t>
      </w:r>
      <w:r>
        <w:rPr>
          <w:rFonts w:ascii="Times New Roman" w:hAnsi="Times New Roman" w:cs="Times New Roman"/>
          <w:sz w:val="24"/>
          <w:szCs w:val="24"/>
        </w:rPr>
        <w:t>ortadadır. Ü</w:t>
      </w:r>
      <w:r w:rsidRPr="00ED120F">
        <w:rPr>
          <w:rFonts w:ascii="Times New Roman" w:hAnsi="Times New Roman" w:cs="Times New Roman"/>
          <w:sz w:val="24"/>
          <w:szCs w:val="24"/>
        </w:rPr>
        <w:t>lke</w:t>
      </w:r>
      <w:r>
        <w:rPr>
          <w:rFonts w:ascii="Times New Roman" w:hAnsi="Times New Roman" w:cs="Times New Roman"/>
          <w:sz w:val="24"/>
          <w:szCs w:val="24"/>
        </w:rPr>
        <w:t>lerin gelir idaresi</w:t>
      </w:r>
      <w:r w:rsidRPr="00ED120F">
        <w:rPr>
          <w:rFonts w:ascii="Times New Roman" w:hAnsi="Times New Roman" w:cs="Times New Roman"/>
          <w:sz w:val="24"/>
          <w:szCs w:val="24"/>
        </w:rPr>
        <w:t xml:space="preserve"> </w:t>
      </w:r>
      <w:r>
        <w:rPr>
          <w:rFonts w:ascii="Times New Roman" w:hAnsi="Times New Roman" w:cs="Times New Roman"/>
          <w:sz w:val="24"/>
          <w:szCs w:val="24"/>
        </w:rPr>
        <w:t xml:space="preserve">makamları </w:t>
      </w:r>
      <w:r w:rsidRPr="00ED120F">
        <w:rPr>
          <w:rFonts w:ascii="Times New Roman" w:hAnsi="Times New Roman" w:cs="Times New Roman"/>
          <w:sz w:val="24"/>
          <w:szCs w:val="24"/>
        </w:rPr>
        <w:t>birçok vergi</w:t>
      </w:r>
      <w:r>
        <w:rPr>
          <w:rFonts w:ascii="Times New Roman" w:hAnsi="Times New Roman" w:cs="Times New Roman"/>
          <w:sz w:val="24"/>
          <w:szCs w:val="24"/>
        </w:rPr>
        <w:t xml:space="preserve"> düzenlemesini tedbir amaçlı hayata geçirmekte ve mükelleflerini korumak amacıyla bazı destek ve teşvikleri gündemine almaktadır. Salgın</w:t>
      </w:r>
      <w:r w:rsidRPr="00ED120F">
        <w:rPr>
          <w:rFonts w:ascii="Times New Roman" w:hAnsi="Times New Roman" w:cs="Times New Roman"/>
          <w:sz w:val="24"/>
          <w:szCs w:val="24"/>
        </w:rPr>
        <w:t xml:space="preserve"> kapsamında ülkelerin seyahat </w:t>
      </w:r>
      <w:r>
        <w:rPr>
          <w:rFonts w:ascii="Times New Roman" w:hAnsi="Times New Roman" w:cs="Times New Roman"/>
          <w:sz w:val="24"/>
          <w:szCs w:val="24"/>
        </w:rPr>
        <w:t xml:space="preserve">ve sokağa çıkma yasağı gibi </w:t>
      </w:r>
      <w:r w:rsidR="00B46E31" w:rsidRPr="00ED120F">
        <w:rPr>
          <w:rFonts w:ascii="Times New Roman" w:hAnsi="Times New Roman" w:cs="Times New Roman"/>
          <w:sz w:val="24"/>
          <w:szCs w:val="24"/>
        </w:rPr>
        <w:t>aldıkları</w:t>
      </w:r>
      <w:r w:rsidR="00B46E31">
        <w:rPr>
          <w:rFonts w:ascii="Times New Roman" w:hAnsi="Times New Roman" w:cs="Times New Roman"/>
          <w:sz w:val="24"/>
          <w:szCs w:val="24"/>
        </w:rPr>
        <w:t xml:space="preserve"> </w:t>
      </w:r>
      <w:r>
        <w:rPr>
          <w:rFonts w:ascii="Times New Roman" w:hAnsi="Times New Roman" w:cs="Times New Roman"/>
          <w:sz w:val="24"/>
          <w:szCs w:val="24"/>
        </w:rPr>
        <w:t xml:space="preserve">bazı </w:t>
      </w:r>
      <w:r w:rsidRPr="00ED120F">
        <w:rPr>
          <w:rFonts w:ascii="Times New Roman" w:hAnsi="Times New Roman" w:cs="Times New Roman"/>
          <w:sz w:val="24"/>
          <w:szCs w:val="24"/>
        </w:rPr>
        <w:t>tedbirlerin sınır ötesi faaliyet</w:t>
      </w:r>
      <w:r>
        <w:rPr>
          <w:rFonts w:ascii="Times New Roman" w:hAnsi="Times New Roman" w:cs="Times New Roman"/>
          <w:sz w:val="24"/>
          <w:szCs w:val="24"/>
        </w:rPr>
        <w:t xml:space="preserve"> yürüten kişilere vergisel açıdan </w:t>
      </w:r>
      <w:r w:rsidR="00004FB8">
        <w:rPr>
          <w:rFonts w:ascii="Times New Roman" w:hAnsi="Times New Roman" w:cs="Times New Roman"/>
          <w:sz w:val="24"/>
          <w:szCs w:val="24"/>
        </w:rPr>
        <w:t xml:space="preserve">olası </w:t>
      </w:r>
      <w:r>
        <w:rPr>
          <w:rFonts w:ascii="Times New Roman" w:hAnsi="Times New Roman" w:cs="Times New Roman"/>
          <w:sz w:val="24"/>
          <w:szCs w:val="24"/>
        </w:rPr>
        <w:t>etkileri endişelere konu olmuştur. OECD bu zorlu</w:t>
      </w:r>
      <w:r w:rsidR="00004FB8">
        <w:rPr>
          <w:rFonts w:ascii="Times New Roman" w:hAnsi="Times New Roman" w:cs="Times New Roman"/>
          <w:sz w:val="24"/>
          <w:szCs w:val="24"/>
        </w:rPr>
        <w:t xml:space="preserve"> süreçte ülkelere yardımcı olmak</w:t>
      </w:r>
      <w:r>
        <w:rPr>
          <w:rFonts w:ascii="Times New Roman" w:hAnsi="Times New Roman" w:cs="Times New Roman"/>
          <w:sz w:val="24"/>
          <w:szCs w:val="24"/>
        </w:rPr>
        <w:t xml:space="preserve"> adına</w:t>
      </w:r>
      <w:r w:rsidRPr="00ED120F">
        <w:rPr>
          <w:rFonts w:ascii="Times New Roman" w:hAnsi="Times New Roman" w:cs="Times New Roman"/>
          <w:sz w:val="24"/>
          <w:szCs w:val="24"/>
        </w:rPr>
        <w:t xml:space="preserve"> </w:t>
      </w:r>
      <w:r w:rsidR="001679D7">
        <w:rPr>
          <w:rFonts w:ascii="Times New Roman" w:hAnsi="Times New Roman" w:cs="Times New Roman"/>
          <w:sz w:val="24"/>
          <w:szCs w:val="24"/>
        </w:rPr>
        <w:t xml:space="preserve">önce </w:t>
      </w:r>
      <w:r w:rsidR="001679D7">
        <w:rPr>
          <w:rFonts w:ascii="Times New Roman" w:hAnsi="Times New Roman" w:cs="Times New Roman"/>
          <w:iCs/>
          <w:sz w:val="24"/>
          <w:szCs w:val="24"/>
        </w:rPr>
        <w:t xml:space="preserve">3 Nisan </w:t>
      </w:r>
      <w:r w:rsidR="001679D7" w:rsidRPr="001679D7">
        <w:rPr>
          <w:rFonts w:ascii="Times New Roman" w:hAnsi="Times New Roman" w:cs="Times New Roman"/>
          <w:iCs/>
          <w:sz w:val="24"/>
          <w:szCs w:val="24"/>
        </w:rPr>
        <w:t>2020 tarih</w:t>
      </w:r>
      <w:r w:rsidR="001679D7">
        <w:rPr>
          <w:rFonts w:ascii="Times New Roman" w:hAnsi="Times New Roman" w:cs="Times New Roman"/>
          <w:iCs/>
          <w:sz w:val="24"/>
          <w:szCs w:val="24"/>
        </w:rPr>
        <w:t xml:space="preserve">inde </w:t>
      </w:r>
      <w:r w:rsidR="001679D7" w:rsidRPr="001679D7">
        <w:rPr>
          <w:rFonts w:ascii="Times New Roman" w:hAnsi="Times New Roman" w:cs="Times New Roman"/>
          <w:iCs/>
          <w:sz w:val="24"/>
          <w:szCs w:val="24"/>
        </w:rPr>
        <w:t>“</w:t>
      </w:r>
      <w:r w:rsidR="001679D7">
        <w:rPr>
          <w:rFonts w:ascii="Times New Roman" w:hAnsi="Times New Roman" w:cs="Times New Roman"/>
          <w:iCs/>
          <w:sz w:val="24"/>
          <w:szCs w:val="24"/>
        </w:rPr>
        <w:t xml:space="preserve">Vergi Anlaşmaları ve COVID-19 Krizinin Etkilerine Dair </w:t>
      </w:r>
      <w:r w:rsidR="001679D7" w:rsidRPr="001679D7">
        <w:rPr>
          <w:rFonts w:ascii="Times New Roman" w:hAnsi="Times New Roman" w:cs="Times New Roman"/>
          <w:iCs/>
          <w:sz w:val="24"/>
          <w:szCs w:val="24"/>
        </w:rPr>
        <w:t>OECD</w:t>
      </w:r>
      <w:r w:rsidR="001679D7">
        <w:rPr>
          <w:rFonts w:ascii="Times New Roman" w:hAnsi="Times New Roman" w:cs="Times New Roman"/>
          <w:iCs/>
          <w:sz w:val="24"/>
          <w:szCs w:val="24"/>
        </w:rPr>
        <w:t xml:space="preserve"> Analizi”, sonra </w:t>
      </w:r>
      <w:r w:rsidR="001679D7" w:rsidRPr="001679D7">
        <w:rPr>
          <w:rFonts w:ascii="Times New Roman" w:hAnsi="Times New Roman" w:cs="Times New Roman"/>
          <w:iCs/>
          <w:sz w:val="24"/>
          <w:szCs w:val="24"/>
        </w:rPr>
        <w:t>21 Ocak 2021 tarih</w:t>
      </w:r>
      <w:r w:rsidR="001679D7">
        <w:rPr>
          <w:rFonts w:ascii="Times New Roman" w:hAnsi="Times New Roman" w:cs="Times New Roman"/>
          <w:iCs/>
          <w:sz w:val="24"/>
          <w:szCs w:val="24"/>
        </w:rPr>
        <w:t>inde</w:t>
      </w:r>
      <w:r w:rsidR="001679D7" w:rsidRPr="001679D7">
        <w:rPr>
          <w:rFonts w:ascii="Times New Roman" w:hAnsi="Times New Roman" w:cs="Times New Roman"/>
          <w:iCs/>
          <w:sz w:val="24"/>
          <w:szCs w:val="24"/>
        </w:rPr>
        <w:t xml:space="preserve"> “Vergi Anlaşmaları ve COVID-19 Pandemisinin Etkisine Dair Güncel Rehber”</w:t>
      </w:r>
      <w:r w:rsidR="001679D7">
        <w:rPr>
          <w:rFonts w:ascii="Times New Roman" w:hAnsi="Times New Roman" w:cs="Times New Roman"/>
          <w:iCs/>
          <w:sz w:val="24"/>
          <w:szCs w:val="24"/>
        </w:rPr>
        <w:t xml:space="preserve">i yayımlamıştır. </w:t>
      </w:r>
    </w:p>
    <w:p w:rsidR="001679D7" w:rsidRDefault="001679D7" w:rsidP="009175F9">
      <w:pPr>
        <w:spacing w:before="120" w:after="0" w:line="240" w:lineRule="auto"/>
        <w:ind w:firstLine="709"/>
        <w:jc w:val="both"/>
        <w:rPr>
          <w:rFonts w:ascii="Times New Roman" w:hAnsi="Times New Roman" w:cs="Times New Roman"/>
          <w:sz w:val="24"/>
          <w:szCs w:val="24"/>
        </w:rPr>
      </w:pPr>
      <w:r>
        <w:rPr>
          <w:rFonts w:ascii="Times New Roman" w:hAnsi="Times New Roman" w:cs="Times New Roman"/>
          <w:iCs/>
          <w:sz w:val="24"/>
          <w:szCs w:val="24"/>
        </w:rPr>
        <w:t xml:space="preserve">Bu çalışmalarla OECD, ülkelere </w:t>
      </w:r>
      <w:r w:rsidRPr="001679D7">
        <w:rPr>
          <w:rFonts w:ascii="Times New Roman" w:hAnsi="Times New Roman" w:cs="Times New Roman"/>
          <w:iCs/>
          <w:sz w:val="24"/>
          <w:szCs w:val="24"/>
        </w:rPr>
        <w:t>sokağa çıkma</w:t>
      </w:r>
      <w:r>
        <w:rPr>
          <w:rFonts w:ascii="Times New Roman" w:hAnsi="Times New Roman" w:cs="Times New Roman"/>
          <w:iCs/>
          <w:sz w:val="24"/>
          <w:szCs w:val="24"/>
        </w:rPr>
        <w:t xml:space="preserve"> </w:t>
      </w:r>
      <w:r w:rsidRPr="001679D7">
        <w:rPr>
          <w:rFonts w:ascii="Times New Roman" w:hAnsi="Times New Roman" w:cs="Times New Roman"/>
          <w:iCs/>
          <w:sz w:val="24"/>
          <w:szCs w:val="24"/>
        </w:rPr>
        <w:t>yasağı</w:t>
      </w:r>
      <w:r>
        <w:rPr>
          <w:rFonts w:ascii="Times New Roman" w:hAnsi="Times New Roman" w:cs="Times New Roman"/>
          <w:iCs/>
          <w:sz w:val="24"/>
          <w:szCs w:val="24"/>
        </w:rPr>
        <w:t xml:space="preserve"> ve uygulanan karantinalar</w:t>
      </w:r>
      <w:r w:rsidRPr="001679D7">
        <w:rPr>
          <w:rFonts w:ascii="Times New Roman" w:hAnsi="Times New Roman" w:cs="Times New Roman"/>
          <w:iCs/>
          <w:sz w:val="24"/>
          <w:szCs w:val="24"/>
        </w:rPr>
        <w:t xml:space="preserve"> </w:t>
      </w:r>
      <w:r>
        <w:rPr>
          <w:rFonts w:ascii="Times New Roman" w:hAnsi="Times New Roman" w:cs="Times New Roman"/>
          <w:iCs/>
          <w:sz w:val="24"/>
          <w:szCs w:val="24"/>
        </w:rPr>
        <w:t xml:space="preserve">nedeniyle </w:t>
      </w:r>
      <w:r w:rsidRPr="001679D7">
        <w:rPr>
          <w:rFonts w:ascii="Times New Roman" w:hAnsi="Times New Roman" w:cs="Times New Roman"/>
          <w:iCs/>
          <w:sz w:val="24"/>
          <w:szCs w:val="24"/>
        </w:rPr>
        <w:t>evinde</w:t>
      </w:r>
      <w:r>
        <w:rPr>
          <w:rFonts w:ascii="Times New Roman" w:hAnsi="Times New Roman" w:cs="Times New Roman"/>
          <w:iCs/>
          <w:sz w:val="24"/>
          <w:szCs w:val="24"/>
        </w:rPr>
        <w:t>n</w:t>
      </w:r>
      <w:r w:rsidRPr="001679D7">
        <w:rPr>
          <w:rFonts w:ascii="Times New Roman" w:hAnsi="Times New Roman" w:cs="Times New Roman"/>
          <w:iCs/>
          <w:sz w:val="24"/>
          <w:szCs w:val="24"/>
        </w:rPr>
        <w:t xml:space="preserve"> çalışanların</w:t>
      </w:r>
      <w:r>
        <w:rPr>
          <w:rFonts w:ascii="Times New Roman" w:hAnsi="Times New Roman" w:cs="Times New Roman"/>
          <w:iCs/>
          <w:sz w:val="24"/>
          <w:szCs w:val="24"/>
        </w:rPr>
        <w:t xml:space="preserve"> </w:t>
      </w:r>
      <w:r w:rsidR="00C6561F">
        <w:rPr>
          <w:rFonts w:ascii="Times New Roman" w:hAnsi="Times New Roman" w:cs="Times New Roman"/>
          <w:iCs/>
          <w:sz w:val="24"/>
          <w:szCs w:val="24"/>
        </w:rPr>
        <w:t>iş</w:t>
      </w:r>
      <w:r w:rsidRPr="001679D7">
        <w:rPr>
          <w:rFonts w:ascii="Times New Roman" w:hAnsi="Times New Roman" w:cs="Times New Roman"/>
          <w:iCs/>
          <w:sz w:val="24"/>
          <w:szCs w:val="24"/>
        </w:rPr>
        <w:t xml:space="preserve">verenleri için </w:t>
      </w:r>
      <w:r>
        <w:rPr>
          <w:rFonts w:ascii="Times New Roman" w:hAnsi="Times New Roman" w:cs="Times New Roman"/>
          <w:iCs/>
          <w:sz w:val="24"/>
          <w:szCs w:val="24"/>
        </w:rPr>
        <w:t>“iş yeri”</w:t>
      </w:r>
      <w:r w:rsidRPr="001679D7">
        <w:rPr>
          <w:rFonts w:ascii="Times New Roman" w:hAnsi="Times New Roman" w:cs="Times New Roman"/>
          <w:iCs/>
          <w:sz w:val="24"/>
          <w:szCs w:val="24"/>
        </w:rPr>
        <w:t xml:space="preserve"> tanımında değişiklik</w:t>
      </w:r>
      <w:r>
        <w:rPr>
          <w:rFonts w:ascii="Times New Roman" w:hAnsi="Times New Roman" w:cs="Times New Roman"/>
          <w:iCs/>
          <w:sz w:val="24"/>
          <w:szCs w:val="24"/>
        </w:rPr>
        <w:t xml:space="preserve"> </w:t>
      </w:r>
      <w:r w:rsidR="00E0727E">
        <w:rPr>
          <w:rFonts w:ascii="Times New Roman" w:hAnsi="Times New Roman" w:cs="Times New Roman"/>
          <w:iCs/>
          <w:sz w:val="24"/>
          <w:szCs w:val="24"/>
        </w:rPr>
        <w:t xml:space="preserve">getirip getirmeyeceği, </w:t>
      </w:r>
      <w:r w:rsidRPr="001679D7">
        <w:rPr>
          <w:rFonts w:ascii="Times New Roman" w:hAnsi="Times New Roman" w:cs="Times New Roman"/>
          <w:iCs/>
          <w:sz w:val="24"/>
          <w:szCs w:val="24"/>
        </w:rPr>
        <w:t>iş</w:t>
      </w:r>
      <w:r w:rsidR="00E0727E">
        <w:rPr>
          <w:rFonts w:ascii="Times New Roman" w:hAnsi="Times New Roman" w:cs="Times New Roman"/>
          <w:iCs/>
          <w:sz w:val="24"/>
          <w:szCs w:val="24"/>
        </w:rPr>
        <w:t xml:space="preserve"> </w:t>
      </w:r>
      <w:r w:rsidRPr="001679D7">
        <w:rPr>
          <w:rFonts w:ascii="Times New Roman" w:hAnsi="Times New Roman" w:cs="Times New Roman"/>
          <w:iCs/>
          <w:sz w:val="24"/>
          <w:szCs w:val="24"/>
        </w:rPr>
        <w:t>yerlerin</w:t>
      </w:r>
      <w:r w:rsidR="00E0727E">
        <w:rPr>
          <w:rFonts w:ascii="Times New Roman" w:hAnsi="Times New Roman" w:cs="Times New Roman"/>
          <w:iCs/>
          <w:sz w:val="24"/>
          <w:szCs w:val="24"/>
        </w:rPr>
        <w:t>deki faaliyetlerini</w:t>
      </w:r>
      <w:r w:rsidRPr="001679D7">
        <w:rPr>
          <w:rFonts w:ascii="Times New Roman" w:hAnsi="Times New Roman" w:cs="Times New Roman"/>
          <w:iCs/>
          <w:sz w:val="24"/>
          <w:szCs w:val="24"/>
        </w:rPr>
        <w:t xml:space="preserve"> geçici olarak</w:t>
      </w:r>
      <w:r w:rsidR="00E0727E">
        <w:rPr>
          <w:rFonts w:ascii="Times New Roman" w:hAnsi="Times New Roman" w:cs="Times New Roman"/>
          <w:iCs/>
          <w:sz w:val="24"/>
          <w:szCs w:val="24"/>
        </w:rPr>
        <w:t xml:space="preserve"> askıya alan</w:t>
      </w:r>
      <w:r w:rsidRPr="001679D7">
        <w:rPr>
          <w:rFonts w:ascii="Times New Roman" w:hAnsi="Times New Roman" w:cs="Times New Roman"/>
          <w:iCs/>
          <w:sz w:val="24"/>
          <w:szCs w:val="24"/>
        </w:rPr>
        <w:t xml:space="preserve"> </w:t>
      </w:r>
      <w:r w:rsidR="00C6561F">
        <w:rPr>
          <w:rFonts w:ascii="Times New Roman" w:hAnsi="Times New Roman" w:cs="Times New Roman"/>
          <w:iCs/>
          <w:sz w:val="24"/>
          <w:szCs w:val="24"/>
        </w:rPr>
        <w:t xml:space="preserve">inşaat </w:t>
      </w:r>
      <w:r w:rsidRPr="001679D7">
        <w:rPr>
          <w:rFonts w:ascii="Times New Roman" w:hAnsi="Times New Roman" w:cs="Times New Roman"/>
          <w:iCs/>
          <w:sz w:val="24"/>
          <w:szCs w:val="24"/>
        </w:rPr>
        <w:t>şantiyeler</w:t>
      </w:r>
      <w:r w:rsidR="00C6561F">
        <w:rPr>
          <w:rFonts w:ascii="Times New Roman" w:hAnsi="Times New Roman" w:cs="Times New Roman"/>
          <w:iCs/>
          <w:sz w:val="24"/>
          <w:szCs w:val="24"/>
        </w:rPr>
        <w:t>i</w:t>
      </w:r>
      <w:r w:rsidRPr="001679D7">
        <w:rPr>
          <w:rFonts w:ascii="Times New Roman" w:hAnsi="Times New Roman" w:cs="Times New Roman"/>
          <w:iCs/>
          <w:sz w:val="24"/>
          <w:szCs w:val="24"/>
        </w:rPr>
        <w:t xml:space="preserve"> </w:t>
      </w:r>
      <w:r w:rsidR="00C6561F">
        <w:rPr>
          <w:rFonts w:ascii="Times New Roman" w:hAnsi="Times New Roman" w:cs="Times New Roman"/>
          <w:iCs/>
          <w:sz w:val="24"/>
          <w:szCs w:val="24"/>
        </w:rPr>
        <w:t>için</w:t>
      </w:r>
      <w:r w:rsidRPr="001679D7">
        <w:rPr>
          <w:rFonts w:ascii="Times New Roman" w:hAnsi="Times New Roman" w:cs="Times New Roman"/>
          <w:iCs/>
          <w:sz w:val="24"/>
          <w:szCs w:val="24"/>
        </w:rPr>
        <w:t xml:space="preserve"> </w:t>
      </w:r>
      <w:r w:rsidR="00C6561F">
        <w:rPr>
          <w:rFonts w:ascii="Times New Roman" w:hAnsi="Times New Roman" w:cs="Times New Roman"/>
          <w:iCs/>
          <w:sz w:val="24"/>
          <w:szCs w:val="24"/>
        </w:rPr>
        <w:t>askıya alınan sürelerin</w:t>
      </w:r>
      <w:r w:rsidRPr="001679D7">
        <w:rPr>
          <w:rFonts w:ascii="Times New Roman" w:hAnsi="Times New Roman" w:cs="Times New Roman"/>
          <w:iCs/>
          <w:sz w:val="24"/>
          <w:szCs w:val="24"/>
        </w:rPr>
        <w:t xml:space="preserve"> </w:t>
      </w:r>
      <w:r w:rsidR="00C6561F">
        <w:rPr>
          <w:rFonts w:ascii="Times New Roman" w:hAnsi="Times New Roman" w:cs="Times New Roman"/>
          <w:iCs/>
          <w:sz w:val="24"/>
          <w:szCs w:val="24"/>
        </w:rPr>
        <w:t xml:space="preserve">toplam iş süresinin </w:t>
      </w:r>
      <w:r w:rsidRPr="001679D7">
        <w:rPr>
          <w:rFonts w:ascii="Times New Roman" w:hAnsi="Times New Roman" w:cs="Times New Roman"/>
          <w:iCs/>
          <w:sz w:val="24"/>
          <w:szCs w:val="24"/>
        </w:rPr>
        <w:t>hesa</w:t>
      </w:r>
      <w:r w:rsidR="00C6561F">
        <w:rPr>
          <w:rFonts w:ascii="Times New Roman" w:hAnsi="Times New Roman" w:cs="Times New Roman"/>
          <w:iCs/>
          <w:sz w:val="24"/>
          <w:szCs w:val="24"/>
        </w:rPr>
        <w:t>planmasında</w:t>
      </w:r>
      <w:r w:rsidRPr="001679D7">
        <w:rPr>
          <w:rFonts w:ascii="Times New Roman" w:hAnsi="Times New Roman" w:cs="Times New Roman"/>
          <w:iCs/>
          <w:sz w:val="24"/>
          <w:szCs w:val="24"/>
        </w:rPr>
        <w:t xml:space="preserve"> </w:t>
      </w:r>
      <w:r w:rsidR="00C6561F">
        <w:rPr>
          <w:rFonts w:ascii="Times New Roman" w:hAnsi="Times New Roman" w:cs="Times New Roman"/>
          <w:iCs/>
          <w:sz w:val="24"/>
          <w:szCs w:val="24"/>
        </w:rPr>
        <w:t xml:space="preserve">göz önüne alınıp alınmayacağı, </w:t>
      </w:r>
      <w:r w:rsidRPr="001679D7">
        <w:rPr>
          <w:rFonts w:ascii="Times New Roman" w:hAnsi="Times New Roman" w:cs="Times New Roman"/>
          <w:iCs/>
          <w:sz w:val="24"/>
          <w:szCs w:val="24"/>
        </w:rPr>
        <w:t>kişilerin</w:t>
      </w:r>
      <w:r>
        <w:rPr>
          <w:rFonts w:ascii="Times New Roman" w:hAnsi="Times New Roman" w:cs="Times New Roman"/>
          <w:iCs/>
          <w:sz w:val="24"/>
          <w:szCs w:val="24"/>
        </w:rPr>
        <w:t xml:space="preserve"> </w:t>
      </w:r>
      <w:r w:rsidRPr="001679D7">
        <w:rPr>
          <w:rFonts w:ascii="Times New Roman" w:hAnsi="Times New Roman" w:cs="Times New Roman"/>
          <w:iCs/>
          <w:sz w:val="24"/>
          <w:szCs w:val="24"/>
        </w:rPr>
        <w:t xml:space="preserve">sokağa çıkma </w:t>
      </w:r>
      <w:r w:rsidR="00C6561F">
        <w:rPr>
          <w:rFonts w:ascii="Times New Roman" w:hAnsi="Times New Roman" w:cs="Times New Roman"/>
          <w:iCs/>
          <w:sz w:val="24"/>
          <w:szCs w:val="24"/>
        </w:rPr>
        <w:t>ve seyahat yasakları nedeniyle</w:t>
      </w:r>
      <w:r w:rsidRPr="001679D7">
        <w:rPr>
          <w:rFonts w:ascii="Times New Roman" w:hAnsi="Times New Roman" w:cs="Times New Roman"/>
          <w:iCs/>
          <w:sz w:val="24"/>
          <w:szCs w:val="24"/>
        </w:rPr>
        <w:t xml:space="preserve"> mukimi oldukları</w:t>
      </w:r>
      <w:r>
        <w:rPr>
          <w:rFonts w:ascii="Times New Roman" w:hAnsi="Times New Roman" w:cs="Times New Roman"/>
          <w:iCs/>
          <w:sz w:val="24"/>
          <w:szCs w:val="24"/>
        </w:rPr>
        <w:t xml:space="preserve"> </w:t>
      </w:r>
      <w:r w:rsidRPr="001679D7">
        <w:rPr>
          <w:rFonts w:ascii="Times New Roman" w:hAnsi="Times New Roman" w:cs="Times New Roman"/>
          <w:iCs/>
          <w:sz w:val="24"/>
          <w:szCs w:val="24"/>
        </w:rPr>
        <w:t>ülke</w:t>
      </w:r>
      <w:r w:rsidR="00C6561F">
        <w:rPr>
          <w:rFonts w:ascii="Times New Roman" w:hAnsi="Times New Roman" w:cs="Times New Roman"/>
          <w:iCs/>
          <w:sz w:val="24"/>
          <w:szCs w:val="24"/>
        </w:rPr>
        <w:t>nin</w:t>
      </w:r>
      <w:r w:rsidRPr="001679D7">
        <w:rPr>
          <w:rFonts w:ascii="Times New Roman" w:hAnsi="Times New Roman" w:cs="Times New Roman"/>
          <w:iCs/>
          <w:sz w:val="24"/>
          <w:szCs w:val="24"/>
        </w:rPr>
        <w:t xml:space="preserve"> dışında</w:t>
      </w:r>
      <w:r w:rsidR="00C6561F">
        <w:rPr>
          <w:rFonts w:ascii="Times New Roman" w:hAnsi="Times New Roman" w:cs="Times New Roman"/>
          <w:iCs/>
          <w:sz w:val="24"/>
          <w:szCs w:val="24"/>
        </w:rPr>
        <w:t>ki</w:t>
      </w:r>
      <w:r w:rsidRPr="001679D7">
        <w:rPr>
          <w:rFonts w:ascii="Times New Roman" w:hAnsi="Times New Roman" w:cs="Times New Roman"/>
          <w:iCs/>
          <w:sz w:val="24"/>
          <w:szCs w:val="24"/>
        </w:rPr>
        <w:t xml:space="preserve"> ülke</w:t>
      </w:r>
      <w:r w:rsidR="00C6561F">
        <w:rPr>
          <w:rFonts w:ascii="Times New Roman" w:hAnsi="Times New Roman" w:cs="Times New Roman"/>
          <w:iCs/>
          <w:sz w:val="24"/>
          <w:szCs w:val="24"/>
        </w:rPr>
        <w:t>ler</w:t>
      </w:r>
      <w:r w:rsidRPr="001679D7">
        <w:rPr>
          <w:rFonts w:ascii="Times New Roman" w:hAnsi="Times New Roman" w:cs="Times New Roman"/>
          <w:iCs/>
          <w:sz w:val="24"/>
          <w:szCs w:val="24"/>
        </w:rPr>
        <w:t>de kalmaları durumunda</w:t>
      </w:r>
      <w:r>
        <w:rPr>
          <w:rFonts w:ascii="Times New Roman" w:hAnsi="Times New Roman" w:cs="Times New Roman"/>
          <w:iCs/>
          <w:sz w:val="24"/>
          <w:szCs w:val="24"/>
        </w:rPr>
        <w:t xml:space="preserve"> </w:t>
      </w:r>
      <w:r w:rsidRPr="001679D7">
        <w:rPr>
          <w:rFonts w:ascii="Times New Roman" w:hAnsi="Times New Roman" w:cs="Times New Roman"/>
          <w:iCs/>
          <w:sz w:val="24"/>
          <w:szCs w:val="24"/>
        </w:rPr>
        <w:t>mukimlik</w:t>
      </w:r>
      <w:r w:rsidR="00C6561F">
        <w:rPr>
          <w:rFonts w:ascii="Times New Roman" w:hAnsi="Times New Roman" w:cs="Times New Roman"/>
          <w:iCs/>
          <w:sz w:val="24"/>
          <w:szCs w:val="24"/>
        </w:rPr>
        <w:t xml:space="preserve"> durumlarında </w:t>
      </w:r>
      <w:r w:rsidRPr="001679D7">
        <w:rPr>
          <w:rFonts w:ascii="Times New Roman" w:hAnsi="Times New Roman" w:cs="Times New Roman"/>
          <w:iCs/>
          <w:sz w:val="24"/>
          <w:szCs w:val="24"/>
        </w:rPr>
        <w:t xml:space="preserve">bir değişiklik olup olmayacağı, </w:t>
      </w:r>
      <w:r w:rsidR="00C6561F">
        <w:rPr>
          <w:rFonts w:ascii="Times New Roman" w:hAnsi="Times New Roman" w:cs="Times New Roman"/>
          <w:iCs/>
          <w:sz w:val="24"/>
          <w:szCs w:val="24"/>
        </w:rPr>
        <w:t>yine</w:t>
      </w:r>
      <w:r w:rsidR="00C6561F" w:rsidRPr="001679D7">
        <w:rPr>
          <w:rFonts w:ascii="Times New Roman" w:hAnsi="Times New Roman" w:cs="Times New Roman"/>
          <w:iCs/>
          <w:sz w:val="24"/>
          <w:szCs w:val="24"/>
        </w:rPr>
        <w:t xml:space="preserve"> işletmelerin </w:t>
      </w:r>
      <w:r w:rsidR="00C6561F">
        <w:rPr>
          <w:rFonts w:ascii="Times New Roman" w:hAnsi="Times New Roman" w:cs="Times New Roman"/>
          <w:iCs/>
          <w:sz w:val="24"/>
          <w:szCs w:val="24"/>
        </w:rPr>
        <w:t xml:space="preserve">COVID-19 salgını nedeniyle </w:t>
      </w:r>
      <w:r w:rsidR="00C6561F" w:rsidRPr="001679D7">
        <w:rPr>
          <w:rFonts w:ascii="Times New Roman" w:hAnsi="Times New Roman" w:cs="Times New Roman"/>
          <w:iCs/>
          <w:sz w:val="24"/>
          <w:szCs w:val="24"/>
        </w:rPr>
        <w:t>başka</w:t>
      </w:r>
      <w:r w:rsidR="00C6561F">
        <w:rPr>
          <w:rFonts w:ascii="Times New Roman" w:hAnsi="Times New Roman" w:cs="Times New Roman"/>
          <w:iCs/>
          <w:sz w:val="24"/>
          <w:szCs w:val="24"/>
        </w:rPr>
        <w:t xml:space="preserve"> </w:t>
      </w:r>
      <w:r w:rsidR="00C6561F" w:rsidRPr="001679D7">
        <w:rPr>
          <w:rFonts w:ascii="Times New Roman" w:hAnsi="Times New Roman" w:cs="Times New Roman"/>
          <w:iCs/>
          <w:sz w:val="24"/>
          <w:szCs w:val="24"/>
        </w:rPr>
        <w:t xml:space="preserve">ülkelerde mahsur kalan </w:t>
      </w:r>
      <w:r w:rsidRPr="001679D7">
        <w:rPr>
          <w:rFonts w:ascii="Times New Roman" w:hAnsi="Times New Roman" w:cs="Times New Roman"/>
          <w:iCs/>
          <w:sz w:val="24"/>
          <w:szCs w:val="24"/>
        </w:rPr>
        <w:t>üst</w:t>
      </w:r>
      <w:r>
        <w:rPr>
          <w:rFonts w:ascii="Times New Roman" w:hAnsi="Times New Roman" w:cs="Times New Roman"/>
          <w:iCs/>
          <w:sz w:val="24"/>
          <w:szCs w:val="24"/>
        </w:rPr>
        <w:t xml:space="preserve"> </w:t>
      </w:r>
      <w:r w:rsidRPr="001679D7">
        <w:rPr>
          <w:rFonts w:ascii="Times New Roman" w:hAnsi="Times New Roman" w:cs="Times New Roman"/>
          <w:iCs/>
          <w:sz w:val="24"/>
          <w:szCs w:val="24"/>
        </w:rPr>
        <w:t>düzey yöneticileri</w:t>
      </w:r>
      <w:r w:rsidR="00C6561F">
        <w:rPr>
          <w:rFonts w:ascii="Times New Roman" w:hAnsi="Times New Roman" w:cs="Times New Roman"/>
          <w:iCs/>
          <w:sz w:val="24"/>
          <w:szCs w:val="24"/>
        </w:rPr>
        <w:t>nin</w:t>
      </w:r>
      <w:r w:rsidRPr="001679D7">
        <w:rPr>
          <w:rFonts w:ascii="Times New Roman" w:hAnsi="Times New Roman" w:cs="Times New Roman"/>
          <w:iCs/>
          <w:sz w:val="24"/>
          <w:szCs w:val="24"/>
        </w:rPr>
        <w:t xml:space="preserve"> </w:t>
      </w:r>
      <w:r w:rsidR="00C6561F">
        <w:rPr>
          <w:rFonts w:ascii="Times New Roman" w:hAnsi="Times New Roman" w:cs="Times New Roman"/>
          <w:iCs/>
          <w:sz w:val="24"/>
          <w:szCs w:val="24"/>
        </w:rPr>
        <w:t xml:space="preserve">işletmelerin </w:t>
      </w:r>
      <w:r w:rsidRPr="001679D7">
        <w:rPr>
          <w:rFonts w:ascii="Times New Roman" w:hAnsi="Times New Roman" w:cs="Times New Roman"/>
          <w:iCs/>
          <w:sz w:val="24"/>
          <w:szCs w:val="24"/>
        </w:rPr>
        <w:t>etkin yönetim</w:t>
      </w:r>
      <w:r>
        <w:rPr>
          <w:rFonts w:ascii="Times New Roman" w:hAnsi="Times New Roman" w:cs="Times New Roman"/>
          <w:iCs/>
          <w:sz w:val="24"/>
          <w:szCs w:val="24"/>
        </w:rPr>
        <w:t xml:space="preserve"> </w:t>
      </w:r>
      <w:r w:rsidR="00C6561F">
        <w:rPr>
          <w:rFonts w:ascii="Times New Roman" w:hAnsi="Times New Roman" w:cs="Times New Roman"/>
          <w:iCs/>
          <w:sz w:val="24"/>
          <w:szCs w:val="24"/>
        </w:rPr>
        <w:t>yerl</w:t>
      </w:r>
      <w:r w:rsidRPr="001679D7">
        <w:rPr>
          <w:rFonts w:ascii="Times New Roman" w:hAnsi="Times New Roman" w:cs="Times New Roman"/>
          <w:iCs/>
          <w:sz w:val="24"/>
          <w:szCs w:val="24"/>
        </w:rPr>
        <w:t>erinde</w:t>
      </w:r>
      <w:r w:rsidR="001510D3">
        <w:rPr>
          <w:rFonts w:ascii="Times New Roman" w:hAnsi="Times New Roman" w:cs="Times New Roman"/>
          <w:iCs/>
          <w:sz w:val="24"/>
          <w:szCs w:val="24"/>
        </w:rPr>
        <w:t xml:space="preserve"> herhangi bir değişikliğe neden</w:t>
      </w:r>
      <w:r w:rsidRPr="001679D7">
        <w:rPr>
          <w:rFonts w:ascii="Times New Roman" w:hAnsi="Times New Roman" w:cs="Times New Roman"/>
          <w:iCs/>
          <w:sz w:val="24"/>
          <w:szCs w:val="24"/>
        </w:rPr>
        <w:t xml:space="preserve"> olup olmayacağı</w:t>
      </w:r>
      <w:r w:rsidR="001510D3">
        <w:rPr>
          <w:rFonts w:ascii="Times New Roman" w:hAnsi="Times New Roman" w:cs="Times New Roman"/>
          <w:iCs/>
          <w:sz w:val="24"/>
          <w:szCs w:val="24"/>
        </w:rPr>
        <w:t>nı analiz ederek ülkelerin istifadelerine sunmuştur</w:t>
      </w:r>
      <w:r w:rsidRPr="001679D7">
        <w:rPr>
          <w:rFonts w:ascii="Times New Roman" w:hAnsi="Times New Roman" w:cs="Times New Roman"/>
          <w:iCs/>
          <w:sz w:val="24"/>
          <w:szCs w:val="24"/>
        </w:rPr>
        <w:t>.</w:t>
      </w:r>
      <w:r>
        <w:rPr>
          <w:rFonts w:ascii="Times New Roman" w:hAnsi="Times New Roman" w:cs="Times New Roman"/>
          <w:iCs/>
          <w:sz w:val="24"/>
          <w:szCs w:val="24"/>
        </w:rPr>
        <w:t xml:space="preserve"> </w:t>
      </w:r>
      <w:r w:rsidR="00155006">
        <w:rPr>
          <w:rFonts w:ascii="Times New Roman" w:hAnsi="Times New Roman" w:cs="Times New Roman"/>
          <w:iCs/>
          <w:sz w:val="24"/>
          <w:szCs w:val="24"/>
        </w:rPr>
        <w:t>Avustralya, Kanada, İngiltere, İrlanda, ABD, Avusturya gibi b</w:t>
      </w:r>
      <w:r w:rsidR="00014235">
        <w:rPr>
          <w:rFonts w:ascii="Times New Roman" w:hAnsi="Times New Roman" w:cs="Times New Roman"/>
          <w:iCs/>
          <w:sz w:val="24"/>
          <w:szCs w:val="24"/>
        </w:rPr>
        <w:t>azı ülkeler bu paralelde mukim olmayan kişiler için rehberler yayınlam</w:t>
      </w:r>
      <w:r w:rsidR="00004FB8">
        <w:rPr>
          <w:rFonts w:ascii="Times New Roman" w:hAnsi="Times New Roman" w:cs="Times New Roman"/>
          <w:iCs/>
          <w:sz w:val="24"/>
          <w:szCs w:val="24"/>
        </w:rPr>
        <w:t>ış</w:t>
      </w:r>
      <w:r w:rsidR="00014235">
        <w:rPr>
          <w:rFonts w:ascii="Times New Roman" w:hAnsi="Times New Roman" w:cs="Times New Roman"/>
          <w:iCs/>
          <w:sz w:val="24"/>
          <w:szCs w:val="24"/>
        </w:rPr>
        <w:t xml:space="preserve"> ve olası endişelerin önüne geçmeye çalışm</w:t>
      </w:r>
      <w:r w:rsidR="00155006">
        <w:rPr>
          <w:rFonts w:ascii="Times New Roman" w:hAnsi="Times New Roman" w:cs="Times New Roman"/>
          <w:iCs/>
          <w:sz w:val="24"/>
          <w:szCs w:val="24"/>
        </w:rPr>
        <w:t xml:space="preserve">ışlardır. </w:t>
      </w:r>
      <w:r w:rsidR="00627075">
        <w:rPr>
          <w:rFonts w:ascii="Times New Roman" w:hAnsi="Times New Roman" w:cs="Times New Roman"/>
          <w:iCs/>
          <w:sz w:val="24"/>
          <w:szCs w:val="24"/>
        </w:rPr>
        <w:t>Bu rehberlerde i</w:t>
      </w:r>
      <w:r w:rsidR="00014235">
        <w:rPr>
          <w:rFonts w:ascii="Times New Roman" w:hAnsi="Times New Roman" w:cs="Times New Roman"/>
          <w:iCs/>
          <w:sz w:val="24"/>
          <w:szCs w:val="24"/>
        </w:rPr>
        <w:t xml:space="preserve">ş yeri oluşumu, mukimlik ve </w:t>
      </w:r>
      <w:r w:rsidR="00627075">
        <w:rPr>
          <w:rFonts w:ascii="Times New Roman" w:hAnsi="Times New Roman" w:cs="Times New Roman"/>
          <w:iCs/>
          <w:sz w:val="24"/>
          <w:szCs w:val="24"/>
        </w:rPr>
        <w:t>çeşitli</w:t>
      </w:r>
      <w:r w:rsidR="00014235">
        <w:rPr>
          <w:rFonts w:ascii="Times New Roman" w:hAnsi="Times New Roman" w:cs="Times New Roman"/>
          <w:iCs/>
          <w:sz w:val="24"/>
          <w:szCs w:val="24"/>
        </w:rPr>
        <w:t xml:space="preserve"> gelirler</w:t>
      </w:r>
      <w:r w:rsidR="00627075">
        <w:rPr>
          <w:rFonts w:ascii="Times New Roman" w:hAnsi="Times New Roman" w:cs="Times New Roman"/>
          <w:iCs/>
          <w:sz w:val="24"/>
          <w:szCs w:val="24"/>
        </w:rPr>
        <w:t xml:space="preserve">e dair soruların, yeni durumun COVID-19’dan kaynaklanıp kaynaklanmadığı, bilgi ve belgelerle ispatlanıp ispatlanmadığı ve devamlılık unsuru taşıyıp taşımadığı, salgın sonrasında da eski iş yapma biçimine dönülüp dönülmediğine göre değerlendirmelere tabi tutulduğu görülmektedir.   </w:t>
      </w:r>
    </w:p>
    <w:p w:rsidR="009F2F27" w:rsidRPr="00C10C24" w:rsidRDefault="00D25438" w:rsidP="009175F9">
      <w:pPr>
        <w:spacing w:before="120" w:after="0" w:line="240" w:lineRule="auto"/>
        <w:ind w:left="709"/>
        <w:jc w:val="both"/>
        <w:rPr>
          <w:rFonts w:ascii="Times New Roman" w:hAnsi="Times New Roman" w:cs="Times New Roman"/>
          <w:sz w:val="24"/>
          <w:szCs w:val="24"/>
        </w:rPr>
      </w:pPr>
      <w:r w:rsidRPr="004A7069">
        <w:rPr>
          <w:rFonts w:ascii="Times New Roman" w:hAnsi="Times New Roman" w:cs="Times New Roman"/>
          <w:b/>
          <w:sz w:val="24"/>
          <w:szCs w:val="24"/>
        </w:rPr>
        <w:t>K</w:t>
      </w:r>
      <w:r>
        <w:rPr>
          <w:rFonts w:ascii="Times New Roman" w:hAnsi="Times New Roman" w:cs="Times New Roman"/>
          <w:b/>
          <w:sz w:val="24"/>
          <w:szCs w:val="24"/>
        </w:rPr>
        <w:t>AYNAKÇA</w:t>
      </w:r>
    </w:p>
    <w:p w:rsidR="00B350E3"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B350E3">
        <w:rPr>
          <w:rFonts w:ascii="Times New Roman" w:hAnsi="Times New Roman" w:cs="Times New Roman"/>
          <w:sz w:val="24"/>
          <w:szCs w:val="24"/>
        </w:rPr>
        <w:t>Baggerman-Noudari, K., Offermanns, R.,</w:t>
      </w:r>
      <w:r w:rsidR="003B0EEC">
        <w:rPr>
          <w:rFonts w:ascii="Times New Roman" w:hAnsi="Times New Roman" w:cs="Times New Roman"/>
          <w:sz w:val="24"/>
          <w:szCs w:val="24"/>
        </w:rPr>
        <w:t xml:space="preserve"> (2016)</w:t>
      </w:r>
      <w:r w:rsidR="00053741">
        <w:rPr>
          <w:rFonts w:ascii="Times New Roman" w:hAnsi="Times New Roman" w:cs="Times New Roman"/>
          <w:sz w:val="24"/>
          <w:szCs w:val="24"/>
        </w:rPr>
        <w:t xml:space="preserve">, </w:t>
      </w:r>
      <w:r w:rsidRPr="00B350E3">
        <w:rPr>
          <w:rFonts w:ascii="Times New Roman" w:hAnsi="Times New Roman" w:cs="Times New Roman"/>
          <w:sz w:val="24"/>
          <w:szCs w:val="24"/>
        </w:rPr>
        <w:t xml:space="preserve">Foreign Direct Investment in Developing Countries: Some Tax Considerations </w:t>
      </w:r>
      <w:r w:rsidR="00053741">
        <w:rPr>
          <w:rFonts w:ascii="Times New Roman" w:hAnsi="Times New Roman" w:cs="Times New Roman"/>
          <w:sz w:val="24"/>
          <w:szCs w:val="24"/>
        </w:rPr>
        <w:t>and Other Related Legal Matters</w:t>
      </w:r>
      <w:r w:rsidRPr="00B350E3">
        <w:rPr>
          <w:rFonts w:ascii="Times New Roman" w:hAnsi="Times New Roman" w:cs="Times New Roman"/>
          <w:sz w:val="24"/>
          <w:szCs w:val="24"/>
        </w:rPr>
        <w:t xml:space="preserve">, </w:t>
      </w:r>
      <w:r w:rsidRPr="00B350E3">
        <w:rPr>
          <w:rFonts w:ascii="Times New Roman" w:hAnsi="Times New Roman" w:cs="Times New Roman"/>
          <w:i/>
          <w:sz w:val="24"/>
          <w:szCs w:val="24"/>
        </w:rPr>
        <w:t>Bulletin For International Taxation</w:t>
      </w:r>
      <w:r w:rsidRPr="00B350E3">
        <w:rPr>
          <w:rFonts w:ascii="Times New Roman" w:hAnsi="Times New Roman" w:cs="Times New Roman"/>
          <w:sz w:val="24"/>
          <w:szCs w:val="24"/>
        </w:rPr>
        <w:t>, IBFD</w:t>
      </w:r>
      <w:r w:rsidR="003B0EEC">
        <w:rPr>
          <w:rFonts w:ascii="Times New Roman" w:hAnsi="Times New Roman" w:cs="Times New Roman"/>
          <w:sz w:val="24"/>
          <w:szCs w:val="24"/>
        </w:rPr>
        <w:t>.</w:t>
      </w:r>
    </w:p>
    <w:p w:rsidR="00592AF8" w:rsidRP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592AF8">
        <w:rPr>
          <w:rFonts w:ascii="Times New Roman" w:hAnsi="Times New Roman" w:cs="Times New Roman"/>
          <w:sz w:val="24"/>
          <w:szCs w:val="24"/>
        </w:rPr>
        <w:t>Carmo, M.,</w:t>
      </w:r>
      <w:r w:rsidR="00053741">
        <w:rPr>
          <w:rFonts w:ascii="Times New Roman" w:hAnsi="Times New Roman" w:cs="Times New Roman"/>
          <w:sz w:val="24"/>
          <w:szCs w:val="24"/>
        </w:rPr>
        <w:t xml:space="preserve"> (2017), </w:t>
      </w:r>
      <w:r w:rsidRPr="00592AF8">
        <w:rPr>
          <w:rFonts w:ascii="Times New Roman" w:hAnsi="Times New Roman" w:cs="Times New Roman"/>
          <w:sz w:val="24"/>
          <w:szCs w:val="24"/>
        </w:rPr>
        <w:t xml:space="preserve">International Trade Law, Double Taxation Agreements and the </w:t>
      </w:r>
      <w:r w:rsidR="00053741">
        <w:rPr>
          <w:rFonts w:ascii="Times New Roman" w:hAnsi="Times New Roman" w:cs="Times New Roman"/>
          <w:sz w:val="24"/>
          <w:szCs w:val="24"/>
        </w:rPr>
        <w:t>Principle of Non-Discrimination</w:t>
      </w:r>
      <w:r w:rsidRPr="00592AF8">
        <w:rPr>
          <w:rFonts w:ascii="Times New Roman" w:hAnsi="Times New Roman" w:cs="Times New Roman"/>
          <w:sz w:val="24"/>
          <w:szCs w:val="24"/>
        </w:rPr>
        <w:t xml:space="preserve">, </w:t>
      </w:r>
      <w:r w:rsidRPr="00053741">
        <w:rPr>
          <w:rFonts w:ascii="Times New Roman" w:hAnsi="Times New Roman" w:cs="Times New Roman"/>
          <w:i/>
          <w:sz w:val="24"/>
          <w:szCs w:val="24"/>
        </w:rPr>
        <w:t>RJLB</w:t>
      </w:r>
      <w:r w:rsidRPr="00592AF8">
        <w:rPr>
          <w:rFonts w:ascii="Times New Roman" w:hAnsi="Times New Roman" w:cs="Times New Roman"/>
          <w:sz w:val="24"/>
          <w:szCs w:val="24"/>
        </w:rPr>
        <w:t>, no 3</w:t>
      </w:r>
      <w:r w:rsidR="00053741">
        <w:rPr>
          <w:rFonts w:ascii="Times New Roman" w:hAnsi="Times New Roman" w:cs="Times New Roman"/>
          <w:sz w:val="24"/>
          <w:szCs w:val="24"/>
        </w:rPr>
        <w:t>.</w:t>
      </w:r>
    </w:p>
    <w:p w:rsid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592AF8">
        <w:rPr>
          <w:rFonts w:ascii="Times New Roman" w:hAnsi="Times New Roman" w:cs="Times New Roman"/>
          <w:sz w:val="24"/>
          <w:szCs w:val="24"/>
        </w:rPr>
        <w:t xml:space="preserve">Erginay, A., </w:t>
      </w:r>
      <w:r w:rsidR="00053741">
        <w:rPr>
          <w:rFonts w:ascii="Times New Roman" w:hAnsi="Times New Roman" w:cs="Times New Roman"/>
          <w:sz w:val="24"/>
          <w:szCs w:val="24"/>
        </w:rPr>
        <w:t>(</w:t>
      </w:r>
      <w:r w:rsidR="00053741" w:rsidRPr="00592AF8">
        <w:rPr>
          <w:rFonts w:ascii="Times New Roman" w:hAnsi="Times New Roman" w:cs="Times New Roman"/>
          <w:sz w:val="24"/>
          <w:szCs w:val="24"/>
        </w:rPr>
        <w:t>1971</w:t>
      </w:r>
      <w:r w:rsidR="00053741">
        <w:rPr>
          <w:rFonts w:ascii="Times New Roman" w:hAnsi="Times New Roman" w:cs="Times New Roman"/>
          <w:sz w:val="24"/>
          <w:szCs w:val="24"/>
        </w:rPr>
        <w:t xml:space="preserve">), </w:t>
      </w:r>
      <w:r w:rsidRPr="00592AF8">
        <w:rPr>
          <w:rFonts w:ascii="Times New Roman" w:hAnsi="Times New Roman" w:cs="Times New Roman"/>
          <w:i/>
          <w:sz w:val="24"/>
          <w:szCs w:val="24"/>
        </w:rPr>
        <w:t>Vergi Hukuku</w:t>
      </w:r>
      <w:r w:rsidRPr="00592AF8">
        <w:rPr>
          <w:rFonts w:ascii="Times New Roman" w:hAnsi="Times New Roman" w:cs="Times New Roman"/>
          <w:sz w:val="24"/>
          <w:szCs w:val="24"/>
        </w:rPr>
        <w:t>, Ankara Hukuk Fakültesi Yayınları, No.290</w:t>
      </w:r>
      <w:r w:rsidR="00053741">
        <w:rPr>
          <w:rFonts w:ascii="Times New Roman" w:hAnsi="Times New Roman" w:cs="Times New Roman"/>
          <w:sz w:val="24"/>
          <w:szCs w:val="24"/>
        </w:rPr>
        <w:t>, Ankara</w:t>
      </w:r>
      <w:r w:rsidRPr="00592AF8">
        <w:rPr>
          <w:rFonts w:ascii="Times New Roman" w:hAnsi="Times New Roman" w:cs="Times New Roman"/>
          <w:sz w:val="24"/>
          <w:szCs w:val="24"/>
        </w:rPr>
        <w:t>.</w:t>
      </w:r>
    </w:p>
    <w:p w:rsid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036561">
        <w:rPr>
          <w:rFonts w:ascii="Times New Roman" w:hAnsi="Times New Roman" w:cs="Times New Roman"/>
          <w:sz w:val="24"/>
          <w:szCs w:val="24"/>
        </w:rPr>
        <w:t>Kara</w:t>
      </w:r>
      <w:r>
        <w:rPr>
          <w:rFonts w:ascii="Times New Roman" w:hAnsi="Times New Roman" w:cs="Times New Roman"/>
          <w:sz w:val="24"/>
          <w:szCs w:val="24"/>
        </w:rPr>
        <w:t>,</w:t>
      </w:r>
      <w:r w:rsidRPr="00036561">
        <w:rPr>
          <w:rFonts w:ascii="Times New Roman" w:hAnsi="Times New Roman" w:cs="Times New Roman"/>
          <w:sz w:val="24"/>
          <w:szCs w:val="24"/>
        </w:rPr>
        <w:t xml:space="preserve"> M</w:t>
      </w:r>
      <w:r>
        <w:rPr>
          <w:rFonts w:ascii="Times New Roman" w:hAnsi="Times New Roman" w:cs="Times New Roman"/>
          <w:sz w:val="24"/>
          <w:szCs w:val="24"/>
        </w:rPr>
        <w:t>. C.</w:t>
      </w:r>
      <w:r w:rsidRPr="00036561">
        <w:rPr>
          <w:rFonts w:ascii="Times New Roman" w:hAnsi="Times New Roman" w:cs="Times New Roman"/>
          <w:sz w:val="24"/>
          <w:szCs w:val="24"/>
        </w:rPr>
        <w:t>,</w:t>
      </w:r>
      <w:r w:rsidR="00053741">
        <w:rPr>
          <w:rFonts w:ascii="Times New Roman" w:hAnsi="Times New Roman" w:cs="Times New Roman"/>
          <w:sz w:val="24"/>
          <w:szCs w:val="24"/>
        </w:rPr>
        <w:t xml:space="preserve"> (</w:t>
      </w:r>
      <w:r w:rsidR="00053741">
        <w:rPr>
          <w:rFonts w:ascii="Times New Roman" w:hAnsi="Times New Roman" w:cs="Times New Roman"/>
          <w:sz w:val="24"/>
          <w:szCs w:val="24"/>
        </w:rPr>
        <w:t>2021</w:t>
      </w:r>
      <w:r w:rsidR="00053741">
        <w:rPr>
          <w:rFonts w:ascii="Times New Roman" w:hAnsi="Times New Roman" w:cs="Times New Roman"/>
          <w:sz w:val="24"/>
          <w:szCs w:val="24"/>
        </w:rPr>
        <w:t xml:space="preserve">), </w:t>
      </w:r>
      <w:r w:rsidRPr="00036561">
        <w:rPr>
          <w:rFonts w:ascii="Times New Roman" w:hAnsi="Times New Roman" w:cs="Times New Roman"/>
          <w:i/>
          <w:sz w:val="24"/>
          <w:szCs w:val="24"/>
        </w:rPr>
        <w:t>Uygulamalar Işığında Matrah Aşındırma ve Kâr Kaydırma Çok Taraflı Sözleşmesi</w:t>
      </w:r>
      <w:r w:rsidRPr="00036561">
        <w:rPr>
          <w:rFonts w:ascii="Times New Roman" w:hAnsi="Times New Roman" w:cs="Times New Roman"/>
          <w:sz w:val="24"/>
          <w:szCs w:val="24"/>
        </w:rPr>
        <w:t xml:space="preserve">, </w:t>
      </w:r>
      <w:r>
        <w:rPr>
          <w:rFonts w:ascii="Times New Roman" w:hAnsi="Times New Roman" w:cs="Times New Roman"/>
          <w:sz w:val="24"/>
          <w:szCs w:val="24"/>
        </w:rPr>
        <w:t>On İki Levh</w:t>
      </w:r>
      <w:r w:rsidR="00053741">
        <w:rPr>
          <w:rFonts w:ascii="Times New Roman" w:hAnsi="Times New Roman" w:cs="Times New Roman"/>
          <w:sz w:val="24"/>
          <w:szCs w:val="24"/>
        </w:rPr>
        <w:t>a Yayınları, İstanbul</w:t>
      </w:r>
      <w:r>
        <w:rPr>
          <w:rFonts w:ascii="Times New Roman" w:hAnsi="Times New Roman" w:cs="Times New Roman"/>
          <w:sz w:val="24"/>
          <w:szCs w:val="24"/>
        </w:rPr>
        <w:t>.</w:t>
      </w:r>
    </w:p>
    <w:p w:rsid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OECD Model Tax Convention 2017.</w:t>
      </w:r>
    </w:p>
    <w:p w:rsid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A61A70">
        <w:rPr>
          <w:rFonts w:ascii="Times New Roman" w:hAnsi="Times New Roman" w:cs="Times New Roman"/>
          <w:sz w:val="24"/>
          <w:szCs w:val="24"/>
        </w:rPr>
        <w:t>OECD Secretariat Analysis of Tax Treaties and the Impact of the COVID-19 Crisis</w:t>
      </w:r>
      <w:r>
        <w:rPr>
          <w:rFonts w:ascii="Times New Roman" w:hAnsi="Times New Roman" w:cs="Times New Roman"/>
          <w:sz w:val="24"/>
          <w:szCs w:val="24"/>
        </w:rPr>
        <w:t>.</w:t>
      </w:r>
    </w:p>
    <w:p w:rsidR="00B350E3" w:rsidRDefault="00B350E3"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B350E3">
        <w:rPr>
          <w:rFonts w:ascii="Times New Roman" w:hAnsi="Times New Roman" w:cs="Times New Roman"/>
          <w:sz w:val="24"/>
          <w:szCs w:val="24"/>
        </w:rPr>
        <w:t xml:space="preserve">OECD, </w:t>
      </w:r>
      <w:r w:rsidRPr="00B350E3">
        <w:rPr>
          <w:rFonts w:ascii="Times New Roman" w:hAnsi="Times New Roman" w:cs="Times New Roman"/>
          <w:bCs/>
          <w:sz w:val="24"/>
          <w:szCs w:val="24"/>
        </w:rPr>
        <w:t>Updated guidance on tax treaties and the impact of the COVID-19 pandemic, 21 January 2021.</w:t>
      </w:r>
    </w:p>
    <w:p w:rsidR="003841C6" w:rsidRDefault="003841C6"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B350E3">
        <w:rPr>
          <w:rFonts w:ascii="Times New Roman" w:hAnsi="Times New Roman" w:cs="Times New Roman"/>
          <w:sz w:val="24"/>
          <w:szCs w:val="24"/>
        </w:rPr>
        <w:t xml:space="preserve">Panayi, C. H., </w:t>
      </w:r>
      <w:r w:rsidR="00053741">
        <w:rPr>
          <w:rFonts w:ascii="Times New Roman" w:hAnsi="Times New Roman" w:cs="Times New Roman"/>
          <w:sz w:val="24"/>
          <w:szCs w:val="24"/>
        </w:rPr>
        <w:t xml:space="preserve">(2006), </w:t>
      </w:r>
      <w:r w:rsidRPr="00B350E3">
        <w:rPr>
          <w:rFonts w:ascii="Times New Roman" w:hAnsi="Times New Roman" w:cs="Times New Roman"/>
          <w:sz w:val="24"/>
          <w:szCs w:val="24"/>
        </w:rPr>
        <w:t>Treaty Shopping and Other Tax Arbitrage Opportunities in the Europe</w:t>
      </w:r>
      <w:r w:rsidR="00053741">
        <w:rPr>
          <w:rFonts w:ascii="Times New Roman" w:hAnsi="Times New Roman" w:cs="Times New Roman"/>
          <w:sz w:val="24"/>
          <w:szCs w:val="24"/>
        </w:rPr>
        <w:t>an Union: A Reassessment-Part 1</w:t>
      </w:r>
      <w:r w:rsidRPr="00B350E3">
        <w:rPr>
          <w:rFonts w:ascii="Times New Roman" w:hAnsi="Times New Roman" w:cs="Times New Roman"/>
          <w:sz w:val="24"/>
          <w:szCs w:val="24"/>
        </w:rPr>
        <w:t xml:space="preserve">, </w:t>
      </w:r>
      <w:r w:rsidRPr="00053741">
        <w:rPr>
          <w:rFonts w:ascii="Times New Roman" w:hAnsi="Times New Roman" w:cs="Times New Roman"/>
          <w:i/>
          <w:sz w:val="24"/>
          <w:szCs w:val="24"/>
        </w:rPr>
        <w:t>European Taxation</w:t>
      </w:r>
      <w:r w:rsidRPr="00B350E3">
        <w:rPr>
          <w:rFonts w:ascii="Times New Roman" w:hAnsi="Times New Roman" w:cs="Times New Roman"/>
          <w:sz w:val="24"/>
          <w:szCs w:val="24"/>
        </w:rPr>
        <w:t>, IBFD</w:t>
      </w:r>
      <w:r w:rsidR="00053741">
        <w:rPr>
          <w:rFonts w:ascii="Times New Roman" w:hAnsi="Times New Roman" w:cs="Times New Roman"/>
          <w:sz w:val="24"/>
          <w:szCs w:val="24"/>
        </w:rPr>
        <w:t>.</w:t>
      </w:r>
    </w:p>
    <w:p w:rsidR="00592AF8" w:rsidRPr="00155006"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155006">
        <w:rPr>
          <w:rFonts w:ascii="Times New Roman" w:hAnsi="Times New Roman" w:cs="Times New Roman"/>
          <w:sz w:val="24"/>
          <w:szCs w:val="24"/>
        </w:rPr>
        <w:t>Pick</w:t>
      </w:r>
      <w:r>
        <w:rPr>
          <w:rFonts w:ascii="Times New Roman" w:hAnsi="Times New Roman" w:cs="Times New Roman"/>
          <w:sz w:val="24"/>
          <w:szCs w:val="24"/>
        </w:rPr>
        <w:t>,</w:t>
      </w:r>
      <w:r w:rsidRPr="00155006">
        <w:rPr>
          <w:rFonts w:ascii="Times New Roman" w:hAnsi="Times New Roman" w:cs="Times New Roman"/>
          <w:sz w:val="24"/>
          <w:szCs w:val="24"/>
        </w:rPr>
        <w:t xml:space="preserve"> G</w:t>
      </w:r>
      <w:r>
        <w:rPr>
          <w:rFonts w:ascii="Times New Roman" w:hAnsi="Times New Roman" w:cs="Times New Roman"/>
          <w:sz w:val="24"/>
          <w:szCs w:val="24"/>
        </w:rPr>
        <w:t>.</w:t>
      </w:r>
      <w:r w:rsidRPr="00155006">
        <w:rPr>
          <w:rFonts w:ascii="Times New Roman" w:hAnsi="Times New Roman" w:cs="Times New Roman"/>
          <w:sz w:val="24"/>
          <w:szCs w:val="24"/>
        </w:rPr>
        <w:t xml:space="preserve">, </w:t>
      </w:r>
      <w:r w:rsidRPr="00053741">
        <w:rPr>
          <w:rFonts w:ascii="Times New Roman" w:hAnsi="Times New Roman" w:cs="Times New Roman"/>
          <w:i/>
          <w:sz w:val="24"/>
          <w:szCs w:val="24"/>
        </w:rPr>
        <w:t>Das Internationale Steuerrecht des Erdballs</w:t>
      </w:r>
      <w:r w:rsidRPr="00155006">
        <w:rPr>
          <w:rFonts w:ascii="Times New Roman" w:hAnsi="Times New Roman" w:cs="Times New Roman"/>
          <w:sz w:val="24"/>
          <w:szCs w:val="24"/>
        </w:rPr>
        <w:t>, Zürich-Leipzig, 1936-1947, C.V.</w:t>
      </w:r>
    </w:p>
    <w:p w:rsid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036561">
        <w:rPr>
          <w:rFonts w:ascii="Times New Roman" w:hAnsi="Times New Roman" w:cs="Times New Roman"/>
          <w:sz w:val="24"/>
          <w:szCs w:val="24"/>
        </w:rPr>
        <w:lastRenderedPageBreak/>
        <w:t>Pires</w:t>
      </w:r>
      <w:r>
        <w:rPr>
          <w:rFonts w:ascii="Times New Roman" w:hAnsi="Times New Roman" w:cs="Times New Roman"/>
          <w:sz w:val="24"/>
          <w:szCs w:val="24"/>
        </w:rPr>
        <w:t>,</w:t>
      </w:r>
      <w:r w:rsidRPr="00036561">
        <w:rPr>
          <w:rFonts w:ascii="Times New Roman" w:hAnsi="Times New Roman" w:cs="Times New Roman"/>
          <w:sz w:val="24"/>
          <w:szCs w:val="24"/>
        </w:rPr>
        <w:t xml:space="preserve"> M</w:t>
      </w:r>
      <w:r>
        <w:rPr>
          <w:rFonts w:ascii="Times New Roman" w:hAnsi="Times New Roman" w:cs="Times New Roman"/>
          <w:sz w:val="24"/>
          <w:szCs w:val="24"/>
        </w:rPr>
        <w:t>.</w:t>
      </w:r>
      <w:r w:rsidRPr="00036561">
        <w:rPr>
          <w:rFonts w:ascii="Times New Roman" w:hAnsi="Times New Roman" w:cs="Times New Roman"/>
          <w:sz w:val="24"/>
          <w:szCs w:val="24"/>
        </w:rPr>
        <w:t>,</w:t>
      </w:r>
      <w:r w:rsidR="00053741">
        <w:rPr>
          <w:rFonts w:ascii="Times New Roman" w:hAnsi="Times New Roman" w:cs="Times New Roman"/>
          <w:sz w:val="24"/>
          <w:szCs w:val="24"/>
        </w:rPr>
        <w:t xml:space="preserve"> (</w:t>
      </w:r>
      <w:r w:rsidR="00053741" w:rsidRPr="00036561">
        <w:rPr>
          <w:rFonts w:ascii="Times New Roman" w:hAnsi="Times New Roman" w:cs="Times New Roman"/>
          <w:sz w:val="24"/>
          <w:szCs w:val="24"/>
        </w:rPr>
        <w:t>1989</w:t>
      </w:r>
      <w:r w:rsidR="00053741">
        <w:rPr>
          <w:rFonts w:ascii="Times New Roman" w:hAnsi="Times New Roman" w:cs="Times New Roman"/>
          <w:sz w:val="24"/>
          <w:szCs w:val="24"/>
        </w:rPr>
        <w:t xml:space="preserve">), </w:t>
      </w:r>
      <w:r w:rsidRPr="00155006">
        <w:rPr>
          <w:rFonts w:ascii="Times New Roman" w:hAnsi="Times New Roman" w:cs="Times New Roman"/>
          <w:i/>
          <w:sz w:val="24"/>
          <w:szCs w:val="24"/>
        </w:rPr>
        <w:t>International Juridical Double Taxation of Income</w:t>
      </w:r>
      <w:r w:rsidR="00053741">
        <w:rPr>
          <w:rFonts w:ascii="Times New Roman" w:hAnsi="Times New Roman" w:cs="Times New Roman"/>
          <w:sz w:val="24"/>
          <w:szCs w:val="24"/>
        </w:rPr>
        <w:t>, Deventer</w:t>
      </w:r>
      <w:r>
        <w:rPr>
          <w:rFonts w:ascii="Times New Roman" w:hAnsi="Times New Roman" w:cs="Times New Roman"/>
          <w:sz w:val="24"/>
          <w:szCs w:val="24"/>
        </w:rPr>
        <w:t>.</w:t>
      </w:r>
    </w:p>
    <w:p w:rsid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036561">
        <w:rPr>
          <w:rFonts w:ascii="Times New Roman" w:hAnsi="Times New Roman" w:cs="Times New Roman"/>
          <w:sz w:val="24"/>
          <w:szCs w:val="24"/>
        </w:rPr>
        <w:t>Tuncer</w:t>
      </w:r>
      <w:r>
        <w:rPr>
          <w:rFonts w:ascii="Times New Roman" w:hAnsi="Times New Roman" w:cs="Times New Roman"/>
          <w:sz w:val="24"/>
          <w:szCs w:val="24"/>
        </w:rPr>
        <w:t>,</w:t>
      </w:r>
      <w:r w:rsidRPr="00036561">
        <w:rPr>
          <w:rFonts w:ascii="Times New Roman" w:hAnsi="Times New Roman" w:cs="Times New Roman"/>
          <w:sz w:val="24"/>
          <w:szCs w:val="24"/>
        </w:rPr>
        <w:t xml:space="preserve"> S</w:t>
      </w:r>
      <w:r>
        <w:rPr>
          <w:rFonts w:ascii="Times New Roman" w:hAnsi="Times New Roman" w:cs="Times New Roman"/>
          <w:sz w:val="24"/>
          <w:szCs w:val="24"/>
        </w:rPr>
        <w:t>.</w:t>
      </w:r>
      <w:r w:rsidRPr="00036561">
        <w:rPr>
          <w:rFonts w:ascii="Times New Roman" w:hAnsi="Times New Roman" w:cs="Times New Roman"/>
          <w:sz w:val="24"/>
          <w:szCs w:val="24"/>
        </w:rPr>
        <w:t xml:space="preserve">, </w:t>
      </w:r>
      <w:r w:rsidR="00053741">
        <w:rPr>
          <w:rFonts w:ascii="Times New Roman" w:hAnsi="Times New Roman" w:cs="Times New Roman"/>
          <w:sz w:val="24"/>
          <w:szCs w:val="24"/>
        </w:rPr>
        <w:t>(</w:t>
      </w:r>
      <w:r w:rsidR="00053741" w:rsidRPr="00036561">
        <w:rPr>
          <w:rFonts w:ascii="Times New Roman" w:hAnsi="Times New Roman" w:cs="Times New Roman"/>
          <w:sz w:val="24"/>
          <w:szCs w:val="24"/>
        </w:rPr>
        <w:t>1974</w:t>
      </w:r>
      <w:r w:rsidR="00053741">
        <w:rPr>
          <w:rFonts w:ascii="Times New Roman" w:hAnsi="Times New Roman" w:cs="Times New Roman"/>
          <w:sz w:val="24"/>
          <w:szCs w:val="24"/>
        </w:rPr>
        <w:t xml:space="preserve">), </w:t>
      </w:r>
      <w:r w:rsidRPr="00036561">
        <w:rPr>
          <w:rFonts w:ascii="Times New Roman" w:hAnsi="Times New Roman" w:cs="Times New Roman"/>
          <w:i/>
          <w:sz w:val="24"/>
          <w:szCs w:val="24"/>
        </w:rPr>
        <w:t>Çifte Vergileme ve Milletlerarası Vergi Anlaşmaları</w:t>
      </w:r>
      <w:r w:rsidRPr="00036561">
        <w:rPr>
          <w:rFonts w:ascii="Times New Roman" w:hAnsi="Times New Roman" w:cs="Times New Roman"/>
          <w:sz w:val="24"/>
          <w:szCs w:val="24"/>
        </w:rPr>
        <w:t xml:space="preserve">, Eskişehir İktisadi ve Ticari İlimler Akademisi, Yayın No. </w:t>
      </w:r>
      <w:r w:rsidR="00053741">
        <w:rPr>
          <w:rFonts w:ascii="Times New Roman" w:hAnsi="Times New Roman" w:cs="Times New Roman"/>
          <w:sz w:val="24"/>
          <w:szCs w:val="24"/>
        </w:rPr>
        <w:t>112-66, Sevinç Matbaası, Ankara</w:t>
      </w:r>
      <w:r>
        <w:rPr>
          <w:rFonts w:ascii="Times New Roman" w:hAnsi="Times New Roman" w:cs="Times New Roman"/>
          <w:sz w:val="24"/>
          <w:szCs w:val="24"/>
        </w:rPr>
        <w:t>.</w:t>
      </w:r>
    </w:p>
    <w:p w:rsid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United Nations</w:t>
      </w:r>
      <w:r w:rsidRPr="00A61A70">
        <w:rPr>
          <w:rFonts w:ascii="Times New Roman" w:hAnsi="Times New Roman" w:cs="Times New Roman"/>
          <w:sz w:val="24"/>
          <w:szCs w:val="24"/>
        </w:rPr>
        <w:t xml:space="preserve"> Model Tax Convention 2017</w:t>
      </w:r>
      <w:r>
        <w:rPr>
          <w:rFonts w:ascii="Times New Roman" w:hAnsi="Times New Roman" w:cs="Times New Roman"/>
          <w:sz w:val="24"/>
          <w:szCs w:val="24"/>
        </w:rPr>
        <w:t>.</w:t>
      </w:r>
    </w:p>
    <w:p w:rsidR="00592AF8" w:rsidRDefault="00592AF8"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A61A70">
        <w:rPr>
          <w:rFonts w:ascii="Times New Roman" w:hAnsi="Times New Roman" w:cs="Times New Roman"/>
          <w:sz w:val="24"/>
          <w:szCs w:val="24"/>
        </w:rPr>
        <w:t>United Nations Handbook on Selected Issues in Administration of Double Tax Treaties for Developing Countries, 2013</w:t>
      </w:r>
      <w:r>
        <w:rPr>
          <w:rFonts w:ascii="Times New Roman" w:hAnsi="Times New Roman" w:cs="Times New Roman"/>
          <w:sz w:val="24"/>
          <w:szCs w:val="24"/>
        </w:rPr>
        <w:t>.</w:t>
      </w:r>
    </w:p>
    <w:p w:rsidR="00155006" w:rsidRDefault="00155006" w:rsidP="009175F9">
      <w:pPr>
        <w:pStyle w:val="ListeParagraf"/>
        <w:numPr>
          <w:ilvl w:val="0"/>
          <w:numId w:val="8"/>
        </w:numPr>
        <w:spacing w:before="120" w:after="0" w:line="240" w:lineRule="auto"/>
        <w:ind w:left="714" w:hanging="357"/>
        <w:contextualSpacing w:val="0"/>
        <w:jc w:val="both"/>
        <w:rPr>
          <w:rFonts w:ascii="Times New Roman" w:hAnsi="Times New Roman" w:cs="Times New Roman"/>
          <w:sz w:val="24"/>
          <w:szCs w:val="24"/>
        </w:rPr>
      </w:pPr>
      <w:r w:rsidRPr="00A61A70">
        <w:rPr>
          <w:rFonts w:ascii="Times New Roman" w:hAnsi="Times New Roman" w:cs="Times New Roman"/>
          <w:sz w:val="24"/>
          <w:szCs w:val="24"/>
        </w:rPr>
        <w:t>Yaltı Soydan</w:t>
      </w:r>
      <w:r>
        <w:rPr>
          <w:rFonts w:ascii="Times New Roman" w:hAnsi="Times New Roman" w:cs="Times New Roman"/>
          <w:sz w:val="24"/>
          <w:szCs w:val="24"/>
        </w:rPr>
        <w:t>,</w:t>
      </w:r>
      <w:r w:rsidRPr="00A61A70">
        <w:rPr>
          <w:rFonts w:ascii="Times New Roman" w:hAnsi="Times New Roman" w:cs="Times New Roman"/>
          <w:sz w:val="24"/>
          <w:szCs w:val="24"/>
        </w:rPr>
        <w:t xml:space="preserve"> B</w:t>
      </w:r>
      <w:r>
        <w:rPr>
          <w:rFonts w:ascii="Times New Roman" w:hAnsi="Times New Roman" w:cs="Times New Roman"/>
          <w:sz w:val="24"/>
          <w:szCs w:val="24"/>
        </w:rPr>
        <w:t>.</w:t>
      </w:r>
      <w:r w:rsidRPr="00A61A70">
        <w:rPr>
          <w:rFonts w:ascii="Times New Roman" w:hAnsi="Times New Roman" w:cs="Times New Roman"/>
          <w:sz w:val="24"/>
          <w:szCs w:val="24"/>
        </w:rPr>
        <w:t>,</w:t>
      </w:r>
      <w:r w:rsidR="00053741">
        <w:rPr>
          <w:rFonts w:ascii="Times New Roman" w:hAnsi="Times New Roman" w:cs="Times New Roman"/>
          <w:sz w:val="24"/>
          <w:szCs w:val="24"/>
        </w:rPr>
        <w:t xml:space="preserve"> (</w:t>
      </w:r>
      <w:r w:rsidR="00053741">
        <w:rPr>
          <w:rFonts w:ascii="Times New Roman" w:hAnsi="Times New Roman" w:cs="Times New Roman"/>
          <w:sz w:val="24"/>
          <w:szCs w:val="24"/>
        </w:rPr>
        <w:t>1995</w:t>
      </w:r>
      <w:r w:rsidR="00053741">
        <w:rPr>
          <w:rFonts w:ascii="Times New Roman" w:hAnsi="Times New Roman" w:cs="Times New Roman"/>
          <w:sz w:val="24"/>
          <w:szCs w:val="24"/>
        </w:rPr>
        <w:t xml:space="preserve">), </w:t>
      </w:r>
      <w:r w:rsidRPr="00A61A70">
        <w:rPr>
          <w:rFonts w:ascii="Times New Roman" w:hAnsi="Times New Roman" w:cs="Times New Roman"/>
          <w:i/>
          <w:sz w:val="24"/>
          <w:szCs w:val="24"/>
        </w:rPr>
        <w:t>Uluslararası Vergi Anlaşmaları</w:t>
      </w:r>
      <w:r w:rsidRPr="00A61A70">
        <w:rPr>
          <w:rFonts w:ascii="Times New Roman" w:hAnsi="Times New Roman" w:cs="Times New Roman"/>
          <w:sz w:val="24"/>
          <w:szCs w:val="24"/>
        </w:rPr>
        <w:t>, Beta Basım, İstanbul</w:t>
      </w:r>
      <w:r>
        <w:rPr>
          <w:rFonts w:ascii="Times New Roman" w:hAnsi="Times New Roman" w:cs="Times New Roman"/>
          <w:sz w:val="24"/>
          <w:szCs w:val="24"/>
        </w:rPr>
        <w:t>.</w:t>
      </w:r>
    </w:p>
    <w:p w:rsidR="00237140" w:rsidRPr="00592AF8" w:rsidRDefault="00237140" w:rsidP="00592AF8">
      <w:pPr>
        <w:spacing w:line="360" w:lineRule="auto"/>
        <w:ind w:left="360"/>
        <w:jc w:val="both"/>
        <w:rPr>
          <w:rFonts w:ascii="Times New Roman" w:hAnsi="Times New Roman" w:cs="Times New Roman"/>
          <w:sz w:val="24"/>
          <w:szCs w:val="24"/>
        </w:rPr>
      </w:pPr>
      <w:bookmarkStart w:id="0" w:name="_GoBack"/>
      <w:bookmarkEnd w:id="0"/>
    </w:p>
    <w:sectPr w:rsidR="00237140" w:rsidRPr="00592A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362" w:rsidRDefault="00EC2362" w:rsidP="006C4771">
      <w:pPr>
        <w:spacing w:after="0" w:line="240" w:lineRule="auto"/>
      </w:pPr>
      <w:r>
        <w:separator/>
      </w:r>
    </w:p>
  </w:endnote>
  <w:endnote w:type="continuationSeparator" w:id="0">
    <w:p w:rsidR="00EC2362" w:rsidRDefault="00EC2362" w:rsidP="006C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362" w:rsidRDefault="00EC2362" w:rsidP="006C4771">
      <w:pPr>
        <w:spacing w:after="0" w:line="240" w:lineRule="auto"/>
      </w:pPr>
      <w:r>
        <w:separator/>
      </w:r>
    </w:p>
  </w:footnote>
  <w:footnote w:type="continuationSeparator" w:id="0">
    <w:p w:rsidR="00EC2362" w:rsidRDefault="00EC2362" w:rsidP="006C4771">
      <w:pPr>
        <w:spacing w:after="0" w:line="240" w:lineRule="auto"/>
      </w:pPr>
      <w:r>
        <w:continuationSeparator/>
      </w:r>
    </w:p>
  </w:footnote>
  <w:footnote w:id="1">
    <w:p w:rsidR="00320CD8" w:rsidRPr="00B64258" w:rsidRDefault="00320CD8" w:rsidP="00320CD8">
      <w:pPr>
        <w:pStyle w:val="DipnotMetni"/>
        <w:jc w:val="both"/>
        <w:rPr>
          <w:rFonts w:ascii="Times New Roman" w:hAnsi="Times New Roman" w:cs="Times New Roman"/>
        </w:rPr>
      </w:pPr>
      <w:r>
        <w:rPr>
          <w:rStyle w:val="DipnotBavurusu"/>
        </w:rPr>
        <w:t>*</w:t>
      </w:r>
      <w:r>
        <w:rPr>
          <w:rFonts w:ascii="Times New Roman" w:hAnsi="Times New Roman" w:cs="Times New Roman"/>
        </w:rPr>
        <w:t xml:space="preserve"> </w:t>
      </w:r>
      <w:r w:rsidR="00154F30">
        <w:rPr>
          <w:rFonts w:ascii="Times New Roman" w:hAnsi="Times New Roman" w:cs="Times New Roman"/>
        </w:rPr>
        <w:t>Grup Başkanı (</w:t>
      </w:r>
      <w:r w:rsidR="00F80B6B">
        <w:rPr>
          <w:rFonts w:ascii="Times New Roman" w:hAnsi="Times New Roman" w:cs="Times New Roman"/>
        </w:rPr>
        <w:t>Gelir İdaresi Başkanlığı</w:t>
      </w:r>
      <w:r w:rsidR="00154F30">
        <w:rPr>
          <w:rFonts w:ascii="Times New Roman" w:hAnsi="Times New Roman" w:cs="Times New Roman"/>
        </w:rPr>
        <w:t xml:space="preserve">), </w:t>
      </w:r>
      <w:r>
        <w:rPr>
          <w:rFonts w:ascii="Times New Roman" w:hAnsi="Times New Roman" w:cs="Times New Roman"/>
        </w:rPr>
        <w:t>PhD-Maliye Ana Bilim Dalı/Pamukkale Üniversitesi, LLM-Uluslararası ve Avrupa Birliği Vergi Hukuku Yüksek Lisansı</w:t>
      </w:r>
      <w:r w:rsidR="00154F30">
        <w:rPr>
          <w:rFonts w:ascii="Times New Roman" w:hAnsi="Times New Roman" w:cs="Times New Roman"/>
        </w:rPr>
        <w:t xml:space="preserve"> (</w:t>
      </w:r>
      <w:r w:rsidR="00370665">
        <w:rPr>
          <w:rFonts w:ascii="Times New Roman" w:hAnsi="Times New Roman" w:cs="Times New Roman"/>
        </w:rPr>
        <w:t>Maastricht Ü</w:t>
      </w:r>
      <w:r w:rsidRPr="00B64258">
        <w:rPr>
          <w:rFonts w:ascii="Times New Roman" w:hAnsi="Times New Roman" w:cs="Times New Roman"/>
        </w:rPr>
        <w:t>niversit</w:t>
      </w:r>
      <w:r>
        <w:rPr>
          <w:rFonts w:ascii="Times New Roman" w:hAnsi="Times New Roman" w:cs="Times New Roman"/>
        </w:rPr>
        <w:t>esi/Hollanda</w:t>
      </w:r>
      <w:r w:rsidR="00154F30">
        <w:rPr>
          <w:rFonts w:ascii="Times New Roman" w:hAnsi="Times New Roman" w:cs="Times New Roman"/>
        </w:rPr>
        <w:t>)</w:t>
      </w:r>
      <w:r>
        <w:rPr>
          <w:rFonts w:ascii="Times New Roman" w:hAnsi="Times New Roman" w:cs="Times New Roman"/>
        </w:rPr>
        <w:t>.</w:t>
      </w:r>
      <w:r w:rsidRPr="00B64258">
        <w:rPr>
          <w:rFonts w:ascii="Times New Roman" w:hAnsi="Times New Roman" w:cs="Times New Roman"/>
          <w:b/>
          <w:bCs/>
        </w:rPr>
        <w:t xml:space="preserve"> </w:t>
      </w:r>
      <w:r w:rsidRPr="00B64258">
        <w:rPr>
          <w:rFonts w:ascii="Times New Roman" w:hAnsi="Times New Roman" w:cs="Times New Roman"/>
        </w:rPr>
        <w:t xml:space="preserve">  </w:t>
      </w:r>
    </w:p>
  </w:footnote>
  <w:footnote w:id="2">
    <w:p w:rsidR="00370665" w:rsidRPr="00370665" w:rsidRDefault="00370665">
      <w:pPr>
        <w:pStyle w:val="DipnotMetni"/>
        <w:rPr>
          <w:rFonts w:ascii="Times New Roman" w:hAnsi="Times New Roman" w:cs="Times New Roman"/>
        </w:rPr>
      </w:pPr>
      <w:r w:rsidRPr="00370665">
        <w:rPr>
          <w:rStyle w:val="DipnotBavurusu"/>
          <w:rFonts w:ascii="Times New Roman" w:hAnsi="Times New Roman" w:cs="Times New Roman"/>
        </w:rPr>
        <w:footnoteRef/>
      </w:r>
      <w:r w:rsidRPr="00370665">
        <w:rPr>
          <w:rFonts w:ascii="Times New Roman" w:hAnsi="Times New Roman" w:cs="Times New Roman"/>
        </w:rPr>
        <w:t xml:space="preserve"> </w:t>
      </w:r>
      <w:r w:rsidR="00B350E3" w:rsidRPr="00B350E3">
        <w:rPr>
          <w:rFonts w:ascii="Times New Roman" w:hAnsi="Times New Roman" w:cs="Times New Roman"/>
        </w:rPr>
        <w:t xml:space="preserve">OECD, </w:t>
      </w:r>
      <w:r w:rsidR="00B350E3" w:rsidRPr="00B350E3">
        <w:rPr>
          <w:rFonts w:ascii="Times New Roman" w:hAnsi="Times New Roman" w:cs="Times New Roman"/>
          <w:bCs/>
        </w:rPr>
        <w:t>Updated guidance on tax treaties and the impact of the COVID-19 pandemic, 21 January 2021</w:t>
      </w:r>
      <w:r w:rsidR="00B350E3">
        <w:rPr>
          <w:rFonts w:ascii="Times New Roman" w:hAnsi="Times New Roman" w:cs="Times New Roman"/>
          <w:bCs/>
        </w:rPr>
        <w:t xml:space="preserve">. </w:t>
      </w:r>
    </w:p>
  </w:footnote>
  <w:footnote w:id="3">
    <w:p w:rsidR="00C62737" w:rsidRPr="00C62737" w:rsidRDefault="00C62737" w:rsidP="00C62737">
      <w:pPr>
        <w:pStyle w:val="DipnotMetni"/>
        <w:rPr>
          <w:rFonts w:ascii="Times New Roman" w:hAnsi="Times New Roman" w:cs="Times New Roman"/>
        </w:rPr>
      </w:pPr>
      <w:r w:rsidRPr="00C62737">
        <w:rPr>
          <w:rStyle w:val="DipnotBavurusu"/>
          <w:rFonts w:ascii="Times New Roman" w:hAnsi="Times New Roman" w:cs="Times New Roman"/>
        </w:rPr>
        <w:footnoteRef/>
      </w:r>
      <w:r w:rsidRPr="00C62737">
        <w:rPr>
          <w:rFonts w:ascii="Times New Roman" w:hAnsi="Times New Roman" w:cs="Times New Roman"/>
        </w:rPr>
        <w:t xml:space="preserve"> OECD Secretariat Analysis of Tax Treaties and the Impact of the COVID-19 Crisis. </w:t>
      </w:r>
    </w:p>
  </w:footnote>
  <w:footnote w:id="4">
    <w:p w:rsidR="00131BAE" w:rsidRDefault="005D3B74" w:rsidP="00131BAE">
      <w:pPr>
        <w:pStyle w:val="DipnotMetni"/>
        <w:jc w:val="both"/>
      </w:pPr>
      <w:r w:rsidRPr="005D3B74">
        <w:rPr>
          <w:rStyle w:val="DipnotBavurusu"/>
          <w:rFonts w:ascii="Times New Roman" w:hAnsi="Times New Roman" w:cs="Times New Roman"/>
        </w:rPr>
        <w:footnoteRef/>
      </w:r>
      <w:r w:rsidRPr="005D3B74">
        <w:rPr>
          <w:rFonts w:ascii="Times New Roman" w:hAnsi="Times New Roman" w:cs="Times New Roman"/>
        </w:rPr>
        <w:t xml:space="preserve"> </w:t>
      </w:r>
      <w:r w:rsidR="00131BAE">
        <w:rPr>
          <w:rFonts w:ascii="Times New Roman" w:hAnsi="Times New Roman" w:cs="Times New Roman"/>
        </w:rPr>
        <w:t>Genel ilke, vergi anlaşmalarının vergi koymaması, buna karşılık verginin mukim ve kaynak ülkeler arasında dengeli dağıtımıdır (</w:t>
      </w:r>
      <w:r w:rsidR="00131BAE" w:rsidRPr="00131BAE">
        <w:rPr>
          <w:rFonts w:ascii="Times New Roman" w:hAnsi="Times New Roman" w:cs="Times New Roman"/>
        </w:rPr>
        <w:t>United Nations Handbook</w:t>
      </w:r>
      <w:r w:rsidR="00131BAE">
        <w:rPr>
          <w:rFonts w:ascii="Times New Roman" w:hAnsi="Times New Roman" w:cs="Times New Roman"/>
        </w:rPr>
        <w:t xml:space="preserve"> </w:t>
      </w:r>
      <w:r w:rsidR="00131BAE" w:rsidRPr="00131BAE">
        <w:rPr>
          <w:rFonts w:ascii="Times New Roman" w:hAnsi="Times New Roman" w:cs="Times New Roman"/>
        </w:rPr>
        <w:t>on Selected Issues in</w:t>
      </w:r>
      <w:r w:rsidR="00131BAE">
        <w:rPr>
          <w:rFonts w:ascii="Times New Roman" w:hAnsi="Times New Roman" w:cs="Times New Roman"/>
        </w:rPr>
        <w:t xml:space="preserve"> </w:t>
      </w:r>
      <w:r w:rsidR="00131BAE" w:rsidRPr="00131BAE">
        <w:rPr>
          <w:rFonts w:ascii="Times New Roman" w:hAnsi="Times New Roman" w:cs="Times New Roman"/>
        </w:rPr>
        <w:t>Administration of</w:t>
      </w:r>
      <w:r w:rsidR="00131BAE">
        <w:rPr>
          <w:rFonts w:ascii="Times New Roman" w:hAnsi="Times New Roman" w:cs="Times New Roman"/>
        </w:rPr>
        <w:t xml:space="preserve"> </w:t>
      </w:r>
      <w:r w:rsidR="00131BAE" w:rsidRPr="00131BAE">
        <w:rPr>
          <w:rFonts w:ascii="Times New Roman" w:hAnsi="Times New Roman" w:cs="Times New Roman"/>
        </w:rPr>
        <w:t>Double Tax Treaties</w:t>
      </w:r>
      <w:r w:rsidR="00131BAE">
        <w:rPr>
          <w:rFonts w:ascii="Times New Roman" w:hAnsi="Times New Roman" w:cs="Times New Roman"/>
        </w:rPr>
        <w:t xml:space="preserve"> </w:t>
      </w:r>
      <w:r w:rsidR="00131BAE" w:rsidRPr="00131BAE">
        <w:rPr>
          <w:rFonts w:ascii="Times New Roman" w:hAnsi="Times New Roman" w:cs="Times New Roman"/>
        </w:rPr>
        <w:t>for Developing Countries</w:t>
      </w:r>
      <w:r w:rsidR="00131BAE">
        <w:rPr>
          <w:rFonts w:ascii="Times New Roman" w:hAnsi="Times New Roman" w:cs="Times New Roman"/>
        </w:rPr>
        <w:t>, 2013, s. 113,</w:t>
      </w:r>
      <w:r w:rsidR="00131BAE" w:rsidRPr="00131BAE">
        <w:t xml:space="preserve"> </w:t>
      </w:r>
    </w:p>
    <w:p w:rsidR="005D3B74" w:rsidRPr="005D3B74" w:rsidRDefault="00131BAE" w:rsidP="00131BAE">
      <w:pPr>
        <w:pStyle w:val="DipnotMetni"/>
        <w:jc w:val="both"/>
        <w:rPr>
          <w:rFonts w:ascii="Times New Roman" w:hAnsi="Times New Roman" w:cs="Times New Roman"/>
        </w:rPr>
      </w:pPr>
      <w:r w:rsidRPr="00131BAE">
        <w:rPr>
          <w:rFonts w:ascii="Times New Roman" w:hAnsi="Times New Roman" w:cs="Times New Roman"/>
        </w:rPr>
        <w:t>https://www.un.org/esa/ffd/wp-content/uploads/2014/08/UN_Handbook_DTT_Admin.pdf</w:t>
      </w:r>
      <w:r>
        <w:rPr>
          <w:rFonts w:ascii="Times New Roman" w:hAnsi="Times New Roman" w:cs="Times New Roman"/>
        </w:rPr>
        <w:t xml:space="preserve">); </w:t>
      </w:r>
      <w:r w:rsidR="005D3B74">
        <w:rPr>
          <w:rFonts w:ascii="Times New Roman" w:hAnsi="Times New Roman" w:cs="Times New Roman"/>
        </w:rPr>
        <w:t>ÇVÖA’lar</w:t>
      </w:r>
      <w:r w:rsidR="005D3B74" w:rsidRPr="005D3B74">
        <w:rPr>
          <w:rFonts w:ascii="Times New Roman" w:hAnsi="Times New Roman" w:cs="Times New Roman"/>
        </w:rPr>
        <w:t xml:space="preserve"> devletlere vergi hakkı verme</w:t>
      </w:r>
      <w:r w:rsidR="005D3B74">
        <w:rPr>
          <w:rFonts w:ascii="Times New Roman" w:hAnsi="Times New Roman" w:cs="Times New Roman"/>
        </w:rPr>
        <w:t>me</w:t>
      </w:r>
      <w:r w:rsidR="005D3B74" w:rsidRPr="005D3B74">
        <w:rPr>
          <w:rFonts w:ascii="Times New Roman" w:hAnsi="Times New Roman" w:cs="Times New Roman"/>
        </w:rPr>
        <w:t>k</w:t>
      </w:r>
      <w:r w:rsidR="005D3B74">
        <w:rPr>
          <w:rFonts w:ascii="Times New Roman" w:hAnsi="Times New Roman" w:cs="Times New Roman"/>
        </w:rPr>
        <w:t xml:space="preserve">te, </w:t>
      </w:r>
      <w:r w:rsidR="005D3B74" w:rsidRPr="005D3B74">
        <w:rPr>
          <w:rFonts w:ascii="Times New Roman" w:hAnsi="Times New Roman" w:cs="Times New Roman"/>
        </w:rPr>
        <w:t xml:space="preserve">yalnızca devletlerin </w:t>
      </w:r>
      <w:r w:rsidR="005D3B74">
        <w:rPr>
          <w:rFonts w:ascii="Times New Roman" w:hAnsi="Times New Roman" w:cs="Times New Roman"/>
        </w:rPr>
        <w:t>mevcut</w:t>
      </w:r>
      <w:r w:rsidR="005D3B74" w:rsidRPr="005D3B74">
        <w:rPr>
          <w:rFonts w:ascii="Times New Roman" w:hAnsi="Times New Roman" w:cs="Times New Roman"/>
        </w:rPr>
        <w:t xml:space="preserve"> vergilendirme yetkilerini sınırlamak</w:t>
      </w:r>
      <w:r w:rsidR="005D3B74">
        <w:rPr>
          <w:rFonts w:ascii="Times New Roman" w:hAnsi="Times New Roman" w:cs="Times New Roman"/>
        </w:rPr>
        <w:t>tadır</w:t>
      </w:r>
      <w:r w:rsidR="005D3B74" w:rsidRPr="005D3B74">
        <w:rPr>
          <w:rFonts w:ascii="Times New Roman" w:hAnsi="Times New Roman" w:cs="Times New Roman"/>
        </w:rPr>
        <w:t xml:space="preserve"> (</w:t>
      </w:r>
      <w:r w:rsidR="005D3B74">
        <w:rPr>
          <w:rFonts w:ascii="Times New Roman" w:hAnsi="Times New Roman" w:cs="Times New Roman"/>
        </w:rPr>
        <w:t xml:space="preserve">Billur Yaltı Soydan, </w:t>
      </w:r>
      <w:r w:rsidR="005D3B74">
        <w:rPr>
          <w:rFonts w:ascii="Times New Roman" w:hAnsi="Times New Roman" w:cs="Times New Roman"/>
          <w:i/>
        </w:rPr>
        <w:t>Uluslararası Vergi Anlaşmaları</w:t>
      </w:r>
      <w:r w:rsidR="005D3B74">
        <w:rPr>
          <w:rFonts w:ascii="Times New Roman" w:hAnsi="Times New Roman" w:cs="Times New Roman"/>
        </w:rPr>
        <w:t>, Beta Basım,</w:t>
      </w:r>
      <w:r w:rsidR="00A61A70">
        <w:rPr>
          <w:rFonts w:ascii="Times New Roman" w:hAnsi="Times New Roman" w:cs="Times New Roman"/>
        </w:rPr>
        <w:t xml:space="preserve"> İstanbul, 1995,</w:t>
      </w:r>
      <w:r w:rsidR="005D3B74">
        <w:rPr>
          <w:rFonts w:ascii="Times New Roman" w:hAnsi="Times New Roman" w:cs="Times New Roman"/>
        </w:rPr>
        <w:t xml:space="preserve"> s. 32)</w:t>
      </w:r>
      <w:r>
        <w:rPr>
          <w:rFonts w:ascii="Times New Roman" w:hAnsi="Times New Roman" w:cs="Times New Roman"/>
        </w:rPr>
        <w:t xml:space="preserve">. </w:t>
      </w:r>
    </w:p>
  </w:footnote>
  <w:footnote w:id="5">
    <w:p w:rsidR="00725387" w:rsidRPr="00B431D1" w:rsidRDefault="00725387" w:rsidP="00725387">
      <w:pPr>
        <w:pStyle w:val="DipnotMetni"/>
        <w:jc w:val="both"/>
        <w:rPr>
          <w:rFonts w:ascii="Times New Roman" w:hAnsi="Times New Roman" w:cs="Times New Roman"/>
        </w:rPr>
      </w:pPr>
      <w:r w:rsidRPr="00B431D1">
        <w:rPr>
          <w:rStyle w:val="DipnotBavurusu"/>
          <w:rFonts w:ascii="Times New Roman" w:hAnsi="Times New Roman" w:cs="Times New Roman"/>
        </w:rPr>
        <w:footnoteRef/>
      </w:r>
      <w:r w:rsidRPr="00B431D1">
        <w:rPr>
          <w:rFonts w:ascii="Times New Roman" w:hAnsi="Times New Roman" w:cs="Times New Roman"/>
        </w:rPr>
        <w:t xml:space="preserve"> </w:t>
      </w:r>
      <w:r w:rsidR="00592AF8">
        <w:rPr>
          <w:rFonts w:ascii="Times New Roman" w:hAnsi="Times New Roman" w:cs="Times New Roman"/>
        </w:rPr>
        <w:t>United Nations M</w:t>
      </w:r>
      <w:r w:rsidR="00370665">
        <w:rPr>
          <w:rFonts w:ascii="Times New Roman" w:hAnsi="Times New Roman" w:cs="Times New Roman"/>
        </w:rPr>
        <w:t xml:space="preserve">odel Tax </w:t>
      </w:r>
      <w:r w:rsidRPr="00B431D1">
        <w:rPr>
          <w:rFonts w:ascii="Times New Roman" w:hAnsi="Times New Roman" w:cs="Times New Roman"/>
        </w:rPr>
        <w:t>C</w:t>
      </w:r>
      <w:r w:rsidR="00370665">
        <w:rPr>
          <w:rFonts w:ascii="Times New Roman" w:hAnsi="Times New Roman" w:cs="Times New Roman"/>
        </w:rPr>
        <w:t>onvention</w:t>
      </w:r>
      <w:r w:rsidRPr="00B431D1">
        <w:rPr>
          <w:rFonts w:ascii="Times New Roman" w:hAnsi="Times New Roman" w:cs="Times New Roman"/>
        </w:rPr>
        <w:t xml:space="preserve"> 2017, Introduction, s.</w:t>
      </w:r>
      <w:r w:rsidR="00370665">
        <w:rPr>
          <w:rFonts w:ascii="Times New Roman" w:hAnsi="Times New Roman" w:cs="Times New Roman"/>
        </w:rPr>
        <w:t xml:space="preserve"> </w:t>
      </w:r>
      <w:r w:rsidRPr="00B431D1">
        <w:rPr>
          <w:rFonts w:ascii="Times New Roman" w:hAnsi="Times New Roman" w:cs="Times New Roman"/>
        </w:rPr>
        <w:t>vii.</w:t>
      </w:r>
    </w:p>
  </w:footnote>
  <w:footnote w:id="6">
    <w:p w:rsidR="00370665" w:rsidRPr="00036561" w:rsidRDefault="00370665" w:rsidP="00370665">
      <w:pPr>
        <w:pStyle w:val="DipnotMetni"/>
        <w:jc w:val="both"/>
        <w:rPr>
          <w:rFonts w:ascii="Times New Roman" w:hAnsi="Times New Roman" w:cs="Times New Roman"/>
        </w:rPr>
      </w:pPr>
      <w:r w:rsidRPr="00197FA8">
        <w:rPr>
          <w:rStyle w:val="DipnotBavurusu"/>
          <w:rFonts w:ascii="Times New Roman" w:hAnsi="Times New Roman" w:cs="Times New Roman"/>
        </w:rPr>
        <w:footnoteRef/>
      </w:r>
      <w:r w:rsidRPr="00197FA8">
        <w:rPr>
          <w:rFonts w:ascii="Times New Roman" w:hAnsi="Times New Roman" w:cs="Times New Roman"/>
        </w:rPr>
        <w:t xml:space="preserve"> </w:t>
      </w:r>
      <w:r>
        <w:rPr>
          <w:rFonts w:ascii="Times New Roman" w:hAnsi="Times New Roman" w:cs="Times New Roman"/>
        </w:rPr>
        <w:t xml:space="preserve">Akif </w:t>
      </w:r>
      <w:r w:rsidRPr="00197FA8">
        <w:rPr>
          <w:rFonts w:ascii="Times New Roman" w:hAnsi="Times New Roman" w:cs="Times New Roman"/>
        </w:rPr>
        <w:t xml:space="preserve">Erginay, </w:t>
      </w:r>
      <w:r w:rsidRPr="00083922">
        <w:rPr>
          <w:rFonts w:ascii="Times New Roman" w:hAnsi="Times New Roman" w:cs="Times New Roman"/>
          <w:i/>
        </w:rPr>
        <w:t>Vergi Hukuku</w:t>
      </w:r>
      <w:r w:rsidRPr="00197FA8">
        <w:rPr>
          <w:rFonts w:ascii="Times New Roman" w:hAnsi="Times New Roman" w:cs="Times New Roman"/>
        </w:rPr>
        <w:t>, Ankara Hukuk Fakültesi Yayınları, No.290, Ankara, 1971, s.</w:t>
      </w:r>
      <w:r>
        <w:rPr>
          <w:rFonts w:ascii="Times New Roman" w:hAnsi="Times New Roman" w:cs="Times New Roman"/>
        </w:rPr>
        <w:t xml:space="preserve"> 18; </w:t>
      </w:r>
      <w:r w:rsidR="00036561" w:rsidRPr="00036561">
        <w:rPr>
          <w:rFonts w:ascii="Times New Roman" w:hAnsi="Times New Roman" w:cs="Times New Roman"/>
        </w:rPr>
        <w:t xml:space="preserve">Selahattin Tuncer, </w:t>
      </w:r>
      <w:r w:rsidR="00036561" w:rsidRPr="00036561">
        <w:rPr>
          <w:rFonts w:ascii="Times New Roman" w:hAnsi="Times New Roman" w:cs="Times New Roman"/>
          <w:i/>
        </w:rPr>
        <w:t>Çifte Vergileme ve Milletlerarası Vergi Anlaşmaları</w:t>
      </w:r>
      <w:r w:rsidR="00036561" w:rsidRPr="00036561">
        <w:rPr>
          <w:rFonts w:ascii="Times New Roman" w:hAnsi="Times New Roman" w:cs="Times New Roman"/>
        </w:rPr>
        <w:t>, Eskişehir İktisadi ve Ticari İlimler Akademisi, Yayın No. 112-66, Sevinç Matbaası, Ankara, 1974</w:t>
      </w:r>
      <w:r w:rsidR="00036561">
        <w:rPr>
          <w:rFonts w:ascii="Times New Roman" w:hAnsi="Times New Roman" w:cs="Times New Roman"/>
        </w:rPr>
        <w:t xml:space="preserve">, </w:t>
      </w:r>
      <w:r w:rsidRPr="00036561">
        <w:rPr>
          <w:rFonts w:ascii="Times New Roman" w:hAnsi="Times New Roman" w:cs="Times New Roman"/>
        </w:rPr>
        <w:t>s. 40.</w:t>
      </w:r>
    </w:p>
  </w:footnote>
  <w:footnote w:id="7">
    <w:p w:rsidR="0034718D" w:rsidRPr="00197FA8" w:rsidRDefault="0034718D" w:rsidP="0034718D">
      <w:pPr>
        <w:pStyle w:val="DipnotMetni"/>
        <w:jc w:val="both"/>
        <w:rPr>
          <w:rFonts w:ascii="Times New Roman" w:hAnsi="Times New Roman" w:cs="Times New Roman"/>
        </w:rPr>
      </w:pPr>
      <w:r w:rsidRPr="00197FA8">
        <w:rPr>
          <w:rStyle w:val="DipnotBavurusu"/>
          <w:rFonts w:ascii="Times New Roman" w:hAnsi="Times New Roman" w:cs="Times New Roman"/>
        </w:rPr>
        <w:footnoteRef/>
      </w:r>
      <w:r w:rsidRPr="00197FA8">
        <w:rPr>
          <w:rFonts w:ascii="Times New Roman" w:hAnsi="Times New Roman" w:cs="Times New Roman"/>
        </w:rPr>
        <w:t xml:space="preserve"> </w:t>
      </w:r>
      <w:r>
        <w:rPr>
          <w:rFonts w:ascii="Times New Roman" w:hAnsi="Times New Roman" w:cs="Times New Roman"/>
        </w:rPr>
        <w:t xml:space="preserve">A. </w:t>
      </w:r>
      <w:r w:rsidRPr="00197FA8">
        <w:rPr>
          <w:rFonts w:ascii="Times New Roman" w:hAnsi="Times New Roman" w:cs="Times New Roman"/>
        </w:rPr>
        <w:t xml:space="preserve">Erginay, </w:t>
      </w:r>
      <w:r>
        <w:rPr>
          <w:rFonts w:ascii="Times New Roman" w:hAnsi="Times New Roman" w:cs="Times New Roman"/>
          <w:i/>
        </w:rPr>
        <w:t>age.</w:t>
      </w:r>
      <w:r>
        <w:rPr>
          <w:rFonts w:ascii="Times New Roman" w:hAnsi="Times New Roman" w:cs="Times New Roman"/>
        </w:rPr>
        <w:t xml:space="preserve">, </w:t>
      </w:r>
      <w:r w:rsidRPr="00197FA8">
        <w:rPr>
          <w:rFonts w:ascii="Times New Roman" w:hAnsi="Times New Roman" w:cs="Times New Roman"/>
        </w:rPr>
        <w:t>s.</w:t>
      </w:r>
      <w:r>
        <w:rPr>
          <w:rFonts w:ascii="Times New Roman" w:hAnsi="Times New Roman" w:cs="Times New Roman"/>
        </w:rPr>
        <w:t xml:space="preserve"> </w:t>
      </w:r>
      <w:r w:rsidRPr="00197FA8">
        <w:rPr>
          <w:rFonts w:ascii="Times New Roman" w:hAnsi="Times New Roman" w:cs="Times New Roman"/>
        </w:rPr>
        <w:t>19</w:t>
      </w:r>
      <w:r>
        <w:rPr>
          <w:rFonts w:ascii="Times New Roman" w:hAnsi="Times New Roman" w:cs="Times New Roman"/>
        </w:rPr>
        <w:t xml:space="preserve">; B. </w:t>
      </w:r>
      <w:r w:rsidRPr="00197FA8">
        <w:rPr>
          <w:rFonts w:ascii="Times New Roman" w:hAnsi="Times New Roman" w:cs="Times New Roman"/>
        </w:rPr>
        <w:t xml:space="preserve">Yaltı Soydan, </w:t>
      </w:r>
      <w:r w:rsidRPr="00461B09">
        <w:rPr>
          <w:rFonts w:ascii="Times New Roman" w:hAnsi="Times New Roman" w:cs="Times New Roman"/>
          <w:i/>
        </w:rPr>
        <w:t>a</w:t>
      </w:r>
      <w:r>
        <w:rPr>
          <w:rFonts w:ascii="Times New Roman" w:hAnsi="Times New Roman" w:cs="Times New Roman"/>
          <w:i/>
        </w:rPr>
        <w:t>ge.</w:t>
      </w:r>
      <w:r>
        <w:rPr>
          <w:rFonts w:ascii="Times New Roman" w:hAnsi="Times New Roman" w:cs="Times New Roman"/>
        </w:rPr>
        <w:t xml:space="preserve">, </w:t>
      </w:r>
      <w:r w:rsidRPr="00461B09">
        <w:rPr>
          <w:rFonts w:ascii="Times New Roman" w:hAnsi="Times New Roman" w:cs="Times New Roman"/>
          <w:i/>
        </w:rPr>
        <w:t>s</w:t>
      </w:r>
      <w:r w:rsidRPr="00197FA8">
        <w:rPr>
          <w:rFonts w:ascii="Times New Roman" w:hAnsi="Times New Roman" w:cs="Times New Roman"/>
        </w:rPr>
        <w:t>.</w:t>
      </w:r>
      <w:r>
        <w:rPr>
          <w:rFonts w:ascii="Times New Roman" w:hAnsi="Times New Roman" w:cs="Times New Roman"/>
        </w:rPr>
        <w:t xml:space="preserve"> </w:t>
      </w:r>
      <w:r w:rsidRPr="00197FA8">
        <w:rPr>
          <w:rFonts w:ascii="Times New Roman" w:hAnsi="Times New Roman" w:cs="Times New Roman"/>
        </w:rPr>
        <w:t>36.</w:t>
      </w:r>
    </w:p>
  </w:footnote>
  <w:footnote w:id="8">
    <w:p w:rsidR="0034718D" w:rsidRPr="00197FA8" w:rsidRDefault="0034718D" w:rsidP="0034718D">
      <w:pPr>
        <w:pStyle w:val="DipnotMetni"/>
        <w:jc w:val="both"/>
        <w:rPr>
          <w:rFonts w:ascii="Times New Roman" w:hAnsi="Times New Roman" w:cs="Times New Roman"/>
        </w:rPr>
      </w:pPr>
      <w:r w:rsidRPr="00197FA8">
        <w:rPr>
          <w:rStyle w:val="DipnotBavurusu"/>
          <w:rFonts w:ascii="Times New Roman" w:hAnsi="Times New Roman" w:cs="Times New Roman"/>
        </w:rPr>
        <w:footnoteRef/>
      </w:r>
      <w:r w:rsidRPr="00197FA8">
        <w:rPr>
          <w:rFonts w:ascii="Times New Roman" w:hAnsi="Times New Roman" w:cs="Times New Roman"/>
        </w:rPr>
        <w:t xml:space="preserve"> </w:t>
      </w:r>
      <w:r w:rsidR="00036561" w:rsidRPr="00036561">
        <w:rPr>
          <w:rFonts w:ascii="Times New Roman" w:hAnsi="Times New Roman" w:cs="Times New Roman"/>
        </w:rPr>
        <w:t xml:space="preserve">Manuel Pires, </w:t>
      </w:r>
      <w:r w:rsidR="00036561" w:rsidRPr="00036561">
        <w:rPr>
          <w:rFonts w:ascii="Times New Roman" w:hAnsi="Times New Roman" w:cs="Times New Roman"/>
          <w:i/>
        </w:rPr>
        <w:t>International Juridical Double Taxation of Income</w:t>
      </w:r>
      <w:r w:rsidR="00036561" w:rsidRPr="00036561">
        <w:rPr>
          <w:rFonts w:ascii="Times New Roman" w:hAnsi="Times New Roman" w:cs="Times New Roman"/>
        </w:rPr>
        <w:t xml:space="preserve">, Deventer, 1989, </w:t>
      </w:r>
      <w:r w:rsidRPr="00197FA8">
        <w:rPr>
          <w:rFonts w:ascii="Times New Roman" w:hAnsi="Times New Roman" w:cs="Times New Roman"/>
        </w:rPr>
        <w:t>s.</w:t>
      </w:r>
      <w:r>
        <w:rPr>
          <w:rFonts w:ascii="Times New Roman" w:hAnsi="Times New Roman" w:cs="Times New Roman"/>
        </w:rPr>
        <w:t xml:space="preserve"> </w:t>
      </w:r>
      <w:r w:rsidRPr="00197FA8">
        <w:rPr>
          <w:rFonts w:ascii="Times New Roman" w:hAnsi="Times New Roman" w:cs="Times New Roman"/>
        </w:rPr>
        <w:t>95</w:t>
      </w:r>
      <w:r>
        <w:rPr>
          <w:rFonts w:ascii="Times New Roman" w:hAnsi="Times New Roman" w:cs="Times New Roman"/>
        </w:rPr>
        <w:t xml:space="preserve">; B. </w:t>
      </w:r>
      <w:r w:rsidRPr="00197FA8">
        <w:rPr>
          <w:rFonts w:ascii="Times New Roman" w:hAnsi="Times New Roman" w:cs="Times New Roman"/>
        </w:rPr>
        <w:t xml:space="preserve">Yaltı Soydan, </w:t>
      </w:r>
      <w:r w:rsidRPr="00461B09">
        <w:rPr>
          <w:rFonts w:ascii="Times New Roman" w:hAnsi="Times New Roman" w:cs="Times New Roman"/>
          <w:i/>
        </w:rPr>
        <w:t>a</w:t>
      </w:r>
      <w:r>
        <w:rPr>
          <w:rFonts w:ascii="Times New Roman" w:hAnsi="Times New Roman" w:cs="Times New Roman"/>
          <w:i/>
        </w:rPr>
        <w:t>ge.</w:t>
      </w:r>
      <w:r>
        <w:rPr>
          <w:rFonts w:ascii="Times New Roman" w:hAnsi="Times New Roman" w:cs="Times New Roman"/>
        </w:rPr>
        <w:t xml:space="preserve">, </w:t>
      </w:r>
      <w:r w:rsidRPr="00197FA8">
        <w:rPr>
          <w:rFonts w:ascii="Times New Roman" w:hAnsi="Times New Roman" w:cs="Times New Roman"/>
        </w:rPr>
        <w:t>s.</w:t>
      </w:r>
      <w:r>
        <w:rPr>
          <w:rFonts w:ascii="Times New Roman" w:hAnsi="Times New Roman" w:cs="Times New Roman"/>
        </w:rPr>
        <w:t xml:space="preserve"> </w:t>
      </w:r>
      <w:r w:rsidRPr="00197FA8">
        <w:rPr>
          <w:rFonts w:ascii="Times New Roman" w:hAnsi="Times New Roman" w:cs="Times New Roman"/>
        </w:rPr>
        <w:t>36.</w:t>
      </w:r>
    </w:p>
  </w:footnote>
  <w:footnote w:id="9">
    <w:p w:rsidR="0034718D" w:rsidRPr="00197FA8" w:rsidRDefault="0034718D" w:rsidP="0034718D">
      <w:pPr>
        <w:pStyle w:val="DipnotMetni"/>
        <w:jc w:val="both"/>
        <w:rPr>
          <w:rFonts w:ascii="Times New Roman" w:hAnsi="Times New Roman" w:cs="Times New Roman"/>
        </w:rPr>
      </w:pPr>
      <w:r w:rsidRPr="00197FA8">
        <w:rPr>
          <w:rStyle w:val="DipnotBavurusu"/>
          <w:rFonts w:ascii="Times New Roman" w:hAnsi="Times New Roman" w:cs="Times New Roman"/>
        </w:rPr>
        <w:footnoteRef/>
      </w:r>
      <w:r w:rsidRPr="00197FA8">
        <w:rPr>
          <w:rFonts w:ascii="Times New Roman" w:hAnsi="Times New Roman" w:cs="Times New Roman"/>
        </w:rPr>
        <w:t xml:space="preserve"> </w:t>
      </w:r>
      <w:r>
        <w:rPr>
          <w:rFonts w:ascii="Times New Roman" w:hAnsi="Times New Roman" w:cs="Times New Roman"/>
        </w:rPr>
        <w:t xml:space="preserve">B. </w:t>
      </w:r>
      <w:r w:rsidRPr="00197FA8">
        <w:rPr>
          <w:rFonts w:ascii="Times New Roman" w:hAnsi="Times New Roman" w:cs="Times New Roman"/>
        </w:rPr>
        <w:t xml:space="preserve">Yaltı Soydan, </w:t>
      </w:r>
      <w:r w:rsidRPr="00461B09">
        <w:rPr>
          <w:rFonts w:ascii="Times New Roman" w:hAnsi="Times New Roman" w:cs="Times New Roman"/>
          <w:i/>
        </w:rPr>
        <w:t>a</w:t>
      </w:r>
      <w:r>
        <w:rPr>
          <w:rFonts w:ascii="Times New Roman" w:hAnsi="Times New Roman" w:cs="Times New Roman"/>
          <w:i/>
        </w:rPr>
        <w:t>ge.</w:t>
      </w:r>
      <w:r>
        <w:rPr>
          <w:rFonts w:ascii="Times New Roman" w:hAnsi="Times New Roman" w:cs="Times New Roman"/>
        </w:rPr>
        <w:t>,</w:t>
      </w:r>
      <w:r w:rsidRPr="00197FA8">
        <w:rPr>
          <w:rFonts w:ascii="Times New Roman" w:hAnsi="Times New Roman" w:cs="Times New Roman"/>
        </w:rPr>
        <w:t xml:space="preserve"> s.</w:t>
      </w:r>
      <w:r>
        <w:rPr>
          <w:rFonts w:ascii="Times New Roman" w:hAnsi="Times New Roman" w:cs="Times New Roman"/>
        </w:rPr>
        <w:t xml:space="preserve"> </w:t>
      </w:r>
      <w:r w:rsidRPr="00197FA8">
        <w:rPr>
          <w:rFonts w:ascii="Times New Roman" w:hAnsi="Times New Roman" w:cs="Times New Roman"/>
        </w:rPr>
        <w:t>36.</w:t>
      </w:r>
    </w:p>
  </w:footnote>
  <w:footnote w:id="10">
    <w:p w:rsidR="0034718D" w:rsidRPr="00A625EE" w:rsidRDefault="0034718D" w:rsidP="0034718D">
      <w:pPr>
        <w:pStyle w:val="DipnotMetni"/>
        <w:jc w:val="both"/>
        <w:rPr>
          <w:rFonts w:ascii="Times New Roman" w:hAnsi="Times New Roman" w:cs="Times New Roman"/>
        </w:rPr>
      </w:pPr>
      <w:r w:rsidRPr="00197FA8">
        <w:rPr>
          <w:rStyle w:val="DipnotBavurusu"/>
          <w:rFonts w:ascii="Times New Roman" w:hAnsi="Times New Roman" w:cs="Times New Roman"/>
        </w:rPr>
        <w:footnoteRef/>
      </w:r>
      <w:r w:rsidRPr="00197FA8">
        <w:rPr>
          <w:rFonts w:ascii="Times New Roman" w:hAnsi="Times New Roman" w:cs="Times New Roman"/>
        </w:rPr>
        <w:t xml:space="preserve"> George Pick, Das Internationale Steuerrecht des Erdballs, Zürich-Leipzig, 1936-1947, C.V.</w:t>
      </w:r>
      <w:r>
        <w:rPr>
          <w:rFonts w:ascii="Times New Roman" w:hAnsi="Times New Roman" w:cs="Times New Roman"/>
        </w:rPr>
        <w:t xml:space="preserve">; S. </w:t>
      </w:r>
      <w:r w:rsidRPr="00197FA8">
        <w:rPr>
          <w:rFonts w:ascii="Times New Roman" w:hAnsi="Times New Roman" w:cs="Times New Roman"/>
        </w:rPr>
        <w:t xml:space="preserve">Tuncer, </w:t>
      </w:r>
      <w:r>
        <w:rPr>
          <w:rFonts w:ascii="Times New Roman" w:hAnsi="Times New Roman" w:cs="Times New Roman"/>
          <w:i/>
        </w:rPr>
        <w:t>age.</w:t>
      </w:r>
      <w:r>
        <w:rPr>
          <w:rFonts w:ascii="Times New Roman" w:hAnsi="Times New Roman" w:cs="Times New Roman"/>
        </w:rPr>
        <w:t xml:space="preserve">, </w:t>
      </w:r>
      <w:r w:rsidRPr="00197FA8">
        <w:rPr>
          <w:rFonts w:ascii="Times New Roman" w:hAnsi="Times New Roman" w:cs="Times New Roman"/>
        </w:rPr>
        <w:t>s.</w:t>
      </w:r>
      <w:r>
        <w:rPr>
          <w:rFonts w:ascii="Times New Roman" w:hAnsi="Times New Roman" w:cs="Times New Roman"/>
        </w:rPr>
        <w:t xml:space="preserve"> </w:t>
      </w:r>
      <w:r w:rsidR="005C5CC1">
        <w:rPr>
          <w:rFonts w:ascii="Times New Roman" w:hAnsi="Times New Roman" w:cs="Times New Roman"/>
        </w:rPr>
        <w:t>41</w:t>
      </w:r>
      <w:r w:rsidR="003B0EEC">
        <w:rPr>
          <w:rFonts w:ascii="Times New Roman" w:hAnsi="Times New Roman" w:cs="Times New Roman"/>
        </w:rPr>
        <w:t xml:space="preserve">; </w:t>
      </w:r>
      <w:r w:rsidR="00036561" w:rsidRPr="00036561">
        <w:rPr>
          <w:rFonts w:ascii="Times New Roman" w:hAnsi="Times New Roman" w:cs="Times New Roman"/>
        </w:rPr>
        <w:t xml:space="preserve">Mustafa Cemil Kara, </w:t>
      </w:r>
      <w:r w:rsidR="00036561" w:rsidRPr="00036561">
        <w:rPr>
          <w:rFonts w:ascii="Times New Roman" w:hAnsi="Times New Roman" w:cs="Times New Roman"/>
          <w:i/>
        </w:rPr>
        <w:t>Uygulamalar Işığında Matrah Aşındırma ve Kâr Kaydırma Çok Taraflı Sözleşmesi</w:t>
      </w:r>
      <w:r w:rsidR="00036561" w:rsidRPr="00036561">
        <w:rPr>
          <w:rFonts w:ascii="Times New Roman" w:hAnsi="Times New Roman" w:cs="Times New Roman"/>
        </w:rPr>
        <w:t>, On İki Levha Yayınları, İstanbul, 2021</w:t>
      </w:r>
      <w:r w:rsidR="00036561">
        <w:rPr>
          <w:rFonts w:ascii="Times New Roman" w:hAnsi="Times New Roman" w:cs="Times New Roman"/>
        </w:rPr>
        <w:t xml:space="preserve">, </w:t>
      </w:r>
      <w:r w:rsidR="00A625EE">
        <w:rPr>
          <w:rFonts w:ascii="Times New Roman" w:hAnsi="Times New Roman" w:cs="Times New Roman"/>
        </w:rPr>
        <w:t>s. 69.</w:t>
      </w:r>
    </w:p>
  </w:footnote>
  <w:footnote w:id="11">
    <w:p w:rsidR="00A625EE" w:rsidRPr="00197FA8" w:rsidRDefault="00A625EE" w:rsidP="00A625EE">
      <w:pPr>
        <w:pStyle w:val="DipnotMetni"/>
        <w:jc w:val="both"/>
        <w:rPr>
          <w:rFonts w:ascii="Times New Roman" w:hAnsi="Times New Roman" w:cs="Times New Roman"/>
        </w:rPr>
      </w:pPr>
      <w:r w:rsidRPr="00197FA8">
        <w:rPr>
          <w:rStyle w:val="DipnotBavurusu"/>
          <w:rFonts w:ascii="Times New Roman" w:hAnsi="Times New Roman" w:cs="Times New Roman"/>
        </w:rPr>
        <w:footnoteRef/>
      </w:r>
      <w:r w:rsidRPr="00197FA8">
        <w:rPr>
          <w:rFonts w:ascii="Times New Roman" w:hAnsi="Times New Roman" w:cs="Times New Roman"/>
        </w:rPr>
        <w:t xml:space="preserve"> </w:t>
      </w:r>
      <w:r>
        <w:rPr>
          <w:rFonts w:ascii="Times New Roman" w:hAnsi="Times New Roman" w:cs="Times New Roman"/>
        </w:rPr>
        <w:t xml:space="preserve">S. </w:t>
      </w:r>
      <w:r w:rsidRPr="00197FA8">
        <w:rPr>
          <w:rFonts w:ascii="Times New Roman" w:hAnsi="Times New Roman" w:cs="Times New Roman"/>
        </w:rPr>
        <w:t>Tuncer,</w:t>
      </w:r>
      <w:r>
        <w:rPr>
          <w:rFonts w:ascii="Times New Roman" w:hAnsi="Times New Roman" w:cs="Times New Roman"/>
        </w:rPr>
        <w:t xml:space="preserve"> </w:t>
      </w:r>
      <w:r>
        <w:rPr>
          <w:rFonts w:ascii="Times New Roman" w:hAnsi="Times New Roman" w:cs="Times New Roman"/>
          <w:i/>
        </w:rPr>
        <w:t>age.</w:t>
      </w:r>
      <w:r>
        <w:rPr>
          <w:rFonts w:ascii="Times New Roman" w:hAnsi="Times New Roman" w:cs="Times New Roman"/>
        </w:rPr>
        <w:t>,</w:t>
      </w:r>
      <w:r w:rsidRPr="00197FA8">
        <w:rPr>
          <w:rFonts w:ascii="Times New Roman" w:hAnsi="Times New Roman" w:cs="Times New Roman"/>
        </w:rPr>
        <w:t xml:space="preserve"> s.</w:t>
      </w:r>
      <w:r>
        <w:rPr>
          <w:rFonts w:ascii="Times New Roman" w:hAnsi="Times New Roman" w:cs="Times New Roman"/>
        </w:rPr>
        <w:t xml:space="preserve"> </w:t>
      </w:r>
      <w:r w:rsidRPr="00197FA8">
        <w:rPr>
          <w:rFonts w:ascii="Times New Roman" w:hAnsi="Times New Roman" w:cs="Times New Roman"/>
        </w:rPr>
        <w:t>41.</w:t>
      </w:r>
    </w:p>
  </w:footnote>
  <w:footnote w:id="12">
    <w:p w:rsidR="00BC4CD3" w:rsidRPr="003A6D8B" w:rsidRDefault="00BC4CD3" w:rsidP="00BC4CD3">
      <w:pPr>
        <w:pStyle w:val="DipnotMetni"/>
        <w:jc w:val="both"/>
        <w:rPr>
          <w:rFonts w:ascii="Times New Roman" w:hAnsi="Times New Roman" w:cs="Times New Roman"/>
        </w:rPr>
      </w:pPr>
      <w:r w:rsidRPr="003A6D8B">
        <w:rPr>
          <w:rStyle w:val="DipnotBavurusu"/>
          <w:rFonts w:ascii="Times New Roman" w:hAnsi="Times New Roman" w:cs="Times New Roman"/>
        </w:rPr>
        <w:footnoteRef/>
      </w:r>
      <w:r w:rsidRPr="003A6D8B">
        <w:rPr>
          <w:rFonts w:ascii="Times New Roman" w:hAnsi="Times New Roman" w:cs="Times New Roman"/>
        </w:rPr>
        <w:t xml:space="preserve"> </w:t>
      </w:r>
      <w:r>
        <w:rPr>
          <w:rFonts w:ascii="Times New Roman" w:hAnsi="Times New Roman" w:cs="Times New Roman"/>
        </w:rPr>
        <w:t xml:space="preserve">S. </w:t>
      </w:r>
      <w:r w:rsidRPr="003A6D8B">
        <w:rPr>
          <w:rFonts w:ascii="Times New Roman" w:hAnsi="Times New Roman" w:cs="Times New Roman"/>
        </w:rPr>
        <w:t xml:space="preserve">Tuncer, </w:t>
      </w:r>
      <w:r>
        <w:rPr>
          <w:rFonts w:ascii="Times New Roman" w:hAnsi="Times New Roman" w:cs="Times New Roman"/>
          <w:i/>
        </w:rPr>
        <w:t xml:space="preserve">age., </w:t>
      </w:r>
      <w:r w:rsidRPr="003A6D8B">
        <w:rPr>
          <w:rFonts w:ascii="Times New Roman" w:hAnsi="Times New Roman" w:cs="Times New Roman"/>
        </w:rPr>
        <w:t>s.</w:t>
      </w:r>
      <w:r>
        <w:rPr>
          <w:rFonts w:ascii="Times New Roman" w:hAnsi="Times New Roman" w:cs="Times New Roman"/>
        </w:rPr>
        <w:t xml:space="preserve"> </w:t>
      </w:r>
      <w:r w:rsidRPr="003A6D8B">
        <w:rPr>
          <w:rFonts w:ascii="Times New Roman" w:hAnsi="Times New Roman" w:cs="Times New Roman"/>
        </w:rPr>
        <w:t>41.</w:t>
      </w:r>
    </w:p>
  </w:footnote>
  <w:footnote w:id="13">
    <w:p w:rsidR="00FB422B" w:rsidRPr="00FB422B" w:rsidRDefault="00FB422B">
      <w:pPr>
        <w:pStyle w:val="DipnotMetni"/>
        <w:rPr>
          <w:rFonts w:ascii="Times New Roman" w:hAnsi="Times New Roman" w:cs="Times New Roman"/>
        </w:rPr>
      </w:pPr>
      <w:r w:rsidRPr="00FB422B">
        <w:rPr>
          <w:rStyle w:val="DipnotBavurusu"/>
          <w:rFonts w:ascii="Times New Roman" w:hAnsi="Times New Roman" w:cs="Times New Roman"/>
        </w:rPr>
        <w:footnoteRef/>
      </w:r>
      <w:r w:rsidRPr="00FB422B">
        <w:rPr>
          <w:rFonts w:ascii="Times New Roman" w:hAnsi="Times New Roman" w:cs="Times New Roman"/>
        </w:rPr>
        <w:t xml:space="preserve"> M. C. Kara, </w:t>
      </w:r>
      <w:r w:rsidRPr="00FB422B">
        <w:rPr>
          <w:rFonts w:ascii="Times New Roman" w:hAnsi="Times New Roman" w:cs="Times New Roman"/>
          <w:i/>
        </w:rPr>
        <w:t xml:space="preserve">age. </w:t>
      </w:r>
      <w:r w:rsidRPr="00FB422B">
        <w:rPr>
          <w:rFonts w:ascii="Times New Roman" w:hAnsi="Times New Roman" w:cs="Times New Roman"/>
        </w:rPr>
        <w:t>s. 70.</w:t>
      </w:r>
    </w:p>
  </w:footnote>
  <w:footnote w:id="14">
    <w:p w:rsidR="006C7B22" w:rsidRPr="006C7B22" w:rsidRDefault="006C7B22" w:rsidP="006C7B22">
      <w:pPr>
        <w:pStyle w:val="DipnotMetni"/>
        <w:rPr>
          <w:rFonts w:ascii="Times New Roman" w:hAnsi="Times New Roman" w:cs="Times New Roman"/>
        </w:rPr>
      </w:pPr>
      <w:r w:rsidRPr="006C7B22">
        <w:rPr>
          <w:rStyle w:val="DipnotBavurusu"/>
          <w:rFonts w:ascii="Times New Roman" w:hAnsi="Times New Roman" w:cs="Times New Roman"/>
        </w:rPr>
        <w:footnoteRef/>
      </w:r>
      <w:r w:rsidRPr="006C7B22">
        <w:rPr>
          <w:rFonts w:ascii="Times New Roman" w:hAnsi="Times New Roman" w:cs="Times New Roman"/>
        </w:rPr>
        <w:t xml:space="preserve"> </w:t>
      </w:r>
      <w:r w:rsidRPr="006C7B22">
        <w:rPr>
          <w:rFonts w:ascii="Times New Roman" w:hAnsi="Times New Roman" w:cs="Times New Roman"/>
          <w:iCs/>
        </w:rPr>
        <w:t>Khadija Baggerman-Noudari, René Offermanns</w:t>
      </w:r>
      <w:r>
        <w:rPr>
          <w:rFonts w:ascii="Times New Roman" w:hAnsi="Times New Roman" w:cs="Times New Roman"/>
          <w:iCs/>
        </w:rPr>
        <w:t>, “</w:t>
      </w:r>
      <w:r w:rsidRPr="006C7B22">
        <w:rPr>
          <w:rFonts w:ascii="Times New Roman" w:hAnsi="Times New Roman" w:cs="Times New Roman"/>
          <w:bCs/>
          <w:iCs/>
        </w:rPr>
        <w:t>Foreign Direct Investment in Developing Countries: Some Tax Considerations and Other Related Legal Matters</w:t>
      </w:r>
      <w:r>
        <w:rPr>
          <w:rFonts w:ascii="Times New Roman" w:hAnsi="Times New Roman" w:cs="Times New Roman"/>
          <w:bCs/>
          <w:iCs/>
        </w:rPr>
        <w:t xml:space="preserve">”, </w:t>
      </w:r>
      <w:r w:rsidR="003C6278" w:rsidRPr="003C6278">
        <w:rPr>
          <w:rFonts w:ascii="Times New Roman" w:hAnsi="Times New Roman" w:cs="Times New Roman"/>
          <w:bCs/>
          <w:i/>
          <w:iCs/>
        </w:rPr>
        <w:t>Bulletin For International Taxation</w:t>
      </w:r>
      <w:r w:rsidR="003C6278">
        <w:rPr>
          <w:rFonts w:ascii="Times New Roman" w:hAnsi="Times New Roman" w:cs="Times New Roman"/>
          <w:bCs/>
          <w:iCs/>
        </w:rPr>
        <w:t>, IBFD, June 2016, s. 314.</w:t>
      </w:r>
    </w:p>
  </w:footnote>
  <w:footnote w:id="15">
    <w:p w:rsidR="00864F2B" w:rsidRPr="00864F2B" w:rsidRDefault="00864F2B" w:rsidP="00864F2B">
      <w:pPr>
        <w:pStyle w:val="DipnotMetni"/>
        <w:jc w:val="both"/>
        <w:rPr>
          <w:rFonts w:ascii="Times New Roman" w:hAnsi="Times New Roman" w:cs="Times New Roman"/>
        </w:rPr>
      </w:pPr>
      <w:r w:rsidRPr="00864F2B">
        <w:rPr>
          <w:rStyle w:val="DipnotBavurusu"/>
          <w:rFonts w:ascii="Times New Roman" w:hAnsi="Times New Roman" w:cs="Times New Roman"/>
        </w:rPr>
        <w:footnoteRef/>
      </w:r>
      <w:r w:rsidRPr="00864F2B">
        <w:rPr>
          <w:rFonts w:ascii="Times New Roman" w:hAnsi="Times New Roman" w:cs="Times New Roman"/>
        </w:rPr>
        <w:t xml:space="preserve"> Marta Carmo, “International Trade Law, Double Taxation Agreements and the Principle of Non-Discrimination”</w:t>
      </w:r>
      <w:r>
        <w:rPr>
          <w:rFonts w:ascii="Times New Roman" w:hAnsi="Times New Roman" w:cs="Times New Roman"/>
        </w:rPr>
        <w:t xml:space="preserve">, </w:t>
      </w:r>
      <w:r w:rsidRPr="00864F2B">
        <w:rPr>
          <w:rFonts w:ascii="Times New Roman" w:hAnsi="Times New Roman" w:cs="Times New Roman"/>
          <w:i/>
          <w:iCs/>
        </w:rPr>
        <w:t>RJLB</w:t>
      </w:r>
      <w:r>
        <w:rPr>
          <w:rFonts w:ascii="Times New Roman" w:hAnsi="Times New Roman" w:cs="Times New Roman"/>
        </w:rPr>
        <w:t>, no 3, 2017, s. 954,</w:t>
      </w:r>
      <w:r w:rsidR="000473C1">
        <w:rPr>
          <w:rFonts w:ascii="Times New Roman" w:hAnsi="Times New Roman" w:cs="Times New Roman"/>
        </w:rPr>
        <w:t xml:space="preserve"> 964,</w:t>
      </w:r>
      <w:r>
        <w:rPr>
          <w:rFonts w:ascii="Times New Roman" w:hAnsi="Times New Roman" w:cs="Times New Roman"/>
        </w:rPr>
        <w:t xml:space="preserve"> </w:t>
      </w:r>
      <w:hyperlink r:id="rId1" w:history="1">
        <w:r w:rsidRPr="00864F2B">
          <w:rPr>
            <w:rStyle w:val="Kpr"/>
            <w:rFonts w:ascii="Times New Roman" w:hAnsi="Times New Roman" w:cs="Times New Roman"/>
            <w:color w:val="auto"/>
            <w:u w:val="none"/>
          </w:rPr>
          <w:t>https://www.cidp.pt/revistas/rjlb/2017/3/2017_03_0923_0974.pdf</w:t>
        </w:r>
      </w:hyperlink>
      <w:r w:rsidRPr="00864F2B">
        <w:rPr>
          <w:rFonts w:ascii="Times New Roman" w:hAnsi="Times New Roman" w:cs="Times New Roman"/>
        </w:rPr>
        <w:t xml:space="preserve"> </w:t>
      </w:r>
      <w:r>
        <w:rPr>
          <w:rFonts w:ascii="Times New Roman" w:hAnsi="Times New Roman" w:cs="Times New Roman"/>
        </w:rPr>
        <w:t>(23.03.2021).</w:t>
      </w:r>
    </w:p>
  </w:footnote>
  <w:footnote w:id="16">
    <w:p w:rsidR="003C2520" w:rsidRPr="003C2520" w:rsidRDefault="003C2520">
      <w:pPr>
        <w:pStyle w:val="DipnotMetni"/>
        <w:rPr>
          <w:rFonts w:ascii="Times New Roman" w:hAnsi="Times New Roman" w:cs="Times New Roman"/>
        </w:rPr>
      </w:pPr>
      <w:r w:rsidRPr="003C2520">
        <w:rPr>
          <w:rStyle w:val="DipnotBavurusu"/>
          <w:rFonts w:ascii="Times New Roman" w:hAnsi="Times New Roman" w:cs="Times New Roman"/>
        </w:rPr>
        <w:footnoteRef/>
      </w:r>
      <w:r w:rsidRPr="003C2520">
        <w:rPr>
          <w:rFonts w:ascii="Times New Roman" w:hAnsi="Times New Roman" w:cs="Times New Roman"/>
        </w:rPr>
        <w:t xml:space="preserve"> M. C. Kara, </w:t>
      </w:r>
      <w:r w:rsidRPr="003C2520">
        <w:rPr>
          <w:rFonts w:ascii="Times New Roman" w:hAnsi="Times New Roman" w:cs="Times New Roman"/>
          <w:i/>
        </w:rPr>
        <w:t xml:space="preserve">age. </w:t>
      </w:r>
      <w:r>
        <w:rPr>
          <w:rFonts w:ascii="Times New Roman" w:hAnsi="Times New Roman" w:cs="Times New Roman"/>
        </w:rPr>
        <w:t>s. 9</w:t>
      </w:r>
      <w:r w:rsidRPr="003C2520">
        <w:rPr>
          <w:rFonts w:ascii="Times New Roman" w:hAnsi="Times New Roman" w:cs="Times New Roman"/>
        </w:rPr>
        <w:t>.</w:t>
      </w:r>
    </w:p>
  </w:footnote>
  <w:footnote w:id="17">
    <w:p w:rsidR="003C2520" w:rsidRPr="00C8557B" w:rsidRDefault="003C2520" w:rsidP="003C2520">
      <w:pPr>
        <w:pStyle w:val="DipnotMetni"/>
        <w:jc w:val="both"/>
        <w:rPr>
          <w:rFonts w:ascii="Times New Roman" w:hAnsi="Times New Roman" w:cs="Times New Roman"/>
        </w:rPr>
      </w:pPr>
      <w:r w:rsidRPr="00D861C9">
        <w:rPr>
          <w:rStyle w:val="DipnotBavurusu"/>
          <w:rFonts w:ascii="Times New Roman" w:hAnsi="Times New Roman" w:cs="Times New Roman"/>
        </w:rPr>
        <w:footnoteRef/>
      </w:r>
      <w:r w:rsidRPr="00D861C9">
        <w:rPr>
          <w:rFonts w:ascii="Times New Roman" w:hAnsi="Times New Roman" w:cs="Times New Roman"/>
        </w:rPr>
        <w:t xml:space="preserve"> Christiana </w:t>
      </w:r>
      <w:r>
        <w:rPr>
          <w:rFonts w:ascii="Times New Roman" w:hAnsi="Times New Roman" w:cs="Times New Roman"/>
        </w:rPr>
        <w:t>Hji</w:t>
      </w:r>
      <w:r w:rsidRPr="00D861C9">
        <w:rPr>
          <w:rFonts w:ascii="Times New Roman" w:hAnsi="Times New Roman" w:cs="Times New Roman"/>
        </w:rPr>
        <w:t xml:space="preserve"> P</w:t>
      </w:r>
      <w:r>
        <w:rPr>
          <w:rFonts w:ascii="Times New Roman" w:hAnsi="Times New Roman" w:cs="Times New Roman"/>
        </w:rPr>
        <w:t>anayi</w:t>
      </w:r>
      <w:r w:rsidRPr="00D861C9">
        <w:rPr>
          <w:rFonts w:ascii="Times New Roman" w:hAnsi="Times New Roman" w:cs="Times New Roman"/>
        </w:rPr>
        <w:t xml:space="preserve">, “Treaty Shopping and Other Tax Arbitrage Opportunities in the European Union: A Reassessment-Part 1”, </w:t>
      </w:r>
      <w:r w:rsidRPr="004F32BF">
        <w:rPr>
          <w:rFonts w:ascii="Times New Roman" w:hAnsi="Times New Roman" w:cs="Times New Roman"/>
          <w:i/>
        </w:rPr>
        <w:t>European Taxation</w:t>
      </w:r>
      <w:r>
        <w:rPr>
          <w:rFonts w:ascii="Times New Roman" w:hAnsi="Times New Roman" w:cs="Times New Roman"/>
        </w:rPr>
        <w:t>, IBFD, March</w:t>
      </w:r>
      <w:r w:rsidRPr="00D861C9">
        <w:rPr>
          <w:rFonts w:ascii="Times New Roman" w:hAnsi="Times New Roman" w:cs="Times New Roman"/>
        </w:rPr>
        <w:t xml:space="preserve"> 2006, s.</w:t>
      </w:r>
      <w:r>
        <w:rPr>
          <w:rFonts w:ascii="Times New Roman" w:hAnsi="Times New Roman" w:cs="Times New Roman"/>
        </w:rPr>
        <w:t xml:space="preserve"> </w:t>
      </w:r>
      <w:r w:rsidRPr="00D861C9">
        <w:rPr>
          <w:rFonts w:ascii="Times New Roman" w:hAnsi="Times New Roman" w:cs="Times New Roman"/>
        </w:rPr>
        <w:t>104.</w:t>
      </w:r>
      <w:r>
        <w:rPr>
          <w:rFonts w:ascii="Times New Roman" w:hAnsi="Times New Roman" w:cs="Times New Roman"/>
        </w:rPr>
        <w:t xml:space="preserve"> </w:t>
      </w:r>
    </w:p>
  </w:footnote>
  <w:footnote w:id="18">
    <w:p w:rsidR="002646CF" w:rsidRPr="002646CF" w:rsidRDefault="002646CF" w:rsidP="002646CF">
      <w:pPr>
        <w:pStyle w:val="DipnotMetni"/>
        <w:rPr>
          <w:rFonts w:ascii="Times New Roman" w:hAnsi="Times New Roman" w:cs="Times New Roman"/>
          <w:bCs/>
        </w:rPr>
      </w:pPr>
      <w:r w:rsidRPr="002646CF">
        <w:rPr>
          <w:rStyle w:val="DipnotBavurusu"/>
          <w:rFonts w:ascii="Times New Roman" w:hAnsi="Times New Roman" w:cs="Times New Roman"/>
        </w:rPr>
        <w:footnoteRef/>
      </w:r>
      <w:r w:rsidRPr="002646CF">
        <w:rPr>
          <w:rFonts w:ascii="Times New Roman" w:hAnsi="Times New Roman" w:cs="Times New Roman"/>
        </w:rPr>
        <w:t xml:space="preserve"> OECD, </w:t>
      </w:r>
      <w:r w:rsidRPr="002646CF">
        <w:rPr>
          <w:rFonts w:ascii="Times New Roman" w:hAnsi="Times New Roman" w:cs="Times New Roman"/>
          <w:bCs/>
        </w:rPr>
        <w:t>Updated guidance on tax treaties and the impact of the COVID-19 pandemic, 21 January 2021</w:t>
      </w:r>
      <w:r>
        <w:rPr>
          <w:rFonts w:ascii="Times New Roman" w:hAnsi="Times New Roman" w:cs="Times New Roman"/>
          <w:bCs/>
        </w:rPr>
        <w:t>, s. 3.</w:t>
      </w:r>
    </w:p>
  </w:footnote>
  <w:footnote w:id="19">
    <w:p w:rsidR="00EF0F96" w:rsidRPr="00EF0F96" w:rsidRDefault="00EF0F96" w:rsidP="00EF0F96">
      <w:pPr>
        <w:pStyle w:val="DipnotMetni"/>
        <w:jc w:val="both"/>
        <w:rPr>
          <w:rFonts w:ascii="Times New Roman" w:hAnsi="Times New Roman" w:cs="Times New Roman"/>
        </w:rPr>
      </w:pPr>
      <w:r w:rsidRPr="00EF0F96">
        <w:rPr>
          <w:rStyle w:val="DipnotBavurusu"/>
          <w:rFonts w:ascii="Times New Roman" w:hAnsi="Times New Roman" w:cs="Times New Roman"/>
        </w:rPr>
        <w:footnoteRef/>
      </w:r>
      <w:r w:rsidRPr="00EF0F96">
        <w:rPr>
          <w:rFonts w:ascii="Times New Roman" w:hAnsi="Times New Roman" w:cs="Times New Roman"/>
        </w:rPr>
        <w:t xml:space="preserve"> 193 sayılı Gelir Vergisi Kanunu’nun 7. maddesinde, dar mükelleflerin ticari kazançlarının Türkiye’de elde edilmiş sayılmasının, kazanç sahibinin Türkiye’de bir iş yerinin olması veya daimi temsilci bulundurması ve kazancın bu yerlerde veya bu temsilciler vasıtasıyla sağlanmasına bağlı olduğu düzenlenmiştir. </w:t>
      </w:r>
    </w:p>
  </w:footnote>
  <w:footnote w:id="20">
    <w:p w:rsidR="00946D71" w:rsidRPr="00946D71" w:rsidRDefault="00946D71" w:rsidP="00946D71">
      <w:pPr>
        <w:pStyle w:val="DipnotMetni"/>
        <w:jc w:val="both"/>
        <w:rPr>
          <w:rFonts w:ascii="Times New Roman" w:hAnsi="Times New Roman" w:cs="Times New Roman"/>
        </w:rPr>
      </w:pPr>
      <w:r w:rsidRPr="00946D71">
        <w:rPr>
          <w:rStyle w:val="DipnotBavurusu"/>
          <w:rFonts w:ascii="Times New Roman" w:hAnsi="Times New Roman" w:cs="Times New Roman"/>
        </w:rPr>
        <w:footnoteRef/>
      </w:r>
      <w:r>
        <w:rPr>
          <w:rFonts w:ascii="Times New Roman" w:hAnsi="Times New Roman" w:cs="Times New Roman"/>
        </w:rPr>
        <w:t xml:space="preserve"> B</w:t>
      </w:r>
      <w:r w:rsidRPr="00946D71">
        <w:rPr>
          <w:rFonts w:ascii="Times New Roman" w:hAnsi="Times New Roman" w:cs="Times New Roman"/>
        </w:rPr>
        <w:t>ireylerin mukimliğinin belirlenmesinde öncelikle ülkelerin iç mevzuatları kapsamında değerlendirme yapılacak, aksi takdirde ÇVÖA’ların “mukim” başlıklı 4. maddesine göre sıra takip edilmek kaydıyla belirtili ölçütlere uygun biçimde bireylerin hangi ülkenin mukimi olduğu tespit edilecektir.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5A85"/>
    <w:multiLevelType w:val="hybridMultilevel"/>
    <w:tmpl w:val="9F2AA1B2"/>
    <w:lvl w:ilvl="0" w:tplc="8F120D4C">
      <w:start w:val="2"/>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65007BF"/>
    <w:multiLevelType w:val="hybridMultilevel"/>
    <w:tmpl w:val="C506F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8900F6"/>
    <w:multiLevelType w:val="hybridMultilevel"/>
    <w:tmpl w:val="E38AD640"/>
    <w:lvl w:ilvl="0" w:tplc="E91A2E62">
      <w:start w:val="1"/>
      <w:numFmt w:val="decimal"/>
      <w:lvlText w:val="(%1)"/>
      <w:lvlJc w:val="left"/>
      <w:pPr>
        <w:ind w:left="1364" w:hanging="360"/>
      </w:pPr>
      <w:rPr>
        <w:rFonts w:hint="default"/>
      </w:r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3">
    <w:nsid w:val="2F7964AE"/>
    <w:multiLevelType w:val="hybridMultilevel"/>
    <w:tmpl w:val="F074168C"/>
    <w:lvl w:ilvl="0" w:tplc="DB4477F2">
      <w:start w:val="2"/>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nsid w:val="44136161"/>
    <w:multiLevelType w:val="multilevel"/>
    <w:tmpl w:val="32DC73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173797"/>
    <w:multiLevelType w:val="hybridMultilevel"/>
    <w:tmpl w:val="46F81E02"/>
    <w:lvl w:ilvl="0" w:tplc="2F985AF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A9625B8"/>
    <w:multiLevelType w:val="multilevel"/>
    <w:tmpl w:val="6D62A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FB80EF0"/>
    <w:multiLevelType w:val="hybridMultilevel"/>
    <w:tmpl w:val="69E60D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3172856"/>
    <w:multiLevelType w:val="hybridMultilevel"/>
    <w:tmpl w:val="5336D53A"/>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51A3CA9"/>
    <w:multiLevelType w:val="hybridMultilevel"/>
    <w:tmpl w:val="40D6DC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F955998"/>
    <w:multiLevelType w:val="hybridMultilevel"/>
    <w:tmpl w:val="15000DE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4"/>
  </w:num>
  <w:num w:numId="5">
    <w:abstractNumId w:val="2"/>
  </w:num>
  <w:num w:numId="6">
    <w:abstractNumId w:val="1"/>
  </w:num>
  <w:num w:numId="7">
    <w:abstractNumId w:val="10"/>
  </w:num>
  <w:num w:numId="8">
    <w:abstractNumId w:val="9"/>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58"/>
    <w:rsid w:val="000007CE"/>
    <w:rsid w:val="00003843"/>
    <w:rsid w:val="00004FB8"/>
    <w:rsid w:val="00005365"/>
    <w:rsid w:val="00005509"/>
    <w:rsid w:val="00006F0F"/>
    <w:rsid w:val="000078AE"/>
    <w:rsid w:val="00007A2A"/>
    <w:rsid w:val="00012FAC"/>
    <w:rsid w:val="00013A1C"/>
    <w:rsid w:val="00014235"/>
    <w:rsid w:val="00014367"/>
    <w:rsid w:val="00015B1B"/>
    <w:rsid w:val="00017E98"/>
    <w:rsid w:val="00020807"/>
    <w:rsid w:val="0002259C"/>
    <w:rsid w:val="000247F6"/>
    <w:rsid w:val="00025E52"/>
    <w:rsid w:val="00027010"/>
    <w:rsid w:val="00036561"/>
    <w:rsid w:val="00042DD3"/>
    <w:rsid w:val="0004339E"/>
    <w:rsid w:val="000466E4"/>
    <w:rsid w:val="000473C1"/>
    <w:rsid w:val="00053741"/>
    <w:rsid w:val="00062AFC"/>
    <w:rsid w:val="00064E1B"/>
    <w:rsid w:val="00065751"/>
    <w:rsid w:val="00072E82"/>
    <w:rsid w:val="00083B4A"/>
    <w:rsid w:val="00085C4E"/>
    <w:rsid w:val="0009255B"/>
    <w:rsid w:val="000963CB"/>
    <w:rsid w:val="0009743A"/>
    <w:rsid w:val="000A1FD1"/>
    <w:rsid w:val="000B2B7D"/>
    <w:rsid w:val="000B2E7B"/>
    <w:rsid w:val="000B6C83"/>
    <w:rsid w:val="000B706E"/>
    <w:rsid w:val="000C1A8A"/>
    <w:rsid w:val="000D56D9"/>
    <w:rsid w:val="000E1990"/>
    <w:rsid w:val="000E75F8"/>
    <w:rsid w:val="000F428A"/>
    <w:rsid w:val="00105728"/>
    <w:rsid w:val="00112129"/>
    <w:rsid w:val="001137CA"/>
    <w:rsid w:val="00126880"/>
    <w:rsid w:val="00126A85"/>
    <w:rsid w:val="00131BAE"/>
    <w:rsid w:val="001331DF"/>
    <w:rsid w:val="00144F36"/>
    <w:rsid w:val="001510D3"/>
    <w:rsid w:val="00154F30"/>
    <w:rsid w:val="00155006"/>
    <w:rsid w:val="0015750B"/>
    <w:rsid w:val="00161553"/>
    <w:rsid w:val="001679D7"/>
    <w:rsid w:val="001723FD"/>
    <w:rsid w:val="00185B66"/>
    <w:rsid w:val="001A0E33"/>
    <w:rsid w:val="001A1292"/>
    <w:rsid w:val="001A22FC"/>
    <w:rsid w:val="001A2D1B"/>
    <w:rsid w:val="001A31DC"/>
    <w:rsid w:val="001A4F99"/>
    <w:rsid w:val="001A5703"/>
    <w:rsid w:val="001B17C1"/>
    <w:rsid w:val="001B3192"/>
    <w:rsid w:val="001B3762"/>
    <w:rsid w:val="001C48AA"/>
    <w:rsid w:val="001D6601"/>
    <w:rsid w:val="001E377A"/>
    <w:rsid w:val="001E3C85"/>
    <w:rsid w:val="001E48C5"/>
    <w:rsid w:val="00207B2E"/>
    <w:rsid w:val="002228F8"/>
    <w:rsid w:val="00225706"/>
    <w:rsid w:val="00227096"/>
    <w:rsid w:val="00230753"/>
    <w:rsid w:val="00237140"/>
    <w:rsid w:val="00245790"/>
    <w:rsid w:val="00253881"/>
    <w:rsid w:val="00253B45"/>
    <w:rsid w:val="002549E1"/>
    <w:rsid w:val="0025715D"/>
    <w:rsid w:val="002646CF"/>
    <w:rsid w:val="002656BD"/>
    <w:rsid w:val="00282618"/>
    <w:rsid w:val="002876FB"/>
    <w:rsid w:val="002949BA"/>
    <w:rsid w:val="002B0CA5"/>
    <w:rsid w:val="002B11B5"/>
    <w:rsid w:val="002B255B"/>
    <w:rsid w:val="002B40A4"/>
    <w:rsid w:val="002B4614"/>
    <w:rsid w:val="002B5195"/>
    <w:rsid w:val="002C5444"/>
    <w:rsid w:val="002C5B31"/>
    <w:rsid w:val="002C6D44"/>
    <w:rsid w:val="002C6F1F"/>
    <w:rsid w:val="002D2E15"/>
    <w:rsid w:val="002D36B5"/>
    <w:rsid w:val="002D5F0F"/>
    <w:rsid w:val="002E6058"/>
    <w:rsid w:val="00300949"/>
    <w:rsid w:val="00301760"/>
    <w:rsid w:val="00302FE0"/>
    <w:rsid w:val="00310FD9"/>
    <w:rsid w:val="00314805"/>
    <w:rsid w:val="0032081E"/>
    <w:rsid w:val="00320CD8"/>
    <w:rsid w:val="0032155E"/>
    <w:rsid w:val="00326A8E"/>
    <w:rsid w:val="0033161B"/>
    <w:rsid w:val="0034318A"/>
    <w:rsid w:val="0034718D"/>
    <w:rsid w:val="003529F1"/>
    <w:rsid w:val="00353DBD"/>
    <w:rsid w:val="00356750"/>
    <w:rsid w:val="003604AF"/>
    <w:rsid w:val="00370665"/>
    <w:rsid w:val="00374695"/>
    <w:rsid w:val="00374805"/>
    <w:rsid w:val="0037702E"/>
    <w:rsid w:val="00377FC0"/>
    <w:rsid w:val="00381547"/>
    <w:rsid w:val="003841C6"/>
    <w:rsid w:val="003A287F"/>
    <w:rsid w:val="003A3461"/>
    <w:rsid w:val="003A7F85"/>
    <w:rsid w:val="003B0EEC"/>
    <w:rsid w:val="003B4720"/>
    <w:rsid w:val="003B57CD"/>
    <w:rsid w:val="003C2520"/>
    <w:rsid w:val="003C404C"/>
    <w:rsid w:val="003C6278"/>
    <w:rsid w:val="003D03D0"/>
    <w:rsid w:val="003D1E21"/>
    <w:rsid w:val="003D5B71"/>
    <w:rsid w:val="003D6C8F"/>
    <w:rsid w:val="003E2230"/>
    <w:rsid w:val="003E3851"/>
    <w:rsid w:val="003E6F23"/>
    <w:rsid w:val="003F28C0"/>
    <w:rsid w:val="00400DF6"/>
    <w:rsid w:val="00403FA1"/>
    <w:rsid w:val="004059CF"/>
    <w:rsid w:val="00406BE4"/>
    <w:rsid w:val="00406E21"/>
    <w:rsid w:val="00420636"/>
    <w:rsid w:val="00423E38"/>
    <w:rsid w:val="00424188"/>
    <w:rsid w:val="004259D6"/>
    <w:rsid w:val="00433029"/>
    <w:rsid w:val="00434C6D"/>
    <w:rsid w:val="004434D3"/>
    <w:rsid w:val="00457E7D"/>
    <w:rsid w:val="00463807"/>
    <w:rsid w:val="00491391"/>
    <w:rsid w:val="00491CD8"/>
    <w:rsid w:val="004964F1"/>
    <w:rsid w:val="004A1D1A"/>
    <w:rsid w:val="004A2C09"/>
    <w:rsid w:val="004A6E8C"/>
    <w:rsid w:val="004A7069"/>
    <w:rsid w:val="004B1AEC"/>
    <w:rsid w:val="004B3C18"/>
    <w:rsid w:val="004C03BD"/>
    <w:rsid w:val="004C4E42"/>
    <w:rsid w:val="004D1CE0"/>
    <w:rsid w:val="004E12F4"/>
    <w:rsid w:val="004E6433"/>
    <w:rsid w:val="004F09F8"/>
    <w:rsid w:val="004F0FD4"/>
    <w:rsid w:val="004F1DB9"/>
    <w:rsid w:val="00500E3D"/>
    <w:rsid w:val="00510810"/>
    <w:rsid w:val="00510A32"/>
    <w:rsid w:val="00514DF9"/>
    <w:rsid w:val="00515CC4"/>
    <w:rsid w:val="00516136"/>
    <w:rsid w:val="00520698"/>
    <w:rsid w:val="0052516A"/>
    <w:rsid w:val="0053131C"/>
    <w:rsid w:val="00540726"/>
    <w:rsid w:val="0054277E"/>
    <w:rsid w:val="005437BB"/>
    <w:rsid w:val="00544FF7"/>
    <w:rsid w:val="00553C86"/>
    <w:rsid w:val="00554685"/>
    <w:rsid w:val="00555C20"/>
    <w:rsid w:val="0056322E"/>
    <w:rsid w:val="005671E0"/>
    <w:rsid w:val="00570B79"/>
    <w:rsid w:val="005908F4"/>
    <w:rsid w:val="00592AF8"/>
    <w:rsid w:val="005B4D36"/>
    <w:rsid w:val="005C5CC1"/>
    <w:rsid w:val="005D3B74"/>
    <w:rsid w:val="005D58A1"/>
    <w:rsid w:val="005E03CB"/>
    <w:rsid w:val="005E6515"/>
    <w:rsid w:val="005F03E6"/>
    <w:rsid w:val="005F0598"/>
    <w:rsid w:val="005F0C87"/>
    <w:rsid w:val="005F19E4"/>
    <w:rsid w:val="005F4FB1"/>
    <w:rsid w:val="00600E65"/>
    <w:rsid w:val="006160CE"/>
    <w:rsid w:val="00616CEC"/>
    <w:rsid w:val="00621D0C"/>
    <w:rsid w:val="00627075"/>
    <w:rsid w:val="00633EC0"/>
    <w:rsid w:val="00641EAB"/>
    <w:rsid w:val="006556C0"/>
    <w:rsid w:val="00656628"/>
    <w:rsid w:val="00665950"/>
    <w:rsid w:val="006714F8"/>
    <w:rsid w:val="0068090D"/>
    <w:rsid w:val="00684589"/>
    <w:rsid w:val="0068739B"/>
    <w:rsid w:val="0069703B"/>
    <w:rsid w:val="006A47C8"/>
    <w:rsid w:val="006B0809"/>
    <w:rsid w:val="006B0A13"/>
    <w:rsid w:val="006B0FFC"/>
    <w:rsid w:val="006C4771"/>
    <w:rsid w:val="006C7B22"/>
    <w:rsid w:val="006D1A7E"/>
    <w:rsid w:val="006D4ED6"/>
    <w:rsid w:val="006F0B02"/>
    <w:rsid w:val="007224DF"/>
    <w:rsid w:val="00725387"/>
    <w:rsid w:val="00726E44"/>
    <w:rsid w:val="00727792"/>
    <w:rsid w:val="007347AF"/>
    <w:rsid w:val="00737079"/>
    <w:rsid w:val="0074100E"/>
    <w:rsid w:val="00746723"/>
    <w:rsid w:val="007471F8"/>
    <w:rsid w:val="00757190"/>
    <w:rsid w:val="00766D84"/>
    <w:rsid w:val="00781502"/>
    <w:rsid w:val="007830B0"/>
    <w:rsid w:val="0079077D"/>
    <w:rsid w:val="007939B8"/>
    <w:rsid w:val="007A6CEC"/>
    <w:rsid w:val="007B0ED6"/>
    <w:rsid w:val="007B4E5C"/>
    <w:rsid w:val="007B76E9"/>
    <w:rsid w:val="007C53DE"/>
    <w:rsid w:val="007C6A6F"/>
    <w:rsid w:val="007E639D"/>
    <w:rsid w:val="007E79DC"/>
    <w:rsid w:val="007F1C2A"/>
    <w:rsid w:val="007F3971"/>
    <w:rsid w:val="007F47CE"/>
    <w:rsid w:val="007F5417"/>
    <w:rsid w:val="00807D7F"/>
    <w:rsid w:val="0081241A"/>
    <w:rsid w:val="00812807"/>
    <w:rsid w:val="00820133"/>
    <w:rsid w:val="008250B7"/>
    <w:rsid w:val="00832662"/>
    <w:rsid w:val="0083587E"/>
    <w:rsid w:val="00842FE3"/>
    <w:rsid w:val="00851A5F"/>
    <w:rsid w:val="008531AC"/>
    <w:rsid w:val="00854167"/>
    <w:rsid w:val="00855333"/>
    <w:rsid w:val="00856EBC"/>
    <w:rsid w:val="00862574"/>
    <w:rsid w:val="00864F2B"/>
    <w:rsid w:val="0086793B"/>
    <w:rsid w:val="00874F74"/>
    <w:rsid w:val="008755C1"/>
    <w:rsid w:val="00882979"/>
    <w:rsid w:val="00886F4E"/>
    <w:rsid w:val="00893DB4"/>
    <w:rsid w:val="00895176"/>
    <w:rsid w:val="008A3D7D"/>
    <w:rsid w:val="008A5060"/>
    <w:rsid w:val="008A7817"/>
    <w:rsid w:val="008B0FE9"/>
    <w:rsid w:val="008B6BDB"/>
    <w:rsid w:val="008B75A8"/>
    <w:rsid w:val="008C1105"/>
    <w:rsid w:val="008C1645"/>
    <w:rsid w:val="008D03AC"/>
    <w:rsid w:val="008D2340"/>
    <w:rsid w:val="008D3D71"/>
    <w:rsid w:val="008E4203"/>
    <w:rsid w:val="00900AC7"/>
    <w:rsid w:val="00902757"/>
    <w:rsid w:val="00902F93"/>
    <w:rsid w:val="009059D1"/>
    <w:rsid w:val="0090628A"/>
    <w:rsid w:val="00915255"/>
    <w:rsid w:val="009175F9"/>
    <w:rsid w:val="0092439B"/>
    <w:rsid w:val="009302EF"/>
    <w:rsid w:val="00932FDF"/>
    <w:rsid w:val="00936C50"/>
    <w:rsid w:val="00942177"/>
    <w:rsid w:val="0094273A"/>
    <w:rsid w:val="00946BB2"/>
    <w:rsid w:val="00946D71"/>
    <w:rsid w:val="00963901"/>
    <w:rsid w:val="00970699"/>
    <w:rsid w:val="009710C0"/>
    <w:rsid w:val="00972F0E"/>
    <w:rsid w:val="0097714E"/>
    <w:rsid w:val="009931FA"/>
    <w:rsid w:val="00994FA2"/>
    <w:rsid w:val="00995DB6"/>
    <w:rsid w:val="009A017E"/>
    <w:rsid w:val="009C32AC"/>
    <w:rsid w:val="009C3EEA"/>
    <w:rsid w:val="009D1236"/>
    <w:rsid w:val="009D6144"/>
    <w:rsid w:val="009E0AC2"/>
    <w:rsid w:val="009E3AF3"/>
    <w:rsid w:val="009E544B"/>
    <w:rsid w:val="009F2F27"/>
    <w:rsid w:val="009F6F08"/>
    <w:rsid w:val="009F7856"/>
    <w:rsid w:val="00A003E7"/>
    <w:rsid w:val="00A01258"/>
    <w:rsid w:val="00A065DC"/>
    <w:rsid w:val="00A20CF6"/>
    <w:rsid w:val="00A2454D"/>
    <w:rsid w:val="00A25775"/>
    <w:rsid w:val="00A33CFA"/>
    <w:rsid w:val="00A42ED8"/>
    <w:rsid w:val="00A45238"/>
    <w:rsid w:val="00A469E9"/>
    <w:rsid w:val="00A61A70"/>
    <w:rsid w:val="00A625EE"/>
    <w:rsid w:val="00A65EC1"/>
    <w:rsid w:val="00A74CB0"/>
    <w:rsid w:val="00A75F08"/>
    <w:rsid w:val="00A84C35"/>
    <w:rsid w:val="00A8741E"/>
    <w:rsid w:val="00A9245A"/>
    <w:rsid w:val="00A94415"/>
    <w:rsid w:val="00A95013"/>
    <w:rsid w:val="00A97B31"/>
    <w:rsid w:val="00A97EC7"/>
    <w:rsid w:val="00AA2809"/>
    <w:rsid w:val="00AA3108"/>
    <w:rsid w:val="00AB11B9"/>
    <w:rsid w:val="00AB6F5B"/>
    <w:rsid w:val="00AB6FEF"/>
    <w:rsid w:val="00AC1FF5"/>
    <w:rsid w:val="00AD0D67"/>
    <w:rsid w:val="00AD2037"/>
    <w:rsid w:val="00AD7452"/>
    <w:rsid w:val="00AE00A2"/>
    <w:rsid w:val="00AE1C88"/>
    <w:rsid w:val="00AE5B70"/>
    <w:rsid w:val="00AF05EE"/>
    <w:rsid w:val="00AF113B"/>
    <w:rsid w:val="00AF317B"/>
    <w:rsid w:val="00B00D5C"/>
    <w:rsid w:val="00B22996"/>
    <w:rsid w:val="00B30BBD"/>
    <w:rsid w:val="00B350E3"/>
    <w:rsid w:val="00B35B7F"/>
    <w:rsid w:val="00B3799D"/>
    <w:rsid w:val="00B37C1A"/>
    <w:rsid w:val="00B43224"/>
    <w:rsid w:val="00B44DB1"/>
    <w:rsid w:val="00B46E31"/>
    <w:rsid w:val="00B57753"/>
    <w:rsid w:val="00B57B76"/>
    <w:rsid w:val="00B601D4"/>
    <w:rsid w:val="00B61393"/>
    <w:rsid w:val="00B72167"/>
    <w:rsid w:val="00B80007"/>
    <w:rsid w:val="00B87159"/>
    <w:rsid w:val="00B87667"/>
    <w:rsid w:val="00B901B0"/>
    <w:rsid w:val="00B905FC"/>
    <w:rsid w:val="00B920B9"/>
    <w:rsid w:val="00B92437"/>
    <w:rsid w:val="00BA75F9"/>
    <w:rsid w:val="00BB0D2F"/>
    <w:rsid w:val="00BB17B3"/>
    <w:rsid w:val="00BC293C"/>
    <w:rsid w:val="00BC4325"/>
    <w:rsid w:val="00BC4CD3"/>
    <w:rsid w:val="00BE774A"/>
    <w:rsid w:val="00BF0FEA"/>
    <w:rsid w:val="00BF547F"/>
    <w:rsid w:val="00BF751B"/>
    <w:rsid w:val="00C0077E"/>
    <w:rsid w:val="00C0175A"/>
    <w:rsid w:val="00C06EEC"/>
    <w:rsid w:val="00C10763"/>
    <w:rsid w:val="00C10C24"/>
    <w:rsid w:val="00C11410"/>
    <w:rsid w:val="00C17D9B"/>
    <w:rsid w:val="00C23E35"/>
    <w:rsid w:val="00C255A5"/>
    <w:rsid w:val="00C44F15"/>
    <w:rsid w:val="00C4557C"/>
    <w:rsid w:val="00C53772"/>
    <w:rsid w:val="00C55E1C"/>
    <w:rsid w:val="00C56CEE"/>
    <w:rsid w:val="00C60156"/>
    <w:rsid w:val="00C60A70"/>
    <w:rsid w:val="00C61D32"/>
    <w:rsid w:val="00C62737"/>
    <w:rsid w:val="00C6561F"/>
    <w:rsid w:val="00C65D94"/>
    <w:rsid w:val="00C65E33"/>
    <w:rsid w:val="00C71742"/>
    <w:rsid w:val="00C72847"/>
    <w:rsid w:val="00C7550E"/>
    <w:rsid w:val="00C801A9"/>
    <w:rsid w:val="00C83292"/>
    <w:rsid w:val="00C84310"/>
    <w:rsid w:val="00C86A31"/>
    <w:rsid w:val="00C87273"/>
    <w:rsid w:val="00C907BD"/>
    <w:rsid w:val="00C91A6C"/>
    <w:rsid w:val="00C9785E"/>
    <w:rsid w:val="00CA229E"/>
    <w:rsid w:val="00CA3123"/>
    <w:rsid w:val="00CB1DF5"/>
    <w:rsid w:val="00CC3559"/>
    <w:rsid w:val="00CC6792"/>
    <w:rsid w:val="00CD66A8"/>
    <w:rsid w:val="00CD7BB8"/>
    <w:rsid w:val="00CF1446"/>
    <w:rsid w:val="00D00EF6"/>
    <w:rsid w:val="00D02992"/>
    <w:rsid w:val="00D122BA"/>
    <w:rsid w:val="00D2436B"/>
    <w:rsid w:val="00D25438"/>
    <w:rsid w:val="00D26EB3"/>
    <w:rsid w:val="00D31AA9"/>
    <w:rsid w:val="00D33CE9"/>
    <w:rsid w:val="00D37872"/>
    <w:rsid w:val="00D42DDB"/>
    <w:rsid w:val="00D43A5C"/>
    <w:rsid w:val="00D4435E"/>
    <w:rsid w:val="00D500EC"/>
    <w:rsid w:val="00D508E8"/>
    <w:rsid w:val="00D62DE6"/>
    <w:rsid w:val="00D63A0C"/>
    <w:rsid w:val="00D67584"/>
    <w:rsid w:val="00D67757"/>
    <w:rsid w:val="00D67BA1"/>
    <w:rsid w:val="00D71E45"/>
    <w:rsid w:val="00D828BE"/>
    <w:rsid w:val="00D92990"/>
    <w:rsid w:val="00D937EE"/>
    <w:rsid w:val="00D964A0"/>
    <w:rsid w:val="00D9776D"/>
    <w:rsid w:val="00DA12C7"/>
    <w:rsid w:val="00DA29AC"/>
    <w:rsid w:val="00DA44FF"/>
    <w:rsid w:val="00DA6F11"/>
    <w:rsid w:val="00DB724A"/>
    <w:rsid w:val="00DC0F52"/>
    <w:rsid w:val="00DC58EE"/>
    <w:rsid w:val="00DD4695"/>
    <w:rsid w:val="00DE50B9"/>
    <w:rsid w:val="00DF2E84"/>
    <w:rsid w:val="00E0727E"/>
    <w:rsid w:val="00E114E5"/>
    <w:rsid w:val="00E212EB"/>
    <w:rsid w:val="00E219FE"/>
    <w:rsid w:val="00E21D1F"/>
    <w:rsid w:val="00E236AB"/>
    <w:rsid w:val="00E24535"/>
    <w:rsid w:val="00E31194"/>
    <w:rsid w:val="00E35280"/>
    <w:rsid w:val="00E362F8"/>
    <w:rsid w:val="00E37863"/>
    <w:rsid w:val="00E4199E"/>
    <w:rsid w:val="00E41B38"/>
    <w:rsid w:val="00E45299"/>
    <w:rsid w:val="00E50D41"/>
    <w:rsid w:val="00E57981"/>
    <w:rsid w:val="00E741BD"/>
    <w:rsid w:val="00E80D4C"/>
    <w:rsid w:val="00E8124B"/>
    <w:rsid w:val="00E914F0"/>
    <w:rsid w:val="00E9476F"/>
    <w:rsid w:val="00E94EAD"/>
    <w:rsid w:val="00E96DCB"/>
    <w:rsid w:val="00EA6543"/>
    <w:rsid w:val="00EB2B6F"/>
    <w:rsid w:val="00EB61AA"/>
    <w:rsid w:val="00EC088F"/>
    <w:rsid w:val="00EC2362"/>
    <w:rsid w:val="00EC400C"/>
    <w:rsid w:val="00ED120F"/>
    <w:rsid w:val="00EE009B"/>
    <w:rsid w:val="00EE2DE8"/>
    <w:rsid w:val="00EE39B1"/>
    <w:rsid w:val="00EF0F96"/>
    <w:rsid w:val="00EF5564"/>
    <w:rsid w:val="00EF6775"/>
    <w:rsid w:val="00EF75C5"/>
    <w:rsid w:val="00F00D95"/>
    <w:rsid w:val="00F102B5"/>
    <w:rsid w:val="00F112F1"/>
    <w:rsid w:val="00F14D03"/>
    <w:rsid w:val="00F16331"/>
    <w:rsid w:val="00F17BC4"/>
    <w:rsid w:val="00F20A60"/>
    <w:rsid w:val="00F22574"/>
    <w:rsid w:val="00F2485B"/>
    <w:rsid w:val="00F3396C"/>
    <w:rsid w:val="00F33F48"/>
    <w:rsid w:val="00F3486A"/>
    <w:rsid w:val="00F36407"/>
    <w:rsid w:val="00F41037"/>
    <w:rsid w:val="00F43AA7"/>
    <w:rsid w:val="00F50BA4"/>
    <w:rsid w:val="00F54058"/>
    <w:rsid w:val="00F5417A"/>
    <w:rsid w:val="00F63C76"/>
    <w:rsid w:val="00F705AE"/>
    <w:rsid w:val="00F7323D"/>
    <w:rsid w:val="00F74277"/>
    <w:rsid w:val="00F80B6B"/>
    <w:rsid w:val="00F82EC5"/>
    <w:rsid w:val="00F842B1"/>
    <w:rsid w:val="00F86D77"/>
    <w:rsid w:val="00F87954"/>
    <w:rsid w:val="00F91468"/>
    <w:rsid w:val="00F93489"/>
    <w:rsid w:val="00F94DC2"/>
    <w:rsid w:val="00F96D80"/>
    <w:rsid w:val="00FB422B"/>
    <w:rsid w:val="00FB7FD3"/>
    <w:rsid w:val="00FC2D1F"/>
    <w:rsid w:val="00FC49E4"/>
    <w:rsid w:val="00FC5B18"/>
    <w:rsid w:val="00FD4248"/>
    <w:rsid w:val="00FD6027"/>
    <w:rsid w:val="00FE290E"/>
    <w:rsid w:val="00FE42F4"/>
    <w:rsid w:val="00FE77F7"/>
    <w:rsid w:val="00FF2980"/>
    <w:rsid w:val="00FF30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83831-EF01-4D9C-907F-12BFFA0A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4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6C4771"/>
    <w:pPr>
      <w:spacing w:after="0" w:line="240" w:lineRule="auto"/>
    </w:pPr>
    <w:rPr>
      <w:sz w:val="20"/>
      <w:szCs w:val="20"/>
    </w:rPr>
  </w:style>
  <w:style w:type="character" w:customStyle="1" w:styleId="DipnotMetniChar">
    <w:name w:val="Dipnot Metni Char"/>
    <w:basedOn w:val="VarsaylanParagrafYazTipi"/>
    <w:link w:val="DipnotMetni"/>
    <w:uiPriority w:val="99"/>
    <w:rsid w:val="006C4771"/>
    <w:rPr>
      <w:sz w:val="20"/>
      <w:szCs w:val="20"/>
    </w:rPr>
  </w:style>
  <w:style w:type="character" w:styleId="DipnotBavurusu">
    <w:name w:val="footnote reference"/>
    <w:basedOn w:val="VarsaylanParagrafYazTipi"/>
    <w:uiPriority w:val="99"/>
    <w:semiHidden/>
    <w:unhideWhenUsed/>
    <w:rsid w:val="006C4771"/>
    <w:rPr>
      <w:vertAlign w:val="superscript"/>
    </w:rPr>
  </w:style>
  <w:style w:type="character" w:styleId="Kpr">
    <w:name w:val="Hyperlink"/>
    <w:basedOn w:val="VarsaylanParagrafYazTipi"/>
    <w:uiPriority w:val="99"/>
    <w:unhideWhenUsed/>
    <w:rsid w:val="00AE00A2"/>
    <w:rPr>
      <w:color w:val="0000FF" w:themeColor="hyperlink"/>
      <w:u w:val="single"/>
    </w:rPr>
  </w:style>
  <w:style w:type="paragraph" w:styleId="BalonMetni">
    <w:name w:val="Balloon Text"/>
    <w:basedOn w:val="Normal"/>
    <w:link w:val="BalonMetniChar"/>
    <w:uiPriority w:val="99"/>
    <w:semiHidden/>
    <w:unhideWhenUsed/>
    <w:rsid w:val="006659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5950"/>
    <w:rPr>
      <w:rFonts w:ascii="Tahoma" w:hAnsi="Tahoma" w:cs="Tahoma"/>
      <w:sz w:val="16"/>
      <w:szCs w:val="16"/>
    </w:rPr>
  </w:style>
  <w:style w:type="paragraph" w:styleId="AralkYok">
    <w:name w:val="No Spacing"/>
    <w:uiPriority w:val="1"/>
    <w:qFormat/>
    <w:rsid w:val="00007A2A"/>
    <w:pPr>
      <w:spacing w:after="0" w:line="240" w:lineRule="auto"/>
    </w:pPr>
  </w:style>
  <w:style w:type="paragraph" w:styleId="ListeParagraf">
    <w:name w:val="List Paragraph"/>
    <w:basedOn w:val="Normal"/>
    <w:uiPriority w:val="34"/>
    <w:qFormat/>
    <w:rsid w:val="009F2F27"/>
    <w:pPr>
      <w:ind w:left="720"/>
      <w:contextualSpacing/>
    </w:pPr>
  </w:style>
  <w:style w:type="paragraph" w:styleId="NormalWeb">
    <w:name w:val="Normal (Web)"/>
    <w:basedOn w:val="Normal"/>
    <w:uiPriority w:val="99"/>
    <w:semiHidden/>
    <w:unhideWhenUsed/>
    <w:rsid w:val="00072E82"/>
    <w:rPr>
      <w:rFonts w:ascii="Times New Roman" w:hAnsi="Times New Roman" w:cs="Times New Roman"/>
      <w:sz w:val="24"/>
      <w:szCs w:val="24"/>
    </w:rPr>
  </w:style>
  <w:style w:type="table" w:styleId="TabloKlavuzu">
    <w:name w:val="Table Grid"/>
    <w:basedOn w:val="NormalTablo"/>
    <w:uiPriority w:val="59"/>
    <w:rsid w:val="00083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7467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6723"/>
  </w:style>
  <w:style w:type="paragraph" w:styleId="Altbilgi">
    <w:name w:val="footer"/>
    <w:basedOn w:val="Normal"/>
    <w:link w:val="AltbilgiChar"/>
    <w:uiPriority w:val="99"/>
    <w:unhideWhenUsed/>
    <w:rsid w:val="007467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6723"/>
  </w:style>
  <w:style w:type="paragraph" w:styleId="HTMLncedenBiimlendirilmi">
    <w:name w:val="HTML Preformatted"/>
    <w:basedOn w:val="Normal"/>
    <w:link w:val="HTMLncedenBiimlendirilmiChar"/>
    <w:uiPriority w:val="99"/>
    <w:semiHidden/>
    <w:unhideWhenUsed/>
    <w:rsid w:val="001A22F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1A22FC"/>
    <w:rPr>
      <w:rFonts w:ascii="Consolas" w:hAnsi="Consolas"/>
      <w:sz w:val="20"/>
      <w:szCs w:val="20"/>
    </w:rPr>
  </w:style>
  <w:style w:type="paragraph" w:styleId="SonnotMetni">
    <w:name w:val="endnote text"/>
    <w:basedOn w:val="Normal"/>
    <w:link w:val="SonnotMetniChar"/>
    <w:uiPriority w:val="99"/>
    <w:semiHidden/>
    <w:unhideWhenUsed/>
    <w:rsid w:val="003B0EEC"/>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B0EEC"/>
    <w:rPr>
      <w:sz w:val="20"/>
      <w:szCs w:val="20"/>
    </w:rPr>
  </w:style>
  <w:style w:type="character" w:styleId="SonnotBavurusu">
    <w:name w:val="endnote reference"/>
    <w:basedOn w:val="VarsaylanParagrafYazTipi"/>
    <w:uiPriority w:val="99"/>
    <w:semiHidden/>
    <w:unhideWhenUsed/>
    <w:rsid w:val="003B0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707">
      <w:bodyDiv w:val="1"/>
      <w:marLeft w:val="0"/>
      <w:marRight w:val="0"/>
      <w:marTop w:val="0"/>
      <w:marBottom w:val="0"/>
      <w:divBdr>
        <w:top w:val="none" w:sz="0" w:space="0" w:color="auto"/>
        <w:left w:val="none" w:sz="0" w:space="0" w:color="auto"/>
        <w:bottom w:val="none" w:sz="0" w:space="0" w:color="auto"/>
        <w:right w:val="none" w:sz="0" w:space="0" w:color="auto"/>
      </w:divBdr>
    </w:div>
    <w:div w:id="76902290">
      <w:bodyDiv w:val="1"/>
      <w:marLeft w:val="0"/>
      <w:marRight w:val="0"/>
      <w:marTop w:val="0"/>
      <w:marBottom w:val="0"/>
      <w:divBdr>
        <w:top w:val="none" w:sz="0" w:space="0" w:color="auto"/>
        <w:left w:val="none" w:sz="0" w:space="0" w:color="auto"/>
        <w:bottom w:val="none" w:sz="0" w:space="0" w:color="auto"/>
        <w:right w:val="none" w:sz="0" w:space="0" w:color="auto"/>
      </w:divBdr>
    </w:div>
    <w:div w:id="90899728">
      <w:bodyDiv w:val="1"/>
      <w:marLeft w:val="0"/>
      <w:marRight w:val="0"/>
      <w:marTop w:val="0"/>
      <w:marBottom w:val="0"/>
      <w:divBdr>
        <w:top w:val="none" w:sz="0" w:space="0" w:color="auto"/>
        <w:left w:val="none" w:sz="0" w:space="0" w:color="auto"/>
        <w:bottom w:val="none" w:sz="0" w:space="0" w:color="auto"/>
        <w:right w:val="none" w:sz="0" w:space="0" w:color="auto"/>
      </w:divBdr>
    </w:div>
    <w:div w:id="96340242">
      <w:bodyDiv w:val="1"/>
      <w:marLeft w:val="0"/>
      <w:marRight w:val="0"/>
      <w:marTop w:val="0"/>
      <w:marBottom w:val="0"/>
      <w:divBdr>
        <w:top w:val="none" w:sz="0" w:space="0" w:color="auto"/>
        <w:left w:val="none" w:sz="0" w:space="0" w:color="auto"/>
        <w:bottom w:val="none" w:sz="0" w:space="0" w:color="auto"/>
        <w:right w:val="none" w:sz="0" w:space="0" w:color="auto"/>
      </w:divBdr>
    </w:div>
    <w:div w:id="135346089">
      <w:bodyDiv w:val="1"/>
      <w:marLeft w:val="0"/>
      <w:marRight w:val="0"/>
      <w:marTop w:val="0"/>
      <w:marBottom w:val="0"/>
      <w:divBdr>
        <w:top w:val="none" w:sz="0" w:space="0" w:color="auto"/>
        <w:left w:val="none" w:sz="0" w:space="0" w:color="auto"/>
        <w:bottom w:val="none" w:sz="0" w:space="0" w:color="auto"/>
        <w:right w:val="none" w:sz="0" w:space="0" w:color="auto"/>
      </w:divBdr>
    </w:div>
    <w:div w:id="296107578">
      <w:bodyDiv w:val="1"/>
      <w:marLeft w:val="0"/>
      <w:marRight w:val="0"/>
      <w:marTop w:val="0"/>
      <w:marBottom w:val="0"/>
      <w:divBdr>
        <w:top w:val="none" w:sz="0" w:space="0" w:color="auto"/>
        <w:left w:val="none" w:sz="0" w:space="0" w:color="auto"/>
        <w:bottom w:val="none" w:sz="0" w:space="0" w:color="auto"/>
        <w:right w:val="none" w:sz="0" w:space="0" w:color="auto"/>
      </w:divBdr>
    </w:div>
    <w:div w:id="411894760">
      <w:bodyDiv w:val="1"/>
      <w:marLeft w:val="0"/>
      <w:marRight w:val="0"/>
      <w:marTop w:val="0"/>
      <w:marBottom w:val="0"/>
      <w:divBdr>
        <w:top w:val="none" w:sz="0" w:space="0" w:color="auto"/>
        <w:left w:val="none" w:sz="0" w:space="0" w:color="auto"/>
        <w:bottom w:val="none" w:sz="0" w:space="0" w:color="auto"/>
        <w:right w:val="none" w:sz="0" w:space="0" w:color="auto"/>
      </w:divBdr>
    </w:div>
    <w:div w:id="442505141">
      <w:bodyDiv w:val="1"/>
      <w:marLeft w:val="0"/>
      <w:marRight w:val="0"/>
      <w:marTop w:val="0"/>
      <w:marBottom w:val="0"/>
      <w:divBdr>
        <w:top w:val="none" w:sz="0" w:space="0" w:color="auto"/>
        <w:left w:val="none" w:sz="0" w:space="0" w:color="auto"/>
        <w:bottom w:val="none" w:sz="0" w:space="0" w:color="auto"/>
        <w:right w:val="none" w:sz="0" w:space="0" w:color="auto"/>
      </w:divBdr>
    </w:div>
    <w:div w:id="517038018">
      <w:bodyDiv w:val="1"/>
      <w:marLeft w:val="0"/>
      <w:marRight w:val="0"/>
      <w:marTop w:val="0"/>
      <w:marBottom w:val="0"/>
      <w:divBdr>
        <w:top w:val="none" w:sz="0" w:space="0" w:color="auto"/>
        <w:left w:val="none" w:sz="0" w:space="0" w:color="auto"/>
        <w:bottom w:val="none" w:sz="0" w:space="0" w:color="auto"/>
        <w:right w:val="none" w:sz="0" w:space="0" w:color="auto"/>
      </w:divBdr>
    </w:div>
    <w:div w:id="662783036">
      <w:bodyDiv w:val="1"/>
      <w:marLeft w:val="0"/>
      <w:marRight w:val="0"/>
      <w:marTop w:val="0"/>
      <w:marBottom w:val="0"/>
      <w:divBdr>
        <w:top w:val="none" w:sz="0" w:space="0" w:color="auto"/>
        <w:left w:val="none" w:sz="0" w:space="0" w:color="auto"/>
        <w:bottom w:val="none" w:sz="0" w:space="0" w:color="auto"/>
        <w:right w:val="none" w:sz="0" w:space="0" w:color="auto"/>
      </w:divBdr>
    </w:div>
    <w:div w:id="777674896">
      <w:bodyDiv w:val="1"/>
      <w:marLeft w:val="0"/>
      <w:marRight w:val="0"/>
      <w:marTop w:val="0"/>
      <w:marBottom w:val="0"/>
      <w:divBdr>
        <w:top w:val="none" w:sz="0" w:space="0" w:color="auto"/>
        <w:left w:val="none" w:sz="0" w:space="0" w:color="auto"/>
        <w:bottom w:val="none" w:sz="0" w:space="0" w:color="auto"/>
        <w:right w:val="none" w:sz="0" w:space="0" w:color="auto"/>
      </w:divBdr>
    </w:div>
    <w:div w:id="836503243">
      <w:bodyDiv w:val="1"/>
      <w:marLeft w:val="0"/>
      <w:marRight w:val="0"/>
      <w:marTop w:val="0"/>
      <w:marBottom w:val="0"/>
      <w:divBdr>
        <w:top w:val="none" w:sz="0" w:space="0" w:color="auto"/>
        <w:left w:val="none" w:sz="0" w:space="0" w:color="auto"/>
        <w:bottom w:val="none" w:sz="0" w:space="0" w:color="auto"/>
        <w:right w:val="none" w:sz="0" w:space="0" w:color="auto"/>
      </w:divBdr>
    </w:div>
    <w:div w:id="970482403">
      <w:bodyDiv w:val="1"/>
      <w:marLeft w:val="0"/>
      <w:marRight w:val="0"/>
      <w:marTop w:val="0"/>
      <w:marBottom w:val="0"/>
      <w:divBdr>
        <w:top w:val="none" w:sz="0" w:space="0" w:color="auto"/>
        <w:left w:val="none" w:sz="0" w:space="0" w:color="auto"/>
        <w:bottom w:val="none" w:sz="0" w:space="0" w:color="auto"/>
        <w:right w:val="none" w:sz="0" w:space="0" w:color="auto"/>
      </w:divBdr>
    </w:div>
    <w:div w:id="1054086550">
      <w:bodyDiv w:val="1"/>
      <w:marLeft w:val="0"/>
      <w:marRight w:val="0"/>
      <w:marTop w:val="0"/>
      <w:marBottom w:val="0"/>
      <w:divBdr>
        <w:top w:val="none" w:sz="0" w:space="0" w:color="auto"/>
        <w:left w:val="none" w:sz="0" w:space="0" w:color="auto"/>
        <w:bottom w:val="none" w:sz="0" w:space="0" w:color="auto"/>
        <w:right w:val="none" w:sz="0" w:space="0" w:color="auto"/>
      </w:divBdr>
    </w:div>
    <w:div w:id="1197083644">
      <w:bodyDiv w:val="1"/>
      <w:marLeft w:val="0"/>
      <w:marRight w:val="0"/>
      <w:marTop w:val="0"/>
      <w:marBottom w:val="0"/>
      <w:divBdr>
        <w:top w:val="none" w:sz="0" w:space="0" w:color="auto"/>
        <w:left w:val="none" w:sz="0" w:space="0" w:color="auto"/>
        <w:bottom w:val="none" w:sz="0" w:space="0" w:color="auto"/>
        <w:right w:val="none" w:sz="0" w:space="0" w:color="auto"/>
      </w:divBdr>
    </w:div>
    <w:div w:id="1228759928">
      <w:bodyDiv w:val="1"/>
      <w:marLeft w:val="0"/>
      <w:marRight w:val="0"/>
      <w:marTop w:val="0"/>
      <w:marBottom w:val="0"/>
      <w:divBdr>
        <w:top w:val="none" w:sz="0" w:space="0" w:color="auto"/>
        <w:left w:val="none" w:sz="0" w:space="0" w:color="auto"/>
        <w:bottom w:val="none" w:sz="0" w:space="0" w:color="auto"/>
        <w:right w:val="none" w:sz="0" w:space="0" w:color="auto"/>
      </w:divBdr>
      <w:divsChild>
        <w:div w:id="1254973151">
          <w:marLeft w:val="0"/>
          <w:marRight w:val="0"/>
          <w:marTop w:val="0"/>
          <w:marBottom w:val="210"/>
          <w:divBdr>
            <w:top w:val="none" w:sz="0" w:space="0" w:color="auto"/>
            <w:left w:val="none" w:sz="0" w:space="0" w:color="auto"/>
            <w:bottom w:val="none" w:sz="0" w:space="0" w:color="auto"/>
            <w:right w:val="none" w:sz="0" w:space="0" w:color="auto"/>
          </w:divBdr>
          <w:divsChild>
            <w:div w:id="128938711">
              <w:marLeft w:val="0"/>
              <w:marRight w:val="0"/>
              <w:marTop w:val="0"/>
              <w:marBottom w:val="0"/>
              <w:divBdr>
                <w:top w:val="none" w:sz="0" w:space="0" w:color="auto"/>
                <w:left w:val="none" w:sz="0" w:space="0" w:color="auto"/>
                <w:bottom w:val="none" w:sz="0" w:space="0" w:color="auto"/>
                <w:right w:val="none" w:sz="0" w:space="0" w:color="auto"/>
              </w:divBdr>
            </w:div>
          </w:divsChild>
        </w:div>
        <w:div w:id="1206404396">
          <w:marLeft w:val="0"/>
          <w:marRight w:val="0"/>
          <w:marTop w:val="0"/>
          <w:marBottom w:val="0"/>
          <w:divBdr>
            <w:top w:val="none" w:sz="0" w:space="0" w:color="auto"/>
            <w:left w:val="none" w:sz="0" w:space="0" w:color="auto"/>
            <w:bottom w:val="none" w:sz="0" w:space="0" w:color="auto"/>
            <w:right w:val="none" w:sz="0" w:space="0" w:color="auto"/>
          </w:divBdr>
        </w:div>
      </w:divsChild>
    </w:div>
    <w:div w:id="1322348322">
      <w:bodyDiv w:val="1"/>
      <w:marLeft w:val="0"/>
      <w:marRight w:val="0"/>
      <w:marTop w:val="0"/>
      <w:marBottom w:val="0"/>
      <w:divBdr>
        <w:top w:val="none" w:sz="0" w:space="0" w:color="auto"/>
        <w:left w:val="none" w:sz="0" w:space="0" w:color="auto"/>
        <w:bottom w:val="none" w:sz="0" w:space="0" w:color="auto"/>
        <w:right w:val="none" w:sz="0" w:space="0" w:color="auto"/>
      </w:divBdr>
    </w:div>
    <w:div w:id="1412661124">
      <w:bodyDiv w:val="1"/>
      <w:marLeft w:val="0"/>
      <w:marRight w:val="0"/>
      <w:marTop w:val="0"/>
      <w:marBottom w:val="0"/>
      <w:divBdr>
        <w:top w:val="none" w:sz="0" w:space="0" w:color="auto"/>
        <w:left w:val="none" w:sz="0" w:space="0" w:color="auto"/>
        <w:bottom w:val="none" w:sz="0" w:space="0" w:color="auto"/>
        <w:right w:val="none" w:sz="0" w:space="0" w:color="auto"/>
      </w:divBdr>
    </w:div>
    <w:div w:id="1586958709">
      <w:bodyDiv w:val="1"/>
      <w:marLeft w:val="0"/>
      <w:marRight w:val="0"/>
      <w:marTop w:val="0"/>
      <w:marBottom w:val="0"/>
      <w:divBdr>
        <w:top w:val="none" w:sz="0" w:space="0" w:color="auto"/>
        <w:left w:val="none" w:sz="0" w:space="0" w:color="auto"/>
        <w:bottom w:val="none" w:sz="0" w:space="0" w:color="auto"/>
        <w:right w:val="none" w:sz="0" w:space="0" w:color="auto"/>
      </w:divBdr>
    </w:div>
    <w:div w:id="1785343399">
      <w:bodyDiv w:val="1"/>
      <w:marLeft w:val="0"/>
      <w:marRight w:val="0"/>
      <w:marTop w:val="0"/>
      <w:marBottom w:val="0"/>
      <w:divBdr>
        <w:top w:val="none" w:sz="0" w:space="0" w:color="auto"/>
        <w:left w:val="none" w:sz="0" w:space="0" w:color="auto"/>
        <w:bottom w:val="none" w:sz="0" w:space="0" w:color="auto"/>
        <w:right w:val="none" w:sz="0" w:space="0" w:color="auto"/>
      </w:divBdr>
    </w:div>
    <w:div w:id="1856267792">
      <w:bodyDiv w:val="1"/>
      <w:marLeft w:val="0"/>
      <w:marRight w:val="0"/>
      <w:marTop w:val="0"/>
      <w:marBottom w:val="0"/>
      <w:divBdr>
        <w:top w:val="none" w:sz="0" w:space="0" w:color="auto"/>
        <w:left w:val="none" w:sz="0" w:space="0" w:color="auto"/>
        <w:bottom w:val="none" w:sz="0" w:space="0" w:color="auto"/>
        <w:right w:val="none" w:sz="0" w:space="0" w:color="auto"/>
      </w:divBdr>
    </w:div>
    <w:div w:id="1901017164">
      <w:bodyDiv w:val="1"/>
      <w:marLeft w:val="0"/>
      <w:marRight w:val="0"/>
      <w:marTop w:val="0"/>
      <w:marBottom w:val="0"/>
      <w:divBdr>
        <w:top w:val="none" w:sz="0" w:space="0" w:color="auto"/>
        <w:left w:val="none" w:sz="0" w:space="0" w:color="auto"/>
        <w:bottom w:val="none" w:sz="0" w:space="0" w:color="auto"/>
        <w:right w:val="none" w:sz="0" w:space="0" w:color="auto"/>
      </w:divBdr>
    </w:div>
    <w:div w:id="1913924171">
      <w:bodyDiv w:val="1"/>
      <w:marLeft w:val="0"/>
      <w:marRight w:val="0"/>
      <w:marTop w:val="0"/>
      <w:marBottom w:val="0"/>
      <w:divBdr>
        <w:top w:val="none" w:sz="0" w:space="0" w:color="auto"/>
        <w:left w:val="none" w:sz="0" w:space="0" w:color="auto"/>
        <w:bottom w:val="none" w:sz="0" w:space="0" w:color="auto"/>
        <w:right w:val="none" w:sz="0" w:space="0" w:color="auto"/>
      </w:divBdr>
    </w:div>
    <w:div w:id="204724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idp.pt/revistas/rjlb/2017/3/2017_03_0923_0974.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A9F4-E652-4CEF-A202-351CE451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10</Pages>
  <Words>4686</Words>
  <Characters>26711</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Kullanıcısı</cp:lastModifiedBy>
  <cp:revision>8</cp:revision>
  <cp:lastPrinted>2015-08-26T07:29:00Z</cp:lastPrinted>
  <dcterms:created xsi:type="dcterms:W3CDTF">2021-04-26T11:59:00Z</dcterms:created>
  <dcterms:modified xsi:type="dcterms:W3CDTF">2021-04-26T23:31:00Z</dcterms:modified>
</cp:coreProperties>
</file>